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85"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134620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6"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69"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240" w:right="3540" w:hanging="4124"/>
        <w:spacing w:after="0" w:line="281" w:lineRule="auto"/>
        <w:tabs>
          <w:tab w:leader="none" w:pos="54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September 30, 2022</w:t>
      </w:r>
    </w:p>
    <w:p>
      <w:pPr>
        <w:spacing w:after="0" w:line="1" w:lineRule="exact"/>
        <w:rPr>
          <w:rFonts w:ascii="MS PGothic" w:cs="MS PGothic" w:eastAsia="MS PGothic" w:hAnsi="MS PGothic"/>
          <w:sz w:val="14"/>
          <w:szCs w:val="14"/>
          <w:color w:val="auto"/>
        </w:rPr>
      </w:pP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1" w:lineRule="exact"/>
        <w:rPr>
          <w:sz w:val="24"/>
          <w:szCs w:val="24"/>
          <w:color w:val="auto"/>
        </w:rPr>
      </w:pPr>
    </w:p>
    <w:p>
      <w:pPr>
        <w:ind w:left="3980"/>
        <w:spacing w:after="0"/>
        <w:tabs>
          <w:tab w:leader="none" w:pos="6480" w:val="left"/>
          <w:tab w:leader="none" w:pos="720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3735070</wp:posOffset>
            </wp:positionH>
            <wp:positionV relativeFrom="paragraph">
              <wp:posOffset>-11430</wp:posOffset>
            </wp:positionV>
            <wp:extent cx="8528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52805" cy="8255"/>
                    </a:xfrm>
                    <a:prstGeom prst="rect">
                      <a:avLst/>
                    </a:prstGeom>
                    <a:noFill/>
                  </pic:spPr>
                </pic:pic>
              </a:graphicData>
            </a:graphic>
          </wp:anchor>
        </w:drawing>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120" w:right="2900" w:hanging="4004"/>
        <w:spacing w:after="0" w:line="253" w:lineRule="auto"/>
        <w:tabs>
          <w:tab w:leader="none" w:pos="554"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SHELL COMPANY REPORT PURSUANT TO SECTION 13 OR 15(d) OF THE SECURITIES EXCHANGE ACT OF 1934 Date of event requiring this shell company report</w:t>
      </w:r>
    </w:p>
    <w:p>
      <w:pPr>
        <w:ind w:left="458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2" w:lineRule="exact"/>
        <w:rPr>
          <w:sz w:val="24"/>
          <w:szCs w:val="24"/>
          <w:color w:val="auto"/>
        </w:rPr>
      </w:pPr>
    </w:p>
    <w:p>
      <w:pPr>
        <w:jc w:val="center"/>
        <w:ind w:right="-139"/>
        <w:spacing w:after="0"/>
        <w:rPr>
          <w:sz w:val="20"/>
          <w:szCs w:val="20"/>
          <w:color w:val="auto"/>
        </w:rPr>
      </w:pPr>
      <w:r>
        <w:rPr>
          <w:rFonts w:ascii="Arial" w:cs="Arial" w:eastAsia="Arial" w:hAnsi="Arial"/>
          <w:sz w:val="36"/>
          <w:szCs w:val="36"/>
          <w:b w:val="1"/>
          <w:bCs w:val="1"/>
          <w:color w:val="auto"/>
        </w:rPr>
        <w:t>AMDOCS LIMITED</w:t>
      </w:r>
    </w:p>
    <w:p>
      <w:pPr>
        <w:spacing w:after="0" w:line="36"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107950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95"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Island of Guernsey</w:t>
      </w:r>
    </w:p>
    <w:p>
      <w:pPr>
        <w:jc w:val="center"/>
        <w:ind w:right="-139"/>
        <w:spacing w:after="0" w:line="222" w:lineRule="auto"/>
        <w:rPr>
          <w:sz w:val="20"/>
          <w:szCs w:val="20"/>
          <w:color w:val="auto"/>
        </w:rPr>
      </w:pPr>
      <w:r>
        <w:rPr>
          <w:rFonts w:ascii="Arial" w:cs="Arial" w:eastAsia="Arial" w:hAnsi="Arial"/>
          <w:sz w:val="13"/>
          <w:szCs w:val="13"/>
          <w:b w:val="1"/>
          <w:bCs w:val="1"/>
          <w:color w:val="auto"/>
        </w:rPr>
        <w:t>(Jurisdiction of incorporation or organization)</w:t>
      </w:r>
    </w:p>
    <w:p>
      <w:pPr>
        <w:jc w:val="center"/>
        <w:ind w:right="-139"/>
        <w:spacing w:after="0" w:line="221" w:lineRule="auto"/>
        <w:rPr>
          <w:sz w:val="20"/>
          <w:szCs w:val="20"/>
          <w:color w:val="auto"/>
        </w:rPr>
      </w:pPr>
      <w:r>
        <w:rPr>
          <w:rFonts w:ascii="Arial" w:cs="Arial" w:eastAsia="Arial" w:hAnsi="Arial"/>
          <w:sz w:val="14"/>
          <w:szCs w:val="14"/>
          <w:b w:val="1"/>
          <w:bCs w:val="1"/>
          <w:color w:val="auto"/>
        </w:rPr>
        <w:t>Hirzel House, Smith Street,</w:t>
      </w:r>
    </w:p>
    <w:p>
      <w:pPr>
        <w:jc w:val="center"/>
        <w:ind w:right="-139"/>
        <w:spacing w:after="0" w:line="222" w:lineRule="auto"/>
        <w:rPr>
          <w:sz w:val="20"/>
          <w:szCs w:val="20"/>
          <w:color w:val="auto"/>
        </w:rPr>
      </w:pPr>
      <w:r>
        <w:rPr>
          <w:rFonts w:ascii="Arial" w:cs="Arial" w:eastAsia="Arial" w:hAnsi="Arial"/>
          <w:sz w:val="14"/>
          <w:szCs w:val="14"/>
          <w:b w:val="1"/>
          <w:bCs w:val="1"/>
          <w:color w:val="auto"/>
        </w:rPr>
        <w:t>St. Peter Port, Guernsey, GY1 2NG</w:t>
      </w:r>
    </w:p>
    <w:p>
      <w:pPr>
        <w:jc w:val="center"/>
        <w:ind w:right="-139"/>
        <w:spacing w:after="0" w:line="221" w:lineRule="auto"/>
        <w:rPr>
          <w:sz w:val="20"/>
          <w:szCs w:val="20"/>
          <w:color w:val="auto"/>
        </w:rPr>
      </w:pPr>
      <w:r>
        <w:rPr>
          <w:rFonts w:ascii="Arial" w:cs="Arial" w:eastAsia="Arial" w:hAnsi="Arial"/>
          <w:sz w:val="14"/>
          <w:szCs w:val="14"/>
          <w:b w:val="1"/>
          <w:bCs w:val="1"/>
          <w:color w:val="auto"/>
        </w:rPr>
        <w:t>Amdocs, Inc.</w:t>
      </w:r>
    </w:p>
    <w:p>
      <w:pPr>
        <w:jc w:val="center"/>
        <w:ind w:right="-139"/>
        <w:spacing w:after="0" w:line="225" w:lineRule="auto"/>
        <w:rPr>
          <w:sz w:val="20"/>
          <w:szCs w:val="20"/>
          <w:color w:val="auto"/>
        </w:rPr>
      </w:pPr>
      <w:r>
        <w:rPr>
          <w:rFonts w:ascii="Arial" w:cs="Arial" w:eastAsia="Arial" w:hAnsi="Arial"/>
          <w:sz w:val="14"/>
          <w:szCs w:val="14"/>
          <w:b w:val="1"/>
          <w:bCs w:val="1"/>
          <w:color w:val="auto"/>
        </w:rPr>
        <w:t>625 Maryville Centre Drive, Suite 200 Saint Louis, Missouri 63141</w:t>
      </w:r>
    </w:p>
    <w:p>
      <w:pPr>
        <w:jc w:val="center"/>
        <w:ind w:right="-139"/>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Matthew E. Smith</w:t>
      </w:r>
    </w:p>
    <w:p>
      <w:pPr>
        <w:jc w:val="center"/>
        <w:ind w:right="-139"/>
        <w:spacing w:after="0" w:line="226" w:lineRule="auto"/>
        <w:rPr>
          <w:sz w:val="20"/>
          <w:szCs w:val="20"/>
          <w:color w:val="auto"/>
        </w:rPr>
      </w:pPr>
      <w:r>
        <w:rPr>
          <w:rFonts w:ascii="Arial" w:cs="Arial" w:eastAsia="Arial" w:hAnsi="Arial"/>
          <w:sz w:val="14"/>
          <w:szCs w:val="14"/>
          <w:b w:val="1"/>
          <w:bCs w:val="1"/>
          <w:color w:val="auto"/>
        </w:rPr>
        <w:t>Amdocs, Inc.</w:t>
      </w:r>
    </w:p>
    <w:p>
      <w:pPr>
        <w:jc w:val="center"/>
        <w:ind w:right="-139"/>
        <w:spacing w:after="0" w:line="221" w:lineRule="auto"/>
        <w:rPr>
          <w:sz w:val="20"/>
          <w:szCs w:val="20"/>
          <w:color w:val="auto"/>
        </w:rPr>
      </w:pPr>
      <w:r>
        <w:rPr>
          <w:rFonts w:ascii="Arial" w:cs="Arial" w:eastAsia="Arial" w:hAnsi="Arial"/>
          <w:sz w:val="14"/>
          <w:szCs w:val="14"/>
          <w:b w:val="1"/>
          <w:bCs w:val="1"/>
          <w:color w:val="auto"/>
        </w:rPr>
        <w:t>625 Maryville Centre Drive, Suite 200 Saint Louis, Missouri 63141</w:t>
      </w:r>
    </w:p>
    <w:p>
      <w:pPr>
        <w:jc w:val="center"/>
        <w:ind w:right="-139"/>
        <w:spacing w:after="0" w:line="222" w:lineRule="auto"/>
        <w:rPr>
          <w:sz w:val="20"/>
          <w:szCs w:val="20"/>
          <w:color w:val="auto"/>
        </w:rPr>
      </w:pPr>
      <w:r>
        <w:rPr>
          <w:rFonts w:ascii="Arial" w:cs="Arial" w:eastAsia="Arial" w:hAnsi="Arial"/>
          <w:sz w:val="14"/>
          <w:szCs w:val="14"/>
          <w:b w:val="1"/>
          <w:bCs w:val="1"/>
          <w:color w:val="auto"/>
        </w:rPr>
        <w:t>Telephone: 314-212-7000</w:t>
      </w:r>
    </w:p>
    <w:p>
      <w:pPr>
        <w:jc w:val="center"/>
        <w:ind w:right="-139"/>
        <w:spacing w:after="0" w:line="225" w:lineRule="auto"/>
        <w:rPr>
          <w:sz w:val="20"/>
          <w:szCs w:val="20"/>
          <w:color w:val="auto"/>
        </w:rPr>
      </w:pPr>
      <w:r>
        <w:rPr>
          <w:rFonts w:ascii="Arial" w:cs="Arial" w:eastAsia="Arial" w:hAnsi="Arial"/>
          <w:sz w:val="14"/>
          <w:szCs w:val="14"/>
          <w:b w:val="1"/>
          <w:bCs w:val="1"/>
          <w:color w:val="auto"/>
        </w:rPr>
        <w:t>Email: dox_info@amdocs.com</w:t>
      </w:r>
    </w:p>
    <w:p>
      <w:pPr>
        <w:jc w:val="center"/>
        <w:ind w:right="-139"/>
        <w:spacing w:after="0" w:line="213" w:lineRule="auto"/>
        <w:rPr>
          <w:sz w:val="20"/>
          <w:szCs w:val="20"/>
          <w:color w:val="auto"/>
        </w:rPr>
      </w:pPr>
      <w:r>
        <w:rPr>
          <w:rFonts w:ascii="Arial" w:cs="Arial" w:eastAsia="Arial" w:hAnsi="Arial"/>
          <w:sz w:val="13"/>
          <w:szCs w:val="13"/>
          <w:b w:val="1"/>
          <w:bCs w:val="1"/>
          <w:color w:val="auto"/>
        </w:rPr>
        <w:t>(Name, Telephone, E-mail and/or Facsimile number and Address of Company Contact Person)</w:t>
      </w:r>
    </w:p>
    <w:p>
      <w:pPr>
        <w:jc w:val="center"/>
        <w:ind w:right="-13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39" w:lineRule="exact"/>
        <w:rPr>
          <w:sz w:val="24"/>
          <w:szCs w:val="24"/>
          <w:color w:val="auto"/>
        </w:rPr>
      </w:pPr>
    </w:p>
    <w:tbl>
      <w:tblPr>
        <w:tblLayout w:type="fixed"/>
        <w:tblInd w:w="960" w:type="dxa"/>
        <w:tblCellMar>
          <w:top w:w="0" w:type="dxa"/>
          <w:left w:w="0" w:type="dxa"/>
          <w:bottom w:w="0" w:type="dxa"/>
          <w:right w:w="0" w:type="dxa"/>
        </w:tblCellMar>
      </w:tblPr>
      <w:tr>
        <w:trPr>
          <w:trHeight w:val="171"/>
        </w:trPr>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78"/>
              </w:rPr>
              <w:t>Ordinary</w:t>
            </w:r>
          </w:p>
        </w:tc>
        <w:tc>
          <w:tcPr>
            <w:tcW w:w="1100" w:type="dxa"/>
            <w:vAlign w:val="bottom"/>
          </w:tcPr>
          <w:p>
            <w:pPr>
              <w:spacing w:after="0"/>
              <w:rPr>
                <w:sz w:val="20"/>
                <w:szCs w:val="20"/>
                <w:color w:val="auto"/>
              </w:rPr>
            </w:pPr>
            <w:r>
              <w:rPr>
                <w:rFonts w:ascii="Arial" w:cs="Arial" w:eastAsia="Arial" w:hAnsi="Arial"/>
                <w:sz w:val="14"/>
                <w:szCs w:val="14"/>
                <w:b w:val="1"/>
                <w:bCs w:val="1"/>
                <w:color w:val="auto"/>
                <w:w w:val="89"/>
              </w:rPr>
              <w:t>Title of each class</w:t>
            </w:r>
          </w:p>
        </w:tc>
        <w:tc>
          <w:tcPr>
            <w:tcW w:w="6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Trading Symbol</w:t>
            </w:r>
          </w:p>
        </w:tc>
        <w:tc>
          <w:tcPr>
            <w:tcW w:w="1760" w:type="dxa"/>
            <w:vAlign w:val="bottom"/>
          </w:tcPr>
          <w:p>
            <w:pPr>
              <w:spacing w:after="0"/>
              <w:rPr>
                <w:sz w:val="14"/>
                <w:szCs w:val="14"/>
                <w:color w:val="auto"/>
              </w:rPr>
            </w:pPr>
          </w:p>
        </w:tc>
        <w:tc>
          <w:tcPr>
            <w:tcW w:w="2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20"/>
        </w:trPr>
        <w:tc>
          <w:tcPr>
            <w:tcW w:w="480" w:type="dxa"/>
            <w:vAlign w:val="bottom"/>
            <w:vMerge w:val="continue"/>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6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80" w:type="dxa"/>
            <w:vAlign w:val="bottom"/>
            <w:vMerge w:val="continue"/>
          </w:tcPr>
          <w:p>
            <w:pPr>
              <w:spacing w:after="0"/>
              <w:rPr>
                <w:sz w:val="15"/>
                <w:szCs w:val="15"/>
                <w:color w:val="auto"/>
              </w:rPr>
            </w:pPr>
          </w:p>
        </w:tc>
        <w:tc>
          <w:tcPr>
            <w:tcW w:w="1700" w:type="dxa"/>
            <w:vAlign w:val="bottom"/>
            <w:gridSpan w:val="2"/>
          </w:tcPr>
          <w:p>
            <w:pPr>
              <w:ind w:left="140"/>
              <w:spacing w:after="0"/>
              <w:rPr>
                <w:sz w:val="20"/>
                <w:szCs w:val="20"/>
                <w:color w:val="auto"/>
              </w:rPr>
            </w:pPr>
            <w:r>
              <w:rPr>
                <w:rFonts w:ascii="Arial" w:cs="Arial" w:eastAsia="Arial" w:hAnsi="Arial"/>
                <w:sz w:val="14"/>
                <w:szCs w:val="14"/>
                <w:b w:val="1"/>
                <w:bCs w:val="1"/>
                <w:color w:val="auto"/>
                <w:w w:val="99"/>
              </w:rPr>
              <w:t>Shares, par value £0.01</w:t>
            </w:r>
          </w:p>
        </w:tc>
        <w:tc>
          <w:tcPr>
            <w:tcW w:w="2100" w:type="dxa"/>
            <w:vAlign w:val="bottom"/>
            <w:vMerge w:val="continue"/>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rPr>
              <w:t>DOX</w:t>
            </w:r>
          </w:p>
        </w:tc>
        <w:tc>
          <w:tcPr>
            <w:tcW w:w="1760" w:type="dxa"/>
            <w:vAlign w:val="bottom"/>
            <w:vMerge w:val="continue"/>
          </w:tcPr>
          <w:p>
            <w:pPr>
              <w:spacing w:after="0"/>
              <w:rPr>
                <w:sz w:val="15"/>
                <w:szCs w:val="15"/>
                <w:color w:val="auto"/>
              </w:rPr>
            </w:pPr>
          </w:p>
        </w:tc>
        <w:tc>
          <w:tcPr>
            <w:tcW w:w="40" w:type="dxa"/>
            <w:vAlign w:val="bottom"/>
            <w:vMerge w:val="continue"/>
          </w:tcPr>
          <w:p>
            <w:pPr>
              <w:spacing w:after="0"/>
              <w:rPr>
                <w:sz w:val="15"/>
                <w:szCs w:val="15"/>
                <w:color w:val="auto"/>
              </w:rPr>
            </w:pPr>
          </w:p>
        </w:tc>
        <w:tc>
          <w:tcPr>
            <w:tcW w:w="2660" w:type="dxa"/>
            <w:vAlign w:val="bottom"/>
          </w:tcPr>
          <w:p>
            <w:pPr>
              <w:jc w:val="center"/>
              <w:spacing w:after="0"/>
              <w:rPr>
                <w:sz w:val="20"/>
                <w:szCs w:val="20"/>
                <w:color w:val="auto"/>
              </w:rPr>
            </w:pPr>
            <w:r>
              <w:rPr>
                <w:rFonts w:ascii="Arial" w:cs="Arial" w:eastAsia="Arial" w:hAnsi="Arial"/>
                <w:sz w:val="14"/>
                <w:szCs w:val="14"/>
                <w:b w:val="1"/>
                <w:bCs w:val="1"/>
                <w:color w:val="auto"/>
                <w:w w:val="94"/>
              </w:rPr>
              <w:t>Nasdaq Global Select Market</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860" w:type="dxa"/>
            <w:vAlign w:val="bottom"/>
            <w:gridSpan w:val="3"/>
          </w:tcPr>
          <w:p>
            <w:pPr>
              <w:jc w:val="center"/>
              <w:ind w:left="48"/>
              <w:spacing w:after="0"/>
              <w:rPr>
                <w:sz w:val="20"/>
                <w:szCs w:val="20"/>
                <w:color w:val="auto"/>
              </w:rPr>
            </w:pPr>
            <w:r>
              <w:rPr>
                <w:rFonts w:ascii="Arial" w:cs="Arial" w:eastAsia="Arial" w:hAnsi="Arial"/>
                <w:sz w:val="14"/>
                <w:szCs w:val="14"/>
                <w:b w:val="1"/>
                <w:bCs w:val="1"/>
                <w:color w:val="auto"/>
                <w:w w:val="91"/>
              </w:rPr>
              <w:t>Securities registered or to be registered pursuant to Section 12(g) of the Act:</w:t>
            </w:r>
          </w:p>
        </w:tc>
        <w:tc>
          <w:tcPr>
            <w:tcW w:w="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760" w:type="dxa"/>
            <w:vAlign w:val="bottom"/>
            <w:gridSpan w:val="2"/>
          </w:tcPr>
          <w:p>
            <w:pPr>
              <w:jc w:val="center"/>
              <w:ind w:right="1980"/>
              <w:spacing w:after="0"/>
              <w:rPr>
                <w:sz w:val="20"/>
                <w:szCs w:val="20"/>
                <w:color w:val="auto"/>
              </w:rPr>
            </w:pPr>
            <w:r>
              <w:rPr>
                <w:rFonts w:ascii="Arial" w:cs="Arial" w:eastAsia="Arial" w:hAnsi="Arial"/>
                <w:sz w:val="14"/>
                <w:szCs w:val="14"/>
                <w:b w:val="1"/>
                <w:bCs w:val="1"/>
                <w:color w:val="auto"/>
                <w:w w:val="94"/>
              </w:rPr>
              <w:t>[None]</w:t>
            </w:r>
          </w:p>
        </w:tc>
        <w:tc>
          <w:tcPr>
            <w:tcW w:w="4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42" w:lineRule="exact"/>
        <w:rPr>
          <w:sz w:val="24"/>
          <w:szCs w:val="24"/>
          <w:color w:val="auto"/>
        </w:rPr>
      </w:pPr>
    </w:p>
    <w:p>
      <w:pPr>
        <w:ind w:left="5420"/>
        <w:spacing w:after="0"/>
        <w:rPr>
          <w:sz w:val="20"/>
          <w:szCs w:val="20"/>
          <w:color w:val="auto"/>
        </w:rPr>
      </w:pPr>
      <w:r>
        <w:rPr>
          <w:rFonts w:ascii="Arial" w:cs="Arial" w:eastAsia="Arial" w:hAnsi="Arial"/>
          <w:sz w:val="14"/>
          <w:szCs w:val="14"/>
          <w:b w:val="1"/>
          <w:bCs w:val="1"/>
          <w:color w:val="auto"/>
        </w:rPr>
        <w:t>[None]</w:t>
      </w:r>
    </w:p>
    <w:p>
      <w:pPr>
        <w:spacing w:after="0" w:line="4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51" w:lineRule="exact"/>
        <w:rPr>
          <w:sz w:val="24"/>
          <w:szCs w:val="24"/>
          <w:color w:val="auto"/>
        </w:rPr>
      </w:pPr>
    </w:p>
    <w:tbl>
      <w:tblPr>
        <w:tblLayout w:type="fixed"/>
        <w:tblInd w:w="1880" w:type="dxa"/>
        <w:tblCellMar>
          <w:top w:w="0" w:type="dxa"/>
          <w:left w:w="0" w:type="dxa"/>
          <w:bottom w:w="0" w:type="dxa"/>
          <w:right w:w="0" w:type="dxa"/>
        </w:tblCellMar>
      </w:tblPr>
      <w:tr>
        <w:trPr>
          <w:trHeight w:val="171"/>
        </w:trPr>
        <w:tc>
          <w:tcPr>
            <w:tcW w:w="620" w:type="dxa"/>
            <w:vAlign w:val="bottom"/>
          </w:tcPr>
          <w:p>
            <w:pPr>
              <w:spacing w:after="0"/>
              <w:rPr>
                <w:sz w:val="14"/>
                <w:szCs w:val="14"/>
                <w:color w:val="auto"/>
              </w:rPr>
            </w:pPr>
          </w:p>
        </w:tc>
        <w:tc>
          <w:tcPr>
            <w:tcW w:w="4900" w:type="dxa"/>
            <w:vAlign w:val="bottom"/>
            <w:gridSpan w:val="2"/>
          </w:tcPr>
          <w:p>
            <w:pPr>
              <w:spacing w:after="0"/>
              <w:rPr>
                <w:sz w:val="20"/>
                <w:szCs w:val="20"/>
                <w:color w:val="auto"/>
              </w:rPr>
            </w:pPr>
            <w:r>
              <w:rPr>
                <w:rFonts w:ascii="Arial" w:cs="Arial" w:eastAsia="Arial" w:hAnsi="Arial"/>
                <w:sz w:val="14"/>
                <w:szCs w:val="14"/>
                <w:b w:val="1"/>
                <w:bCs w:val="1"/>
                <w:color w:val="auto"/>
              </w:rPr>
              <w:t>Title of Class</w:t>
            </w:r>
          </w:p>
        </w:tc>
        <w:tc>
          <w:tcPr>
            <w:tcW w:w="21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 Outstanding (1)</w:t>
            </w:r>
          </w:p>
        </w:tc>
      </w:tr>
      <w:tr>
        <w:trPr>
          <w:trHeight w:val="180"/>
        </w:trPr>
        <w:tc>
          <w:tcPr>
            <w:tcW w:w="620" w:type="dxa"/>
            <w:vAlign w:val="bottom"/>
          </w:tcPr>
          <w:p>
            <w:pPr>
              <w:spacing w:after="0"/>
              <w:rPr>
                <w:sz w:val="20"/>
                <w:szCs w:val="20"/>
                <w:color w:val="auto"/>
              </w:rPr>
            </w:pPr>
            <w:r>
              <w:rPr>
                <w:rFonts w:ascii="Arial" w:cs="Arial" w:eastAsia="Arial" w:hAnsi="Arial"/>
                <w:sz w:val="14"/>
                <w:szCs w:val="14"/>
                <w:b w:val="1"/>
                <w:bCs w:val="1"/>
                <w:color w:val="auto"/>
              </w:rPr>
              <w:t>Ordinary</w:t>
            </w:r>
          </w:p>
        </w:tc>
        <w:tc>
          <w:tcPr>
            <w:tcW w:w="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Shares, par</w:t>
            </w:r>
          </w:p>
        </w:tc>
        <w:tc>
          <w:tcPr>
            <w:tcW w:w="4100" w:type="dxa"/>
            <w:vAlign w:val="bottom"/>
          </w:tcPr>
          <w:p>
            <w:pPr>
              <w:spacing w:after="0"/>
              <w:rPr>
                <w:sz w:val="20"/>
                <w:szCs w:val="20"/>
                <w:color w:val="auto"/>
              </w:rPr>
            </w:pPr>
            <w:r>
              <w:rPr>
                <w:rFonts w:ascii="Arial" w:cs="Arial" w:eastAsia="Arial" w:hAnsi="Arial"/>
                <w:sz w:val="14"/>
                <w:szCs w:val="14"/>
                <w:b w:val="1"/>
                <w:bCs w:val="1"/>
                <w:color w:val="auto"/>
              </w:rPr>
              <w:t>value £0.01</w:t>
            </w:r>
          </w:p>
        </w:tc>
        <w:tc>
          <w:tcPr>
            <w:tcW w:w="2120" w:type="dxa"/>
            <w:vAlign w:val="bottom"/>
            <w:tcBorders>
              <w:top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120,842,660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87630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167"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33" w:lineRule="exact"/>
        <w:rPr>
          <w:sz w:val="24"/>
          <w:szCs w:val="24"/>
          <w:color w:val="auto"/>
        </w:rPr>
      </w:pPr>
    </w:p>
    <w:p>
      <w:pPr>
        <w:ind w:left="5000"/>
        <w:spacing w:after="0" w:line="161" w:lineRule="exact"/>
        <w:tabs>
          <w:tab w:leader="none" w:pos="58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7" w:lineRule="exact"/>
        <w:rPr>
          <w:sz w:val="24"/>
          <w:szCs w:val="24"/>
          <w:color w:val="auto"/>
        </w:rPr>
      </w:pPr>
    </w:p>
    <w:p>
      <w:pPr>
        <w:jc w:val="center"/>
        <w:ind w:right="160"/>
        <w:spacing w:after="0" w:line="207"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 w:lineRule="exact"/>
        <w:rPr>
          <w:sz w:val="24"/>
          <w:szCs w:val="24"/>
          <w:color w:val="auto"/>
        </w:rPr>
      </w:pPr>
    </w:p>
    <w:p>
      <w:pPr>
        <w:ind w:left="120" w:right="180"/>
        <w:spacing w:after="0" w:line="25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119"/>
        <w:spacing w:after="0" w:line="161" w:lineRule="exact"/>
        <w:tabs>
          <w:tab w:leader="none" w:pos="42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left="120" w:right="20"/>
        <w:spacing w:after="0" w:line="270"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1" w:lineRule="exact"/>
        <w:rPr>
          <w:sz w:val="24"/>
          <w:szCs w:val="24"/>
          <w:color w:val="auto"/>
        </w:rPr>
      </w:pPr>
    </w:p>
    <w:p>
      <w:pPr>
        <w:ind w:left="5000"/>
        <w:spacing w:after="0" w:line="161" w:lineRule="exact"/>
        <w:tabs>
          <w:tab w:leader="none" w:pos="58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82" w:lineRule="exact"/>
        <w:rPr>
          <w:sz w:val="24"/>
          <w:szCs w:val="24"/>
          <w:color w:val="auto"/>
        </w:rPr>
      </w:pPr>
    </w:p>
    <w:p>
      <w:pPr>
        <w:ind w:left="120"/>
        <w:spacing w:after="0"/>
        <w:rPr>
          <w:sz w:val="20"/>
          <w:szCs w:val="20"/>
          <w:color w:val="auto"/>
        </w:rPr>
      </w:pPr>
      <w:r>
        <w:rPr>
          <w:rFonts w:ascii="Arial" w:cs="Arial" w:eastAsia="Arial" w:hAnsi="Arial"/>
          <w:sz w:val="13"/>
          <w:szCs w:val="13"/>
          <w:color w:val="auto"/>
        </w:rPr>
        <w:t>Indicate by check mark whether the registrant is a large accelerated filer, an accelerated filer, or a non-accelerated filer. See definition of “accelerated filer and large accelerated filer” in Rule</w:t>
      </w:r>
    </w:p>
    <w:p>
      <w:pPr>
        <w:spacing w:after="0" w:line="11" w:lineRule="exact"/>
        <w:rPr>
          <w:sz w:val="24"/>
          <w:szCs w:val="24"/>
          <w:color w:val="auto"/>
        </w:rPr>
      </w:pPr>
    </w:p>
    <w:p>
      <w:pPr>
        <w:ind w:left="120"/>
        <w:spacing w:after="0"/>
        <w:rPr>
          <w:sz w:val="20"/>
          <w:szCs w:val="20"/>
          <w:color w:val="auto"/>
        </w:rPr>
      </w:pPr>
      <w:r>
        <w:rPr>
          <w:rFonts w:ascii="Arial" w:cs="Arial" w:eastAsia="Arial" w:hAnsi="Arial"/>
          <w:sz w:val="14"/>
          <w:szCs w:val="14"/>
          <w:color w:val="auto"/>
        </w:rPr>
        <w:t>12b-2 of the Exchange Act. (Check one):</w:t>
      </w:r>
    </w:p>
    <w:p>
      <w:pPr>
        <w:sectPr>
          <w:pgSz w:w="11900" w:h="16838" w:orient="portrait"/>
          <w:cols w:equalWidth="0" w:num="1">
            <w:col w:w="11120"/>
          </w:cols>
          <w:pgMar w:left="320" w:top="230" w:right="459" w:bottom="1440" w:gutter="0" w:footer="0" w:header="0"/>
        </w:sectPr>
      </w:pPr>
    </w:p>
    <w:p>
      <w:pPr>
        <w:spacing w:after="0" w:line="29" w:lineRule="exact"/>
        <w:rPr>
          <w:sz w:val="24"/>
          <w:szCs w:val="24"/>
          <w:color w:val="auto"/>
        </w:rPr>
      </w:pPr>
    </w:p>
    <w:p>
      <w:pPr>
        <w:ind w:left="1780" w:right="220" w:hanging="9017"/>
        <w:spacing w:after="0" w:line="227" w:lineRule="exact"/>
        <w:tabs>
          <w:tab w:leader="none" w:pos="17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 xml:space="preserve">☒ </w:t>
      </w:r>
      <w:r>
        <w:rPr>
          <w:rFonts w:ascii="Arial" w:cs="Arial" w:eastAsia="Arial" w:hAnsi="Arial"/>
          <w:sz w:val="14"/>
          <w:szCs w:val="14"/>
          <w:color w:val="auto"/>
        </w:rPr>
        <w:t>Accelerated Filer</w:t>
      </w:r>
      <w:r>
        <w:rPr>
          <w:rFonts w:ascii="MS PGothic" w:cs="MS PGothic" w:eastAsia="MS PGothic" w:hAnsi="MS PGothic"/>
          <w:sz w:val="14"/>
          <w:szCs w:val="14"/>
          <w:color w:val="auto"/>
        </w:rPr>
        <w:t xml:space="preserve"> ☐ </w:t>
      </w:r>
      <w:r>
        <w:rPr>
          <w:rFonts w:ascii="Arial" w:cs="Arial" w:eastAsia="Arial" w:hAnsi="Arial"/>
          <w:sz w:val="14"/>
          <w:szCs w:val="14"/>
          <w:color w:val="auto"/>
        </w:rPr>
        <w:t>Non-accelerated Filer</w:t>
      </w:r>
      <w:r>
        <w:rPr>
          <w:rFonts w:ascii="MS PGothic" w:cs="MS PGothic" w:eastAsia="MS PGothic" w:hAnsi="MS PGothic"/>
          <w:sz w:val="14"/>
          <w:szCs w:val="14"/>
          <w:color w:val="auto"/>
        </w:rPr>
        <w:t xml:space="preserve"> </w:t>
      </w:r>
      <w:r>
        <w:rPr>
          <w:rFonts w:ascii="Arial" w:cs="Arial" w:eastAsia="Arial" w:hAnsi="Arial"/>
          <w:sz w:val="14"/>
          <w:szCs w:val="14"/>
          <w:color w:val="auto"/>
        </w:rPr>
        <w:t>Emerging growth company</w:t>
      </w:r>
    </w:p>
    <w:p>
      <w:pPr>
        <w:spacing w:after="0" w:line="247" w:lineRule="exact"/>
        <w:rPr>
          <w:sz w:val="24"/>
          <w:szCs w:val="24"/>
          <w:color w:val="auto"/>
        </w:rPr>
      </w:pPr>
    </w:p>
    <w:p>
      <w:pPr>
        <w:ind w:left="120" w:right="6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8" w:lineRule="exact"/>
        <w:rPr>
          <w:sz w:val="24"/>
          <w:szCs w:val="24"/>
          <w:color w:val="auto"/>
        </w:rPr>
      </w:pPr>
    </w:p>
    <w:p>
      <w:pPr>
        <w:ind w:left="120" w:right="10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41" w:lineRule="exact"/>
        <w:rPr>
          <w:sz w:val="24"/>
          <w:szCs w:val="24"/>
          <w:color w:val="auto"/>
        </w:rPr>
      </w:pPr>
    </w:p>
    <w:tbl>
      <w:tblPr>
        <w:tblLayout w:type="fixed"/>
        <w:tblInd w:w="120" w:type="dxa"/>
        <w:tblCellMar>
          <w:top w:w="0" w:type="dxa"/>
          <w:left w:w="0" w:type="dxa"/>
          <w:bottom w:w="0" w:type="dxa"/>
          <w:right w:w="0" w:type="dxa"/>
        </w:tblCellMar>
      </w:tblPr>
      <w:tr>
        <w:trPr>
          <w:trHeight w:val="181"/>
        </w:trPr>
        <w:tc>
          <w:tcPr>
            <w:tcW w:w="1640" w:type="dxa"/>
            <w:vAlign w:val="bottom"/>
          </w:tcPr>
          <w:p>
            <w:pPr>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4100" w:type="dxa"/>
            <w:vAlign w:val="bottom"/>
          </w:tcPr>
          <w:p>
            <w:pPr>
              <w:ind w:left="740"/>
              <w:spacing w:after="0"/>
              <w:rPr>
                <w:sz w:val="20"/>
                <w:szCs w:val="20"/>
                <w:color w:val="auto"/>
              </w:rPr>
            </w:pPr>
            <w:r>
              <w:rPr>
                <w:rFonts w:ascii="Arial" w:cs="Arial" w:eastAsia="Arial" w:hAnsi="Arial"/>
                <w:sz w:val="14"/>
                <w:szCs w:val="14"/>
                <w:color w:val="auto"/>
              </w:rPr>
              <w:t>International Financial Reporting Standards as issued</w:t>
            </w:r>
          </w:p>
        </w:tc>
        <w:tc>
          <w:tcPr>
            <w:tcW w:w="5060" w:type="dxa"/>
            <w:vAlign w:val="bottom"/>
          </w:tcPr>
          <w:p>
            <w:pPr>
              <w:ind w:left="4740"/>
              <w:spacing w:after="0"/>
              <w:rPr>
                <w:sz w:val="20"/>
                <w:szCs w:val="20"/>
                <w:color w:val="auto"/>
              </w:rPr>
            </w:pPr>
            <w:r>
              <w:rPr>
                <w:rFonts w:ascii="Arial" w:cs="Arial" w:eastAsia="Arial" w:hAnsi="Arial"/>
                <w:sz w:val="14"/>
                <w:szCs w:val="14"/>
                <w:color w:val="auto"/>
                <w:w w:val="85"/>
              </w:rPr>
              <w:t>Other</w:t>
            </w:r>
          </w:p>
        </w:tc>
      </w:tr>
      <w:tr>
        <w:trPr>
          <w:trHeight w:val="226"/>
        </w:trPr>
        <w:tc>
          <w:tcPr>
            <w:tcW w:w="1640" w:type="dxa"/>
            <w:vAlign w:val="bottom"/>
          </w:tcPr>
          <w:p>
            <w:pPr>
              <w:spacing w:after="0"/>
              <w:rPr>
                <w:sz w:val="19"/>
                <w:szCs w:val="19"/>
                <w:color w:val="auto"/>
              </w:rPr>
            </w:pPr>
          </w:p>
        </w:tc>
        <w:tc>
          <w:tcPr>
            <w:tcW w:w="4100" w:type="dxa"/>
            <w:vAlign w:val="bottom"/>
          </w:tcPr>
          <w:p>
            <w:pPr>
              <w:ind w:left="740"/>
              <w:spacing w:after="0"/>
              <w:rPr>
                <w:sz w:val="20"/>
                <w:szCs w:val="20"/>
                <w:color w:val="auto"/>
              </w:rPr>
            </w:pPr>
            <w:r>
              <w:rPr>
                <w:rFonts w:ascii="Arial" w:cs="Arial" w:eastAsia="Arial" w:hAnsi="Arial"/>
                <w:sz w:val="14"/>
                <w:szCs w:val="14"/>
                <w:color w:val="auto"/>
              </w:rPr>
              <w:t>by the International Accounting Standards Board</w:t>
            </w:r>
          </w:p>
        </w:tc>
        <w:tc>
          <w:tcPr>
            <w:tcW w:w="5060" w:type="dxa"/>
            <w:vAlign w:val="bottom"/>
          </w:tcPr>
          <w:p>
            <w:pPr>
              <w:ind w:left="280"/>
              <w:spacing w:after="0" w:line="141" w:lineRule="exact"/>
              <w:rPr>
                <w:sz w:val="20"/>
                <w:szCs w:val="20"/>
                <w:color w:val="auto"/>
              </w:rPr>
            </w:pPr>
            <w:r>
              <w:rPr>
                <w:rFonts w:ascii="MS PGothic" w:cs="MS PGothic" w:eastAsia="MS PGothic" w:hAnsi="MS PGothic"/>
                <w:sz w:val="14"/>
                <w:szCs w:val="14"/>
                <w:color w:val="auto"/>
              </w:rPr>
              <w:t>☐</w:t>
            </w:r>
          </w:p>
        </w:tc>
      </w:tr>
    </w:tbl>
    <w:p>
      <w:pPr>
        <w:spacing w:after="0" w:line="12" w:lineRule="exact"/>
        <w:rPr>
          <w:sz w:val="24"/>
          <w:szCs w:val="24"/>
          <w:color w:val="auto"/>
        </w:rPr>
      </w:pPr>
    </w:p>
    <w:p>
      <w:pPr>
        <w:ind w:left="120"/>
        <w:spacing w:after="0"/>
        <w:rPr>
          <w:sz w:val="20"/>
          <w:szCs w:val="20"/>
          <w:color w:val="auto"/>
        </w:rPr>
      </w:pPr>
      <w:r>
        <w:rPr>
          <w:rFonts w:ascii="Arial" w:cs="Arial" w:eastAsia="Arial" w:hAnsi="Arial"/>
          <w:sz w:val="14"/>
          <w:szCs w:val="14"/>
          <w:color w:val="auto"/>
        </w:rPr>
        <w:t>If this is an annual report, indicate by check mark whether the registrant is a shell company (as defined in Rule 12b-2 of the Exchange Act).</w:t>
      </w:r>
    </w:p>
    <w:p>
      <w:pPr>
        <w:spacing w:after="0" w:line="28" w:lineRule="exact"/>
        <w:rPr>
          <w:sz w:val="24"/>
          <w:szCs w:val="24"/>
          <w:color w:val="auto"/>
        </w:rPr>
      </w:pPr>
    </w:p>
    <w:p>
      <w:pPr>
        <w:ind w:left="5000"/>
        <w:spacing w:after="0" w:line="161" w:lineRule="exact"/>
        <w:tabs>
          <w:tab w:leader="none" w:pos="584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1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744" w:lineRule="exact"/>
        <w:rPr>
          <w:sz w:val="24"/>
          <w:szCs w:val="24"/>
          <w:color w:val="auto"/>
        </w:rPr>
      </w:pPr>
    </w:p>
    <w:p>
      <w:pPr>
        <w:sectPr>
          <w:pgSz w:w="11900" w:h="16838" w:orient="portrait"/>
          <w:cols w:equalWidth="0" w:num="2">
            <w:col w:w="10920" w:space="80"/>
            <w:col w:w="120"/>
          </w:cols>
          <w:pgMar w:left="320" w:top="230" w:right="459" w:bottom="1440" w:gutter="0" w:footer="0" w:header="0"/>
          <w:type w:val="continuous"/>
        </w:sectPr>
      </w:pPr>
    </w:p>
    <w:p>
      <w:pPr>
        <w:ind w:left="540" w:right="440" w:hanging="424"/>
        <w:spacing w:after="0" w:line="253"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163,557,588 shares held in treasury. Does not include 2,885,444 ordinary shares reserved for issuance upon exercise of stock options and vesting of restricted stock units granted under our stock option plan or by companies we have acquired.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53340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96520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230"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52"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40" w:type="dxa"/>
            <w:vAlign w:val="bottom"/>
            <w:vMerge w:val="restart"/>
          </w:tcPr>
          <w:p>
            <w:pPr>
              <w:spacing w:after="0"/>
              <w:rPr>
                <w:sz w:val="20"/>
                <w:szCs w:val="20"/>
                <w:color w:val="auto"/>
              </w:rPr>
            </w:pPr>
            <w:r>
              <w:rPr>
                <w:rFonts w:ascii="Arial" w:cs="Arial" w:eastAsia="Arial" w:hAnsi="Arial"/>
                <w:sz w:val="18"/>
                <w:szCs w:val="18"/>
                <w:color w:val="0000EE"/>
                <w:w w:val="89"/>
              </w:rPr>
              <w:t>PART I</w:t>
            </w:r>
          </w:p>
        </w:tc>
        <w:tc>
          <w:tcPr>
            <w:tcW w:w="60" w:type="dxa"/>
            <w:vAlign w:val="bottom"/>
            <w:gridSpan w:val="2"/>
            <w:vMerge w:val="restart"/>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61"/>
        </w:trPr>
        <w:tc>
          <w:tcPr>
            <w:tcW w:w="540" w:type="dxa"/>
            <w:vAlign w:val="bottom"/>
            <w:tcBorders>
              <w:bottom w:val="single" w:sz="8" w:color="0000EE"/>
            </w:tcBorders>
            <w:vMerge w:val="continue"/>
          </w:tcPr>
          <w:p>
            <w:pPr>
              <w:spacing w:after="0"/>
              <w:rPr>
                <w:sz w:val="13"/>
                <w:szCs w:val="13"/>
                <w:color w:val="auto"/>
              </w:rPr>
            </w:pPr>
          </w:p>
        </w:tc>
        <w:tc>
          <w:tcPr>
            <w:tcW w:w="6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1.</w:t>
            </w:r>
          </w:p>
        </w:tc>
        <w:tc>
          <w:tcPr>
            <w:tcW w:w="9460" w:type="dxa"/>
            <w:vAlign w:val="bottom"/>
            <w:gridSpan w:val="28"/>
          </w:tcPr>
          <w:p>
            <w:pPr>
              <w:spacing w:after="0"/>
              <w:rPr>
                <w:sz w:val="20"/>
                <w:szCs w:val="20"/>
                <w:color w:val="auto"/>
              </w:rPr>
            </w:pPr>
            <w:r>
              <w:rPr>
                <w:rFonts w:ascii="Arial" w:cs="Arial" w:eastAsia="Arial" w:hAnsi="Arial"/>
                <w:sz w:val="18"/>
                <w:szCs w:val="18"/>
                <w:color w:val="0000EE"/>
              </w:rPr>
              <w:t>IDENTITY OF DIRECTORS, SENIOR MANAGEMENT AND ADVISERS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2.</w:t>
            </w:r>
          </w:p>
        </w:tc>
        <w:tc>
          <w:tcPr>
            <w:tcW w:w="4020" w:type="dxa"/>
            <w:vAlign w:val="bottom"/>
            <w:tcBorders>
              <w:top w:val="single" w:sz="8" w:color="0000EE"/>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95"/>
              </w:rPr>
              <w:t>OFFER STATISTICS AND EXPECTED TIMETABLE</w:t>
            </w:r>
          </w:p>
        </w:tc>
        <w:tc>
          <w:tcPr>
            <w:tcW w:w="1560" w:type="dxa"/>
            <w:vAlign w:val="bottom"/>
            <w:tcBorders>
              <w:top w:val="single" w:sz="8" w:color="0000EE"/>
            </w:tcBorders>
            <w:gridSpan w:val="7"/>
          </w:tcPr>
          <w:p>
            <w:pPr>
              <w:spacing w:after="0"/>
              <w:rPr>
                <w:sz w:val="17"/>
                <w:szCs w:val="17"/>
                <w:color w:val="auto"/>
              </w:rPr>
            </w:pPr>
          </w:p>
        </w:tc>
        <w:tc>
          <w:tcPr>
            <w:tcW w:w="3880" w:type="dxa"/>
            <w:vAlign w:val="bottom"/>
            <w:gridSpan w:val="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3.</w:t>
            </w:r>
          </w:p>
        </w:tc>
        <w:tc>
          <w:tcPr>
            <w:tcW w:w="9460" w:type="dxa"/>
            <w:vAlign w:val="bottom"/>
            <w:gridSpan w:val="28"/>
          </w:tcPr>
          <w:p>
            <w:pPr>
              <w:spacing w:after="0" w:line="196" w:lineRule="exact"/>
              <w:rPr>
                <w:sz w:val="20"/>
                <w:szCs w:val="20"/>
                <w:color w:val="auto"/>
              </w:rPr>
            </w:pPr>
            <w:r>
              <w:rPr>
                <w:rFonts w:ascii="Arial" w:cs="Arial" w:eastAsia="Arial" w:hAnsi="Arial"/>
                <w:sz w:val="18"/>
                <w:szCs w:val="18"/>
                <w:color w:val="0000EE"/>
              </w:rPr>
              <w:t>KEY INFORMATION</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w:t>
            </w:r>
          </w:p>
        </w:tc>
        <w:tc>
          <w:tcPr>
            <w:tcW w:w="286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color w:val="0000EE"/>
                <w:w w:val="96"/>
              </w:rPr>
              <w:t>INFORMATION ON THE COMPANY</w:t>
            </w:r>
          </w:p>
        </w:tc>
        <w:tc>
          <w:tcPr>
            <w:tcW w:w="6600" w:type="dxa"/>
            <w:vAlign w:val="bottom"/>
            <w:gridSpan w:val="1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4A.</w:t>
            </w:r>
          </w:p>
        </w:tc>
        <w:tc>
          <w:tcPr>
            <w:tcW w:w="9460" w:type="dxa"/>
            <w:vAlign w:val="bottom"/>
            <w:gridSpan w:val="28"/>
          </w:tcPr>
          <w:p>
            <w:pPr>
              <w:spacing w:after="0" w:line="196" w:lineRule="exact"/>
              <w:rPr>
                <w:sz w:val="20"/>
                <w:szCs w:val="20"/>
                <w:color w:val="auto"/>
              </w:rPr>
            </w:pPr>
            <w:r>
              <w:rPr>
                <w:rFonts w:ascii="Arial" w:cs="Arial" w:eastAsia="Arial" w:hAnsi="Arial"/>
                <w:sz w:val="18"/>
                <w:szCs w:val="18"/>
                <w:color w:val="0000EE"/>
              </w:rPr>
              <w:t>UNRESOLVED STAFF COMMENTS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5.</w:t>
            </w:r>
          </w:p>
        </w:tc>
        <w:tc>
          <w:tcPr>
            <w:tcW w:w="466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96"/>
              </w:rPr>
              <w:t>OPERATING AND FINANCIAL REVIEW AND PROSPECTS</w:t>
            </w:r>
          </w:p>
        </w:tc>
        <w:tc>
          <w:tcPr>
            <w:tcW w:w="480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6.</w:t>
            </w:r>
          </w:p>
        </w:tc>
        <w:tc>
          <w:tcPr>
            <w:tcW w:w="4620" w:type="dxa"/>
            <w:vAlign w:val="bottom"/>
            <w:tcBorders>
              <w:bottom w:val="single" w:sz="8" w:color="0000EE"/>
            </w:tcBorders>
            <w:gridSpan w:val="16"/>
          </w:tcPr>
          <w:p>
            <w:pPr>
              <w:spacing w:after="0" w:line="196" w:lineRule="exact"/>
              <w:rPr>
                <w:sz w:val="20"/>
                <w:szCs w:val="20"/>
                <w:color w:val="auto"/>
              </w:rPr>
            </w:pPr>
            <w:r>
              <w:rPr>
                <w:rFonts w:ascii="Arial" w:cs="Arial" w:eastAsia="Arial" w:hAnsi="Arial"/>
                <w:sz w:val="18"/>
                <w:szCs w:val="18"/>
                <w:color w:val="0000EE"/>
                <w:w w:val="96"/>
              </w:rPr>
              <w:t>DIRECTORS, SENIOR MANAGEMENT AND EMPLOYEES</w:t>
            </w:r>
          </w:p>
        </w:tc>
        <w:tc>
          <w:tcPr>
            <w:tcW w:w="484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7.</w:t>
            </w:r>
          </w:p>
        </w:tc>
        <w:tc>
          <w:tcPr>
            <w:tcW w:w="9460" w:type="dxa"/>
            <w:vAlign w:val="bottom"/>
            <w:gridSpan w:val="28"/>
          </w:tcPr>
          <w:p>
            <w:pPr>
              <w:spacing w:after="0" w:line="196" w:lineRule="exact"/>
              <w:rPr>
                <w:sz w:val="20"/>
                <w:szCs w:val="20"/>
                <w:color w:val="auto"/>
              </w:rPr>
            </w:pPr>
            <w:r>
              <w:rPr>
                <w:rFonts w:ascii="Arial" w:cs="Arial" w:eastAsia="Arial" w:hAnsi="Arial"/>
                <w:sz w:val="18"/>
                <w:szCs w:val="18"/>
                <w:color w:val="0000EE"/>
              </w:rPr>
              <w:t>MAJOR SHAREHOLDERS AND RELATED PARTY TRANSACTIONS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8.</w:t>
            </w:r>
          </w:p>
        </w:tc>
        <w:tc>
          <w:tcPr>
            <w:tcW w:w="5360" w:type="dxa"/>
            <w:vAlign w:val="bottom"/>
            <w:tcBorders>
              <w:top w:val="single" w:sz="8" w:color="0000EE"/>
            </w:tcBorders>
            <w:gridSpan w:val="20"/>
          </w:tcPr>
          <w:p>
            <w:pPr>
              <w:spacing w:after="0" w:line="196" w:lineRule="exact"/>
              <w:rPr>
                <w:sz w:val="20"/>
                <w:szCs w:val="20"/>
                <w:color w:val="auto"/>
              </w:rPr>
            </w:pPr>
            <w:r>
              <w:rPr>
                <w:rFonts w:ascii="Arial" w:cs="Arial" w:eastAsia="Arial" w:hAnsi="Arial"/>
                <w:sz w:val="18"/>
                <w:szCs w:val="18"/>
                <w:color w:val="0000EE"/>
              </w:rPr>
              <w:t>FINANCIAL INFORMATION</w:t>
            </w:r>
          </w:p>
        </w:tc>
        <w:tc>
          <w:tcPr>
            <w:tcW w:w="410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9.</w:t>
            </w:r>
          </w:p>
        </w:tc>
        <w:tc>
          <w:tcPr>
            <w:tcW w:w="224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THE OFFER AND LISTING</w:t>
            </w:r>
          </w:p>
        </w:tc>
        <w:tc>
          <w:tcPr>
            <w:tcW w:w="7220" w:type="dxa"/>
            <w:vAlign w:val="bottom"/>
            <w:gridSpan w:val="2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10.</w:t>
            </w:r>
          </w:p>
        </w:tc>
        <w:tc>
          <w:tcPr>
            <w:tcW w:w="240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9"/>
              </w:rPr>
              <w:t>ADDITIONAL INFORMATION</w:t>
            </w:r>
          </w:p>
        </w:tc>
        <w:tc>
          <w:tcPr>
            <w:tcW w:w="7060" w:type="dxa"/>
            <w:vAlign w:val="bottom"/>
            <w:gridSpan w:val="1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11.</w:t>
            </w:r>
          </w:p>
        </w:tc>
        <w:tc>
          <w:tcPr>
            <w:tcW w:w="9460" w:type="dxa"/>
            <w:vAlign w:val="bottom"/>
            <w:gridSpan w:val="28"/>
          </w:tcPr>
          <w:p>
            <w:pPr>
              <w:spacing w:after="0" w:line="196" w:lineRule="exact"/>
              <w:rPr>
                <w:sz w:val="20"/>
                <w:szCs w:val="20"/>
                <w:color w:val="auto"/>
              </w:rPr>
            </w:pPr>
            <w:r>
              <w:rPr>
                <w:rFonts w:ascii="Arial" w:cs="Arial" w:eastAsia="Arial" w:hAnsi="Arial"/>
                <w:sz w:val="18"/>
                <w:szCs w:val="18"/>
                <w:color w:val="0000EE"/>
              </w:rPr>
              <w:t>QUANTITATIVE AND QUALITATIVE DISCLOSURES ABOUT MARKET RISK</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12.</w:t>
            </w:r>
          </w:p>
        </w:tc>
        <w:tc>
          <w:tcPr>
            <w:tcW w:w="6120" w:type="dxa"/>
            <w:vAlign w:val="bottom"/>
            <w:tcBorders>
              <w:top w:val="single" w:sz="8" w:color="0000EE"/>
            </w:tcBorders>
            <w:gridSpan w:val="24"/>
          </w:tcPr>
          <w:p>
            <w:pPr>
              <w:spacing w:after="0" w:line="196" w:lineRule="exact"/>
              <w:rPr>
                <w:sz w:val="20"/>
                <w:szCs w:val="20"/>
                <w:color w:val="auto"/>
              </w:rPr>
            </w:pPr>
            <w:r>
              <w:rPr>
                <w:rFonts w:ascii="Arial" w:cs="Arial" w:eastAsia="Arial" w:hAnsi="Arial"/>
                <w:sz w:val="18"/>
                <w:szCs w:val="18"/>
                <w:color w:val="0000EE"/>
              </w:rPr>
              <w:t>DESCRIPTION OF SECURITIES OTHER THAN EQUITY SECURITIES</w:t>
            </w:r>
          </w:p>
        </w:tc>
        <w:tc>
          <w:tcPr>
            <w:tcW w:w="334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600" w:type="dxa"/>
            <w:vAlign w:val="bottom"/>
            <w:gridSpan w:val="3"/>
          </w:tcPr>
          <w:p>
            <w:pPr>
              <w:jc w:val="right"/>
              <w:spacing w:after="0"/>
              <w:rPr>
                <w:sz w:val="20"/>
                <w:szCs w:val="20"/>
                <w:color w:val="auto"/>
              </w:rPr>
            </w:pPr>
            <w:r>
              <w:rPr>
                <w:rFonts w:ascii="Arial" w:cs="Arial" w:eastAsia="Arial" w:hAnsi="Arial"/>
                <w:sz w:val="18"/>
                <w:szCs w:val="18"/>
                <w:color w:val="0000EE"/>
                <w:w w:val="91"/>
              </w:rPr>
              <w:t>PART II</w:t>
            </w: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5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13.</w:t>
            </w:r>
          </w:p>
        </w:tc>
        <w:tc>
          <w:tcPr>
            <w:tcW w:w="9460" w:type="dxa"/>
            <w:vAlign w:val="bottom"/>
            <w:gridSpan w:val="28"/>
          </w:tcPr>
          <w:p>
            <w:pPr>
              <w:spacing w:after="0"/>
              <w:rPr>
                <w:sz w:val="20"/>
                <w:szCs w:val="20"/>
                <w:color w:val="auto"/>
              </w:rPr>
            </w:pPr>
            <w:r>
              <w:rPr>
                <w:rFonts w:ascii="Arial" w:cs="Arial" w:eastAsia="Arial" w:hAnsi="Arial"/>
                <w:sz w:val="18"/>
                <w:szCs w:val="18"/>
                <w:color w:val="0000EE"/>
              </w:rPr>
              <w:t>DEFAULTS, DIVIDEND ARREARAGES AND DELINQUENCIES</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14.</w:t>
            </w:r>
          </w:p>
        </w:tc>
        <w:tc>
          <w:tcPr>
            <w:tcW w:w="9460" w:type="dxa"/>
            <w:vAlign w:val="bottom"/>
            <w:gridSpan w:val="28"/>
          </w:tcPr>
          <w:p>
            <w:pPr>
              <w:spacing w:after="0" w:line="196" w:lineRule="exact"/>
              <w:rPr>
                <w:sz w:val="20"/>
                <w:szCs w:val="20"/>
                <w:color w:val="auto"/>
              </w:rPr>
            </w:pPr>
            <w:r>
              <w:rPr>
                <w:rFonts w:ascii="Arial" w:cs="Arial" w:eastAsia="Arial" w:hAnsi="Arial"/>
                <w:sz w:val="18"/>
                <w:szCs w:val="18"/>
                <w:color w:val="0000EE"/>
              </w:rPr>
              <w:t>MATERIAL MODIFICATIONS TO THE RIGHTS OF SECURITY HOLDERS AND USE OF PROCEEDS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15.</w:t>
            </w:r>
          </w:p>
        </w:tc>
        <w:tc>
          <w:tcPr>
            <w:tcW w:w="7840" w:type="dxa"/>
            <w:vAlign w:val="bottom"/>
            <w:tcBorders>
              <w:top w:val="single" w:sz="8" w:color="0000EE"/>
            </w:tcBorders>
            <w:gridSpan w:val="27"/>
          </w:tcPr>
          <w:p>
            <w:pPr>
              <w:spacing w:after="0" w:line="196" w:lineRule="exact"/>
              <w:rPr>
                <w:sz w:val="20"/>
                <w:szCs w:val="20"/>
                <w:color w:val="auto"/>
              </w:rPr>
            </w:pPr>
            <w:r>
              <w:rPr>
                <w:rFonts w:ascii="Arial" w:cs="Arial" w:eastAsia="Arial" w:hAnsi="Arial"/>
                <w:sz w:val="18"/>
                <w:szCs w:val="18"/>
                <w:color w:val="0000EE"/>
              </w:rPr>
              <w:t>CONTROLS AND PROCEDURES</w:t>
            </w:r>
          </w:p>
        </w:tc>
        <w:tc>
          <w:tcPr>
            <w:tcW w:w="162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16A.</w:t>
            </w:r>
          </w:p>
        </w:tc>
        <w:tc>
          <w:tcPr>
            <w:tcW w:w="3400" w:type="dxa"/>
            <w:vAlign w:val="bottom"/>
            <w:tcBorders>
              <w:bottom w:val="single" w:sz="8" w:color="0000EE"/>
            </w:tcBorders>
            <w:gridSpan w:val="13"/>
          </w:tcPr>
          <w:p>
            <w:pPr>
              <w:spacing w:after="0" w:line="196" w:lineRule="exact"/>
              <w:rPr>
                <w:sz w:val="20"/>
                <w:szCs w:val="20"/>
                <w:color w:val="auto"/>
              </w:rPr>
            </w:pPr>
            <w:r>
              <w:rPr>
                <w:rFonts w:ascii="Arial" w:cs="Arial" w:eastAsia="Arial" w:hAnsi="Arial"/>
                <w:sz w:val="18"/>
                <w:szCs w:val="18"/>
                <w:color w:val="0000EE"/>
                <w:w w:val="98"/>
              </w:rPr>
              <w:t>AUDIT COMMITTEE FINANCIAL EXPERT</w:t>
            </w:r>
          </w:p>
        </w:tc>
        <w:tc>
          <w:tcPr>
            <w:tcW w:w="606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16B.</w:t>
            </w:r>
          </w:p>
        </w:tc>
        <w:tc>
          <w:tcPr>
            <w:tcW w:w="1440" w:type="dxa"/>
            <w:vAlign w:val="bottom"/>
            <w:tcBorders>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92"/>
              </w:rPr>
              <w:t>CODE OF ETHICS</w:t>
            </w:r>
          </w:p>
        </w:tc>
        <w:tc>
          <w:tcPr>
            <w:tcW w:w="8020" w:type="dxa"/>
            <w:vAlign w:val="bottom"/>
            <w:gridSpan w:val="26"/>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16C.</w:t>
            </w:r>
          </w:p>
        </w:tc>
        <w:tc>
          <w:tcPr>
            <w:tcW w:w="39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94"/>
              </w:rPr>
              <w:t>PRINCIPAL ACCOUNTANT FEES AND SERVICES</w:t>
            </w:r>
          </w:p>
        </w:tc>
        <w:tc>
          <w:tcPr>
            <w:tcW w:w="5500" w:type="dxa"/>
            <w:vAlign w:val="bottom"/>
            <w:gridSpan w:val="1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16D.</w:t>
            </w:r>
          </w:p>
        </w:tc>
        <w:tc>
          <w:tcPr>
            <w:tcW w:w="9460" w:type="dxa"/>
            <w:vAlign w:val="bottom"/>
            <w:gridSpan w:val="28"/>
          </w:tcPr>
          <w:p>
            <w:pPr>
              <w:spacing w:after="0" w:line="196" w:lineRule="exact"/>
              <w:rPr>
                <w:sz w:val="20"/>
                <w:szCs w:val="20"/>
                <w:color w:val="auto"/>
              </w:rPr>
            </w:pPr>
            <w:r>
              <w:rPr>
                <w:rFonts w:ascii="Arial" w:cs="Arial" w:eastAsia="Arial" w:hAnsi="Arial"/>
                <w:sz w:val="18"/>
                <w:szCs w:val="18"/>
                <w:color w:val="0000EE"/>
              </w:rPr>
              <w:t>EXEMPTION FROM THE LISTING STANDARDS FOR AUDIT COMMITTEES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360" w:type="dxa"/>
            <w:vAlign w:val="bottom"/>
            <w:gridSpan w:val="10"/>
            <w:shd w:val="clear" w:color="auto" w:fill="0000EE"/>
          </w:tcPr>
          <w:p>
            <w:pPr>
              <w:spacing w:after="0" w:line="20" w:lineRule="exact"/>
              <w:rPr>
                <w:sz w:val="1"/>
                <w:szCs w:val="1"/>
                <w:color w:val="auto"/>
              </w:rPr>
            </w:pPr>
          </w:p>
        </w:tc>
        <w:tc>
          <w:tcPr>
            <w:tcW w:w="1360" w:type="dxa"/>
            <w:vAlign w:val="bottom"/>
            <w:gridSpan w:val="5"/>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16E.</w:t>
            </w:r>
          </w:p>
        </w:tc>
        <w:tc>
          <w:tcPr>
            <w:tcW w:w="9460" w:type="dxa"/>
            <w:vAlign w:val="bottom"/>
            <w:gridSpan w:val="28"/>
          </w:tcPr>
          <w:p>
            <w:pPr>
              <w:spacing w:after="0" w:line="196" w:lineRule="exact"/>
              <w:rPr>
                <w:sz w:val="20"/>
                <w:szCs w:val="20"/>
                <w:color w:val="auto"/>
              </w:rPr>
            </w:pPr>
            <w:r>
              <w:rPr>
                <w:rFonts w:ascii="Arial" w:cs="Arial" w:eastAsia="Arial" w:hAnsi="Arial"/>
                <w:sz w:val="18"/>
                <w:szCs w:val="18"/>
                <w:color w:val="0000EE"/>
              </w:rPr>
              <w:t>PURCHASES OF EQUITY SECURITIES BY THE ISSUER AND AFFILIATED PURCHASERS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16F.</w:t>
            </w:r>
          </w:p>
        </w:tc>
        <w:tc>
          <w:tcPr>
            <w:tcW w:w="4680" w:type="dxa"/>
            <w:vAlign w:val="bottom"/>
            <w:tcBorders>
              <w:top w:val="single" w:sz="8" w:color="0000EE"/>
              <w:bottom w:val="single" w:sz="8" w:color="0000EE"/>
            </w:tcBorders>
            <w:gridSpan w:val="18"/>
          </w:tcPr>
          <w:p>
            <w:pPr>
              <w:spacing w:after="0" w:line="196" w:lineRule="exact"/>
              <w:rPr>
                <w:sz w:val="20"/>
                <w:szCs w:val="20"/>
                <w:color w:val="auto"/>
              </w:rPr>
            </w:pPr>
            <w:r>
              <w:rPr>
                <w:rFonts w:ascii="Arial" w:cs="Arial" w:eastAsia="Arial" w:hAnsi="Arial"/>
                <w:sz w:val="18"/>
                <w:szCs w:val="18"/>
                <w:color w:val="0000EE"/>
                <w:w w:val="96"/>
              </w:rPr>
              <w:t>CHANGE IN REGISTRANT’S CERTIFYING ACCOUNTANT</w:t>
            </w:r>
          </w:p>
        </w:tc>
        <w:tc>
          <w:tcPr>
            <w:tcW w:w="2460" w:type="dxa"/>
            <w:vAlign w:val="bottom"/>
            <w:tcBorders>
              <w:top w:val="single" w:sz="8" w:color="0000EE"/>
            </w:tcBorders>
            <w:gridSpan w:val="8"/>
          </w:tcPr>
          <w:p>
            <w:pPr>
              <w:spacing w:after="0"/>
              <w:rPr>
                <w:sz w:val="17"/>
                <w:szCs w:val="17"/>
                <w:color w:val="auto"/>
              </w:rPr>
            </w:pPr>
          </w:p>
        </w:tc>
        <w:tc>
          <w:tcPr>
            <w:tcW w:w="232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16G.</w:t>
            </w:r>
          </w:p>
        </w:tc>
        <w:tc>
          <w:tcPr>
            <w:tcW w:w="9460" w:type="dxa"/>
            <w:vAlign w:val="bottom"/>
            <w:gridSpan w:val="28"/>
          </w:tcPr>
          <w:p>
            <w:pPr>
              <w:spacing w:after="0" w:line="196" w:lineRule="exact"/>
              <w:rPr>
                <w:sz w:val="20"/>
                <w:szCs w:val="20"/>
                <w:color w:val="auto"/>
              </w:rPr>
            </w:pPr>
            <w:r>
              <w:rPr>
                <w:rFonts w:ascii="Arial" w:cs="Arial" w:eastAsia="Arial" w:hAnsi="Arial"/>
                <w:sz w:val="18"/>
                <w:szCs w:val="18"/>
                <w:color w:val="0000EE"/>
              </w:rPr>
              <w:t>CORPORATE GOVERNANCE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20" w:type="dxa"/>
            <w:vAlign w:val="bottom"/>
            <w:gridSpan w:val="17"/>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16H.</w:t>
            </w:r>
          </w:p>
        </w:tc>
        <w:tc>
          <w:tcPr>
            <w:tcW w:w="9460" w:type="dxa"/>
            <w:vAlign w:val="bottom"/>
            <w:gridSpan w:val="28"/>
          </w:tcPr>
          <w:p>
            <w:pPr>
              <w:spacing w:after="0" w:line="196" w:lineRule="exact"/>
              <w:rPr>
                <w:sz w:val="20"/>
                <w:szCs w:val="20"/>
                <w:color w:val="auto"/>
              </w:rPr>
            </w:pPr>
            <w:r>
              <w:rPr>
                <w:rFonts w:ascii="Arial" w:cs="Arial" w:eastAsia="Arial" w:hAnsi="Arial"/>
                <w:sz w:val="18"/>
                <w:szCs w:val="18"/>
                <w:color w:val="0000EE"/>
              </w:rPr>
              <w:t>MINE SAFETY DISCLOSURE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
        </w:trPr>
        <w:tc>
          <w:tcPr>
            <w:tcW w:w="6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420" w:type="dxa"/>
            <w:vAlign w:val="bottom"/>
            <w:gridSpan w:val="17"/>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16I.</w:t>
            </w:r>
          </w:p>
        </w:tc>
        <w:tc>
          <w:tcPr>
            <w:tcW w:w="9460" w:type="dxa"/>
            <w:vAlign w:val="bottom"/>
            <w:gridSpan w:val="28"/>
          </w:tcPr>
          <w:p>
            <w:pPr>
              <w:spacing w:after="0" w:line="196" w:lineRule="exact"/>
              <w:rPr>
                <w:sz w:val="20"/>
                <w:szCs w:val="20"/>
                <w:color w:val="auto"/>
              </w:rPr>
            </w:pPr>
            <w:r>
              <w:rPr>
                <w:rFonts w:ascii="Arial" w:cs="Arial" w:eastAsia="Arial" w:hAnsi="Arial"/>
                <w:sz w:val="18"/>
                <w:szCs w:val="18"/>
                <w:color w:val="0000EE"/>
              </w:rPr>
              <w:t>DISCLOSURE REGARDING FOREIGN JURISDICTION THAT PREVENT INSPECTION</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304"/>
        </w:trPr>
        <w:tc>
          <w:tcPr>
            <w:tcW w:w="6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4"/>
              </w:rPr>
              <w:t>PART III</w:t>
            </w:r>
          </w:p>
        </w:tc>
        <w:tc>
          <w:tcPr>
            <w:tcW w:w="52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304"/>
        </w:trPr>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rPr>
                <w:sz w:val="20"/>
                <w:szCs w:val="20"/>
                <w:color w:val="auto"/>
              </w:rPr>
            </w:pPr>
            <w:r>
              <w:rPr>
                <w:rFonts w:ascii="Arial" w:cs="Arial" w:eastAsia="Arial" w:hAnsi="Arial"/>
                <w:sz w:val="18"/>
                <w:szCs w:val="18"/>
                <w:color w:val="auto"/>
              </w:rPr>
              <w:t>17.</w:t>
            </w:r>
          </w:p>
        </w:tc>
        <w:tc>
          <w:tcPr>
            <w:tcW w:w="21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7"/>
              </w:rPr>
              <w:t>FINANCIAL STATEMENTS</w:t>
            </w:r>
          </w:p>
        </w:tc>
        <w:tc>
          <w:tcPr>
            <w:tcW w:w="7300" w:type="dxa"/>
            <w:vAlign w:val="bottom"/>
            <w:gridSpan w:val="2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18.</w:t>
            </w:r>
          </w:p>
        </w:tc>
        <w:tc>
          <w:tcPr>
            <w:tcW w:w="9460" w:type="dxa"/>
            <w:vAlign w:val="bottom"/>
            <w:gridSpan w:val="28"/>
          </w:tcPr>
          <w:p>
            <w:pPr>
              <w:spacing w:after="0" w:line="196" w:lineRule="exact"/>
              <w:rPr>
                <w:sz w:val="20"/>
                <w:szCs w:val="20"/>
                <w:color w:val="auto"/>
              </w:rPr>
            </w:pPr>
            <w:r>
              <w:rPr>
                <w:rFonts w:ascii="Arial" w:cs="Arial" w:eastAsia="Arial" w:hAnsi="Arial"/>
                <w:sz w:val="18"/>
                <w:szCs w:val="18"/>
                <w:color w:val="0000EE"/>
              </w:rPr>
              <w:t>FINANCIAL STATEMENTS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60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ITEM</w:t>
            </w:r>
          </w:p>
        </w:tc>
        <w:tc>
          <w:tcPr>
            <w:tcW w:w="5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19.</w:t>
            </w:r>
          </w:p>
        </w:tc>
        <w:tc>
          <w:tcPr>
            <w:tcW w:w="82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97"/>
              </w:rPr>
              <w:t>EXHIBITS</w:t>
            </w:r>
          </w:p>
        </w:tc>
        <w:tc>
          <w:tcPr>
            <w:tcW w:w="1320" w:type="dxa"/>
            <w:vAlign w:val="bottom"/>
            <w:tcBorders>
              <w:top w:val="single" w:sz="8" w:color="0000EE"/>
            </w:tcBorders>
            <w:gridSpan w:val="4"/>
          </w:tcPr>
          <w:p>
            <w:pPr>
              <w:spacing w:after="0"/>
              <w:rPr>
                <w:sz w:val="17"/>
                <w:szCs w:val="17"/>
                <w:color w:val="auto"/>
              </w:rPr>
            </w:pPr>
          </w:p>
        </w:tc>
        <w:tc>
          <w:tcPr>
            <w:tcW w:w="7320" w:type="dxa"/>
            <w:vAlign w:val="bottom"/>
            <w:gridSpan w:val="2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2022 as “fiscal 2022” or “fiscal year 2022.”</w:t>
      </w:r>
    </w:p>
    <w:p>
      <w:pPr>
        <w:spacing w:after="0" w:line="178"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8"/>
          <w:szCs w:val="18"/>
          <w:color w:val="auto"/>
        </w:rPr>
        <w:t>We own, have rights to or use trademarks or trade names in conjunction with the sale of our products and services, including Amdocs</w:t>
      </w:r>
      <w:r>
        <w:rPr>
          <w:rFonts w:ascii="Arial" w:cs="Arial" w:eastAsia="Arial" w:hAnsi="Arial"/>
          <w:sz w:val="26"/>
          <w:szCs w:val="26"/>
          <w:color w:val="auto"/>
          <w:vertAlign w:val="superscript"/>
        </w:rPr>
        <w:t>™</w:t>
      </w:r>
      <w:r>
        <w:rPr>
          <w:rFonts w:ascii="Arial" w:cs="Arial" w:eastAsia="Arial" w:hAnsi="Arial"/>
          <w:sz w:val="18"/>
          <w:szCs w:val="18"/>
          <w:color w:val="auto"/>
        </w:rPr>
        <w:t>, CES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Make it Amazing</w:t>
      </w:r>
      <w:r>
        <w:rPr>
          <w:rFonts w:ascii="Arial" w:cs="Arial" w:eastAsia="Arial" w:hAnsi="Arial"/>
          <w:sz w:val="26"/>
          <w:szCs w:val="26"/>
          <w:color w:val="auto"/>
          <w:vertAlign w:val="superscript"/>
        </w:rPr>
        <w:t>™</w:t>
      </w:r>
      <w:r>
        <w:rPr>
          <w:rFonts w:ascii="Arial" w:cs="Arial" w:eastAsia="Arial" w:hAnsi="Arial"/>
          <w:sz w:val="18"/>
          <w:szCs w:val="18"/>
          <w:color w:val="auto"/>
        </w:rPr>
        <w:t>, among others.</w:t>
      </w:r>
    </w:p>
    <w:p>
      <w:pPr>
        <w:sectPr>
          <w:pgSz w:w="11900" w:h="16838" w:orient="portrait"/>
          <w:cols w:equalWidth="0" w:num="1">
            <w:col w:w="11100"/>
          </w:cols>
          <w:pgMar w:left="320" w:top="486" w:right="4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This Annual Report on Form 20-F contains forward-looking statements (within the meaning of the United States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this Annual Report on Form 20-F.</w:t>
      </w:r>
    </w:p>
    <w:p>
      <w:pPr>
        <w:spacing w:after="0" w:line="185" w:lineRule="exact"/>
        <w:rPr>
          <w:sz w:val="20"/>
          <w:szCs w:val="20"/>
          <w:color w:val="auto"/>
        </w:rPr>
      </w:pPr>
    </w:p>
    <w:p>
      <w:pPr>
        <w:ind w:left="120" w:right="80" w:firstLine="440"/>
        <w:spacing w:after="0" w:line="289" w:lineRule="auto"/>
        <w:rPr>
          <w:sz w:val="20"/>
          <w:szCs w:val="20"/>
          <w:color w:val="auto"/>
        </w:rPr>
      </w:pPr>
      <w:r>
        <w:rPr>
          <w:rFonts w:ascii="Arial" w:cs="Arial" w:eastAsia="Arial" w:hAnsi="Arial"/>
          <w:sz w:val="16"/>
          <w:szCs w:val="16"/>
          <w:color w:val="auto"/>
        </w:rPr>
        <w:t>Important factors that may affect these projections or expectations include, but are not limited to: the effects of macro-economic conditions, prevailing level of macro-economic, business, and operational uncertainty, including as a result of geopolitical events or other global or regional events such as the COVID-19 pandemic, as well as the current inflationary environment, and the effects of these conditions on the Company’s customers’ businesses and levels of business activity, changes in competition in markets in which we operate; changes in the demand for our products and services; the loss of a significant customer; consolidation within the industries in which our customers operate; our ability to derive revenues in the future from our current research and development efforts;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and other risks, please read the information set forth below under the caption “Risk Factors.”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86"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KEY INFORMATION Risk Factors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21"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b w:val="1"/>
          <w:bCs w:val="1"/>
          <w:i w:val="1"/>
          <w:iCs w:val="1"/>
          <w:color w:val="auto"/>
        </w:rPr>
        <w:t>The global outbreak of the COVID-19 pandemic may continue to negatively impact the global economy in a significant manner for an extended period of time, and also could materially adversely affect our business and operating results.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An outbreak of a novel strain of the coronavirus, COVID-19, was recognized as a pandemic by the World Health Organization on March 11, 2020. This COVID-19 outbreak initially severely restricted the level of economic activity around the world. In response to this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 In addition, temporary closures of businesses have been ordered and numerous other businesses have temporarily closed voluntarily.</w:t>
      </w:r>
    </w:p>
    <w:p>
      <w:pPr>
        <w:spacing w:after="0" w:line="176"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During the past two years, we have adjusted our work environment and our work model several times in order to comply with the applicable changing governmental guidelines and to ensure our employees, customers and partners’ health and safety. During the first months of the COVID-19 pandemic, we reduced workforce density at our offices by requiring employees to work from home and also limited business travel. Leveraging our cloud-based technology, we used remote-connectivity and collaboration tools and technology to continue servicing our customers, allowing operations to be largely uninterrupted. Towards the end of fiscal year 2020, with the rollout of the COVID-19 vaccines, we began bringing employees back to the office on a region-by-region basis where appropriate given local conditions. Since then, and as part of the ongoing care to our employees, customers and partners’ health and safety, we have further adjusted our work environment during temporary resurgence of infection rates and changing governmental guidelines. We continue to monitor all local governments’ guidelines and may further adjust such working environments or take any other action as needed, with the health and safety of our employees, customers and partners being our top priority. In addition, requirements related to COVID-19 safety precautions, including vaccine mandates of varying scope and applicability, may apply to our operations in various jurisdictions. Failure to comply with the applicable requirements may result in governmental penalties and loss of business, which could have an adverse effect on our business and results of operations.</w:t>
      </w:r>
    </w:p>
    <w:p>
      <w:pPr>
        <w:spacing w:after="0" w:line="17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Given the uncertainty regarding the extent to which the COVID-19 pandemic will continue to affect the global economy, the related financial impact on our business cannot be accurately predicted at this time, but the pandemic and actions taken in response to the pandemic could materially adversely impact our business, results of operations and financial results. For example, negative economic conditions may cause customers generally to reduce their spending, delay or cancel projects, choose to focus on in-house development efforts or seek to lower their costs by renegotiating or terminating existing agreements.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are exposed to general global economic and market conditions, particularly those impacting the communications industry.</w:t>
      </w:r>
    </w:p>
    <w:p>
      <w:pPr>
        <w:spacing w:after="0" w:line="12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provide software and services primarily to service providers in the communications industry, and our business is therefore highly dependent upon conditions in that industry. Developments in the communications industry, such as the impact of global economic conditions, industry consolidation, emergence of new competitors, commoditization of voice, video and data services and changes in the regulatory environment, at times have had, and could continue to have, a material adverse effect on our existing or potential customers. These conditions have reduced, and may continue to reduce, the growth rates that the communications industry had previously experienced and caused the market value, financial results and prospects and capital spending levels of many communications companies to decline or degrade. Industry consolidation involving our customers, which has been significant in recent years, may place us at risk of losing business to the incumbent provider to one of the parties to the consolidation or to new competitors. During previous economic downturns, the communications industry experienced significant financial pressures that caused many in the industry to cut expenses and limit investment in capital intensive projects and, in some cases, led to restructurings and bankruptcies. Continuing uncertainty as to the pace of economic recovery following such economic downturns may have adverse consequences for our customers and our business.</w:t>
      </w:r>
    </w:p>
    <w:p>
      <w:pPr>
        <w:spacing w:after="0" w:line="18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Downturns in the business climate for communications companies have in the past resulted in slower customer buying decisions and price pressures that adversely affected our ability to generate revenue. Macro-economic conditions, including as a result of geopolitical events or other global or regional events such as the COVID-19 pandemic, as well as the current inflationary environment, and the effects of these conditions on our customers’ businesses and levels of business activity, may have a negative impact on our business by decreasing our new customer engagements and the size of initial spending commitments under those engagements, as well as decreasing the level of demand and expenditures by existing customers. In addition, a slowdown in buying decisions may extend our sales cycle period and may limit our ability to forecast our flow of new contracts. If such adverse business conditions arise in the future, our business may be harmed.</w:t>
      </w:r>
    </w:p>
    <w:p>
      <w:pPr>
        <w:spacing w:after="0" w:line="285" w:lineRule="exact"/>
        <w:rPr>
          <w:sz w:val="20"/>
          <w:szCs w:val="20"/>
          <w:color w:val="auto"/>
        </w:rPr>
      </w:pPr>
    </w:p>
    <w:p>
      <w:pPr>
        <w:ind w:left="340" w:right="560"/>
        <w:spacing w:after="0" w:line="277" w:lineRule="auto"/>
        <w:rPr>
          <w:sz w:val="20"/>
          <w:szCs w:val="20"/>
          <w:color w:val="auto"/>
        </w:rPr>
      </w:pPr>
      <w:r>
        <w:rPr>
          <w:rFonts w:ascii="Arial" w:cs="Arial" w:eastAsia="Arial" w:hAnsi="Arial"/>
          <w:sz w:val="18"/>
          <w:szCs w:val="18"/>
          <w:b w:val="1"/>
          <w:bCs w:val="1"/>
          <w:i w:val="1"/>
          <w:iCs w:val="1"/>
          <w:color w:val="auto"/>
        </w:rPr>
        <w:t>If we fail to adapt to changing market conditions and cannot compete successfully with existing or new competitors, our business could be harmed.</w:t>
      </w:r>
    </w:p>
    <w:p>
      <w:pPr>
        <w:spacing w:after="0" w:line="62"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We may be unable to compete successfully with existing or new competitors, particularly as we expand into new market segments. Our failure to adapt to changing market conditions, new market segments such as 5G and the cloud, and to compete successfully with established or new competitors could have a material adverse effect on our results of operations and financial condition. We face intense competition for the software products and services that we sell, including competition for the managed services we provide to customers under long-term service agreements. These managed services include management of data center operations and IT infrastructure, application management and ongoing support, systems modernization and consolidation, cloud environment management and management of end-to-end IT processes for the business and operations of our customers.</w:t>
      </w:r>
    </w:p>
    <w:p>
      <w:pPr>
        <w:spacing w:after="0" w:line="16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 We believe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that our ability to compete with other vendors as well as with in-house IT and network departments of communications companies, depends on a number of factors, including:</w:t>
      </w:r>
    </w:p>
    <w:p>
      <w:pPr>
        <w:spacing w:after="0" w:line="76"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development by others of software products and services that are competitive with our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at which others offer competitive software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competitors to deliver projects at a level of quality that rivals our own;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responsiveness of our competitors to customer needs;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competitors to hire, retain and motivate key personnel.</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or may themselves be acquired by larger companies with more resources and ability to leverage existing business relationships.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Additionally, our competitors are increasingly able to offer services related to their software, platform and other solutions that require integration with their other existing services. These more integrated services may represent more attractive alternatives to customers than some of our software products and services.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287" w:lineRule="exact"/>
        <w:rPr>
          <w:sz w:val="20"/>
          <w:szCs w:val="20"/>
          <w:color w:val="auto"/>
        </w:rPr>
      </w:pPr>
    </w:p>
    <w:p>
      <w:pPr>
        <w:jc w:val="both"/>
        <w:ind w:left="340" w:right="800"/>
        <w:spacing w:after="0" w:line="375" w:lineRule="auto"/>
        <w:rPr>
          <w:sz w:val="20"/>
          <w:szCs w:val="20"/>
          <w:color w:val="auto"/>
        </w:rPr>
      </w:pPr>
      <w:r>
        <w:rPr>
          <w:rFonts w:ascii="Arial" w:cs="Arial" w:eastAsia="Arial" w:hAnsi="Arial"/>
          <w:sz w:val="15"/>
          <w:szCs w:val="15"/>
          <w:b w:val="1"/>
          <w:bCs w:val="1"/>
          <w:i w:val="1"/>
          <w:iCs w:val="1"/>
          <w:color w:val="auto"/>
        </w:rPr>
        <w:t>If we do not continually enhance our products and service offerings, introduce new products and features and adopt and monetize new technologies and methodologies in the marketplace, we may have difficulty retaining existing customers and attracting new customers.</w:t>
      </w:r>
    </w:p>
    <w:p>
      <w:pPr>
        <w:spacing w:after="0" w:line="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believe that our future success will depend, to a significant extent, upon our ability to enhance our existing products and services, to introduce new products, services and features to meet the requirements of our customers, and to adopt and leverage new technologies and methodologies such as 5G, cloud, microservices- based architecture, DevSecOps, automation, and artificial intelligence, in a rapidly developing and evolving market. We devote significant resources to refining and expanding our base software modules and to developing our products, services and development methodologies and tools. In some instances, we rely on cooperative relationships with third parties to assist us in delivering certain products and services to our customers. Our present or future products, services and technology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286"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62"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development of our products and services. If we are unable to develop new customer relationships, our business will be harmed. In addition, our business and results of operations depend in part on our ability to provide high-quality services to customers that have already implemented our products. If we are unable to meet customers’ expectations in providing products or performing services, our business and results of operations could be harmed.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both"/>
        <w:ind w:left="340" w:right="100"/>
        <w:spacing w:after="0" w:line="311" w:lineRule="auto"/>
        <w:rPr>
          <w:sz w:val="20"/>
          <w:szCs w:val="20"/>
          <w:color w:val="auto"/>
        </w:rPr>
      </w:pPr>
      <w:r>
        <w:rPr>
          <w:rFonts w:ascii="Arial" w:cs="Arial" w:eastAsia="Arial" w:hAnsi="Arial"/>
          <w:sz w:val="16"/>
          <w:szCs w:val="16"/>
          <w:b w:val="1"/>
          <w:bCs w:val="1"/>
          <w:i w:val="1"/>
          <w:iCs w:val="1"/>
          <w:color w:val="auto"/>
        </w:rPr>
        <w:t>If our security measures for our software, hardware, services or cloud offerings are compromised and as a result, our data, our customers’ data, our IT systems, or our customers’ IT systems are accessed improperly, made unavailable, or improperly modified, our products and services may be perceived as vulnerable and it may materially affect our business and result in potential legal liability.</w:t>
      </w:r>
    </w:p>
    <w:p>
      <w:pPr>
        <w:spacing w:after="0" w:line="4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Our products and services, including our cloud offerings, store, retrieve, and manage our customers’ information and data, as well as our own data. We have a reputation for secure and reliable product offerings and related services and we have invested a great deal of time and resources in protecting the integrity and security of our products, services and the internal and external data that we manage. Despite our efforts to implement security measures, we cannot guarantee that our systems are fully protected from vulnerabilities related to IT-related viruses, worms and other malicious software programs, attacks, break-ins and similar disruptions from unauthorized tampering by computer hackers and others. Cybersecurity threats are constantly expanding and evolving, thereby increasing the difficulty of detecting and defending against them. For example, we might not discover a security breach or a loss of information for a significant amount of time after the breach, and might not be able to anticipate attacks or implement sufficient mitigating measures. Also, due to geopolitical conflicts (such as the current conflict between Russia and Ukraine), we and our third-party vendors and customers are vulnerable to a heightened risk of cybersecurity attacks, “phishing” attacks, viruses, malware, ransomware, hacking or similar breaches from nation-state actors. Such cybersecurity incidents could include, but are not limited to, an attempt to gain unauthorized access to digital systems for purposes of misappropriating assets or sensitive information, corrupting data, or causing operational disruption. “Phishing” and other types of attempts to obtain unauthorized information or access are often sophisticated and difficult to detect or defeat. In particular, ransomware attacks are becoming increasingly prevalent and can lead to significant reputational harm, loss of data, operational disruption, and significant monetary loss. Organized criminals, nation state threat actors, and motivated hacktivists that target us have the possibility of impacting our systems, networks, data and business operations. In order to properly recover from a ransomware attack, extortion payments are demanded by threat actors; however, we may be unwilling or unable to make payments of this nature based on laws and regulations that may apply. In addition, security measures in our products and services may be penetrated or bypassed by computer hackers and others who may gain unauthorized access to our or our customers’ or partners’ software, hardware, cloud offerings, networks, data or systems. These actors may use a wide variety of methods, which may include developing and deploying malicious software to attack our products and services and gain access to our networks and datacenters, using social engineering techniques or acting in a coordinated manner to launch distributed denial of service or other coordinated attacks. This is also true for third party data, products or services incorporated into our own. Data may also be accessed or modified improperly as a result of customer, partner or employee error or malfeasance and third parties may attempt to fraudulently induce customers, partners, employees or suppliers into disclosing sensitive information such as user names, passwords or other information in order to gain access to our data or IT systems or our customers’ or partners’ data or IT systems. Our exposure to cyber security and data privacy breach incidents may increase due to a large number of employees working remotely. Any of the foregoing occurrences could create system disruptions and cause shutdowns or denials of service or compromise data, including personal or confidential information, of ours, our partners or our customers.</w:t>
      </w:r>
    </w:p>
    <w:p>
      <w:pPr>
        <w:spacing w:after="0" w:line="38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If a cyberattack or other security incident (for example phishing, advanced persistent threats, or social engineering) were to result in unauthorized access to, or deletion of, and/or modification and/or exfiltration of our customers’ data, other external data or our own data or our IT systems or if the services we provide to our customers were disrupted, customers could lose confidence in the security and reliability of our products and services, including our cloud offerings, and perceive them not to be secure. This in turn could lead to fewer customers using our products and services and result in reduced revenue and earnings. The costs we would incur to address and fix these security incidents would increase our expenses. These risks will increase as we continue to grow our cloud solutions and network offerings and store and process increasingly large amounts of data, including personal information and our customers’ confidential information and data and other external data, and host or manage parts of our customers’ businesses in cloud-based IT environments. In addition, we have acquired certain companies, products, services and technologies over the years and have partnered with other companies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580"/>
        <w:spacing w:after="0" w:line="342" w:lineRule="auto"/>
        <w:rPr>
          <w:sz w:val="20"/>
          <w:szCs w:val="20"/>
          <w:color w:val="auto"/>
        </w:rPr>
      </w:pPr>
      <w:r>
        <w:rPr>
          <w:rFonts w:ascii="Arial" w:cs="Arial" w:eastAsia="Arial" w:hAnsi="Arial"/>
          <w:sz w:val="16"/>
          <w:szCs w:val="16"/>
          <w:color w:val="auto"/>
        </w:rPr>
        <w:t>for certain of our other offerings. While we make significant efforts to address any IT security issues with respect to our acquired companies and partners, we may still inherit such risks when we integrate these companies, products, services and technologies or work with our partners.</w:t>
      </w:r>
    </w:p>
    <w:p>
      <w:pPr>
        <w:spacing w:after="0" w:line="124"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Any of the events described above could cause our customers to make claims against us for damages allegedly resulting from a security breach or service disruption, which could adversely affect our business, results of operations and financial condition.</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are subject to laws, directives, and regulations relating to the collection, use, retention, disclosure, security and transfer of personal data. These laws, directives, and regulations, and their interpretation and enforcement continue to evolve rapidly and may be inconsistent from jurisdiction to jurisdiction; we will need to expend time and resources to ensure compliance with these evolving regulations, and failure to understand and comply with these regulations can have an impact on our results of operations and financial condition. For example, the General Data Protection Regulation (GDPR) went into effect in the European Union (EU) on May 25, 2018. The GDPR regulates the processing of personal data originated in the EU and its transfer out of the EU and applies globally to all of our activities conducted from an establishment in the EU, to related products and services that we offer to EU customers and to non-EU customers which offer services in the EU. The GDPR also affects our role as product developers, as we are required to adopt “privacy by design” principles in order to address our customers’ need to apply privacy adequate solutions when handling their subscribers’ data. Complying with the GDPR and similar emerging and changing privacy and data protection requirements may cause us to incur substantial costs or require us to change our business practices. Additionally, new local privacy laws have been enacted recently as part of an overall trend, including in Brazil. In the United States, there have been proposals for federal privacy legislation and state-level privacy laws have also recently been enacted, including the California Consumer Privacy Act (and its successor the California Privacy Rights Act that will go into effect on January 1, 2023), the Virginia Consumer Data Protection Act, the Colorado Privacy Act, the Connecticut Data Privacy Act, and the Utah Consumer Data Protection Act (which, respectively, are scheduled to take effect in January, June, July and December 2023). Other states, such as Illinois, Massachusetts, New York and Nevada, have adopted more narrowly focused privacy or cybersecurity laws but may pass more comprehensive legislation in the future. In addition, Guernsey has introduced legislation similar in form to the GDPR, the Data Protection (Bailiwick of Guernsey) Law, 2017 (as amended), which applies globally in a similar fashion as the GDPR to our activities conducted from and within Guernsey.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w:t>
      </w:r>
    </w:p>
    <w:p>
      <w:pPr>
        <w:spacing w:after="0" w:line="277"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rely on third-party vendor relationships to deliver our business, which exposes us to supply disruptions, cost increases, and cyberattacks.</w:t>
      </w:r>
    </w:p>
    <w:p>
      <w:pPr>
        <w:spacing w:after="0" w:line="152"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 xml:space="preserve">We are reliant on third-party vendors in the provision of our services, including our expanding cloud services. Failure by any of our third-party vendors could interrupt our operations and the delivery of our solutions, and/or significantly increase costs as we transition to a new vendor. Similarly, if any of these third- party vendors would decide to significantly increase costs, it could have an adverse financial impact on our business, as it may require us to shift to a competing solution or redesign our solutions which might take considerable time, effort and money. Further, if a third party were to experience a material breach of its information technology systems which results in the unauthorized access, theft, use, destruction, or unauthorized disclosures of customers’ or employees’ data or confidential information of the Company stored in such systems, including through cyberattacks or other external or internal methods, it could result in a material loss of revenues from the potential adverse impact on our reputation, our ability to retain or attract new customers, potential disruption or loss of services from the vendor and disruption to our business. Such a breach could also result in contractual claims, and could lead to our being named as a party in consumer litigation brought by or on behalf of impacted individuals. For more information on risks related to cybersecurity and data privacy, please see “Risk Factors — </w:t>
      </w:r>
      <w:r>
        <w:rPr>
          <w:rFonts w:ascii="Arial" w:cs="Arial" w:eastAsia="Arial" w:hAnsi="Arial"/>
          <w:sz w:val="17"/>
          <w:szCs w:val="17"/>
          <w:i w:val="1"/>
          <w:iCs w:val="1"/>
          <w:color w:val="auto"/>
        </w:rPr>
        <w:t>If our security measures for our software, hardware,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or cloud offerings are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i w:val="1"/>
          <w:iCs w:val="1"/>
          <w:color w:val="auto"/>
        </w:rPr>
        <w:t>compromised and as a result, our data, our customers’ data, our IT systems, or our customers’ IT systems are accessed improperly, made unavailable, or improperly modified, our products and services may be perceived as vulnerable and it may materially affect our business and result in potential legal liability.”</w:t>
      </w:r>
    </w:p>
    <w:p>
      <w:pPr>
        <w:spacing w:after="0" w:line="184"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addition, IT hardware suppliers face shortages that are otherwise caused or exacerbated by the COVID-19 pandemic and/or global technology changes. As such, we may need to incur higher expenses when purchasing certain IT hardware and could face shortages of equipment and components that we and our employees rely upon in the conduct of our business and our operations and sales could be adversely impacted by such supply interruptions. Although we have not experienced material adverse impacts to date, additional or prolonged supplier shortages that have occurred or were exacerbated because of COVID-19 and/or global technology changes could adversely impact our operations and the solutions that we offer.</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receive significant revenues from our current research and development efforts for several years, if at all.</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Developing software and digital products is expensive and the investment in the development of these products often involves a long return on investment cycle. An important element of our corporate strategy is to continue to make significant investments in research and development and related products and service opportunities both through internal investments and the acquisition of intellectual property, including from companies that we have acquired. Accelerated products and service introductions and short software and hardware life cycles require high levels of expenditures for research and development that could adversely affect our operating results if not offset by revenue increases. We believe that we must continue to dedicate a significant amount of resources to our research and development efforts to maintain our competitive position.</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However, we cannot guarantee that we will receive significant revenues from these investments for several years, if at all.</w:t>
      </w:r>
    </w:p>
    <w:p>
      <w:pPr>
        <w:spacing w:after="0" w:line="333"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b w:val="1"/>
          <w:bCs w:val="1"/>
          <w:i w:val="1"/>
          <w:iCs w:val="1"/>
          <w:color w:val="auto"/>
        </w:rPr>
        <w:t>Our business is dependent on a limited number of significant customers, and the loss of any one of our significant customers, or a significant decrease in business from any such customer, could harm our results of operations.</w:t>
      </w:r>
    </w:p>
    <w:p>
      <w:pPr>
        <w:spacing w:after="0" w:line="62"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Our business is dependent on a limited number of significant customers, of which AT&amp;T has historically been our largest. AT&amp;T accounted for 27% and 25% of our revenue in fiscal years 2022 and 2021, respectively. In fiscal years 2022 and 2021, our next largest customer, T-Mobile, accounted for 20% and 19% of our revenue, respectively. For each of AT&amp;T and T-Mobile we provide multiple services, run multiple activities and have a large portion of the business under our managed services. We cannot assure you that our revenues from AT&amp;T, T-Mobile or any of our significant customers will remain the same or grow in future years. Aggregate revenue derived from the multiple business arrangements we have with the ten largest of our significant customers accounted for approximately 70% of our revenue in fiscal year 2022 and 69% in fiscal year 2021. The loss of any significant customer, including as a result of industry consolidation involving our customers, a significant decrease in business from any such customer or a reduction in customer revenue due to adverse changes in the terms of our contractual arrangements, market conditions, customer circumstances (such as financial condition and market position) or other factors could harm our results of operations and financial condition. Revenue from individual customers may fluctuate from time to time based on the commencement, scope and completion of projects or other engagements, the timing and magnitude of which may be affected by market or other conditions.</w:t>
      </w:r>
    </w:p>
    <w:p>
      <w:pPr>
        <w:spacing w:after="0" w:line="182"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for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340" w:right="60"/>
        <w:spacing w:after="0" w:line="375" w:lineRule="auto"/>
        <w:rPr>
          <w:sz w:val="20"/>
          <w:szCs w:val="20"/>
          <w:color w:val="auto"/>
        </w:rPr>
      </w:pPr>
      <w:r>
        <w:rPr>
          <w:rFonts w:ascii="Arial" w:cs="Arial" w:eastAsia="Arial" w:hAnsi="Arial"/>
          <w:sz w:val="15"/>
          <w:szCs w:val="15"/>
          <w:b w:val="1"/>
          <w:bCs w:val="1"/>
          <w:i w:val="1"/>
          <w:iCs w:val="1"/>
          <w:color w:val="auto"/>
        </w:rPr>
        <w:t>We seek to acquire companies or technologies and enter into new strategic partnerships and alliances, and cannot assure you that these activities will enhance our products and services or strengthen our competitive position, and they may adversely affect our results of operations.</w:t>
      </w:r>
    </w:p>
    <w:p>
      <w:pPr>
        <w:spacing w:after="0" w:line="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It is a part of our business strategy to pursue acquisitions and other initiatives, including new strategic partnerships and alliances, in order to offer new products or services or otherwise enhance our market position or strategic strengths. Consistent with this strategy, in recent years we have completed numerous acquisitions and partnerships and we are actively evaluating potential new opportunities, some of which could be significant, stand alone or in the aggregate. In the future, we intend to continue expanding our portfolio of products, services and technologies that we believe will advance our business strategy through acquisitions and strategic partnerships. However, we may not be able to identify suitable future candidates, consummate them on favorable terms or complete otherwise favorable acquisitions or partnerships because of antitrust, regulatory or other concerns. For instance, some countries, including the United States and countries in Europe and the Asia-Pacific region, are considering or have adopted restrictions on transactions involving foreign investments. Also, the effects of macro-economic conditions, prevailing level of macro-economic, business, and operational uncertainty may impact our ability to grow acquired entities, which could result in reduction of their valuations. In addition, geopolitical conflicts and political instability may also result in further scrutiny and more complex approval processes over international transactions in countries where we operate. We cannot assure you that the acquisitions we have completed, strategic partnerships or alliances that we established, or any future acquisitions, partnerships or alliances that we may make, will enhance our products and services or strengthen our competitive position. Due to the multiple risks and difficulties associated with such activities, there can be no assurance that we will be successful in achieving our expected strategic, operating, and financial goals for any such acquisition, partnership or alliance.</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successful in the integration of our acquisitions.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We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In some instances, we may need to depend on the seller of an acquired business to provide us with certain transition services in order to meet the needs of our customers. Any failure to recognize significant defects in the internal control policies of acquired companies or properly integrate and retain personnel, and any interruptions of transition services, may require a significant amount of time and resources to address. Acquisitions may disrupt our ongoing operations, expose us to potential identified or unknown security vulnerabilities, divert management from day-to-day responsibilities, increase our expenses and harm our results of operations or financial condition.</w:t>
      </w:r>
    </w:p>
    <w:p>
      <w:pPr>
        <w:spacing w:after="0" w:line="286"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The skilled and highly qualified workforce that we need to develop, implement and modify our solutions may be difficult to hire, train and retain, and we have and could continue to face increased costs to attract and retain our skilled workforce.</w:t>
      </w:r>
    </w:p>
    <w:p>
      <w:pPr>
        <w:spacing w:after="0" w:line="62"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business operations depend in large part on our ability to attract, hire, train, motivate and retain highly skilled information technology professionals, software programmers and communications engineers on a worldwide basis, particularly as we expand into new market segments such as 5G and the cloud.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We may face difficulties identifying and hiring qualified personnel and, in particular, we may face difficulties in our ability to attract and retain employees with technical and project management skills, including those from developing countries. Although we are heavily investing in training our new employees, we may not be able to train them rapidly enough to meet the increasing demands on our business, particularly in light of high attrition rates in some regions where we have operations. Additionally, there is increasing competition for talent in the technology sector that is driven by the accelerated push toward digital initiatives and such increasing competition is currently expected to grow. Thus, our inability to hire, train and retain the appropriate personnel could further increase our costs of retaining a skilled workforce and make it difficult for us to manage our operations, meet our commitments and compete for new customer contracts. In particular, wage costs in lower- cost markets where we have historically added personnel, such as India, are increasing and we may need to continue increasing the levels of our employee compensation more rapidly than in the past to remain competitive.</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result of our entry into new domains, we now compete for high-quality employees in those domains’ limited and competitive talent market. In addition, cost containment measures effected in recent years, such as the relocation of projects to lower-costs countries, may lead to greater employee attrition and further increase the cost of retaining our most skilled employees. The transition of projects to new locations may also lead to business disruptions due to differing levels of employee knowledge and organizational and leadership skills. Although we have never experienced an organized labor dispute, strike or work stoppage, any such occurrence, including in connection with unionization efforts, could disrupt our business and operations and harm our financial condition.</w:t>
      </w:r>
    </w:p>
    <w:p>
      <w:pPr>
        <w:spacing w:after="0" w:line="19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addition, a national union and a group of our employees had attempted in the past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We are unable to predict whether, and to what extent, efforts to unionize our employees in Israel or elsewhere would have an adverse effect on our business, operations or financial condition. Our continued growth and success will also depend upon the continued active participation of a relatively small group of senior management personnel, and requires us to hire, retain and develop our leadership bench. If we are unable to attract and retain talented, highly qualified senior management and other key executives, as well as provide for the succession of senior management, our growth and results of operations may be adversely impacted.</w:t>
      </w:r>
    </w:p>
    <w:p>
      <w:pPr>
        <w:spacing w:after="0" w:line="289"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times, we have experienced fluctuations in our quarterly operating results and anticipate that such movements may continue to occur.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Fluctuations may result from many factors, including:</w:t>
      </w:r>
    </w:p>
    <w:p>
      <w:pPr>
        <w:spacing w:after="0" w:line="116" w:lineRule="exact"/>
        <w:rPr>
          <w:sz w:val="20"/>
          <w:szCs w:val="20"/>
          <w:color w:val="auto"/>
        </w:rPr>
      </w:pPr>
    </w:p>
    <w:p>
      <w:pPr>
        <w:ind w:left="1080" w:right="6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size, timing and pace of progress of significant customer, projects license and service fees, and sales of partners’ software and hardware;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delays in or cancellations of significant projects and activities by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operating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our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personnel changes;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penetration of new markets, regions, customers and domains; and</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86" w:right="4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political conditions, including the current macroeconomic uncertainty and the continuous effect of the COVID-19 pandemic.</w:t>
      </w:r>
    </w:p>
    <w:p>
      <w:pPr>
        <w:spacing w:after="0" w:line="170"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Generally, our revenue relating to software licenses that require significant customization, modification, implementation and integration is satisfied over time as work progresses. Given our reliance on a limited number of significant customers, our quarterly results may be significantly affected by the size and timing of customer projects and our progress in completing such projects.</w:t>
      </w:r>
    </w:p>
    <w:p>
      <w:pPr>
        <w:spacing w:after="0" w:line="184"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69"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286" w:lineRule="exact"/>
        <w:rPr>
          <w:sz w:val="20"/>
          <w:szCs w:val="20"/>
          <w:color w:val="auto"/>
        </w:rPr>
      </w:pPr>
    </w:p>
    <w:p>
      <w:pPr>
        <w:ind w:left="340" w:right="80"/>
        <w:spacing w:after="0" w:line="308" w:lineRule="auto"/>
        <w:rPr>
          <w:sz w:val="20"/>
          <w:szCs w:val="20"/>
          <w:color w:val="auto"/>
        </w:rPr>
      </w:pPr>
      <w:r>
        <w:rPr>
          <w:rFonts w:ascii="Arial" w:cs="Arial" w:eastAsia="Arial" w:hAnsi="Arial"/>
          <w:sz w:val="17"/>
          <w:szCs w:val="17"/>
          <w:b w:val="1"/>
          <w:bCs w:val="1"/>
          <w:i w:val="1"/>
          <w:iCs w:val="1"/>
          <w:color w:val="auto"/>
        </w:rPr>
        <w:t>We may be required to increase or decrease the scope of our operations in response to changes in the demand for our products and services, and if we fail to successfully plan and manage changes in the size of our operations, our business will suffer.</w:t>
      </w:r>
    </w:p>
    <w:p>
      <w:pPr>
        <w:spacing w:after="0" w:line="3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Acquisitions, organic growth and absorption of significant numbers of customers’ employees in connection with managed services projects have, from time to time, increased our headcount. During periods of expansion, we may need to serve several new customers or implement several new large-scale projects in short periods of time. This may require us to attract and train additional IT professionals at a rapid rate, as well as quickly expand our facilities, which we may have difficulties doing successfully.</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86"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Volatility and turmoil in the world’s capital markets may adversely affect our investment portfolio and other financial assets.</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Our cash, cash equivalents and short-term interest-bearing investments totaled $ 818 million, as of September 30, 2022. Our short-term investments consist primarily of bank deposits, money market funds, corporate bonds, U.S. government treasuries and municipal bonds. Although we believe that we generally adhere to conservative investment guidelines, adverse market conditions have resulted in immaterial impairments of the carrying value of certain of our investment assets in recent fiscal years, and future adverse market conditions may lead to additional impairments. Realized or unrealized losses in our investments or in our other financial assets may adversely affect our financial condition, including by reducing the capital available for our business and requiring us to seek additional capital, which may not be available on favorable terms.</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Declines in the financial condition of banks or other global financial institutions may adversely affect our normal financial operations.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the credit risk of customers that have been adversely affected by adverse business conditions.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typically sell our software and related services as part of long-term projects and arrangements. During the life of a project or arrangement, a customer’s budgeting constraints or other financial difficulties can impact the scope of such project or arrangement as well as the customer’s requirements and ability to make payments or comply with other obligations with respect to such project or arrangement. In addition, adverse general business conditions, as well as the risk that some of our customers may be highly leveraged and exposed to the recent rising in the costs of funding given increasing interest rates, may adversely affect our customers or degrade the creditworthiness of our customers over time, and we can be adversely affected by bankruptcies, incapability by our customers to raise sufficient funding for their operations or other business failures.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international presence exposes us to risks associated with varied and changing political, cultural, legal and economic conditions worldwide.</w:t>
      </w:r>
    </w:p>
    <w:p>
      <w:pPr>
        <w:spacing w:after="0" w:line="15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are affected by risks associated with conducting business internationally. We maintain development facilities in Brazil, Canada, Cyprus, India, Ireland, Israel, Mexico, the Philippines, the United Kingdom and the United States, and have operations in North America, Europe, Eurasia, Israel, Latin America, Africa and the Asia-Pacific region. Although a substantial majority of our revenue is derived from customers in North America, we obtain significant revenue from customers in Europe, the Asia-Pacific region and Latin America. Our strategy is to continue to broaden our North American and European customer bases and to continue to expand into international markets, including emerging markets, such as those in Latin America, Africa, Eurasia, India, Southeast Asia and the Middle East. Conducting business internationally exposes us to certain risks inherent in doing business in numerous markets, including:</w:t>
      </w:r>
    </w:p>
    <w:p>
      <w:pPr>
        <w:spacing w:after="0" w:line="100"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acceptance of non-localized products or services and other related services;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complying with varied legal and regulatory requirements across jurisdictions, including those applicable to employees and the terms of employment;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collecting accounts receivable, converting local currencies or withholding taxes;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restrictions that limit the repatriation of earnings;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complying with complex foreign and U.S. laws and regulations, including communication laws, trade sanctions, export controls, and privacy regulations;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instability and threats of terrorism, including the geopolitical conflict between Russia and Ukraine;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hyper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on the transfer of funds to and from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lack of well-established or reliable legal systems in some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effective income tax rates and tax policies among countries where we conduct business;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climate change and the related political and economic effects.</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One or more of these factors could have a material adverse effect on our operations, which could harm our results of operations and financial condition.</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addition, the ability of foreign nationals to work in the United States, Europe and other regions in which we have customers depends on their and our ability to obtain the necessary visas and work permits for our personnel who need to travel internationally. If we are unable to obtain such visas or work permits, or if their issuance is delayed or if their length is shortened, this may impact our ability to provide services to our customers in a timely and cost-effective manner. Immigration and work permit laws and regulations in the countries in which we have customers are subject to legislative and administrative changes as well as changes in the application of standards and enforcement.</w:t>
      </w:r>
    </w:p>
    <w:p>
      <w:pPr>
        <w:spacing w:after="0" w:line="1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addition, our brand and reputation are also associated with our public commitments to various environmental, social and governance (ESG) initiatives, including our goals for sustainability and inclusion and diversity. Our disclosures on these matters and any failure to achieve our commitments, could harm our reputation and adversely affect our customer relationships or our recruitment and retention efforts. In addition, positions we take or do not take on social issues may be unpopular with some of our employees or with our customers or potential customers, which may in the future impact our ability to attract or retain employees or customers.</w:t>
      </w:r>
    </w:p>
    <w:p>
      <w:pPr>
        <w:spacing w:after="0" w:line="296"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As we continue to develop our business internationally, including in emerging markets, we face increasing challenges that could adversely impact our results of operations, reputation and business.</w:t>
      </w:r>
    </w:p>
    <w:p>
      <w:pPr>
        <w:spacing w:after="0" w:line="62"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we continue our efforts to expand our business internationally, including in emerging markets such as those in Latin America, Africa, Eurasia, India ,Southeast Asia and the Middle East, we face a number of challenges. These challenges include those related to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lack of due process, inadvertent breaches of local laws or regulations and difficulties in recruiting sufficient personnel with appropriate skills and experience. In addition, local business practices in jurisdictions in which we operate, and particularly in emerging markets, may be inconsistent with international regulatory requirements, such as anti-corruption and anti-bribery laws and regulations (including the U.S. Foreign Corrupt Practices Act and the U.K. Bribery Act)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associated with fluctuations in foreign currency exchange rates that could adversely affect our business.</w:t>
      </w:r>
    </w:p>
    <w:p>
      <w:pPr>
        <w:spacing w:after="0" w:line="62"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Although we have operations throughout the world, approximately 70% to 80% of our revenue and approximately 50% to 60% of our operating costs are denominated in, or linked to, the U.S. dollar. Accordingly, we consider the U.S. dollar to be our functional currency. As we conduct business internationally, fluctuations in exchange rates between the U.S. dollar and the currencies not denominated in, or linked to, the U.S. dollar in which revenues are earned or costs are incurred may have a material adverse effect on our results of operations and financial condition. From time to time, we may experience increases in the costs of our operations outside the United States, as expressed in dollars, as well as decreases in revenue not denominated in, or linked to, the U.S. dollar, each of which could have a material adverse effect on our results of operations and financial condition.</w:t>
      </w:r>
    </w:p>
    <w:p>
      <w:pPr>
        <w:spacing w:after="0" w:line="164"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As a result of macro-economic conditions, including as a result of geopolitical events or other global or regional events such as the COVID-19 pandemic, as well as the current inflationary environment, foreign exchange rates fluctuation may continue to present challenges in future periods should significant increases in volatility in foreign exchange markets occur. Due to volatility in foreign exchange rates during the height of the financial crisis in fiscal 2008, for example,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we enhanced our hedging strategies since then, we believe that foreign exchange rates may continue to present challenges in future periods should significant increases in volatility in foreign exchange markets occur.</w:t>
      </w:r>
    </w:p>
    <w:p>
      <w:pPr>
        <w:spacing w:after="0" w:line="166"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foreign exchange rate fluctuations.</w:t>
      </w:r>
    </w:p>
    <w:p>
      <w:pPr>
        <w:spacing w:after="0" w:line="18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imposition of exchange or price controls, devaluation policies, restrictions on withdrawal of foreign exchange, other restrictions on the conversion of foreign currencies or foreign government initiatives to manage local economic conditions, including changes to or cessation of any such initiatives, could also have a material adverse effect on our business, results of operations and financial condition.</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Political and economic conditions in the Middle East and other countries may adversely affect our business.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Of the development centers we maintain worldwide, two of our largest development centers are located in Israel and India. In Israel, the centers are located in several different sites and, generally, no more than 20% of our workforce is located in Israel. As a result, we are directly influenced by the political, economic and military conditions affecting Israel and its neighboring regions. Any major hostilities involving Israel could have a material adverse effect on our business. We maintain contingency plans to provide ongoing services to our customers in the event that escalated political or military conditions disrupt our normal operations. These plans include the transfer of some development operations within Israel to several of our other sites both within and outside of Israel. Implementation of these plans could disrupt our operations and cause us to incur significant additional expenditures, which could adversely affect our business and results of operations.</w:t>
      </w:r>
    </w:p>
    <w:p>
      <w:pPr>
        <w:spacing w:after="0" w:line="17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Conflicts in North Africa and the Middle East, including in Egypt and Syria, which border Israel, have resulted in continued political uncertainty and violence in the region. Relations between Israel and Iran continue to be seriously strained, especially with regard to Iran’s nuclear program. In addition, efforts to improve Israel’s relationship with the Palestinian Authority have failed to result in a permanent solution, and there have been numerous periods of hostility in recent years. Further deterioration of relations with the Palestinian Authority or other countries in the Middle East might require increased military reserve service by some of our workforce, which may have a material adverse effect on our business.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In recent years, we have expanded our operations internationally, particularly in India, Southeast Asia and Latin America. Conducting business in these and other regions or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Terrorist activity in India and Pakistan has contributed to tensions between those countries and our operations in India may be adversely affected by future political and other events in the region, including the COVID-19 pandemic and government responses thereto.</w:t>
      </w:r>
    </w:p>
    <w:p>
      <w:pPr>
        <w:spacing w:after="0" w:line="286"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technology from misappropriation or enforce our intellectual property rights, our business may be harmed.</w:t>
      </w:r>
    </w:p>
    <w:p>
      <w:pPr>
        <w:spacing w:after="0" w:line="62"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customer access to the source codes of our software and our software systems. We have undertaken, and will continue to undertake, appropriate actions to protect our technology.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16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Intellectual property laws are complex and subject to change, and existing trade secret, copyright, trademark and patent laws offer only limited protection. For example, there is uncertainty concerning the scope of patent and other intellectual property protection, including for software and business methods. Even where we obtain intellectual property protection, the steps we have taken to protect our proprietary rights may be inadequate. If so, we might not be able to prevent others from using what we regard as our technology to compete with us. In addition, the laws of some foreign countries do not protect our proprietary technology or allow enforcement of confidentiality covenants to the same extent as the laws of the United States.</w:t>
      </w:r>
    </w:p>
    <w:p>
      <w:pPr>
        <w:spacing w:after="0" w:line="161"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If we have to resort to legal proceedings to enforce our intellectual property rights, the proceedings could be burdensome, protracted and expensive and could involve a high degree of risk, including the risk of counterclaims that allege that we infringe, misappropriate or otherwise violate the intellectual property of another party, regardless of whether we are successful in such proceedings.</w:t>
      </w:r>
    </w:p>
    <w:p>
      <w:pPr>
        <w:spacing w:after="0" w:line="273" w:lineRule="exact"/>
        <w:rPr>
          <w:sz w:val="20"/>
          <w:szCs w:val="20"/>
          <w:color w:val="auto"/>
        </w:rPr>
      </w:pPr>
    </w:p>
    <w:p>
      <w:pPr>
        <w:ind w:left="340" w:right="900"/>
        <w:spacing w:after="0" w:line="277"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and trade secrets could harm our business and subject us to potentially burdensome litigation.</w:t>
      </w:r>
    </w:p>
    <w:p>
      <w:pPr>
        <w:spacing w:after="0" w:line="6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software components that we license from third parties, including our employees and contractors. As a developer of complex software systems, third parties may claim that portions of our systems violate their intellectual property rights.</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Software developers, including us, have been and are becoming increasingly subject to infringement claims as the number of products and competitors providing software and services to the communications industry increases and overlaps occur. In addition, patent infringement claims are increasingly being asserted by patent holding companies, which do not use the technology subject to their patents, and whose sole business is to enforce patents against companies, such as us, for monetary gain. Any claim of infringement by a third party could cause us to incur substantial costs defending against the claim and could distract our management from our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We also support service providers and media companies with respect to digital content services, which could subject us to claims related to such services. Our digital content services and offerings may also subject us to possible claims of infringement of the ownership rights to media content, for example, as well as to direct legal claims from retail consumers arising from the delivery of such services.</w:t>
      </w:r>
    </w:p>
    <w:p>
      <w:pPr>
        <w:spacing w:after="0" w:line="161"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If anyone asserts a claim against us or one of our indemnitees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defects, software errors, or service failures could adversely affect our business.</w:t>
      </w:r>
    </w:p>
    <w:p>
      <w:pPr>
        <w:spacing w:after="0" w:line="117"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Because our products are generally used by our customers to perform critical business functions, design defects, software errors, misuse of our products, incorrect data from external sources, failures to comply with our service obligations or other potential problems within or outside of our control may arise during implementation or from the use of our products and services, and may result in financial or other damages to our customers, for which we may be held responsible. Although we have license and service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and services,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services and subject us to possible litigation.</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use open source software in providing our solutions, and we may use additional open source software in the future. Such open source software is generally licensed by its authors or other third parties under open source licenses. Under such licenses, if we engage in certain defined manners of use, we may be subject to certain conditions, including requirements that we offer our solutions that incorporate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In addition, if a third-party software provider has incorporated open source software into software that we license from such provider in a manner that triggers one or more of the above requirements, we could be required to disclose any of our source code that incorporates or is a modification of such licensed software. If an author or other third party that distributes such open source software were to allege that we had not complied with the conditions of one or more of these licenses, we could be required to incur significant legal expenses defending such allegations and could be subject to significant damages, enjoined from the sale of our solutions that contained the open source software, and required to comply with the foregoing conditions, which could disrupt the distribution and sale of some of our solutions. In addition,</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generally open source software licenses do not contain any warranties and may not have available support from the authors or third parties from whom we license it. If such open source software contains prior defects, security vulnerabilities or infringes any third party right or we are unable to obtain or provide necessary support, we could be exposed to legal claims and significant legal expenses without the ability to seek contribution from the authors or third parties from whom we license open source software. If open source software that we utilize is no longer maintained, developed or enhanced by the relevant authors or third parties, our ability to develop new solutions, enhance our existing solutions or otherwise meet customer requirements for innovation, quality and price may be impaired.</w:t>
      </w:r>
    </w:p>
    <w:p>
      <w:pPr>
        <w:spacing w:after="0" w:line="286"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b w:val="1"/>
          <w:bCs w:val="1"/>
          <w:i w:val="1"/>
          <w:iCs w:val="1"/>
          <w:color w:val="auto"/>
        </w:rPr>
        <w:t>System disruptions and failures may result in customer dissatisfaction, customer loss or both, which could materially and adversely affect our reputation and business.</w:t>
      </w:r>
    </w:p>
    <w:p>
      <w:pPr>
        <w:spacing w:after="0" w:line="62" w:lineRule="exact"/>
        <w:rPr>
          <w:sz w:val="20"/>
          <w:szCs w:val="20"/>
          <w:color w:val="auto"/>
        </w:rPr>
      </w:pPr>
    </w:p>
    <w:p>
      <w:pPr>
        <w:jc w:val="both"/>
        <w:ind w:left="120" w:right="340" w:firstLine="440"/>
        <w:spacing w:after="0" w:line="342" w:lineRule="auto"/>
        <w:rPr>
          <w:sz w:val="20"/>
          <w:szCs w:val="20"/>
          <w:color w:val="auto"/>
        </w:rPr>
      </w:pPr>
      <w:r>
        <w:rPr>
          <w:rFonts w:ascii="Arial" w:cs="Arial" w:eastAsia="Arial" w:hAnsi="Arial"/>
          <w:sz w:val="16"/>
          <w:szCs w:val="16"/>
          <w:color w:val="auto"/>
        </w:rPr>
        <w:t>Our systems are an integral part of our customers’ business operations. The continued and uninterrupted performance of these systems for our customers is critical to our success. Customers may become dissatisfied by any system failure that interrupts our ability to provide services to them.</w:t>
      </w:r>
    </w:p>
    <w:p>
      <w:pPr>
        <w:spacing w:after="0" w:line="12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Our ability to serve our customers depends on our ability to protect our systems and infrastructure against damage from fire, power loss, water damage, telecommunications and technology failure, cyberattacks, earthquake, severe weather conditions, terrorist attacks, vandalism and other similar unexpected adverse events. We also depend on various cloud providers and co-location data center providers which provide us environments, tools and applications on which we provide our products. Although we maintain insurance that we believe is appropriate for our business and industry, such coverage may not be sufficient to compensate for any significant losses that may occur as a result of any of these events. In addition, we have experienced systems outages and service interruptions in the past, none of which has had a material adverse effect on us. However, a prolonged system-wide outage or frequent outages for our infrastructure or our cloud providers’ infrastructure could cause harm to our customers and to our reputation and reduce the attractiveness of our services significantly, which could result in decreased demand for our products and services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76" w:lineRule="exact"/>
        <w:rPr>
          <w:sz w:val="20"/>
          <w:szCs w:val="20"/>
          <w:color w:val="auto"/>
        </w:rPr>
      </w:pPr>
    </w:p>
    <w:p>
      <w:pPr>
        <w:jc w:val="both"/>
        <w:ind w:left="340" w:right="160"/>
        <w:spacing w:after="0" w:line="375" w:lineRule="auto"/>
        <w:rPr>
          <w:sz w:val="20"/>
          <w:szCs w:val="20"/>
          <w:color w:val="auto"/>
        </w:rPr>
      </w:pPr>
      <w:r>
        <w:rPr>
          <w:rFonts w:ascii="Arial" w:cs="Arial" w:eastAsia="Arial" w:hAnsi="Arial"/>
          <w:sz w:val="15"/>
          <w:szCs w:val="15"/>
          <w:b w:val="1"/>
          <w:bCs w:val="1"/>
          <w:i w:val="1"/>
          <w:iCs w:val="1"/>
          <w:color w:val="auto"/>
        </w:rPr>
        <w:t>Changes in the tax legislation policies and regulations imposed by the jurisdictions in which we operate, the termination or reduction of certain government programs and tax benefits, or challenges by tax authorities of our tax positions could adversely affect our overall effective tax rate.</w:t>
      </w:r>
    </w:p>
    <w:p>
      <w:pPr>
        <w:spacing w:after="0" w:line="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There can be no assurance that our effective tax rate of 15.3% for the year ended September 30, 2022 will not change over time as a result of changes in corporate income tax rates or other changes in the tax laws of Guernsey, the jurisdiction in which our holding company is organized, or of the various countries in which we operate. Any changes in tax laws could have an adverse impact on our financial results.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example, there is growing pressure in many jurisdictions and from multinational organizations such as the Organization for Economic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Cooperation and Development (OECD) and the EU to amend existing international taxation rules in order to align the tax regimes with current global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practices. Specifically, in October 2015, the OECD published its final package of measures for reform of the international tax rules as a product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its Base Erosion and Profit Shifting (BEPS) initiative, which was endorsed by the G20 finance ministers. Many of the initiatives in the BEPS package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required and resulted in specific amendments to the domestic tax legislation of various jurisdictions and to existing tax treaties. We continuously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monitor these developments. Although many of the BEPS measures have already been implemented or are currently being implemented globally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(including, in certain cases, through adoption of the OECD’s “multilateral convention” to effect changes to tax treaties which entered into force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July 1, 2018 and through the European Union’s “Anti Tax Avoidance” Directives), it is still difficult in some cases to assess to what extent these changes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would impact our tax liabilities in the jurisdictions in which we conduct our business or to what extent they may impact the way in which we conduct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business or our effective tax rate due to the unpredictability and interdependency of</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these potential changes. In January 2019 the OECD announced further work in continuation of the BEPS project, focusing on two “pillars.” On October 8, 2021, 137 countries approved a statement known as the OECD BEPS Inclusive Framework, which builds upon the OECD’s continuation of the BEPS project. The first pillar is focused on the allocation of taxing rights between countries for in-scope multinational enterprises that sell goods and services into countries with little or no local physical presence. The second pillar is focused on developing a global minimum tax rate of at least</w:t>
      </w:r>
    </w:p>
    <w:p>
      <w:pPr>
        <w:spacing w:after="0" w:line="1"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15 percent applicable to in-scope multinational enterprises. Guernsey is one of the 137 jurisdictions which has agreed in principle to enforce the global minimum tax rate. Given these developments, it is generally expected that tax authorities in various jurisdictions in which we operate might increase their audit activity and might seek to challenge some of the tax positions we have adopted. It is difficult to assess if and to what extent such challenges, if raised, might impact our effective tax rate. In addition, following the screening by the EU Code of Conduct Group on Business Taxation (“COCG”) of third-country jurisdictions to assess their compliance for tax purposes, Guernsey was found to be a co-operative jurisdiction. However, the COCG has requested that Guernsey, along with a number of other jurisdictions, take further steps to ensure that its tax system does not facilitate offshore structures which attract profits without real economic activity. Legislation introducing economic substance requirements for companies in the Crown Dependencies was approved by the respective parliaments in December 2018 and amended and updated with effect from June 30, 2021. The legislation applied initially to all companies resident for tax purposes in the Crown Dependencies and was effective for accounting periods commencing on or after January 1, 2019. The most recent amendments extended the legislation to include partnerships but did not make material changes to the substance requirements applicable to Guernsey tax resident companies. The regulations require entities, including companies and partnerships, to demonstrate that they have sufficient substance in Guernsey via a series of requirements, or tests. Amdocs is monitoring the developments closely to ensure that the Company is compliant with the various requirements.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are risks associated with our outstanding and future indebtedness.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September 30, 2022, we had an aggregate of $650 million of outstanding indebtedness and we may incur additional indebtedness in the future. Our ability to pay interest and repay the principal for our indebtedness is dependent upon our ability to manage our business operations, generate sufficient cash flows to service such debt and the other factors discussed in this section. There can be no assurance that we will be able to manage any of these risks successfully.</w:t>
      </w:r>
    </w:p>
    <w:p>
      <w:pPr>
        <w:spacing w:after="0" w:line="18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We may also need to refinance a portion of our outstanding debt as it matures. There is a risk that we may not be able to refinance existing debt or that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w:t>
      </w:r>
    </w:p>
    <w:p>
      <w:pPr>
        <w:spacing w:after="0" w:line="14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addition, changes by any rating agency to our outlook or credit rating could negatively affect the value of both our debt and equity securities and increase the interest amounts we pay on certain outstanding or future debt. These risks could adversely affect our financial condition and results of operations.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of our ordinary shares has and may continue to fluctuate widely.</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76" w:lineRule="exact"/>
        <w:rPr>
          <w:sz w:val="20"/>
          <w:szCs w:val="20"/>
          <w:color w:val="auto"/>
        </w:rPr>
      </w:pPr>
    </w:p>
    <w:p>
      <w:pPr>
        <w:ind w:left="1080" w:right="10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 including the current trends in the global markets and the continuing effect of the COVID-19 pandemic;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backlog levels;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announcements by any of our key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introductions of new products and services or new pricing policies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trends in the communications, media or software industries, including industry consolidation;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or strategic alliances by us or others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changes in estimates of our performance or recommendations by financial analysts, institutions and other market professionals;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our shareholder base;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developments in the Middle East or other areas of the world.</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It may be difficult for our shareholders to enforce any judgment obtained in the United States against us or our affiliates.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Development and Organizational Structure of Amdocs</w:t>
      </w:r>
    </w:p>
    <w:p>
      <w:pPr>
        <w:spacing w:after="0" w:line="12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leading communications and media companies in North America, Europe and the rest of the world. Our registered office is Hirzel House, Smith Street, St. Peter Port, Guernsey, GY1 2NG, and the telephone number at that location is +44-1481-728444.</w:t>
      </w:r>
    </w:p>
    <w:p>
      <w:pPr>
        <w:spacing w:after="0" w:line="15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executive offices of our principal subsidiary in the United States are located at 625 Maryville Centre Drive, Suite 200 Saint Louis, Missouri 63141 and the telephone number at that location is +1-314-212-7000.</w:t>
      </w:r>
    </w:p>
    <w:p>
      <w:pPr>
        <w:spacing w:after="0" w:line="170"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 xml:space="preserve">Our website address is </w:t>
      </w:r>
      <w:r>
        <w:rPr>
          <w:rFonts w:ascii="Arial" w:cs="Arial" w:eastAsia="Arial" w:hAnsi="Arial"/>
          <w:sz w:val="18"/>
          <w:szCs w:val="18"/>
          <w:i w:val="1"/>
          <w:iCs w:val="1"/>
          <w:color w:val="auto"/>
        </w:rPr>
        <w:t>www.amdocs.com</w:t>
      </w:r>
      <w:r>
        <w:rPr>
          <w:rFonts w:ascii="Arial" w:cs="Arial" w:eastAsia="Arial" w:hAnsi="Arial"/>
          <w:sz w:val="18"/>
          <w:szCs w:val="18"/>
          <w:color w:val="auto"/>
        </w:rPr>
        <w:t>. The information contained on, or that can be accessed from, our website does not form part of this Annual Report. The SEC maintains an internet site that contains reports, proxy and information statements, and other information regarding issuers, such as we, that file electronically, with the SEC at www.sec.gov.</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subsidiaries are organized under and subject to the laws of several countries. Our principal operating subsidiaries are in Canada, Cyprus, India, Ireland, Israel, Switzerland, the United Kingdom and the United States. Please see Exhibit 8 to this Annual Report on Form 20-F for a listing of our significant subsidiaries.</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86" w:right="51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As part of our strategy, we have pursued and may continue to pursue acquisitions, partnerships and other initiatives in order to offer new products or services or otherwise enhance our market position or strategic strengths. In recent years, we have completed numerous acquisitions, which, among other things, have expanded our business into digital commerce solutions and other digital offerings, 5G charging and policy, network and cloud technologies, software design and development and the media and entertainment domain. In August 2019, we acquired TTS Wireless, a provider of mobile network engineering services, specializing in network optimization and planning, to further expand our 5G capabilities and help operators accelerate and simplify deployment of 5G networks with comprehensive network rollout solutions. In August 2020, we acquired Openet, a provider of 5G charging, policy and cloud technologies, to extend our portfolio with open and network-centric technologies to help service providers differentiate in the 5G era. During fiscal year 2021, we acquired three technology companies. The largest of the three, acquired in March 2021, is Sourced Group, a leading global technology consultancy specializing in large-scale cloud transformations, to accelerate our strategy of taking the communications and media industry to the cloud and complement our portfolio of cloud- native products and services and further expand and diversify our customer base. During fiscal year 2022, we completed the acquisition of two immaterial technology companies (Roam Digital, a digital consultancy agency, and DevOpsGroup, a company specializing in cloud and DevOps adoption) and, in May 2022, announced our intention to acquire a third technology company, MYCOM-OSI. Recently, we and MYCOM-OSI mutually and amicably decided not to move forward with the planned acquisition following a longer than expected regulatory review process in the United Kingdom (that was still not complete). The definitive agreement has been terminated without any payments by either party to the other. As previously disclosed, this acquisition was not material and the decision not to pursue it is not expected to have an impact on our guidance. As the result of our organic growth and acquisitions, our workforce has increased over the last three years from an approximate average workforce of 25,875 in fiscal 2020 to 30,288 in fiscal 2022. In the past, our workforce has fluctuated with changes in business conditions.</w:t>
      </w:r>
    </w:p>
    <w:p>
      <w:pPr>
        <w:spacing w:after="0" w:line="19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Our principal capital expenditures for fiscal 2022, 2021 and 2020 have been for computer equipment in our operating facilities and development centers, for which we spent approximately $92 million, $89 million and $126 million, respectively, and for the development of our new campus in Israel, for which we spent approximately $116 million, $101 million and $63 million,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120" w:right="140" w:firstLine="440"/>
        <w:spacing w:after="0" w:line="254" w:lineRule="auto"/>
        <w:rPr>
          <w:sz w:val="20"/>
          <w:szCs w:val="20"/>
          <w:color w:val="auto"/>
        </w:rPr>
      </w:pPr>
      <w:r>
        <w:rPr>
          <w:rFonts w:ascii="Arial" w:cs="Arial" w:eastAsia="Arial" w:hAnsi="Arial"/>
          <w:sz w:val="18"/>
          <w:szCs w:val="18"/>
          <w:color w:val="auto"/>
        </w:rPr>
        <w:t>Amdocs is a leading provider of software and services for approximately 400 communications, Pay TV, entertainment and media industry and other service providers in developed countries and emerging markets. Our customers include some of the largest telecommunications companies in the world (including America Movil, AT&amp;T, Bell Canada, Singtel, Telefonica, Telstra, T-Mobile, Verizon and Vodafone), as well as cable and satellite providers (including Altice USA, Charter, Comcast, DISH, J:COM, Rogers Communications and Sky), small to midsized communications businesses and mobile virtual network enablers/mobile virtual network operators and directory publishers and providers of media and other services, such as financial services. Amdocs also holds relationships with hundreds of content owners and distributors around the globe, including MGM and Warner Bros. Discovery.</w:t>
      </w:r>
    </w:p>
    <w:p>
      <w:pPr>
        <w:spacing w:after="0" w:line="195"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Our software and services, which we develop, implement and manage, are designed to meet the business imperatives of our customers, create value for society and make our increasingly connected world more empowering by unlocking our customers’ innovative potential and enabling them to transform their boldest ideas into reality, and make customer experiences which are truly amazing. Our offerings are based on a product and services mix, using technologies and methodologies such as cloud and cloud native, microservices, DevSecOps, low-code/no-code, edge computing, open source, bimodal operations, Site Reliability Engineering (SRE) and increasing amounts of automation through standard information technology (IT) tools, open APIs and machine learning and artificial intelligence (AI). As a result, our offerings enable service providers to efficiently and cost-effectively engage their customers, introduce new products and services, automate service and network operations, monetize connectivity and content, support new business models and generally enhance their</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6" w:right="4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understanding of their customers. Our technology, design-led thinking approach and expertise help service providers accelerate their journey to the cloud, enhance their entertainment offerings, deploy and manage existing and next-generation networks, and serve their customers across all channels. In order to fulfill our responsibilities to our customers, we sometimes engage third-party vendors and system integrators providing complementary products and services, including hardware and software.</w:t>
      </w:r>
    </w:p>
    <w:p>
      <w:pPr>
        <w:spacing w:after="0" w:line="187"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We are able to offer customers superior products and services on a worldwide basis, in large part because of our highly qualified and trained technical, engineering,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192"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We believe the demand for our solutions is driven by our customers’ continued migration to the cloud, deployment of 5G networks and transformation into digital service providers to provide wireless access services, content and applications (apps) on any device through digital and non-digital channels. It is also driven by the trend towards integrated service offerings which we believe is leading to increased merger and acquisition activity among our customers who then require systems consolidation, which we provide, to ensure a consistent customer experience at all touchpoints. Our solutions enable service providers to help their consumer and enterprise (B2B) customers navigate the increasing number of devices, services, partner services and plans available in today’s digital world and the need of service providers to cope with the rapidly growing demand for content and data that these devices and services create, as well as to compete with over-the-top (OTT)-focused players. Regardless of whether service providers are bringing their first offerings to market, scaling for growth, consolidating systems or transforming the way they do business, we believe that they seek to differentiate themselves by delivering an amazing customer experience that is simple, personal, contextual and valuable at every point of engagement and across all channels.</w:t>
      </w:r>
    </w:p>
    <w:p>
      <w:pPr>
        <w:spacing w:after="0" w:line="185" w:lineRule="exact"/>
        <w:rPr>
          <w:sz w:val="20"/>
          <w:szCs w:val="20"/>
          <w:color w:val="auto"/>
        </w:rPr>
      </w:pPr>
    </w:p>
    <w:p>
      <w:pPr>
        <w:ind w:left="120" w:right="100" w:firstLine="440"/>
        <w:spacing w:after="0" w:line="253" w:lineRule="auto"/>
        <w:rPr>
          <w:sz w:val="20"/>
          <w:szCs w:val="20"/>
          <w:color w:val="auto"/>
        </w:rPr>
      </w:pPr>
      <w:r>
        <w:rPr>
          <w:rFonts w:ascii="Arial" w:cs="Arial" w:eastAsia="Arial" w:hAnsi="Arial"/>
          <w:sz w:val="18"/>
          <w:szCs w:val="18"/>
          <w:color w:val="auto"/>
        </w:rPr>
        <w:t>We invest time and resources to identify and address cybersecurity risks, including risks that our customers face with regard to our systems, products or services. We have established policies and procedures, benchmarked against industry best practices, designed to protect the integrity and security of our products and services. These policies and procedures as well as our cybersecurity strategies, including those related to risk and materiality assessment, incident response and disaster recovery are periodically evaluated by our management and Board of Directors. To foster a culture of security awareness and responsibility among our workforce we utilize educational tools, such as cybersecurity awareness training, and reporting procedures and tools, such as our 24/7 global cybersecurity center. Additionally, in light of the transition across the globe to a remote working environment, we have enabled secure solutions for collaboration and remote connectivity. We also work with our customers and use overlapping controls to defend against cybersecurity attacks and threats on customers’ networks, end-user devices, servers, applications, data and our cloud solutions.</w:t>
      </w:r>
    </w:p>
    <w:p>
      <w:pPr>
        <w:spacing w:after="0" w:line="19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As we work with our customers and partners to create a better-connected world, we seek to make a difference and we incorporate this commitment into our business culture, innovation and operations. We were selected for the 2022 S&amp;P Dow Jones Sustainability Index (DJSI) North America, with DJSI recognizing Amdocs as a sustainability leader in our industry and have received a gold rating standard from EcoVadis, a leading provider of business sustainability ratings. We place high value on protecting the environment and minimizing negative environmental impacts that may be created by our operations, and are seeking to create sustainable products and services. For example, as we take the industry to the cloud, we help service providers shift away from costly, space and energy-consuming hardware components, by delivering software-driven capabilities. We are committed to diversity, believing a gender diverse, multi-cultural and multi-generational workforce provides strength and a competitive advantage. We seek to create a welcoming work environment for all employees, regardless of age, disability, ethnicity, gender, religion or sexual orientation. We run internal programs to increase representation and empower female employees. We have placed particular effort in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86" w:right="4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recruiting more women for core technology and customer-facing roles, and 50% of our software testing engineers are women. We also promote initiatives designed to increase the representation of persons with disabilities and from different ethnicities. As we commit to enriching the lives of our employees, our efforts focus on providing a people-centric work environment, understanding that flexibility is key, from unlimited vacation to flexibility around how, when, and where a person works. We provide opportunities for growth and professional development, embracing a culture of continuous learning and upskilling, and have significantly expanded our employee well-being programs and investments.</w:t>
      </w:r>
    </w:p>
    <w:p>
      <w:pPr>
        <w:spacing w:after="0" w:line="17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Eurasia, Israel, Latin America, Africa and the Asia-Pacific region.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believe service providers will maintain a strong focus on growing new revenue streams, cost reduction and driving more efficient operations, and that the trends of ongoing digital transformation with a focus on customer experience, migration to the cloud, next-generation networks, and consolidation within the industry will continue. Service providers are increasingly focusing on their core capabilities, investing in 5G and fiber rollouts, to meet the demand for increased bandwidth, faster pace of innovation for new digital services, as well as to improve their business and operational agility and optimize and monetize their investments in such services. At the same time, many service providers are partnering with leading suppliers to offer their customers a rich portfolio of offerings including media; entertainment; enterprise enablement; Internet of Things (IoT); and digital lifestyle services, all of which is driving growth in the demand for multi-modal customer engagement capabilities and data.</w:t>
      </w:r>
    </w:p>
    <w:p>
      <w:pPr>
        <w:spacing w:after="0" w:line="16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OTT-focused players and device manufacturers continue to penetrate the communications market and are also competing for customer attention in the entertainment market, while traditional content creators are increasingly streaming their content direct-to-consumer (D2C). Additionally, social networks such as Facebook and Twitter, alongside OTT-focused players such as Snapchat and WhatsApp, have become widely accepted alternatives to traditional voice communications and also provide video streaming services. To meet the challenges from new competitors, service providers are developing cooperative partnerships with OTT-focused players to improve the customer experience as well as vertically integrating with content creators. Pay TV providers are moving toward more OTT and on-demand video services in their need to respond to customers’ on-demand experience expectations. As the business-to-consumer (B2C) domain is crowded with disruptors and heightened competition from OTT players, service providers are also looking to strengthen their standing with enterprise customers, explore new opportunities in the wholesale market and provide IoT services to new vertical market segments, such as the home, health and automotive industries.</w:t>
      </w:r>
    </w:p>
    <w:p>
      <w:pPr>
        <w:spacing w:after="0" w:line="18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To capture new revenue streams, service providers are expanding within existing and non-traditional business models and deploying new network technologies such as 5G. We believe 5G will enable service providers to grow their enterprise revenues through the introduction of new business models such as B2B2x, the rollout of private enterprise networks (PEN) and by exposing network-as-a-service (NaaS) functionality. As a result, we expect service providers will continue to place an emphasis on modernization and transformation projects for their networks and operational and business systems as they seek to introduce these new offerings, migrate to the cloud and offer innovative new services for both enterprise customers and individual consumers, and monetize these new capabilities.</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86" w:right="4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goal is to provide software and services solutions and support to communications and media companies of all sizes as they strive to deliver digital engagements, accelerate their migration to the cloud and remain competitive. We seek to accomplish our goal by pursuing the strategies described below.</w:t>
      </w:r>
    </w:p>
    <w:p>
      <w:pPr>
        <w:spacing w:after="0" w:line="89" w:lineRule="exact"/>
        <w:rPr>
          <w:sz w:val="20"/>
          <w:szCs w:val="20"/>
          <w:color w:val="auto"/>
        </w:rPr>
      </w:pPr>
    </w:p>
    <w:p>
      <w:pPr>
        <w:ind w:left="1080" w:right="80" w:hanging="424"/>
        <w:spacing w:after="0" w:line="254"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Focus on the Communications and Media Industry</w:t>
      </w:r>
      <w:r>
        <w:rPr>
          <w:rFonts w:ascii="Arial" w:cs="Arial" w:eastAsia="Arial" w:hAnsi="Arial"/>
          <w:sz w:val="18"/>
          <w:szCs w:val="18"/>
          <w:color w:val="auto"/>
        </w:rPr>
        <w:t>. We focus our resources and efforts primarily on providing customer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service providers in the communications and media industry. We consider our longstanding and continuing focus on this industry a competitive advantage. This strategy has enabled us to develop the specialized industry know-how and capability necessary to deliver the technologically advanced, large-scale, specifications-intensive solutions required by the leading wireless, wireline, broadband, cable and satellite companies as well as provide targeted point solutions for service providers of all sizes. These strengths have enabled us to diversify our customer base and expand our offering domains and may continue to provide us with opportunities to expand within other vertical segment markets.</w:t>
      </w:r>
    </w:p>
    <w:p>
      <w:pPr>
        <w:spacing w:after="0" w:line="100"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Target Industry Leaders</w:t>
      </w:r>
      <w:r>
        <w:rPr>
          <w:rFonts w:ascii="Arial" w:cs="Arial" w:eastAsia="Arial" w:hAnsi="Arial"/>
          <w:sz w:val="18"/>
          <w:szCs w:val="18"/>
          <w:color w:val="auto"/>
        </w:rPr>
        <w:t>. We intend to continue to direct our marketing efforts primarily toward communications and media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leaders and contenders. By targeting such leading service providers, which require the most sophisticated and relevant solutions, we believe that we are better able to remain at the forefront of developments in the industry. We believe that the development of this customer base has helped position us as a market leader.</w:t>
      </w:r>
    </w:p>
    <w:p>
      <w:pPr>
        <w:spacing w:after="0" w:line="92" w:lineRule="exact"/>
        <w:rPr>
          <w:rFonts w:ascii="Arial" w:cs="Arial" w:eastAsia="Arial" w:hAnsi="Arial"/>
          <w:sz w:val="18"/>
          <w:szCs w:val="18"/>
          <w:color w:val="auto"/>
        </w:rPr>
      </w:pPr>
    </w:p>
    <w:p>
      <w:pPr>
        <w:ind w:left="1080" w:right="40" w:hanging="424"/>
        <w:spacing w:after="0" w:line="269"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Continued Expansion into New Geographies and Emerging Markets. </w:t>
      </w:r>
      <w:r>
        <w:rPr>
          <w:rFonts w:ascii="Arial" w:cs="Arial" w:eastAsia="Arial" w:hAnsi="Arial"/>
          <w:sz w:val="17"/>
          <w:szCs w:val="17"/>
          <w:color w:val="auto"/>
        </w:rPr>
        <w:t>We seek to grow our customer base by expanding into new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inside the regions we currently serve and serving the needs of service providers operating in emerging markets. While we have a strong presence overall in developed markets such as Europe, there are countries in which we believe we can further expand our presence. In fiscal 2022, for example, we succeeded in growing our activities in Albania, Bulgaria, Hungary and Serbia and also expanded in Africa. In emerging markets, prepaid subscriber growth remains high and average revenue per user remains relatively low in comparison to more developed markets. In order to increase subscriber revenue, service providers are focusing on customer experience and on increasing capacity, particularly for data and content offerings, as key competitive differentiators. Our existing and prospective customers in these markets vary dramatically, with some service providers serving subscriber bases already numbering in the hundreds of millions and others introducing communications services to communities for the first time. We believe this shift in focus to customer experience and on increasing bandwidth and providing content helps to create the wide spectrum of emerging market service providers that require offerings ranging from relatively low-cost systems with pre-packaged services that can be implemented rapidly, to more robust services, to complete customer experience solutions.</w:t>
      </w:r>
    </w:p>
    <w:p>
      <w:pPr>
        <w:spacing w:after="0" w:line="84" w:lineRule="exact"/>
        <w:rPr>
          <w:rFonts w:ascii="Arial" w:cs="Arial" w:eastAsia="Arial" w:hAnsi="Arial"/>
          <w:sz w:val="17"/>
          <w:szCs w:val="17"/>
          <w:color w:val="auto"/>
        </w:rPr>
      </w:pPr>
    </w:p>
    <w:p>
      <w:pPr>
        <w:ind w:left="1080" w:right="20" w:hanging="424"/>
        <w:spacing w:after="0" w:line="269" w:lineRule="auto"/>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Provide Customers with an Open, Dynamic and Cloud-Native Portfolio to Meet Key Industry Trends</w:t>
      </w:r>
      <w:r>
        <w:rPr>
          <w:rFonts w:ascii="Arial" w:cs="Arial" w:eastAsia="Arial" w:hAnsi="Arial"/>
          <w:sz w:val="17"/>
          <w:szCs w:val="17"/>
          <w:color w:val="auto"/>
        </w:rPr>
        <w:t>. With our offerings, we seek to</w:t>
      </w:r>
      <w:r>
        <w:rPr>
          <w:rFonts w:ascii="Arial" w:cs="Arial" w:eastAsia="Arial" w:hAnsi="Arial"/>
          <w:sz w:val="17"/>
          <w:szCs w:val="17"/>
          <w:i w:val="1"/>
          <w:iCs w:val="1"/>
          <w:color w:val="auto"/>
        </w:rPr>
        <w:t xml:space="preserve"> </w:t>
      </w:r>
      <w:r>
        <w:rPr>
          <w:rFonts w:ascii="Arial" w:cs="Arial" w:eastAsia="Arial" w:hAnsi="Arial"/>
          <w:sz w:val="17"/>
          <w:szCs w:val="17"/>
          <w:color w:val="auto"/>
        </w:rPr>
        <w:t>accelerate our customers’ journey to the cloud and help them differentiate in the 5G era so they can deliver an always-on customer experience that is intuitive, simple, personal and valuable at every point of service. We provide solutions across digital business systems and legacy business and operational support systems (BSS/OSS) and network domains and multiple lines of business, including wireline, wireless, broadband, cable, satellite services, IoT and digital services. The business integration of our systems, supporting commerce, monetization and network automation, is achieved through a central, cloud-native catalog, built on an open, API-first and microservices-based approach to enable third-party integration. We believe that our ability to provide a broad, open, dynamic, modular, AI-embedded and cloud-native portfolio, with certified end-to-end business processes deployed using best practice DevSecOps, helps position us as a strategic partner for our customers as they seek to migrate to the cloud and continue to transform into digital service providers. This provides us with multiple avenues for strengthening and expanding our ongoing customer relationships. Our strategic collaborations with Amazon Web Services, Microsoft Azure and Google Cloud will further enable service providers to offer new and differentiated cloud services to</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86"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drive growth, customer loyalty and value-add with fast and agile interactions, and a wide ecosystem of third-party partners.</w:t>
      </w:r>
    </w:p>
    <w:p>
      <w:pPr>
        <w:spacing w:after="0" w:line="131" w:lineRule="exact"/>
        <w:rPr>
          <w:sz w:val="20"/>
          <w:szCs w:val="20"/>
          <w:color w:val="auto"/>
        </w:rPr>
      </w:pPr>
    </w:p>
    <w:p>
      <w:pPr>
        <w:ind w:left="1080" w:right="20" w:hanging="424"/>
        <w:spacing w:after="0" w:line="287"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Expand Our Managed Services Capabilities</w:t>
      </w:r>
      <w:r>
        <w:rPr>
          <w:rFonts w:ascii="Arial" w:cs="Arial" w:eastAsia="Arial" w:hAnsi="Arial"/>
          <w:sz w:val="16"/>
          <w:szCs w:val="16"/>
          <w:color w:val="auto"/>
        </w:rPr>
        <w:t>. We seek to assume responsibility for the operation, development and management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Amdocs systems, as well as systems developed by in-house IT departments or by other vendors. Our mandate can extend across the service provider’s entire IT and network environment and encompass key business process operational needs, organizational readiness preparation and employee upskilling. Many of these projects involve what we call managed transformations: a multi-year project in which we modernize legacy systems while operating them, and then continue to provide managed services once the transformation is complete. Our customers receive predictable service levels based on agreed-upon key performance indicators, access to a global repository of automation processes, as well as improved efficiencies and long-term savings over the day-to-day costs of operating and maintaining these systems. Managed transformations also provide an improved end-user experience, so service providers can focus on their own internal strengths and strategy to grow their business, leaving system concerns to us. We are continuing to expand our cloud operations, covering the full cloud management lifecycle, including cloud cost optimization (FinOps), multi-cloud management, and cloud security. Managed services also benefit us, as they can be a source of predictable recurring revenue and long-term relationships.</w:t>
      </w:r>
    </w:p>
    <w:p>
      <w:pPr>
        <w:spacing w:after="0" w:line="77" w:lineRule="exact"/>
        <w:rPr>
          <w:rFonts w:ascii="Arial" w:cs="Arial" w:eastAsia="Arial" w:hAnsi="Arial"/>
          <w:sz w:val="16"/>
          <w:szCs w:val="16"/>
          <w:color w:val="auto"/>
        </w:rPr>
      </w:pPr>
    </w:p>
    <w:p>
      <w:pPr>
        <w:ind w:left="1080" w:right="120" w:hanging="424"/>
        <w:spacing w:after="0" w:line="29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Develop and Maintain Long-Term Customer Relationships</w:t>
      </w:r>
      <w:r>
        <w:rPr>
          <w:rFonts w:ascii="Arial" w:cs="Arial" w:eastAsia="Arial" w:hAnsi="Arial"/>
          <w:sz w:val="16"/>
          <w:szCs w:val="16"/>
          <w:color w:val="auto"/>
        </w:rPr>
        <w:t>. We seek to develop and maintain long-term, mutually beneficial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customers, and have organized our internal operations to better anticipate and respond to our customers’ needs. We believe these relationships can lead to additional product and services sales, including products and services from recent acquisitions which have expanded our offering, as well as ongoing, long-term support, system enhancement, modernization,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provide, produce a competitive advantage for us.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Amdocs Offerings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Our understanding of our customers’ business needs and the importance of delivering an amazing experience to their end users provide the framework for our portfolio of capability-based products and services. Our offerings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They enable modular expansion as a service provider evolves, ensuring lower-cost and reduced-risk implementations, while their microservices-based architecture enables the rapid deployment of complex applications as suites of independently deployable services that can be frequently upgraded via DevSecOps. With our portfolio’s open and modular structure, organized by capability such as monetization, commerce and care, consulting, delivery, operations and others, and matched to industry standards, our customers have the flexibility to choose business offerings that address their specific needs and improve their time to market and value. In the second quarter of fiscal 2022, we released Amdocs CES22, a 5G and cloud-native, microservices-based version of our market-leading customer experience suite, which is open and integrated all the way from the network to the end-user experience.</w:t>
      </w:r>
    </w:p>
    <w:p>
      <w:pPr>
        <w:spacing w:after="0" w:line="16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CES22 suite enables service providers to build, deliver and monetize advanced services, leveraging their investments in technologies such as 5G standalone networks, multi-access edge computing (MEC), programmable networks, artificial intelligence (AI) and machine learning (ML), and the cloud. The CES22 suite is comprised of our Commerce and Care suite for order capture and handling and customer engagement; the Monetization suite for charging, billing, policy and revenue management among other functions, and our Intelligent Networking suite with a set of modular, flexible and open service lifecycle management capabilities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designed for network automation journeys such as digital-to-network automation, end-to-end service and network orchestration, 5G slice &amp; edge automation, and Network-as-a-Service. The CES22 suite also includes a low-code/no-code experience technology platform for our care and commerce solutions, and aligns with the TM Forum’s open API framework, offering a continuous integration/continuous delivery (CI/CD) environment, built using Amdocs’ cloud-agnostic Microservices Management Platform to ensure agility and IT velocity. Our data intelligence solutions and applications span every aspect of the service provider’s business, with detailed use cases embedded within our products and best practices to help service providers become truly data-driven organizations. We have furthermore launched solutions for the 5G-specific needs of service providers as they begin to introduce, deliver and monetize new 5G services for consumers and businesses. These solutions encompass charging, policy, network data analytics and network exposure functions, managed by our centralized catalog. With our 5G solutions, we enable service providers to fully realize 5G and edge cloud capabilities and introduce new business models (e.g., B2B2C, B2B2B, Network-as-a-Service, private networks) by providing a holistic approach to flexible monetization for new monetizable network assets (e.g., network slice, quality-of-service) as well as for partner-based services, and by exposing network capabilities and network data to both customers and partners, enabling service providers to form or participate in a partner ecosystem.</w:t>
      </w:r>
    </w:p>
    <w:p>
      <w:pPr>
        <w:spacing w:after="0" w:line="17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Overall, our technology offerings include individual products for commerce and care, catalog management, monetization, subscription management, IoT, AI, service and network automation and network development and optimization. We also offer Amdocs MarketONE, a cloud-native, SaaS, scalable business ecosystem designed to enable a frictionless OTT and digital consumer services experience and monetization, as well as media offerings for media publishers, TV networks, video streaming providers, and service providers. Our Amdocs Digital Brands Suite, a fully pre-integrated digital business suite, is designed for digital telecom brands and small-scale service providers covering care, commerce, ordering and monetization needs. The Amdocs eSIM Cloud enables service providers to offer device “digital SIM” (eSIM) and other services for a variety of IoT consumer and industrial devices from Apple, Samsung, Microsoft, Google and other device manufacturers, while our advanced cybersecurity service helps protect and manage enterprises. Our AI-powered, cloud-native, home operating system enables service providers to expand the home broadband experience, offering end users automated care, smart insights, security and control over the growing number of connected home devices.</w:t>
      </w:r>
    </w:p>
    <w:p>
      <w:pPr>
        <w:spacing w:after="0" w:line="166"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Our broad portfolio of services capabilities ranges from consulting to delivery, quality engineering (testing), operations, systems integration, mobile network services, experience design and content services, and the extent of services provided varies from customer to customer. Our services engagements can range in size and scope and include advising customers on business and technical strategy, designing and implementing particular business solutions, managing specific business operations processes, adopting DevSecOps, migrating applications to, and operating them on, the cloud and orchestrating large-scale transformation projects. We also provide end-to-end application development and maintenance, from ideation to deployment, managing all steps of the development lifecycle, supporting bi-modal development methodologies, as well as ongoing maintenance.</w:t>
      </w:r>
    </w:p>
    <w:p>
      <w:pPr>
        <w:spacing w:after="0" w:line="16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addition, we are generally retained by the customer to provide ongoing services, such as maintenance, enhancement design and development and operational support, or to act as a lead systems integrator for post- production activities that may include interfaces with third-party and legacy systems. We also provide network development and optimization services, supporting the industry’s move to 5G.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delivered and provide us with recurring revenue.</w:t>
      </w:r>
    </w:p>
    <w:p>
      <w:pPr>
        <w:spacing w:after="0" w:line="192" w:lineRule="exact"/>
        <w:rPr>
          <w:sz w:val="20"/>
          <w:szCs w:val="20"/>
          <w:color w:val="auto"/>
        </w:rPr>
      </w:pPr>
    </w:p>
    <w:p>
      <w:pPr>
        <w:jc w:val="both"/>
        <w:ind w:left="120" w:right="280" w:firstLine="440"/>
        <w:spacing w:after="0" w:line="279" w:lineRule="auto"/>
        <w:rPr>
          <w:sz w:val="20"/>
          <w:szCs w:val="20"/>
          <w:color w:val="auto"/>
        </w:rPr>
      </w:pPr>
      <w:r>
        <w:rPr>
          <w:rFonts w:ascii="Arial" w:cs="Arial" w:eastAsia="Arial" w:hAnsi="Arial"/>
          <w:sz w:val="17"/>
          <w:szCs w:val="17"/>
          <w:color w:val="auto"/>
        </w:rPr>
        <w:t>Our managed services, using AI and predictive analytics, as well as robotic process automation and machine learning, are designed to enable service providers’ IT and network departments to keep pace with the speed of business requirements as they journey towards zero-touch operations, provide faster time to market for new services as well as the cost-effective management of existing offerings. Our telco, financial and media Amdocs Cloud Management Platform supports more agile and reliable operations and also includes dedicated tools that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automate tasks that would traditionally require various software development skills. It contains a set of advanced tools and integrations to external tools to support and enable our services across many aspects of the IT lifecycle in service provider environments, including solution development, quality engineering, cloud migration and operations, FinOps, automation and AI engines, self-service channels, governance and more. Managed services provide multi-year, flexible and tailored managed services across all verticals, managing IT, business processes and applications services, including application development and maintenance, operations, IT and infrastructure hosting, cloud operations and in-house developed practices, and legacy modernization.</w:t>
      </w:r>
    </w:p>
    <w:p>
      <w:pPr>
        <w:spacing w:after="0" w:line="19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quality engineering services are designed to help modernize our customers’ approach to testing. They combine upskilling our customers’ organization, employing our AI-driven test automation platform specifically designed for the communications industry, and integrating a DevSecOps approach to ensure faster time to market combined with higher product quality. We support the complete quality engineering spectrum of services, from project-based engagements to fully outsourced testing centers of excellence.</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professional services are designed to assist customers in the selection, implementation, operation, management, modernization and maintenance of their IT, network and content systems. As a lead systems integrator, we assume end-to-end responsibility to monitor, manage and deploy the overall development and integration activities of Amdocs and third-party vendors throughout the transformation lifecycle and business-as-usual state. We also offer integration design and implementation services to help bridge between modern digital channels and a customer’s existing legacy back-end and third-party systems. Our unique integration platform as a service solution is built specifically for the challenges of the communications and media industry, enabling modernization with minimal impact on the systems of record and other legacy systems.</w:t>
      </w:r>
    </w:p>
    <w:p>
      <w:pPr>
        <w:spacing w:after="0" w:line="164" w:lineRule="exact"/>
        <w:rPr>
          <w:sz w:val="20"/>
          <w:szCs w:val="20"/>
          <w:color w:val="auto"/>
        </w:rPr>
      </w:pPr>
    </w:p>
    <w:p>
      <w:pPr>
        <w:ind w:left="120" w:right="20" w:firstLine="440"/>
        <w:spacing w:after="0" w:line="251" w:lineRule="auto"/>
        <w:rPr>
          <w:sz w:val="20"/>
          <w:szCs w:val="20"/>
          <w:color w:val="auto"/>
        </w:rPr>
      </w:pPr>
      <w:r>
        <w:rPr>
          <w:rFonts w:ascii="Arial" w:cs="Arial" w:eastAsia="Arial" w:hAnsi="Arial"/>
          <w:sz w:val="17"/>
          <w:szCs w:val="17"/>
          <w:color w:val="auto"/>
        </w:rPr>
        <w:t>Our business and top-level technology strategy consulting services cover both Amdocs and non-Amdocs systems. Our consultants understand the service provider’s environment and bring with them the experience we accumulated when modernizing our own Amdocs product lines and re-skilling our people to master hybrids of the legacy and the new. Using expertise from recent acquisitions, we also provide experts in specific niches, such as user experience (UX) experts from projekt202, digital software engineering and cloud development experts from Kenzan and cloud platform and cloud transformation experts from Sourced Group and DevOps Group. Our Cloud at Scale</w:t>
      </w:r>
      <w:r>
        <w:rPr>
          <w:rFonts w:ascii="Arial" w:cs="Arial" w:eastAsia="Arial" w:hAnsi="Arial"/>
          <w:sz w:val="25"/>
          <w:szCs w:val="25"/>
          <w:color w:val="auto"/>
          <w:vertAlign w:val="superscript"/>
        </w:rPr>
        <w:t>™</w:t>
      </w:r>
      <w:r>
        <w:rPr>
          <w:rFonts w:ascii="Arial" w:cs="Arial" w:eastAsia="Arial" w:hAnsi="Arial"/>
          <w:sz w:val="17"/>
          <w:szCs w:val="17"/>
          <w:color w:val="auto"/>
        </w:rPr>
        <w:t xml:space="preserve"> methodology, developed by Sourced Group, provides a rapid, secure path for service providers, including financial services providers, adopting cloud.</w:t>
      </w:r>
    </w:p>
    <w:p>
      <w:pPr>
        <w:spacing w:after="0" w:line="18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content services are designed to enable service providers to build rich, premium content offerings for their customers, accessing large libraries of premium licensed content, securely processed and distributed across any channel, device type or geography. Through content aggregation, localization and compliance management, metadata creation, encoding, distribution, asset management and delivery, our services help service providers and premium content owners monetize content through a variety of commercial models.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portfolio architecture enables our applications to work in multiple customer environments ranging from on premise to public cloud.</w:t>
      </w:r>
    </w:p>
    <w:p>
      <w:pPr>
        <w:spacing w:after="0" w:line="23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To help service providers respond more quickly to changes in their markets, we embrace an open and integrated approach to our technology built on the following key principles:</w:t>
      </w:r>
    </w:p>
    <w:p>
      <w:pPr>
        <w:spacing w:after="0" w:line="76" w:lineRule="exact"/>
        <w:rPr>
          <w:sz w:val="20"/>
          <w:szCs w:val="20"/>
          <w:color w:val="auto"/>
        </w:rPr>
      </w:pPr>
    </w:p>
    <w:p>
      <w:pPr>
        <w:ind w:left="1080" w:right="20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Design Led</w:t>
      </w:r>
      <w:r>
        <w:rPr>
          <w:rFonts w:ascii="Arial" w:cs="Arial" w:eastAsia="Arial" w:hAnsi="Arial"/>
          <w:sz w:val="18"/>
          <w:szCs w:val="18"/>
          <w:color w:val="auto"/>
        </w:rPr>
        <w:t>. Adopting design-led principles and methodologies across software applications to ensure improved and optimized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w:t>
      </w:r>
    </w:p>
    <w:p>
      <w:pPr>
        <w:spacing w:after="0" w:line="75"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API-First</w:t>
      </w:r>
      <w:r>
        <w:rPr>
          <w:rFonts w:ascii="Arial" w:cs="Arial" w:eastAsia="Arial" w:hAnsi="Arial"/>
          <w:sz w:val="18"/>
          <w:szCs w:val="18"/>
          <w:color w:val="auto"/>
        </w:rPr>
        <w:t>. Leveraging domain-driven design to expose APIs across key applications and ensure consumption and interaction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is easily enabled. It exposes the Amdocs portfolio application programming interfaces to external systems, allowing our applications to integrate with each other and with third-party applications.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86" w:right="4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2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Cloud Flexibility</w:t>
      </w:r>
      <w:r>
        <w:rPr>
          <w:rFonts w:ascii="Arial" w:cs="Arial" w:eastAsia="Arial" w:hAnsi="Arial"/>
          <w:sz w:val="18"/>
          <w:szCs w:val="18"/>
          <w:color w:val="auto"/>
        </w:rPr>
        <w:t>. Architected to run in public and on-premise cloud environments, and across a variety of providers based on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needs.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Microservices</w:t>
      </w:r>
      <w:r>
        <w:rPr>
          <w:rFonts w:ascii="Arial" w:cs="Arial" w:eastAsia="Arial" w:hAnsi="Arial"/>
          <w:sz w:val="18"/>
          <w:szCs w:val="18"/>
          <w:color w:val="auto"/>
        </w:rPr>
        <w:t>. Developing highly granular, lightweight distributed software architecture, shipped and delivered using containers and</w:t>
      </w:r>
      <w:r>
        <w:rPr>
          <w:rFonts w:ascii="Arial" w:cs="Arial" w:eastAsia="Arial" w:hAnsi="Arial"/>
          <w:sz w:val="18"/>
          <w:szCs w:val="18"/>
          <w:i w:val="1"/>
          <w:iCs w:val="1"/>
          <w:color w:val="auto"/>
        </w:rPr>
        <w:t xml:space="preserve"> </w:t>
      </w:r>
      <w:r>
        <w:rPr>
          <w:rFonts w:ascii="Arial" w:cs="Arial" w:eastAsia="Arial" w:hAnsi="Arial"/>
          <w:sz w:val="18"/>
          <w:szCs w:val="18"/>
          <w:color w:val="auto"/>
        </w:rPr>
        <w:t>orchestrated using Kubernetes, the industry-leading cluster management for containers.</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Scalability</w:t>
      </w:r>
      <w:r>
        <w:rPr>
          <w:rFonts w:ascii="Arial" w:cs="Arial" w:eastAsia="Arial" w:hAnsi="Arial"/>
          <w:sz w:val="18"/>
          <w:szCs w:val="18"/>
          <w:color w:val="auto"/>
        </w:rPr>
        <w:t>. Designed to take full advantage of the capabilities of the underlying platform, allowing progressive system expansion,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proportional with increases in business volumes. Using the same software, our applications can support operations for small and very large service providers.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System and component architecture supports high availability and redundancy to allow connected and uninterrupted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full network utilization and device load.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Modularity</w:t>
      </w:r>
      <w:r>
        <w:rPr>
          <w:rFonts w:ascii="Arial" w:cs="Arial" w:eastAsia="Arial" w:hAnsi="Arial"/>
          <w:sz w:val="18"/>
          <w:szCs w:val="18"/>
          <w:color w:val="auto"/>
        </w:rPr>
        <w:t>. Applications can be installed on an individual standalone basis, interfacing with the customer’s existing systems, or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an integrated Amdocs system environment. We believe this modularity provides our customers with a highly flexible solution that is able to incrementally expand with the customer’s growing needs and capabilities.</w:t>
      </w:r>
    </w:p>
    <w:p>
      <w:pPr>
        <w:spacing w:after="0" w:line="89" w:lineRule="exact"/>
        <w:rPr>
          <w:rFonts w:ascii="Arial" w:cs="Arial" w:eastAsia="Arial" w:hAnsi="Arial"/>
          <w:sz w:val="18"/>
          <w:szCs w:val="18"/>
          <w:color w:val="auto"/>
        </w:rPr>
      </w:pPr>
    </w:p>
    <w:p>
      <w:pPr>
        <w:ind w:left="1080" w:right="12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Software-as-a-Service (SaaS). </w:t>
      </w:r>
      <w:r>
        <w:rPr>
          <w:rFonts w:ascii="Arial" w:cs="Arial" w:eastAsia="Arial" w:hAnsi="Arial"/>
          <w:sz w:val="18"/>
          <w:szCs w:val="18"/>
          <w:color w:val="auto"/>
        </w:rPr>
        <w:t>Developing software that is consumed via a subscription model, rather than installed on customer-owned</w:t>
      </w:r>
      <w:r>
        <w:rPr>
          <w:rFonts w:ascii="Arial" w:cs="Arial" w:eastAsia="Arial" w:hAnsi="Arial"/>
          <w:sz w:val="18"/>
          <w:szCs w:val="18"/>
          <w:i w:val="1"/>
          <w:iCs w:val="1"/>
          <w:color w:val="auto"/>
        </w:rPr>
        <w:t xml:space="preserve"> </w:t>
      </w:r>
      <w:r>
        <w:rPr>
          <w:rFonts w:ascii="Arial" w:cs="Arial" w:eastAsia="Arial" w:hAnsi="Arial"/>
          <w:sz w:val="18"/>
          <w:szCs w:val="18"/>
          <w:color w:val="auto"/>
        </w:rPr>
        <w:t>hardware. Offering SaaS solutions enables our customers to quickly deploy, simply operate and continuously benefit from our investment in portfolio platforms.</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Continuous Updates</w:t>
      </w:r>
      <w:r>
        <w:rPr>
          <w:rFonts w:ascii="Arial" w:cs="Arial" w:eastAsia="Arial" w:hAnsi="Arial"/>
          <w:sz w:val="18"/>
          <w:szCs w:val="18"/>
          <w:color w:val="auto"/>
        </w:rPr>
        <w:t>. Ongoing delivery of software functionality enables customers to adopt the latest features and functions as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made available, accelerating time to market and business agility.</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Virtualization</w:t>
      </w:r>
      <w:r>
        <w:rPr>
          <w:rFonts w:ascii="Arial" w:cs="Arial" w:eastAsia="Arial" w:hAnsi="Arial"/>
          <w:sz w:val="18"/>
          <w:szCs w:val="18"/>
          <w:color w:val="auto"/>
        </w:rPr>
        <w:t>. Business agility improves with virtualization as it allows introduction of new services rapidly. Moreover, virtualization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reduces cost by improving resource utilization and by automating processes.</w:t>
      </w:r>
    </w:p>
    <w:p>
      <w:pPr>
        <w:spacing w:after="0" w:line="75"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Hybrid-Cloud</w:t>
      </w:r>
      <w:r>
        <w:rPr>
          <w:rFonts w:ascii="Arial" w:cs="Arial" w:eastAsia="Arial" w:hAnsi="Arial"/>
          <w:sz w:val="17"/>
          <w:szCs w:val="17"/>
          <w:color w:val="auto"/>
        </w:rPr>
        <w:t>. Supporting application architecture that spans physical, virtual and cloud-based infrastructures. The deployment,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and operation of these diverse permutations must be orchestrated in order to deliver seamless experiences.</w:t>
      </w:r>
    </w:p>
    <w:p>
      <w:pPr>
        <w:spacing w:after="0" w:line="51" w:lineRule="exact"/>
        <w:rPr>
          <w:rFonts w:ascii="Arial" w:cs="Arial" w:eastAsia="Arial" w:hAnsi="Arial"/>
          <w:sz w:val="17"/>
          <w:szCs w:val="17"/>
          <w:color w:val="auto"/>
        </w:rPr>
      </w:pPr>
    </w:p>
    <w:p>
      <w:pPr>
        <w:ind w:left="1080" w:hanging="424"/>
        <w:spacing w:after="0" w:line="290"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Open-Source Software</w:t>
      </w:r>
      <w:r>
        <w:rPr>
          <w:rFonts w:ascii="Arial" w:cs="Arial" w:eastAsia="Arial" w:hAnsi="Arial"/>
          <w:sz w:val="16"/>
          <w:szCs w:val="16"/>
          <w:color w:val="auto"/>
        </w:rPr>
        <w:t>. Enabling rapid time to market and lower-cost functionality introduction, our software leverages open-source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to encourage standardization and improved quality where possible. We are a founding partner of the 5G Open Innovation Lab, a global ecosystem for developers, enterprises, wireless carriers and technology leaders to fuel the development and monetization of new 5G-powered technology use cases and markets. We are also a contributor to the O-RAN Alliance — whose mission is to reshape the RAN industry towards more intelligent, open, virtualized and fully interoperable mobile networks — and to the development of The Linux Foundation’s ONAP, an advanced open source solution for the telecommunications industry. Furthermore, Amdocs plays an integral part in Telecom Infra Project (TIP) initiatives, focused on bringing viable open, standards-based market solutions to service providers for a variety of environments, from urban to rural, and creating a better-connected society.</w:t>
      </w:r>
    </w:p>
    <w:p>
      <w:pPr>
        <w:spacing w:after="0" w:line="70"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Service-Oriented Architecture. </w:t>
      </w:r>
      <w:r>
        <w:rPr>
          <w:rFonts w:ascii="Arial" w:cs="Arial" w:eastAsia="Arial" w:hAnsi="Arial"/>
          <w:sz w:val="18"/>
          <w:szCs w:val="18"/>
          <w:color w:val="auto"/>
        </w:rPr>
        <w:t>SOA enables improved flow of information, rapid function development, easier scaling and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introduction of new services.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Embedded Automation</w:t>
      </w:r>
      <w:r>
        <w:rPr>
          <w:rFonts w:ascii="Arial" w:cs="Arial" w:eastAsia="Arial" w:hAnsi="Arial"/>
          <w:sz w:val="18"/>
          <w:szCs w:val="18"/>
          <w:color w:val="auto"/>
        </w:rPr>
        <w:t>. End-to-end automation capabilities spanning multiple domains and extending across users, business and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and networks, to optimize the efficient utilization of resources while enabling adaptive, real-time responsiveness to specific business and customer requirements in a timely and cost-efficient manner.</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Low-code/No code. </w:t>
      </w:r>
      <w:r>
        <w:rPr>
          <w:rFonts w:ascii="Arial" w:cs="Arial" w:eastAsia="Arial" w:hAnsi="Arial"/>
          <w:sz w:val="18"/>
          <w:szCs w:val="18"/>
          <w:color w:val="auto"/>
        </w:rPr>
        <w:t>A visual software development approach that requires little to no coding skill on the part of the user, allowing the rapid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applications with minimal dependency on IT and code developers.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540" w:hanging="424"/>
        <w:spacing w:after="0" w:line="34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Artificial Intelligence/Machine Learning</w:t>
      </w:r>
      <w:r>
        <w:rPr>
          <w:rFonts w:ascii="Arial" w:cs="Arial" w:eastAsia="Arial" w:hAnsi="Arial"/>
          <w:sz w:val="16"/>
          <w:szCs w:val="16"/>
          <w:color w:val="auto"/>
        </w:rPr>
        <w:t>. Delivering automation and providing service providers with more intelligence about their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the performance of their infrastructures, optimizing the customer experience and enabling zero-touch operations.</w:t>
      </w:r>
    </w:p>
    <w:p>
      <w:pPr>
        <w:spacing w:after="0" w:line="2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sales and marketing activities are primarily directed at major communications and media companies.</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a result of the strategic importance of our solutions to the operations of service providers, a number of constituencies within a customer’s organization are typically involved in purchasing decisions, including senior management, information systems personnel and user groups, such as the finance, customer service and marketing departments.</w:t>
      </w:r>
    </w:p>
    <w:p>
      <w:pPr>
        <w:spacing w:after="0" w:line="184"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 integrators that provide complementary products and services. We also have value-added reseller agreements with leading hardware and software vendors. Our sales and marketing activities also support projects with our partner ecosystem of over 100 partner companies in domains such as digital and consumer experience, media and entertainment, IoT, data intelligence, security and privacy, cloud and open source. Partner companies include Amazon Web Services, Microsoft, Intel, Google, Redhat, Dell EMC and VMware, Hewlett Packard Enterprise and IBM, as well as start-up companies.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Our target market is comprised of service providers in the communications and media industry that require customer experience solutions with advanced functionality and technology. The companies in our target segment are typically market leaders. By working with such companies, we help ensure that we remain at the forefront of developments in the industry and that our product offerings continue to address the market’s most sophisticated needs. Additionally, with projekt202 and Sourced Group, we deliver experience-driven and cloud transformations for customers in other industry verticals, such as financial services. We have a global orientation and customers in approximately 90 countries.</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customers include service providers, such as:</w:t>
      </w:r>
    </w:p>
    <w:p>
      <w:pPr>
        <w:sectPr>
          <w:pgSz w:w="11900" w:h="16838" w:orient="portrait"/>
          <w:cols w:equalWidth="0" w:num="1">
            <w:col w:w="11080"/>
          </w:cols>
          <w:pgMar w:left="320" w:top="486" w:right="49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A1 Bulgaria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A1 Telekom Austria Group</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Airtel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Altice France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Altice USA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América Móvil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Astro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AT&amp;T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AT&amp;T Mexico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Azercell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Bell Canada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Bharat Sanchar Nigam Limited (BSNL)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Botswana Telecommunications Corporation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Cable &amp; Wireless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Capita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Cellcom</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Charter Communications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Claro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Claro Chile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Claro Dominican Republic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Claro Puerto Rico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Telekom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Elisa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EPIX</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Eros Now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Far EasTone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Fastweb</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Foxtel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Globe Telecom</w:t>
      </w:r>
    </w:p>
    <w:p>
      <w:pPr>
        <w:spacing w:after="0" w:line="157" w:lineRule="exact"/>
        <w:rPr>
          <w:sz w:val="20"/>
          <w:szCs w:val="20"/>
          <w:color w:val="auto"/>
        </w:rPr>
      </w:pPr>
    </w:p>
    <w:p>
      <w:pPr>
        <w:sectPr>
          <w:pgSz w:w="11900" w:h="16838" w:orient="portrait"/>
          <w:cols w:equalWidth="0" w:num="2">
            <w:col w:w="5240" w:space="720"/>
            <w:col w:w="5120"/>
          </w:cols>
          <w:pgMar w:left="320" w:top="486"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080"/>
          </w:cols>
          <w:pgMar w:left="320" w:top="486" w:right="49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sz w:val="20"/>
                <w:szCs w:val="20"/>
                <w:color w:val="auto"/>
              </w:rPr>
            </w:pPr>
            <w:r>
              <w:rPr>
                <w:rFonts w:ascii="Arial" w:cs="Arial" w:eastAsia="Arial" w:hAnsi="Arial"/>
                <w:sz w:val="18"/>
                <w:szCs w:val="18"/>
                <w:b w:val="1"/>
                <w:bCs w:val="1"/>
                <w:color w:val="0000EE"/>
                <w:w w:val="88"/>
              </w:rPr>
              <w:t>Table of Contents</w:t>
            </w:r>
          </w:p>
        </w:tc>
        <w:tc>
          <w:tcPr>
            <w:tcW w:w="284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519"/>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J:COM</w:t>
            </w:r>
          </w:p>
        </w:tc>
        <w:tc>
          <w:tcPr>
            <w:tcW w:w="3640" w:type="dxa"/>
            <w:vAlign w:val="bottom"/>
          </w:tcPr>
          <w:p>
            <w:pPr>
              <w:ind w:left="1760"/>
              <w:spacing w:after="0"/>
              <w:rPr>
                <w:sz w:val="20"/>
                <w:szCs w:val="20"/>
                <w:color w:val="auto"/>
              </w:rPr>
            </w:pPr>
            <w:r>
              <w:rPr>
                <w:rFonts w:ascii="Arial" w:cs="Arial" w:eastAsia="Arial" w:hAnsi="Arial"/>
                <w:sz w:val="18"/>
                <w:szCs w:val="18"/>
                <w:color w:val="auto"/>
              </w:rPr>
              <w:t>Telkom SA</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KT</w:t>
            </w:r>
          </w:p>
        </w:tc>
        <w:tc>
          <w:tcPr>
            <w:tcW w:w="3640" w:type="dxa"/>
            <w:vAlign w:val="bottom"/>
          </w:tcPr>
          <w:p>
            <w:pPr>
              <w:ind w:left="1760"/>
              <w:spacing w:after="0"/>
              <w:rPr>
                <w:sz w:val="20"/>
                <w:szCs w:val="20"/>
                <w:color w:val="auto"/>
              </w:rPr>
            </w:pPr>
            <w:r>
              <w:rPr>
                <w:rFonts w:ascii="Arial" w:cs="Arial" w:eastAsia="Arial" w:hAnsi="Arial"/>
                <w:sz w:val="18"/>
                <w:szCs w:val="18"/>
                <w:color w:val="auto"/>
              </w:rPr>
              <w:t>Telkomsel</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Kyivstar</w:t>
            </w:r>
          </w:p>
        </w:tc>
        <w:tc>
          <w:tcPr>
            <w:tcW w:w="3640" w:type="dxa"/>
            <w:vAlign w:val="bottom"/>
          </w:tcPr>
          <w:p>
            <w:pPr>
              <w:ind w:left="1760"/>
              <w:spacing w:after="0"/>
              <w:rPr>
                <w:sz w:val="20"/>
                <w:szCs w:val="20"/>
                <w:color w:val="auto"/>
              </w:rPr>
            </w:pPr>
            <w:r>
              <w:rPr>
                <w:rFonts w:ascii="Arial" w:cs="Arial" w:eastAsia="Arial" w:hAnsi="Arial"/>
                <w:sz w:val="18"/>
                <w:szCs w:val="18"/>
                <w:color w:val="auto"/>
              </w:rPr>
              <w:t>Telstra</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LG Uplus</w:t>
            </w:r>
          </w:p>
        </w:tc>
        <w:tc>
          <w:tcPr>
            <w:tcW w:w="3640" w:type="dxa"/>
            <w:vAlign w:val="bottom"/>
          </w:tcPr>
          <w:p>
            <w:pPr>
              <w:ind w:left="1760"/>
              <w:spacing w:after="0"/>
              <w:rPr>
                <w:sz w:val="20"/>
                <w:szCs w:val="20"/>
                <w:color w:val="auto"/>
              </w:rPr>
            </w:pPr>
            <w:r>
              <w:rPr>
                <w:rFonts w:ascii="Arial" w:cs="Arial" w:eastAsia="Arial" w:hAnsi="Arial"/>
                <w:sz w:val="18"/>
                <w:szCs w:val="18"/>
                <w:color w:val="auto"/>
              </w:rPr>
              <w:t>TELUS</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Liberty Global</w:t>
            </w:r>
          </w:p>
        </w:tc>
        <w:tc>
          <w:tcPr>
            <w:tcW w:w="3640" w:type="dxa"/>
            <w:vAlign w:val="bottom"/>
          </w:tcPr>
          <w:p>
            <w:pPr>
              <w:ind w:left="1760"/>
              <w:spacing w:after="0"/>
              <w:rPr>
                <w:sz w:val="20"/>
                <w:szCs w:val="20"/>
                <w:color w:val="auto"/>
              </w:rPr>
            </w:pPr>
            <w:r>
              <w:rPr>
                <w:rFonts w:ascii="Arial" w:cs="Arial" w:eastAsia="Arial" w:hAnsi="Arial"/>
                <w:sz w:val="18"/>
                <w:szCs w:val="18"/>
                <w:color w:val="auto"/>
              </w:rPr>
              <w:t>Three Ireland</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Lumen</w:t>
            </w:r>
          </w:p>
        </w:tc>
        <w:tc>
          <w:tcPr>
            <w:tcW w:w="3640" w:type="dxa"/>
            <w:vAlign w:val="bottom"/>
          </w:tcPr>
          <w:p>
            <w:pPr>
              <w:ind w:left="1760"/>
              <w:spacing w:after="0"/>
              <w:rPr>
                <w:sz w:val="20"/>
                <w:szCs w:val="20"/>
                <w:color w:val="auto"/>
              </w:rPr>
            </w:pPr>
            <w:r>
              <w:rPr>
                <w:rFonts w:ascii="Arial" w:cs="Arial" w:eastAsia="Arial" w:hAnsi="Arial"/>
                <w:sz w:val="18"/>
                <w:szCs w:val="18"/>
                <w:color w:val="auto"/>
              </w:rPr>
              <w:t>Three UK</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M1</w:t>
            </w:r>
          </w:p>
        </w:tc>
        <w:tc>
          <w:tcPr>
            <w:tcW w:w="3640" w:type="dxa"/>
            <w:vAlign w:val="bottom"/>
          </w:tcPr>
          <w:p>
            <w:pPr>
              <w:ind w:left="1760"/>
              <w:spacing w:after="0"/>
              <w:rPr>
                <w:sz w:val="20"/>
                <w:szCs w:val="20"/>
                <w:color w:val="auto"/>
              </w:rPr>
            </w:pPr>
            <w:r>
              <w:rPr>
                <w:rFonts w:ascii="Arial" w:cs="Arial" w:eastAsia="Arial" w:hAnsi="Arial"/>
                <w:sz w:val="18"/>
                <w:szCs w:val="18"/>
                <w:color w:val="auto"/>
              </w:rPr>
              <w:t>Thryv</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Magyar Telekom</w:t>
            </w:r>
          </w:p>
        </w:tc>
        <w:tc>
          <w:tcPr>
            <w:tcW w:w="3640" w:type="dxa"/>
            <w:vAlign w:val="bottom"/>
          </w:tcPr>
          <w:p>
            <w:pPr>
              <w:ind w:left="1760"/>
              <w:spacing w:after="0"/>
              <w:rPr>
                <w:sz w:val="20"/>
                <w:szCs w:val="20"/>
                <w:color w:val="auto"/>
              </w:rPr>
            </w:pPr>
            <w:r>
              <w:rPr>
                <w:rFonts w:ascii="Arial" w:cs="Arial" w:eastAsia="Arial" w:hAnsi="Arial"/>
                <w:sz w:val="18"/>
                <w:szCs w:val="18"/>
                <w:color w:val="auto"/>
              </w:rPr>
              <w:t>TIM</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Maxis</w:t>
            </w:r>
          </w:p>
        </w:tc>
        <w:tc>
          <w:tcPr>
            <w:tcW w:w="3640" w:type="dxa"/>
            <w:vAlign w:val="bottom"/>
          </w:tcPr>
          <w:p>
            <w:pPr>
              <w:ind w:left="1760"/>
              <w:spacing w:after="0"/>
              <w:rPr>
                <w:sz w:val="20"/>
                <w:szCs w:val="20"/>
                <w:color w:val="auto"/>
              </w:rPr>
            </w:pPr>
            <w:r>
              <w:rPr>
                <w:rFonts w:ascii="Arial" w:cs="Arial" w:eastAsia="Arial" w:hAnsi="Arial"/>
                <w:sz w:val="18"/>
                <w:szCs w:val="18"/>
                <w:color w:val="auto"/>
              </w:rPr>
              <w:t>TIM Brasil</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MGM</w:t>
            </w:r>
          </w:p>
        </w:tc>
        <w:tc>
          <w:tcPr>
            <w:tcW w:w="3640" w:type="dxa"/>
            <w:vAlign w:val="bottom"/>
          </w:tcPr>
          <w:p>
            <w:pPr>
              <w:ind w:left="1760"/>
              <w:spacing w:after="0"/>
              <w:rPr>
                <w:sz w:val="20"/>
                <w:szCs w:val="20"/>
                <w:color w:val="auto"/>
              </w:rPr>
            </w:pPr>
            <w:r>
              <w:rPr>
                <w:rFonts w:ascii="Arial" w:cs="Arial" w:eastAsia="Arial" w:hAnsi="Arial"/>
                <w:sz w:val="18"/>
                <w:szCs w:val="18"/>
                <w:color w:val="auto"/>
              </w:rPr>
              <w:t>True</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MTS</w:t>
            </w:r>
          </w:p>
        </w:tc>
        <w:tc>
          <w:tcPr>
            <w:tcW w:w="3640" w:type="dxa"/>
            <w:vAlign w:val="bottom"/>
          </w:tcPr>
          <w:p>
            <w:pPr>
              <w:ind w:left="1760"/>
              <w:spacing w:after="0"/>
              <w:rPr>
                <w:sz w:val="20"/>
                <w:szCs w:val="20"/>
                <w:color w:val="auto"/>
              </w:rPr>
            </w:pPr>
            <w:r>
              <w:rPr>
                <w:rFonts w:ascii="Arial" w:cs="Arial" w:eastAsia="Arial" w:hAnsi="Arial"/>
                <w:sz w:val="18"/>
                <w:szCs w:val="18"/>
                <w:color w:val="auto"/>
              </w:rPr>
              <w:t>Turner</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Oi</w:t>
            </w:r>
          </w:p>
        </w:tc>
        <w:tc>
          <w:tcPr>
            <w:tcW w:w="3640" w:type="dxa"/>
            <w:vAlign w:val="bottom"/>
          </w:tcPr>
          <w:p>
            <w:pPr>
              <w:ind w:left="1760"/>
              <w:spacing w:after="0"/>
              <w:rPr>
                <w:sz w:val="20"/>
                <w:szCs w:val="20"/>
                <w:color w:val="auto"/>
              </w:rPr>
            </w:pPr>
            <w:r>
              <w:rPr>
                <w:rFonts w:ascii="Arial" w:cs="Arial" w:eastAsia="Arial" w:hAnsi="Arial"/>
                <w:sz w:val="18"/>
                <w:szCs w:val="18"/>
                <w:color w:val="auto"/>
              </w:rPr>
              <w:t>T-Mobile</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Optus</w:t>
            </w:r>
          </w:p>
        </w:tc>
        <w:tc>
          <w:tcPr>
            <w:tcW w:w="3640" w:type="dxa"/>
            <w:vAlign w:val="bottom"/>
          </w:tcPr>
          <w:p>
            <w:pPr>
              <w:ind w:left="1760"/>
              <w:spacing w:after="0"/>
              <w:rPr>
                <w:sz w:val="20"/>
                <w:szCs w:val="20"/>
                <w:color w:val="auto"/>
              </w:rPr>
            </w:pPr>
            <w:r>
              <w:rPr>
                <w:rFonts w:ascii="Arial" w:cs="Arial" w:eastAsia="Arial" w:hAnsi="Arial"/>
                <w:sz w:val="18"/>
                <w:szCs w:val="18"/>
                <w:color w:val="auto"/>
              </w:rPr>
              <w:t>UPC Broadband</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Orange Belgium</w:t>
            </w:r>
          </w:p>
        </w:tc>
        <w:tc>
          <w:tcPr>
            <w:tcW w:w="3640" w:type="dxa"/>
            <w:vAlign w:val="bottom"/>
          </w:tcPr>
          <w:p>
            <w:pPr>
              <w:ind w:left="1760"/>
              <w:spacing w:after="0"/>
              <w:rPr>
                <w:sz w:val="20"/>
                <w:szCs w:val="20"/>
                <w:color w:val="auto"/>
              </w:rPr>
            </w:pPr>
            <w:r>
              <w:rPr>
                <w:rFonts w:ascii="Arial" w:cs="Arial" w:eastAsia="Arial" w:hAnsi="Arial"/>
                <w:sz w:val="18"/>
                <w:szCs w:val="18"/>
                <w:color w:val="auto"/>
              </w:rPr>
              <w:t>US Cellular</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Orange Liberia</w:t>
            </w:r>
          </w:p>
        </w:tc>
        <w:tc>
          <w:tcPr>
            <w:tcW w:w="3640" w:type="dxa"/>
            <w:vAlign w:val="bottom"/>
          </w:tcPr>
          <w:p>
            <w:pPr>
              <w:ind w:left="1760"/>
              <w:spacing w:after="0"/>
              <w:rPr>
                <w:sz w:val="20"/>
                <w:szCs w:val="20"/>
                <w:color w:val="auto"/>
              </w:rPr>
            </w:pPr>
            <w:r>
              <w:rPr>
                <w:rFonts w:ascii="Arial" w:cs="Arial" w:eastAsia="Arial" w:hAnsi="Arial"/>
                <w:sz w:val="18"/>
                <w:szCs w:val="18"/>
                <w:color w:val="auto"/>
              </w:rPr>
              <w:t>VEON</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Orange Spain</w:t>
            </w:r>
          </w:p>
        </w:tc>
        <w:tc>
          <w:tcPr>
            <w:tcW w:w="3640" w:type="dxa"/>
            <w:vAlign w:val="bottom"/>
          </w:tcPr>
          <w:p>
            <w:pPr>
              <w:ind w:left="1760"/>
              <w:spacing w:after="0"/>
              <w:rPr>
                <w:sz w:val="20"/>
                <w:szCs w:val="20"/>
                <w:color w:val="auto"/>
              </w:rPr>
            </w:pPr>
            <w:r>
              <w:rPr>
                <w:rFonts w:ascii="Arial" w:cs="Arial" w:eastAsia="Arial" w:hAnsi="Arial"/>
                <w:sz w:val="18"/>
                <w:szCs w:val="18"/>
                <w:color w:val="auto"/>
              </w:rPr>
              <w:t>Verizon</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Paramount</w:t>
            </w:r>
          </w:p>
        </w:tc>
        <w:tc>
          <w:tcPr>
            <w:tcW w:w="3640" w:type="dxa"/>
            <w:vAlign w:val="bottom"/>
          </w:tcPr>
          <w:p>
            <w:pPr>
              <w:ind w:left="1760"/>
              <w:spacing w:after="0"/>
              <w:rPr>
                <w:sz w:val="20"/>
                <w:szCs w:val="20"/>
                <w:color w:val="auto"/>
              </w:rPr>
            </w:pPr>
            <w:r>
              <w:rPr>
                <w:rFonts w:ascii="Arial" w:cs="Arial" w:eastAsia="Arial" w:hAnsi="Arial"/>
                <w:sz w:val="18"/>
                <w:szCs w:val="18"/>
                <w:color w:val="auto"/>
              </w:rPr>
              <w:t>Vimeo</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Partner</w:t>
            </w:r>
          </w:p>
        </w:tc>
        <w:tc>
          <w:tcPr>
            <w:tcW w:w="3640" w:type="dxa"/>
            <w:vAlign w:val="bottom"/>
          </w:tcPr>
          <w:p>
            <w:pPr>
              <w:ind w:left="1760"/>
              <w:spacing w:after="0"/>
              <w:rPr>
                <w:sz w:val="20"/>
                <w:szCs w:val="20"/>
                <w:color w:val="auto"/>
              </w:rPr>
            </w:pPr>
            <w:r>
              <w:rPr>
                <w:rFonts w:ascii="Arial" w:cs="Arial" w:eastAsia="Arial" w:hAnsi="Arial"/>
                <w:sz w:val="18"/>
                <w:szCs w:val="18"/>
                <w:color w:val="auto"/>
              </w:rPr>
              <w:t>Virgin Media</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PLDT</w:t>
            </w:r>
          </w:p>
        </w:tc>
        <w:tc>
          <w:tcPr>
            <w:tcW w:w="3640" w:type="dxa"/>
            <w:vAlign w:val="bottom"/>
          </w:tcPr>
          <w:p>
            <w:pPr>
              <w:ind w:left="1760"/>
              <w:spacing w:after="0"/>
              <w:rPr>
                <w:sz w:val="20"/>
                <w:szCs w:val="20"/>
                <w:color w:val="auto"/>
              </w:rPr>
            </w:pPr>
            <w:r>
              <w:rPr>
                <w:rFonts w:ascii="Arial" w:cs="Arial" w:eastAsia="Arial" w:hAnsi="Arial"/>
                <w:sz w:val="18"/>
                <w:szCs w:val="18"/>
                <w:color w:val="auto"/>
              </w:rPr>
              <w:t>Vodacom</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PPF Telecom Group</w:t>
            </w:r>
          </w:p>
        </w:tc>
        <w:tc>
          <w:tcPr>
            <w:tcW w:w="3640" w:type="dxa"/>
            <w:vAlign w:val="bottom"/>
          </w:tcPr>
          <w:p>
            <w:pPr>
              <w:ind w:left="1760"/>
              <w:spacing w:after="0"/>
              <w:rPr>
                <w:sz w:val="20"/>
                <w:szCs w:val="20"/>
                <w:color w:val="auto"/>
              </w:rPr>
            </w:pPr>
            <w:r>
              <w:rPr>
                <w:rFonts w:ascii="Arial" w:cs="Arial" w:eastAsia="Arial" w:hAnsi="Arial"/>
                <w:sz w:val="18"/>
                <w:szCs w:val="18"/>
                <w:color w:val="auto"/>
              </w:rPr>
              <w:t>Vodafone Albania</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Proximus</w:t>
            </w:r>
          </w:p>
        </w:tc>
        <w:tc>
          <w:tcPr>
            <w:tcW w:w="3640" w:type="dxa"/>
            <w:vAlign w:val="bottom"/>
          </w:tcPr>
          <w:p>
            <w:pPr>
              <w:ind w:left="1760"/>
              <w:spacing w:after="0"/>
              <w:rPr>
                <w:sz w:val="20"/>
                <w:szCs w:val="20"/>
                <w:color w:val="auto"/>
              </w:rPr>
            </w:pPr>
            <w:r>
              <w:rPr>
                <w:rFonts w:ascii="Arial" w:cs="Arial" w:eastAsia="Arial" w:hAnsi="Arial"/>
                <w:sz w:val="18"/>
                <w:szCs w:val="18"/>
                <w:color w:val="auto"/>
                <w:w w:val="89"/>
              </w:rPr>
              <w:t>Vodafone Czech Republic</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Rogers</w:t>
            </w:r>
          </w:p>
        </w:tc>
        <w:tc>
          <w:tcPr>
            <w:tcW w:w="3640" w:type="dxa"/>
            <w:vAlign w:val="bottom"/>
          </w:tcPr>
          <w:p>
            <w:pPr>
              <w:ind w:left="1760"/>
              <w:spacing w:after="0"/>
              <w:rPr>
                <w:sz w:val="20"/>
                <w:szCs w:val="20"/>
                <w:color w:val="auto"/>
              </w:rPr>
            </w:pPr>
            <w:r>
              <w:rPr>
                <w:rFonts w:ascii="Arial" w:cs="Arial" w:eastAsia="Arial" w:hAnsi="Arial"/>
                <w:sz w:val="18"/>
                <w:szCs w:val="18"/>
                <w:color w:val="auto"/>
              </w:rPr>
              <w:t>Vodafone Germany</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Safaricom</w:t>
            </w:r>
          </w:p>
        </w:tc>
        <w:tc>
          <w:tcPr>
            <w:tcW w:w="3640" w:type="dxa"/>
            <w:vAlign w:val="bottom"/>
          </w:tcPr>
          <w:p>
            <w:pPr>
              <w:ind w:left="1760"/>
              <w:spacing w:after="0"/>
              <w:rPr>
                <w:sz w:val="20"/>
                <w:szCs w:val="20"/>
                <w:color w:val="auto"/>
              </w:rPr>
            </w:pPr>
            <w:r>
              <w:rPr>
                <w:rFonts w:ascii="Arial" w:cs="Arial" w:eastAsia="Arial" w:hAnsi="Arial"/>
                <w:sz w:val="18"/>
                <w:szCs w:val="18"/>
                <w:color w:val="auto"/>
              </w:rPr>
              <w:t>Vodafone Hungary</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SES</w:t>
            </w:r>
          </w:p>
        </w:tc>
        <w:tc>
          <w:tcPr>
            <w:tcW w:w="3640" w:type="dxa"/>
            <w:vAlign w:val="bottom"/>
          </w:tcPr>
          <w:p>
            <w:pPr>
              <w:ind w:left="1760"/>
              <w:spacing w:after="0"/>
              <w:rPr>
                <w:sz w:val="20"/>
                <w:szCs w:val="20"/>
                <w:color w:val="auto"/>
              </w:rPr>
            </w:pPr>
            <w:r>
              <w:rPr>
                <w:rFonts w:ascii="Arial" w:cs="Arial" w:eastAsia="Arial" w:hAnsi="Arial"/>
                <w:sz w:val="18"/>
                <w:szCs w:val="18"/>
                <w:color w:val="auto"/>
              </w:rPr>
              <w:t>Vodafone Idea</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Singtel</w:t>
            </w:r>
          </w:p>
        </w:tc>
        <w:tc>
          <w:tcPr>
            <w:tcW w:w="3640" w:type="dxa"/>
            <w:vAlign w:val="bottom"/>
          </w:tcPr>
          <w:p>
            <w:pPr>
              <w:ind w:left="1760"/>
              <w:spacing w:after="0"/>
              <w:rPr>
                <w:sz w:val="20"/>
                <w:szCs w:val="20"/>
                <w:color w:val="auto"/>
              </w:rPr>
            </w:pPr>
            <w:r>
              <w:rPr>
                <w:rFonts w:ascii="Arial" w:cs="Arial" w:eastAsia="Arial" w:hAnsi="Arial"/>
                <w:sz w:val="18"/>
                <w:szCs w:val="18"/>
                <w:color w:val="auto"/>
              </w:rPr>
              <w:t>Vodafone Ireland</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Sky Italia</w:t>
            </w:r>
          </w:p>
        </w:tc>
        <w:tc>
          <w:tcPr>
            <w:tcW w:w="3640" w:type="dxa"/>
            <w:vAlign w:val="bottom"/>
          </w:tcPr>
          <w:p>
            <w:pPr>
              <w:ind w:left="1760"/>
              <w:spacing w:after="0"/>
              <w:rPr>
                <w:sz w:val="20"/>
                <w:szCs w:val="20"/>
                <w:color w:val="auto"/>
              </w:rPr>
            </w:pPr>
            <w:r>
              <w:rPr>
                <w:rFonts w:ascii="Arial" w:cs="Arial" w:eastAsia="Arial" w:hAnsi="Arial"/>
                <w:sz w:val="18"/>
                <w:szCs w:val="18"/>
                <w:color w:val="auto"/>
              </w:rPr>
              <w:t>Vodafone Italy</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Sky UK</w:t>
            </w:r>
          </w:p>
        </w:tc>
        <w:tc>
          <w:tcPr>
            <w:tcW w:w="3640" w:type="dxa"/>
            <w:vAlign w:val="bottom"/>
          </w:tcPr>
          <w:p>
            <w:pPr>
              <w:ind w:left="1760"/>
              <w:spacing w:after="0"/>
              <w:rPr>
                <w:sz w:val="20"/>
                <w:szCs w:val="20"/>
                <w:color w:val="auto"/>
              </w:rPr>
            </w:pPr>
            <w:r>
              <w:rPr>
                <w:rFonts w:ascii="Arial" w:cs="Arial" w:eastAsia="Arial" w:hAnsi="Arial"/>
                <w:sz w:val="18"/>
                <w:szCs w:val="18"/>
                <w:color w:val="auto"/>
              </w:rPr>
              <w:t>Vodafone Qatar</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StarHub</w:t>
            </w:r>
          </w:p>
        </w:tc>
        <w:tc>
          <w:tcPr>
            <w:tcW w:w="3640" w:type="dxa"/>
            <w:vAlign w:val="bottom"/>
          </w:tcPr>
          <w:p>
            <w:pPr>
              <w:ind w:left="1760"/>
              <w:spacing w:after="0"/>
              <w:rPr>
                <w:sz w:val="20"/>
                <w:szCs w:val="20"/>
                <w:color w:val="auto"/>
              </w:rPr>
            </w:pPr>
            <w:r>
              <w:rPr>
                <w:rFonts w:ascii="Arial" w:cs="Arial" w:eastAsia="Arial" w:hAnsi="Arial"/>
                <w:sz w:val="18"/>
                <w:szCs w:val="18"/>
                <w:color w:val="auto"/>
              </w:rPr>
              <w:t>Vodafone Romania</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Sunrise</w:t>
            </w:r>
          </w:p>
        </w:tc>
        <w:tc>
          <w:tcPr>
            <w:tcW w:w="3640" w:type="dxa"/>
            <w:vAlign w:val="bottom"/>
          </w:tcPr>
          <w:p>
            <w:pPr>
              <w:ind w:left="1760"/>
              <w:spacing w:after="0"/>
              <w:rPr>
                <w:sz w:val="20"/>
                <w:szCs w:val="20"/>
                <w:color w:val="auto"/>
              </w:rPr>
            </w:pPr>
            <w:r>
              <w:rPr>
                <w:rFonts w:ascii="Arial" w:cs="Arial" w:eastAsia="Arial" w:hAnsi="Arial"/>
                <w:sz w:val="18"/>
                <w:szCs w:val="18"/>
                <w:color w:val="auto"/>
              </w:rPr>
              <w:t>Vodafone Spain</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Telefónica Argentina (Movistar)</w:t>
            </w:r>
          </w:p>
        </w:tc>
        <w:tc>
          <w:tcPr>
            <w:tcW w:w="3640" w:type="dxa"/>
            <w:vAlign w:val="bottom"/>
          </w:tcPr>
          <w:p>
            <w:pPr>
              <w:ind w:left="1760"/>
              <w:spacing w:after="0"/>
              <w:rPr>
                <w:sz w:val="20"/>
                <w:szCs w:val="20"/>
                <w:color w:val="auto"/>
              </w:rPr>
            </w:pPr>
            <w:r>
              <w:rPr>
                <w:rFonts w:ascii="Arial" w:cs="Arial" w:eastAsia="Arial" w:hAnsi="Arial"/>
                <w:sz w:val="18"/>
                <w:szCs w:val="18"/>
                <w:color w:val="auto"/>
              </w:rPr>
              <w:t>Vodafone Turkey</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Telefónica Brasil (Vivo)</w:t>
            </w:r>
          </w:p>
        </w:tc>
        <w:tc>
          <w:tcPr>
            <w:tcW w:w="3640" w:type="dxa"/>
            <w:vAlign w:val="bottom"/>
          </w:tcPr>
          <w:p>
            <w:pPr>
              <w:ind w:left="1760"/>
              <w:spacing w:after="0"/>
              <w:rPr>
                <w:sz w:val="20"/>
                <w:szCs w:val="20"/>
                <w:color w:val="auto"/>
              </w:rPr>
            </w:pPr>
            <w:r>
              <w:rPr>
                <w:rFonts w:ascii="Arial" w:cs="Arial" w:eastAsia="Arial" w:hAnsi="Arial"/>
                <w:sz w:val="18"/>
                <w:szCs w:val="18"/>
                <w:color w:val="auto"/>
              </w:rPr>
              <w:t>Vodafone UK</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Telefónica Chile (Movistar)</w:t>
            </w:r>
          </w:p>
        </w:tc>
        <w:tc>
          <w:tcPr>
            <w:tcW w:w="3640" w:type="dxa"/>
            <w:vAlign w:val="bottom"/>
          </w:tcPr>
          <w:p>
            <w:pPr>
              <w:ind w:left="1760"/>
              <w:spacing w:after="0"/>
              <w:rPr>
                <w:sz w:val="20"/>
                <w:szCs w:val="20"/>
                <w:color w:val="auto"/>
              </w:rPr>
            </w:pPr>
            <w:r>
              <w:rPr>
                <w:rFonts w:ascii="Arial" w:cs="Arial" w:eastAsia="Arial" w:hAnsi="Arial"/>
                <w:sz w:val="18"/>
                <w:szCs w:val="18"/>
                <w:color w:val="auto"/>
              </w:rPr>
              <w:t>VodafoneZiggo</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Telefónica Peru (Movistar)</w:t>
            </w:r>
          </w:p>
        </w:tc>
        <w:tc>
          <w:tcPr>
            <w:tcW w:w="3640" w:type="dxa"/>
            <w:vAlign w:val="bottom"/>
          </w:tcPr>
          <w:p>
            <w:pPr>
              <w:ind w:left="1760"/>
              <w:spacing w:after="0"/>
              <w:rPr>
                <w:sz w:val="20"/>
                <w:szCs w:val="20"/>
                <w:color w:val="auto"/>
              </w:rPr>
            </w:pPr>
            <w:r>
              <w:rPr>
                <w:rFonts w:ascii="Arial" w:cs="Arial" w:eastAsia="Arial" w:hAnsi="Arial"/>
                <w:sz w:val="18"/>
                <w:szCs w:val="18"/>
                <w:color w:val="auto"/>
              </w:rPr>
              <w:t>Warner Bros</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Telenet</w:t>
            </w:r>
          </w:p>
        </w:tc>
        <w:tc>
          <w:tcPr>
            <w:tcW w:w="3640" w:type="dxa"/>
            <w:vAlign w:val="bottom"/>
          </w:tcPr>
          <w:p>
            <w:pPr>
              <w:ind w:left="1760"/>
              <w:spacing w:after="0"/>
              <w:rPr>
                <w:sz w:val="20"/>
                <w:szCs w:val="20"/>
                <w:color w:val="auto"/>
              </w:rPr>
            </w:pPr>
            <w:r>
              <w:rPr>
                <w:rFonts w:ascii="Arial" w:cs="Arial" w:eastAsia="Arial" w:hAnsi="Arial"/>
                <w:sz w:val="18"/>
                <w:szCs w:val="18"/>
                <w:color w:val="auto"/>
              </w:rPr>
              <w:t>Wind Tre</w:t>
            </w:r>
          </w:p>
        </w:tc>
      </w:tr>
      <w:tr>
        <w:trPr>
          <w:trHeight w:val="216"/>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Telia Norway</w:t>
            </w:r>
          </w:p>
        </w:tc>
        <w:tc>
          <w:tcPr>
            <w:tcW w:w="3640" w:type="dxa"/>
            <w:vAlign w:val="bottom"/>
          </w:tcPr>
          <w:p>
            <w:pPr>
              <w:ind w:left="1760"/>
              <w:spacing w:after="0"/>
              <w:rPr>
                <w:sz w:val="20"/>
                <w:szCs w:val="20"/>
                <w:color w:val="auto"/>
              </w:rPr>
            </w:pPr>
            <w:r>
              <w:rPr>
                <w:rFonts w:ascii="Arial" w:cs="Arial" w:eastAsia="Arial" w:hAnsi="Arial"/>
                <w:sz w:val="18"/>
                <w:szCs w:val="18"/>
                <w:color w:val="auto"/>
              </w:rPr>
              <w:t>Winity Telecom</w:t>
            </w:r>
          </w:p>
        </w:tc>
      </w:tr>
      <w:tr>
        <w:trPr>
          <w:trHeight w:val="230"/>
        </w:trPr>
        <w:tc>
          <w:tcPr>
            <w:tcW w:w="4200" w:type="dxa"/>
            <w:vAlign w:val="bottom"/>
            <w:gridSpan w:val="2"/>
          </w:tcPr>
          <w:p>
            <w:pPr>
              <w:ind w:left="120"/>
              <w:spacing w:after="0"/>
              <w:rPr>
                <w:sz w:val="20"/>
                <w:szCs w:val="20"/>
                <w:color w:val="auto"/>
              </w:rPr>
            </w:pPr>
            <w:r>
              <w:rPr>
                <w:rFonts w:ascii="Arial" w:cs="Arial" w:eastAsia="Arial" w:hAnsi="Arial"/>
                <w:sz w:val="18"/>
                <w:szCs w:val="18"/>
                <w:color w:val="auto"/>
              </w:rPr>
              <w:t>Telia Sweden</w:t>
            </w:r>
          </w:p>
        </w:tc>
        <w:tc>
          <w:tcPr>
            <w:tcW w:w="3640" w:type="dxa"/>
            <w:vAlign w:val="bottom"/>
          </w:tcPr>
          <w:p>
            <w:pPr>
              <w:ind w:left="1760"/>
              <w:spacing w:after="0"/>
              <w:rPr>
                <w:sz w:val="20"/>
                <w:szCs w:val="20"/>
                <w:color w:val="auto"/>
              </w:rPr>
            </w:pPr>
            <w:r>
              <w:rPr>
                <w:rFonts w:ascii="Arial" w:cs="Arial" w:eastAsia="Arial" w:hAnsi="Arial"/>
                <w:sz w:val="18"/>
                <w:szCs w:val="18"/>
                <w:color w:val="auto"/>
              </w:rPr>
              <w:t>XL Axiata</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6"/>
          <w:szCs w:val="16"/>
          <w:color w:val="auto"/>
        </w:rPr>
        <w:t>The following is a summary of revenue by geographic area. Revenue is attributed to geographic region based on the location of the customer:</w:t>
      </w:r>
    </w:p>
    <w:p>
      <w:pPr>
        <w:spacing w:after="0" w:line="26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8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67.8%</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65.1%</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65.3%</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Europe</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12.7%</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14.5%</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14.7%</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19.5%</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20.4%</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20.0%</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market for customer experience solutions in the communications and media industry continues to become more competitive. Amdocs’ competitive landscape is comprised of internal IT departments of our customers, as well as independent competitors or new entrants that may compete broadly with us or in limited segments of our market, and can be generally categorized as follows:</w:t>
      </w:r>
    </w:p>
    <w:p>
      <w:pPr>
        <w:spacing w:after="0" w:line="89" w:lineRule="exact"/>
        <w:rPr>
          <w:sz w:val="20"/>
          <w:szCs w:val="20"/>
          <w:color w:val="auto"/>
        </w:rPr>
      </w:pPr>
    </w:p>
    <w:p>
      <w:pPr>
        <w:ind w:left="1080" w:right="8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providers of BSS/OSS and customer relationship management (CRM)/digital systems, including CSG International, Netcracker (a NEC subsidiary), Optiva, Oracle, Pegasystems, Salesforce, SAP and ServiceNow;</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320" w:top="473" w:right="6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440" w:hanging="424"/>
        <w:spacing w:after="0" w:line="308"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system integrators and providers of IT services, such as Accenture, Cognizant, DXC Technology, Infosys, Kyndryl, Tata Consultancy Services, Tech Mahindra and Wipro (some of whom we also cooperate with in certain opportunities and projects);</w:t>
      </w:r>
    </w:p>
    <w:p>
      <w:pPr>
        <w:spacing w:after="0" w:line="51" w:lineRule="exact"/>
        <w:rPr>
          <w:rFonts w:ascii="Arial" w:cs="Arial" w:eastAsia="Arial" w:hAnsi="Arial"/>
          <w:sz w:val="17"/>
          <w:szCs w:val="17"/>
          <w:color w:val="auto"/>
        </w:rPr>
      </w:pPr>
    </w:p>
    <w:p>
      <w:pPr>
        <w:ind w:left="1080" w:right="3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network equipment providers such as Ciena, Ericsson, Huawei, Nokia, and NEC and its subsidiary, Netcracker (some of whom we also cooperate with in certain opportunities and projects and some of whom also have BSS/OSS offerings); and</w:t>
      </w:r>
    </w:p>
    <w:p>
      <w:pPr>
        <w:spacing w:after="0" w:line="75" w:lineRule="exact"/>
        <w:rPr>
          <w:rFonts w:ascii="Arial" w:cs="Arial" w:eastAsia="Arial" w:hAnsi="Arial"/>
          <w:sz w:val="18"/>
          <w:szCs w:val="18"/>
          <w:color w:val="auto"/>
        </w:rPr>
      </w:pPr>
    </w:p>
    <w:p>
      <w:pPr>
        <w:ind w:left="1080" w:right="340" w:hanging="424"/>
        <w:spacing w:after="0" w:line="286"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niche domain players, often start-up companies, which compete against particular parts of our portfolio, such as Matrixx in charging; Hansen in catalog; Aria Systems, Stripe, Zuora in subscription billing; Forgerock and Okta in identity management; Deluxe Media and iNDEMAND in Media; Slalom and Servian in cloud consulting; Material+ and Work &amp; Co in experience design.</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the competition in our industry to increase from many of such companies.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we are able to differentiate ourselves from these competitors by, among other things:</w:t>
      </w:r>
    </w:p>
    <w:p>
      <w:pPr>
        <w:spacing w:after="0" w:line="131" w:lineRule="exact"/>
        <w:rPr>
          <w:sz w:val="20"/>
          <w:szCs w:val="20"/>
          <w:color w:val="auto"/>
        </w:rPr>
      </w:pPr>
    </w:p>
    <w:p>
      <w:pPr>
        <w:jc w:val="both"/>
        <w:ind w:left="1080" w:hanging="424"/>
        <w:spacing w:after="0" w:line="286" w:lineRule="auto"/>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applying our 40-year heritage to the development and delivery of products and professional services that enable our customers to overcome their challenges and achieve service differentiation by migrating to the cloud, providing a personalized and intelligent customer experience, shaping the quality of network experience and simplifying the complexity of the operating environment;</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continuing to design and develop solutions targeted specifically to the communications and media industry;</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innovating and enabling our customers to adopt new business models that will improve their ability to drive new revenues, and compete and win in a changing market;</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high-availability, high-quality, reliable, scalable, integrated and modular applications, leveraging cloud technology, artificial intelligence and new software development and deployment options;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providing flexible and tailored IT business process outsourcing solutions and delivery models;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offering customers end-to-end accountability from a single vendor.</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We invest significant resources in the training, retention and motivation of high-quality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high-quality employees. Our future success depends in large part upon our continuing ability to attract and retain highly qualified managerial, technical, sales and marketing personnel and outstanding leaders. Moreover, we are committed to diversity and inclusion, believing a gender-diverse, multi-cultural workforce spread across the globe provides strength and a competitive business advantage.</w:t>
      </w:r>
    </w:p>
    <w:p>
      <w:pPr>
        <w:spacing w:after="0" w:line="16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See “Directors, Senior Management and Employees — Workforce Personnel” for further details regarding our employees and our relationships with them.</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Plants and Equipment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Facilities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lease land and buildings for our executive offices, sales, marketing, administrative, development and support centers. We lease an aggregate of approximately 3.2 million square feet worldwide, including significant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86" w:right="4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80"/>
        <w:spacing w:after="0" w:line="277" w:lineRule="auto"/>
        <w:rPr>
          <w:sz w:val="20"/>
          <w:szCs w:val="20"/>
          <w:color w:val="auto"/>
        </w:rPr>
      </w:pPr>
      <w:r>
        <w:rPr>
          <w:rFonts w:ascii="Arial" w:cs="Arial" w:eastAsia="Arial" w:hAnsi="Arial"/>
          <w:sz w:val="18"/>
          <w:szCs w:val="18"/>
          <w:color w:val="auto"/>
        </w:rPr>
        <w:t>leases in the United States, Israel, Canada, Cyprus, India, the Philippines, the United Kingdom and Mexico. The following table summarizes information with respect to the principal facilities leased by us and our subsidiaries as of September 30, 2022:</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Location</w:t>
            </w:r>
          </w:p>
        </w:tc>
        <w:tc>
          <w:tcPr>
            <w:tcW w:w="588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Area (Sq. Feet)</w:t>
            </w:r>
          </w:p>
        </w:tc>
      </w:tr>
      <w:tr>
        <w:trPr>
          <w:trHeight w:val="203"/>
        </w:trPr>
        <w:tc>
          <w:tcPr>
            <w:tcW w:w="64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Americas</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691,625</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EMEA</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1,241,803</w:t>
            </w:r>
          </w:p>
        </w:tc>
        <w:tc>
          <w:tcPr>
            <w:tcW w:w="4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APAC</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1,244,616</w:t>
            </w:r>
          </w:p>
        </w:tc>
        <w:tc>
          <w:tcPr>
            <w:tcW w:w="40" w:type="dxa"/>
            <w:vAlign w:val="bottom"/>
            <w:shd w:val="clear" w:color="auto" w:fill="CCEEFF"/>
          </w:tcPr>
          <w:p>
            <w:pPr>
              <w:spacing w:after="0"/>
              <w:rPr>
                <w:sz w:val="18"/>
                <w:szCs w:val="18"/>
                <w:color w:val="auto"/>
              </w:rPr>
            </w:pPr>
          </w:p>
        </w:tc>
      </w:tr>
      <w:tr>
        <w:trPr>
          <w:trHeight w:val="223"/>
        </w:trPr>
        <w:tc>
          <w:tcPr>
            <w:tcW w:w="64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3,178,044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Our leases expire on various dates through 2035. The Company started recently to use its new campus in Ra’anana, Israel on land acquired by a legal entity owned equally by the Company and Union Investments and Development Limited (“Union”) pursuant to agreements entered into by the Company and Union in December 2017. We believe that the new campus will provide an advanced, optimal working environment that can meet the needs of Amdocs Israel and its employees, and support the Company’s future growth. The design for the new campus is in accordance with LEED standards and includes advanced energy and water saving systems. Our new campus in Israel is now substantially complete and our employees in Israel started the process of moving into the new premises during the first quarter of fiscal year 2023.</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Equipment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develop our solutions over a system of Linux and Windows servers owned or leased by us, as well as over cloud providers. We use a variety of software products in our development centers, including products by Microsoft, CouchBase, Syncsort, Red Hat, CA, IBM, Hewlett-Packard or others. Our data storage is based mainly on equipment from EMC, InfiniDat, IBM and Hewlett-Packard.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4A.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right="5380"/>
        <w:spacing w:after="0" w:line="378" w:lineRule="auto"/>
        <w:rPr>
          <w:sz w:val="20"/>
          <w:szCs w:val="20"/>
          <w:color w:val="auto"/>
        </w:rPr>
      </w:pPr>
      <w:r>
        <w:rPr>
          <w:rFonts w:ascii="Arial" w:cs="Arial" w:eastAsia="Arial" w:hAnsi="Arial"/>
          <w:sz w:val="18"/>
          <w:szCs w:val="18"/>
          <w:b w:val="1"/>
          <w:bCs w:val="1"/>
          <w:color w:val="auto"/>
        </w:rPr>
        <w:t>ITEM 5. OPERATING AND FINANCIAL REVIEW AND PROSPECTS Overview of Business and Trend Information</w:t>
      </w:r>
    </w:p>
    <w:p>
      <w:pPr>
        <w:ind w:left="120" w:right="120" w:firstLine="440"/>
        <w:spacing w:after="0" w:line="273" w:lineRule="auto"/>
        <w:rPr>
          <w:sz w:val="20"/>
          <w:szCs w:val="20"/>
          <w:color w:val="auto"/>
        </w:rPr>
      </w:pPr>
      <w:r>
        <w:rPr>
          <w:rFonts w:ascii="Arial" w:cs="Arial" w:eastAsia="Arial" w:hAnsi="Arial"/>
          <w:sz w:val="17"/>
          <w:szCs w:val="17"/>
          <w:color w:val="auto"/>
        </w:rPr>
        <w:t>Amdocs is a leading provider of software and services for communications and media industry service providers in both developed countries and emerging markets. We believe the demand for our solutions is driven by our customers’ continued migration to the cloud, deployment of 5G networks and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they seek to differentiate their offerings by delivering a customer experience that is simple, personal, contextual and valuable at every point of engagement and across all channels.</w:t>
      </w:r>
    </w:p>
    <w:p>
      <w:pPr>
        <w:spacing w:after="0" w:line="178"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We believe service providers will maintain a strong focus on growing new revenue streams, cost reduction and driving more efficient operations, and that the trends of ongoing digital transformation with a focus on customer experience, migration to the cloud, next-generation networks, and consolidation within the industry will continue. Service providers are increasingly focusing on their core capabilities and investing in 5G and fiber rollouts to meet the demand for increased bandwidth, faster pace of innovation for new digital services, as well as to improve their business and operational agility and optimize and monetize their investments in such services. At the same time, many service providers are partnering with leading suppliers to offer their customers a rich portfolio of offerings including media; entertainment; enterprise enablement; Internet of Things (IoT); and digital lifestyle services, all of which is driving growth in the demand for multi-modal customer engagement capabilities and data.</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color w:val="auto"/>
        </w:rPr>
        <w:t>We develop, implement and manage software and services designed to meet our customers’ business needs and empower them to transform their boldest ideas into reality. Our technology, design-led thinking approach and expertise help service providers to migrate to the cloud, manage and monetize their next-generation networks, further transform into digital service providers, enhance their entertainment offerings, and serve their customers across all channels. With our portfolio’s open and modular structure, organized by capability and matched to industry standards, our customers have the flexibility to choose business offerings that address their specific needs and improve their time to market and value.</w:t>
      </w:r>
    </w:p>
    <w:p>
      <w:pPr>
        <w:spacing w:after="0" w:line="16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part, we have sought, through acquisitions, to expand our service offerings and customer base and to enhance our ability to provide managed services to our customers. In recent years, we have completed numerous acquisitions (including our fiscal 2019 acquisition of TTS Wireless, our fiscal 2020 acquisition of Openet, our fiscal 2021 acquisition of Sourced Group, and our fiscal 2022 acquisitions of Roam Digital and DevOpsGroup), which, among other things, we believe will enable us to expand our 5G digital and cloud-native capabilities and technological expertise. As part of our strategy, we may continue to pursue acquisitions and other initiatives in order to offer new products or services, enter into new vertical markets or otherwise enhance our market position or strategic strengths.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Amdocs Offerings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portfolio consists of software and services that address service providers’ business and operational needs. Our offerings, grouped by technology capabilities such as commerce and care, catalog management, monetization, subscription management, IoT, AI, service and network automation and network deployment and optimization,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Our software is designed to enable modular expansion as a service provider evolves, and its microservices-based architecture enables the rapid deployment of complex applications as suites of independently deployable services that can be frequently upgraded via DevSecOps.</w:t>
      </w:r>
    </w:p>
    <w:p>
      <w:pPr>
        <w:spacing w:after="0" w:line="195"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Our comprehensive line of services is designed to address every stage of a service provider’s lifecycle. They include consulting, delivery, quality engineering (testing), systems integration, IT operations, mobile network services, experience design and content services. Our managed services provide multi-year, flexible and tailored IT business processes outsourcing and applications management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176"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We believe that our business model of developing mission-critical software, deploying it at our customers and then operating it and supporting it on an ongoing basis, provides Amdocs with a high level of recurring revenue. This, together with our scalable global resource allocation model and our continuous operational excellence and efficiency improvements, enables us to deliver consistent operating margin performance over time.</w:t>
      </w:r>
    </w:p>
    <w:p>
      <w:pPr>
        <w:spacing w:after="0" w:line="149"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We conduct our business globally, and as a result we are subject to the effects of global economic conditions and, in particular, market conditions in the communications and media industry. In fiscal year 2022, customers in North America accounted for 67.8% of our revenue, while customers in Europe and the rest of the world accounted for 12.7% and 19.5%, respectively. We maintain development facilities in Brazil, Canada, Cyprus, India, Ireland, Israel, Mexico, the Philippines, the United Kingdom and the United States. Historically, AT&amp;T has been our largest customer, accounting for 27% and 25% of our revenue in fiscal years 2022 and 2021, respectively. In fiscal years 2022 and 2021, our next largest customer, T-Mobile, accounted for 20% and 19% of our revenue, respectively. Aggregate revenue derived from the multiple business arrangements we have with our ten largest customers accounted for approximately 70% and 69% of our revenue in fiscal 2022 and fiscal 2021. We believe that demand for our solutions is primarily driven by the following key factors:</w:t>
      </w:r>
    </w:p>
    <w:p>
      <w:pPr>
        <w:spacing w:after="0" w:line="84"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Transformation within the communications and media industry, including:</w:t>
      </w:r>
    </w:p>
    <w:p>
      <w:pPr>
        <w:spacing w:after="0" w:line="130" w:lineRule="exact"/>
        <w:rPr>
          <w:rFonts w:ascii="Arial" w:cs="Arial" w:eastAsia="Arial" w:hAnsi="Arial"/>
          <w:sz w:val="18"/>
          <w:szCs w:val="18"/>
          <w:color w:val="auto"/>
        </w:rPr>
      </w:pPr>
    </w:p>
    <w:p>
      <w:pPr>
        <w:ind w:left="5540" w:right="4280" w:hanging="4331"/>
        <w:spacing w:after="0" w:line="449" w:lineRule="auto"/>
        <w:tabs>
          <w:tab w:leader="none" w:pos="1539" w:val="left"/>
        </w:tabs>
        <w:numPr>
          <w:ilvl w:val="1"/>
          <w:numId w:val="21"/>
        </w:numPr>
        <w:rPr>
          <w:rFonts w:ascii="Arial" w:cs="Arial" w:eastAsia="Arial" w:hAnsi="Arial"/>
          <w:sz w:val="18"/>
          <w:szCs w:val="18"/>
          <w:color w:val="auto"/>
        </w:rPr>
      </w:pPr>
      <w:r>
        <w:rPr>
          <w:rFonts w:ascii="Arial" w:cs="Arial" w:eastAsia="Arial" w:hAnsi="Arial"/>
          <w:sz w:val="18"/>
          <w:szCs w:val="18"/>
          <w:color w:val="auto"/>
        </w:rPr>
        <w:t>continued transformation of service providers to digital service providers; 31</w:t>
      </w:r>
    </w:p>
    <w:p>
      <w:pPr>
        <w:sectPr>
          <w:pgSz w:w="11900" w:h="16838" w:orient="portrait"/>
          <w:cols w:equalWidth="0" w:num="1">
            <w:col w:w="11120"/>
          </w:cols>
          <w:pgMar w:left="320" w:top="486" w:right="45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service provider migration to the cloud;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increasing use of communications and content services;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widespread access to content, information and applications;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continued growth in Latin America and Southeast Asia;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expansion into new lines of business;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consolidation among service providers in established markets, often including companies with multinational operations;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increased competition, including from non-traditional players;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continued bundling and blending of communications and entertainment;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continued commoditization and pricing pressure.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Technology advances, such as:</w:t>
      </w:r>
    </w:p>
    <w:p>
      <w:pPr>
        <w:spacing w:after="0" w:line="130" w:lineRule="exact"/>
        <w:rPr>
          <w:rFonts w:ascii="Arial" w:cs="Arial" w:eastAsia="Arial" w:hAnsi="Arial"/>
          <w:sz w:val="18"/>
          <w:szCs w:val="18"/>
          <w:color w:val="auto"/>
        </w:rPr>
      </w:pPr>
    </w:p>
    <w:p>
      <w:pPr>
        <w:ind w:left="1540" w:right="300" w:hanging="331"/>
        <w:spacing w:after="0" w:line="342" w:lineRule="auto"/>
        <w:tabs>
          <w:tab w:leader="none" w:pos="1540" w:val="left"/>
        </w:tabs>
        <w:numPr>
          <w:ilvl w:val="1"/>
          <w:numId w:val="22"/>
        </w:numPr>
        <w:rPr>
          <w:rFonts w:ascii="Arial" w:cs="Arial" w:eastAsia="Arial" w:hAnsi="Arial"/>
          <w:sz w:val="16"/>
          <w:szCs w:val="16"/>
          <w:color w:val="auto"/>
        </w:rPr>
      </w:pPr>
      <w:r>
        <w:rPr>
          <w:rFonts w:ascii="Arial" w:cs="Arial" w:eastAsia="Arial" w:hAnsi="Arial"/>
          <w:sz w:val="16"/>
          <w:szCs w:val="16"/>
          <w:color w:val="auto"/>
        </w:rPr>
        <w:t>wide-scale foundational technology changes, including the leveraging of open-source, cloud- enabled and cloud-native operating infrastructure, microservices-based architecture, API-based ecosystems, and aggressive digital modernization transformations;</w:t>
      </w:r>
    </w:p>
    <w:p>
      <w:pPr>
        <w:spacing w:after="0" w:line="29" w:lineRule="exact"/>
        <w:rPr>
          <w:rFonts w:ascii="Arial" w:cs="Arial" w:eastAsia="Arial" w:hAnsi="Arial"/>
          <w:sz w:val="16"/>
          <w:szCs w:val="16"/>
          <w:color w:val="auto"/>
        </w:rPr>
      </w:pPr>
    </w:p>
    <w:p>
      <w:pPr>
        <w:ind w:left="1540" w:right="20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evolving service provider business models and opportunities like OTT partnerships, content development and offerings, enterprise and small or medium-sized business modernization, and innovative consumer bundling solutions;</w:t>
      </w:r>
    </w:p>
    <w:p>
      <w:pPr>
        <w:spacing w:after="0" w:line="75" w:lineRule="exact"/>
        <w:rPr>
          <w:rFonts w:ascii="Arial" w:cs="Arial" w:eastAsia="Arial" w:hAnsi="Arial"/>
          <w:sz w:val="18"/>
          <w:szCs w:val="18"/>
          <w:color w:val="auto"/>
        </w:rPr>
      </w:pPr>
    </w:p>
    <w:p>
      <w:pPr>
        <w:ind w:left="1540" w:right="12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network evolution in order to support growing technology needs associated with Internet of Things (IoT), autonomous vehicles and augmented and virtual reality;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new communications technologies such as 5G wireless technology, eSIM, Wi-Fi 6, and Narrowband IoT (NB-IOT), and;</w:t>
      </w:r>
    </w:p>
    <w:p>
      <w:pPr>
        <w:spacing w:after="0" w:line="130" w:lineRule="exact"/>
        <w:rPr>
          <w:rFonts w:ascii="Arial" w:cs="Arial" w:eastAsia="Arial" w:hAnsi="Arial"/>
          <w:sz w:val="18"/>
          <w:szCs w:val="18"/>
          <w:color w:val="auto"/>
        </w:rPr>
      </w:pPr>
    </w:p>
    <w:p>
      <w:pPr>
        <w:ind w:left="154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artificial intelligence, including machine learning (ML) and natural language processing (NLP) edge computing, network and service automation, and blockchain.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Customer focus, such as:</w:t>
      </w:r>
    </w:p>
    <w:p>
      <w:pPr>
        <w:spacing w:after="0" w:line="130" w:lineRule="exact"/>
        <w:rPr>
          <w:rFonts w:ascii="Arial" w:cs="Arial" w:eastAsia="Arial" w:hAnsi="Arial"/>
          <w:sz w:val="18"/>
          <w:szCs w:val="18"/>
          <w:color w:val="auto"/>
        </w:rPr>
      </w:pPr>
    </w:p>
    <w:p>
      <w:pPr>
        <w:ind w:left="1540" w:right="14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need for service providers to personalize the customer’s experience and provide contextual and personalized engagements at all points in their omni-channel customer journey;</w:t>
      </w:r>
    </w:p>
    <w:p>
      <w:pPr>
        <w:spacing w:after="0" w:line="75" w:lineRule="exact"/>
        <w:rPr>
          <w:rFonts w:ascii="Arial" w:cs="Arial" w:eastAsia="Arial" w:hAnsi="Arial"/>
          <w:sz w:val="18"/>
          <w:szCs w:val="18"/>
          <w:color w:val="auto"/>
        </w:rPr>
      </w:pPr>
    </w:p>
    <w:p>
      <w:pPr>
        <w:ind w:left="1540" w:right="12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increasing customer expectations for new, innovative services and applications that are personally relevant and that can be accessed anytime, anywhere and from any device;</w:t>
      </w:r>
    </w:p>
    <w:p>
      <w:pPr>
        <w:spacing w:after="0" w:line="75" w:lineRule="exact"/>
        <w:rPr>
          <w:rFonts w:ascii="Arial" w:cs="Arial" w:eastAsia="Arial" w:hAnsi="Arial"/>
          <w:sz w:val="18"/>
          <w:szCs w:val="18"/>
          <w:color w:val="auto"/>
        </w:rPr>
      </w:pPr>
    </w:p>
    <w:p>
      <w:pPr>
        <w:ind w:left="1540" w:right="8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ever-increasing expectations for service and support, including omni-monetization and proactive multi-modal customer care and commerce; and</w:t>
      </w:r>
    </w:p>
    <w:p>
      <w:pPr>
        <w:spacing w:after="0" w:line="75" w:lineRule="exact"/>
        <w:rPr>
          <w:rFonts w:ascii="Arial" w:cs="Arial" w:eastAsia="Arial" w:hAnsi="Arial"/>
          <w:sz w:val="18"/>
          <w:szCs w:val="18"/>
          <w:color w:val="auto"/>
        </w:rPr>
      </w:pPr>
    </w:p>
    <w:p>
      <w:pPr>
        <w:ind w:left="1540" w:right="12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continuous proliferation of on-demand experiences, including low-latency, high quality of service connectivity and seamless digital interactions.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need for operational efficiency, including: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the shift from in-house management to vendor solutions;</w:t>
      </w:r>
    </w:p>
    <w:p>
      <w:pPr>
        <w:spacing w:after="0" w:line="130" w:lineRule="exact"/>
        <w:rPr>
          <w:rFonts w:ascii="Arial" w:cs="Arial" w:eastAsia="Arial" w:hAnsi="Arial"/>
          <w:sz w:val="18"/>
          <w:szCs w:val="18"/>
          <w:color w:val="auto"/>
        </w:rPr>
      </w:pPr>
    </w:p>
    <w:p>
      <w:pPr>
        <w:ind w:left="1540" w:right="6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business needs of service providers to reduce costs and lower total cost of ownership of software systems while retaining high-value customers in a highly competitive environment;</w:t>
      </w:r>
    </w:p>
    <w:p>
      <w:pPr>
        <w:spacing w:after="0" w:line="75" w:lineRule="exact"/>
        <w:rPr>
          <w:rFonts w:ascii="Arial" w:cs="Arial" w:eastAsia="Arial" w:hAnsi="Arial"/>
          <w:sz w:val="18"/>
          <w:szCs w:val="18"/>
          <w:color w:val="auto"/>
        </w:rPr>
      </w:pPr>
    </w:p>
    <w:p>
      <w:pPr>
        <w:ind w:left="1540" w:right="160" w:hanging="331"/>
        <w:spacing w:after="0" w:line="277" w:lineRule="auto"/>
        <w:tabs>
          <w:tab w:leader="none" w:pos="15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automating, introducing artificial intelligence, and integrating business processes that span service providers’ business systems and network solutions;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22"/>
        </w:numPr>
        <w:rPr>
          <w:rFonts w:ascii="Arial" w:cs="Arial" w:eastAsia="Arial" w:hAnsi="Arial"/>
          <w:sz w:val="17"/>
          <w:szCs w:val="17"/>
          <w:color w:val="auto"/>
        </w:rPr>
      </w:pPr>
      <w:r>
        <w:rPr>
          <w:rFonts w:ascii="Arial" w:cs="Arial" w:eastAsia="Arial" w:hAnsi="Arial"/>
          <w:sz w:val="17"/>
          <w:szCs w:val="17"/>
          <w:color w:val="auto"/>
        </w:rPr>
        <w:t>implementing and integrating new next-generation networks (and retiring legacy networks) to deploy new technologies; and</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86" w:right="4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540" w:hanging="331"/>
        <w:spacing w:after="0"/>
        <w:tabs>
          <w:tab w:leader="none" w:pos="1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transforming fragmented legacy OSS to introduce new, orchestrated and automated services in a timely and cost-effective manner.</w:t>
      </w:r>
    </w:p>
    <w:p>
      <w:pPr>
        <w:spacing w:after="0" w:line="248"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Revenue from managed services arrangements is a significant part of our business, generating substantial, long-term recurring revenue streams and cash flow. Revenue from managed services arrangements accounted for approximately $2.76 billion and $2.55 billion of revenue in fiscal 2022 and 2021,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Patents and Licenses</w:t>
      </w:r>
    </w:p>
    <w:p>
      <w:pPr>
        <w:spacing w:after="0" w:line="121"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Our research and development activities involve the development of new software architecture, modules and product offerings in response to an identified market demand. We also expend additional amounts on applied research and software development activities to keep abreast of new technologies in the communications and media industry and to provide new and enhanced functionality to our existing product offerings. We leverage leading-edge development technologies and associated technologies, for example, DevSecOps, CI/CD and Agile, to ensure we are able to develop and deliver our solutions efficiently and cost-effectively.</w:t>
      </w:r>
    </w:p>
    <w:p>
      <w:pPr>
        <w:spacing w:after="0" w:line="18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Substantially all of our research and development expenditures are directed at our solutions. In recent years, we have also invested our research and development efforts in network control, optimization and orchestration and network functions virtualization technologies; applications to enable service providers to deploy and monetize technologies such as fiber, LTE, 5G, small cells and Wi-Fi; big data analytics and intelligence capabilities leveraging natural language processing and artificial intelligence toward consumer and business satisfaction, marketing effectiveness and network operations and experience; increased focus for the business segment, digital, commerce and entertainment domains; platforms for processing, distributing and monetizing content globally and on foundational technologies including microservices and cloud infrastructure readiness.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Our products are largely comprised of software and systems that we have developed or acquired and that we regard as proprietary. In recent years, we have invested in adopting open source components in an effort to reduce total cost of ownership for our customers, but our software and software systems remain the results of long, robust and intensive development processes. Although our technology is not significantly dependent on patents or licenses from third parties, certain aspects of our products continue to make use of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86" w:right="47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table sets forth for the fiscal years ended September 30, 2022, 2021 and 2020, certain items in our consolidated statements of income reflected as a percentage of revenue (figures may not sum because of rounding):</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25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20" w:type="dxa"/>
            <w:vAlign w:val="bottom"/>
          </w:tcPr>
          <w:p>
            <w:pPr>
              <w:spacing w:after="0"/>
              <w:rPr>
                <w:sz w:val="12"/>
                <w:szCs w:val="12"/>
                <w:color w:val="auto"/>
              </w:rPr>
            </w:pPr>
          </w:p>
        </w:tc>
        <w:tc>
          <w:tcPr>
            <w:tcW w:w="6700" w:type="dxa"/>
            <w:vAlign w:val="bottom"/>
            <w:tcBorders>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09"/>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60" w:type="dxa"/>
            <w:vAlign w:val="bottom"/>
          </w:tcPr>
          <w:p>
            <w:pPr>
              <w:jc w:val="right"/>
              <w:spacing w:after="0"/>
              <w:rPr>
                <w:sz w:val="20"/>
                <w:szCs w:val="20"/>
                <w:color w:val="auto"/>
              </w:rPr>
            </w:pPr>
            <w:r>
              <w:rPr>
                <w:rFonts w:ascii="Arial" w:cs="Arial" w:eastAsia="Arial" w:hAnsi="Arial"/>
                <w:sz w:val="18"/>
                <w:szCs w:val="18"/>
                <w:color w:val="auto"/>
              </w:rPr>
              <w:t>7.8</w:t>
            </w:r>
          </w:p>
        </w:tc>
        <w:tc>
          <w:tcPr>
            <w:tcW w:w="4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4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4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200" w:type="dxa"/>
            <w:vAlign w:val="bottom"/>
            <w:shd w:val="clear" w:color="auto" w:fill="CCEEFF"/>
          </w:tcPr>
          <w:p>
            <w:pPr>
              <w:spacing w:after="0"/>
              <w:rPr>
                <w:sz w:val="18"/>
                <w:szCs w:val="18"/>
                <w:color w:val="auto"/>
              </w:rPr>
            </w:pPr>
          </w:p>
        </w:tc>
      </w:tr>
      <w:tr>
        <w:trPr>
          <w:trHeight w:val="223"/>
        </w:trPr>
        <w:tc>
          <w:tcPr>
            <w:tcW w:w="67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60" w:type="dxa"/>
            <w:vAlign w:val="bottom"/>
          </w:tcPr>
          <w:p>
            <w:pPr>
              <w:jc w:val="right"/>
              <w:spacing w:after="0"/>
              <w:rPr>
                <w:sz w:val="20"/>
                <w:szCs w:val="20"/>
                <w:color w:val="auto"/>
              </w:rPr>
            </w:pPr>
            <w:r>
              <w:rPr>
                <w:rFonts w:ascii="Arial" w:cs="Arial" w:eastAsia="Arial" w:hAnsi="Arial"/>
                <w:sz w:val="18"/>
                <w:szCs w:val="18"/>
                <w:color w:val="auto"/>
              </w:rPr>
              <w:t>14.5</w:t>
            </w: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14.0</w:t>
            </w:r>
          </w:p>
        </w:tc>
        <w:tc>
          <w:tcPr>
            <w:tcW w:w="4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460" w:type="dxa"/>
            <w:vAlign w:val="bottom"/>
          </w:tcPr>
          <w:p>
            <w:pPr>
              <w:jc w:val="right"/>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5.3</w:t>
            </w:r>
          </w:p>
        </w:tc>
        <w:tc>
          <w:tcPr>
            <w:tcW w:w="46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4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00" w:type="dxa"/>
            <w:vAlign w:val="bottom"/>
          </w:tcPr>
          <w:p>
            <w:pPr>
              <w:spacing w:after="0"/>
              <w:rPr>
                <w:sz w:val="20"/>
                <w:szCs w:val="20"/>
                <w:color w:val="auto"/>
              </w:rPr>
            </w:pPr>
            <w:r>
              <w:rPr>
                <w:rFonts w:ascii="Arial" w:cs="Arial" w:eastAsia="Arial" w:hAnsi="Arial"/>
                <w:sz w:val="18"/>
                <w:szCs w:val="18"/>
                <w:color w:val="auto"/>
              </w:rPr>
              <w:t>Income taxes</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12.0%</w:t>
            </w: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w:t>
            </w: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Years Ended September 30, 2022 and 2021</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fiscal year ended September 30, 2022, compared to the fiscal year ended September 30, 2021. Following the table is a discussion and analysis of our business and results of operations for these fiscal years.</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Year Ended 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4"/>
              </w:rPr>
              <w:t>Amount</w:t>
            </w:r>
          </w:p>
        </w:tc>
        <w:tc>
          <w:tcPr>
            <w:tcW w:w="5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40" w:type="dxa"/>
            <w:vAlign w:val="bottom"/>
            <w:gridSpan w:val="7"/>
          </w:tcPr>
          <w:p>
            <w:pPr>
              <w:jc w:val="right"/>
              <w:ind w:right="100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Revenue(1)</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4,576,697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$4,288,640</w:t>
            </w: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$ 288,057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Operating expenses: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2,957,547</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2,810,967</w:t>
            </w: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146,580</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354,706</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312,941</w:t>
            </w:r>
          </w:p>
        </w:tc>
        <w:tc>
          <w:tcPr>
            <w:tcW w:w="200" w:type="dxa"/>
            <w:vAlign w:val="bottom"/>
          </w:tcPr>
          <w:p>
            <w:pPr>
              <w:spacing w:after="0"/>
              <w:rPr>
                <w:sz w:val="18"/>
                <w:szCs w:val="18"/>
                <w:color w:val="auto"/>
              </w:rPr>
            </w:pPr>
          </w:p>
        </w:tc>
        <w:tc>
          <w:tcPr>
            <w:tcW w:w="1180" w:type="dxa"/>
            <w:vAlign w:val="bottom"/>
            <w:gridSpan w:val="4"/>
          </w:tcPr>
          <w:p>
            <w:pPr>
              <w:jc w:val="right"/>
              <w:ind w:right="280"/>
              <w:spacing w:after="0"/>
              <w:rPr>
                <w:sz w:val="20"/>
                <w:szCs w:val="20"/>
                <w:color w:val="auto"/>
              </w:rPr>
            </w:pPr>
            <w:r>
              <w:rPr>
                <w:rFonts w:ascii="Arial" w:cs="Arial" w:eastAsia="Arial" w:hAnsi="Arial"/>
                <w:sz w:val="18"/>
                <w:szCs w:val="18"/>
                <w:color w:val="auto"/>
              </w:rPr>
              <w:t>41,765</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528,572</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487,255</w:t>
            </w: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41,317</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tcPr>
          <w:p>
            <w:pPr>
              <w:ind w:left="360"/>
              <w:spacing w:after="0"/>
              <w:rPr>
                <w:sz w:val="20"/>
                <w:szCs w:val="20"/>
                <w:color w:val="auto"/>
              </w:rPr>
            </w:pPr>
            <w:r>
              <w:rPr>
                <w:rFonts w:ascii="Arial" w:cs="Arial" w:eastAsia="Arial" w:hAnsi="Arial"/>
                <w:sz w:val="18"/>
                <w:szCs w:val="18"/>
                <w:color w:val="auto"/>
                <w:w w:val="98"/>
              </w:rPr>
              <w:t>Amortization of purchased intangible assets and other</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71,075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78,784</w:t>
            </w:r>
          </w:p>
        </w:tc>
        <w:tc>
          <w:tcPr>
            <w:tcW w:w="200" w:type="dxa"/>
            <w:vAlign w:val="bottom"/>
          </w:tcPr>
          <w:p>
            <w:pPr>
              <w:spacing w:after="0"/>
              <w:rPr>
                <w:sz w:val="18"/>
                <w:szCs w:val="18"/>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(7,709)</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3,911,900</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3,689,947</w:t>
            </w: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221,953</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040" w:type="dxa"/>
            <w:vAlign w:val="bottom"/>
            <w:gridSpan w:val="2"/>
          </w:tcPr>
          <w:p>
            <w:pPr>
              <w:ind w:left="440"/>
              <w:spacing w:after="0"/>
              <w:rPr>
                <w:sz w:val="20"/>
                <w:szCs w:val="20"/>
                <w:color w:val="auto"/>
              </w:rPr>
            </w:pPr>
            <w:r>
              <w:rPr>
                <w:rFonts w:ascii="Arial" w:cs="Arial" w:eastAsia="Arial" w:hAnsi="Arial"/>
                <w:sz w:val="18"/>
                <w:szCs w:val="18"/>
                <w:color w:val="auto"/>
              </w:rPr>
              <w:t>Operating income</w:t>
            </w:r>
          </w:p>
        </w:tc>
        <w:tc>
          <w:tcPr>
            <w:tcW w:w="1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664,797</w:t>
            </w:r>
          </w:p>
        </w:tc>
        <w:tc>
          <w:tcPr>
            <w:tcW w:w="4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598,693</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66,104</w:t>
            </w:r>
          </w:p>
        </w:tc>
        <w:tc>
          <w:tcPr>
            <w:tcW w:w="28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(26,391)</w:t>
            </w:r>
          </w:p>
        </w:tc>
        <w:tc>
          <w:tcPr>
            <w:tcW w:w="10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(10,797)</w:t>
            </w: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(15,594)</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10,000</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226,410</w:t>
            </w:r>
          </w:p>
        </w:tc>
        <w:tc>
          <w:tcPr>
            <w:tcW w:w="200" w:type="dxa"/>
            <w:vAlign w:val="bottom"/>
          </w:tcPr>
          <w:p>
            <w:pPr>
              <w:spacing w:after="0"/>
              <w:rPr>
                <w:sz w:val="18"/>
                <w:szCs w:val="18"/>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(216,410)</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648,406</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814,306</w:t>
            </w: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(165,900)</w:t>
            </w:r>
          </w:p>
        </w:tc>
        <w:tc>
          <w:tcPr>
            <w:tcW w:w="8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Income taxes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98,905</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125,932</w:t>
            </w:r>
          </w:p>
        </w:tc>
        <w:tc>
          <w:tcPr>
            <w:tcW w:w="200" w:type="dxa"/>
            <w:vAlign w:val="bottom"/>
          </w:tcPr>
          <w:p>
            <w:pPr>
              <w:spacing w:after="0"/>
              <w:rPr>
                <w:sz w:val="18"/>
                <w:szCs w:val="18"/>
                <w:color w:val="auto"/>
              </w:rPr>
            </w:pPr>
          </w:p>
        </w:tc>
        <w:tc>
          <w:tcPr>
            <w:tcW w:w="1180" w:type="dxa"/>
            <w:vAlign w:val="bottom"/>
            <w:gridSpan w:val="4"/>
          </w:tcPr>
          <w:p>
            <w:pPr>
              <w:jc w:val="right"/>
              <w:ind w:right="220"/>
              <w:spacing w:after="0"/>
              <w:rPr>
                <w:sz w:val="20"/>
                <w:szCs w:val="20"/>
                <w:color w:val="auto"/>
              </w:rPr>
            </w:pPr>
            <w:r>
              <w:rPr>
                <w:rFonts w:ascii="Arial" w:cs="Arial" w:eastAsia="Arial" w:hAnsi="Arial"/>
                <w:sz w:val="18"/>
                <w:szCs w:val="18"/>
                <w:color w:val="auto"/>
              </w:rPr>
              <w:t>(27,027)</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549,501</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  688,374</w:t>
            </w:r>
          </w:p>
        </w:tc>
        <w:tc>
          <w:tcPr>
            <w:tcW w:w="200" w:type="dxa"/>
            <w:vAlign w:val="bottom"/>
            <w:shd w:val="clear" w:color="auto" w:fill="CCEEFF"/>
          </w:tcPr>
          <w:p>
            <w:pPr>
              <w:spacing w:after="0"/>
              <w:rPr>
                <w:sz w:val="18"/>
                <w:szCs w:val="18"/>
                <w:color w:val="auto"/>
              </w:rPr>
            </w:pPr>
          </w:p>
        </w:tc>
        <w:tc>
          <w:tcPr>
            <w:tcW w:w="11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(138,873)</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5040" w:type="dxa"/>
            <w:vAlign w:val="bottom"/>
            <w:gridSpan w:val="2"/>
            <w:vMerge w:val="restart"/>
          </w:tcPr>
          <w:p>
            <w:pPr>
              <w:spacing w:after="0"/>
              <w:rPr>
                <w:sz w:val="20"/>
                <w:szCs w:val="20"/>
                <w:color w:val="auto"/>
              </w:rPr>
            </w:pPr>
            <w:r>
              <w:rPr>
                <w:rFonts w:ascii="Arial" w:cs="Arial" w:eastAsia="Arial" w:hAnsi="Arial"/>
                <w:sz w:val="18"/>
                <w:szCs w:val="18"/>
                <w:color w:val="auto"/>
              </w:rPr>
              <w:t>(1)   Geographic Information:</w:t>
            </w:r>
          </w:p>
        </w:tc>
        <w:tc>
          <w:tcPr>
            <w:tcW w:w="1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04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8"/>
              </w:rPr>
              <w:t>Year Ended September 30,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top w:val="single" w:sz="8" w:color="auto"/>
              <w:bottom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rPr>
              <w:t>Amount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40" w:type="dxa"/>
            <w:vAlign w:val="bottom"/>
            <w:gridSpan w:val="7"/>
          </w:tcPr>
          <w:p>
            <w:pPr>
              <w:jc w:val="right"/>
              <w:ind w:right="98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North America (mainly United States)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3,100,038</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3"/>
              </w:rPr>
              <w:t>$2,791,472</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$308,566</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Europe</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582,192</w:t>
            </w:r>
          </w:p>
        </w:tc>
        <w:tc>
          <w:tcPr>
            <w:tcW w:w="42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622,780</w:t>
            </w:r>
          </w:p>
        </w:tc>
        <w:tc>
          <w:tcPr>
            <w:tcW w:w="1180" w:type="dxa"/>
            <w:vAlign w:val="bottom"/>
            <w:gridSpan w:val="4"/>
          </w:tcPr>
          <w:p>
            <w:pPr>
              <w:jc w:val="right"/>
              <w:ind w:right="180"/>
              <w:spacing w:after="0"/>
              <w:rPr>
                <w:sz w:val="20"/>
                <w:szCs w:val="20"/>
                <w:color w:val="auto"/>
              </w:rPr>
            </w:pPr>
            <w:r>
              <w:rPr>
                <w:rFonts w:ascii="Arial" w:cs="Arial" w:eastAsia="Arial" w:hAnsi="Arial"/>
                <w:sz w:val="18"/>
                <w:szCs w:val="18"/>
                <w:color w:val="auto"/>
              </w:rPr>
              <w:t>(40,588)</w:t>
            </w: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894,467</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874,388</w:t>
            </w:r>
          </w:p>
        </w:tc>
        <w:tc>
          <w:tcPr>
            <w:tcW w:w="11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20,079</w:t>
            </w:r>
          </w:p>
        </w:tc>
        <w:tc>
          <w:tcPr>
            <w:tcW w:w="8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Revenue</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4,576,697</w:t>
            </w:r>
          </w:p>
        </w:tc>
        <w:tc>
          <w:tcPr>
            <w:tcW w:w="420" w:type="dxa"/>
            <w:vAlign w:val="bottom"/>
          </w:tcPr>
          <w:p>
            <w:pPr>
              <w:spacing w:after="0"/>
              <w:rPr>
                <w:sz w:val="20"/>
                <w:szCs w:val="20"/>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w w:val="93"/>
              </w:rPr>
              <w:t>$4,288,640</w:t>
            </w:r>
          </w:p>
        </w:tc>
        <w:tc>
          <w:tcPr>
            <w:tcW w:w="1180" w:type="dxa"/>
            <w:vAlign w:val="bottom"/>
            <w:gridSpan w:val="4"/>
          </w:tcPr>
          <w:p>
            <w:pPr>
              <w:jc w:val="right"/>
              <w:ind w:right="240"/>
              <w:spacing w:after="0"/>
              <w:rPr>
                <w:sz w:val="20"/>
                <w:szCs w:val="20"/>
                <w:color w:val="auto"/>
              </w:rPr>
            </w:pPr>
            <w:r>
              <w:rPr>
                <w:rFonts w:ascii="Arial" w:cs="Arial" w:eastAsia="Arial" w:hAnsi="Arial"/>
                <w:sz w:val="18"/>
                <w:szCs w:val="18"/>
                <w:color w:val="auto"/>
              </w:rPr>
              <w:t>$288,057</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50"/>
        </w:trPr>
        <w:tc>
          <w:tcPr>
            <w:tcW w:w="4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0" w:type="dxa"/>
            <w:vAlign w:val="bottom"/>
          </w:tcPr>
          <w:p>
            <w:pPr>
              <w:jc w:val="right"/>
              <w:ind w:right="55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304" w:lineRule="auto"/>
        <w:rPr>
          <w:sz w:val="20"/>
          <w:szCs w:val="20"/>
          <w:color w:val="auto"/>
        </w:rPr>
      </w:pPr>
      <w:r>
        <w:rPr>
          <w:rFonts w:ascii="Arial" w:cs="Arial" w:eastAsia="Arial" w:hAnsi="Arial"/>
          <w:sz w:val="16"/>
          <w:szCs w:val="16"/>
          <w:b w:val="1"/>
          <w:bCs w:val="1"/>
          <w:i w:val="1"/>
          <w:iCs w:val="1"/>
          <w:color w:val="auto"/>
        </w:rPr>
        <w:t>Revenue</w:t>
      </w:r>
      <w:r>
        <w:rPr>
          <w:rFonts w:ascii="Arial" w:cs="Arial" w:eastAsia="Arial" w:hAnsi="Arial"/>
          <w:sz w:val="16"/>
          <w:szCs w:val="16"/>
          <w:color w:val="auto"/>
        </w:rPr>
        <w:t>. Revenue increased by $288.1 million, or 6.7%, to $4,576.7 million in fiscal year 2022, from $4,288.6 million in fiscal year 2021.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revenue was attributable primarily to an increase in managed services arrangements and transformation activities in North America reflecting strong business activity building next-generation platforms for our customers and was partially offset by a decrease in revenue as a result of the divestiture of OpenMarket completed on December 31, 2020, and negative impact from foreign exchange fluctuations. Revenue for fiscal year 2022, excluding approximately 1.4%</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negative foreign exchange fluctuations impact, primarily in Europe, increased by 8.1% compared to fiscal year 2021.</w:t>
      </w:r>
    </w:p>
    <w:p>
      <w:pPr>
        <w:spacing w:after="0" w:line="29"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In fiscal year 2022, revenue from customers in North America, Europe and the rest of the world accounted for 67.8%, 12.7% and 19.5%, respectively, of total revenue, compared to 65.1%, 14.5% and 20.4%, respectively, in fiscal year 2021.</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fiscal year 2022, revenue from customers in North America, Europe and the rest of the world increased (decreased) by 11.1%, (6.5%) and 2.3% respectively, compared to fiscal year 2021. Excluding the negative impact of foreign exchange fluctuations as well as the divestiture of OpenMarket completed on December 31, 2020, revenue from customers in all these regions increased in fiscal year 2022 compared to fiscal year 2021.</w:t>
      </w:r>
    </w:p>
    <w:p>
      <w:pPr>
        <w:spacing w:after="0" w:line="149"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increase in revenue from customers in North America was primarily attributable to higher revenue from managed services arrangements and transformation activities from customers in North America, which was partially offset by the divestiture of OpenMarket completed on December 31, 2020.</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Revenue from customers in Europe decreased in fiscal year 2022, primarily as a result of the negative impact of foreign exchange fluctuations as well as the divestiture of OpenMarket completed on December 31, 2020. This decrease was partially offset by an increase in development and modernization activities, as we expand our presence in this region.</w:t>
      </w:r>
    </w:p>
    <w:p>
      <w:pPr>
        <w:spacing w:after="0" w:line="184"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Revenue from customers in the rest of the world in absolute amount increased while the percentage of total revenue increased at a higher rate, which resulted in a decrease of revenue from customers in rest of the world as a percentage of total revenue. This increase was partially offset by the negative impact of foreign exchange fluctuations.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Revenue from our two largest customers increased by 13.6% in fiscal year 2022 compared to fiscal year 2021. Revenue from all other customers,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excluding the two largest customers, increased by 1.3% in fiscal year 2022, however, excluding the impact of negative foreign exchange fluctuations of</w:t>
      </w:r>
    </w:p>
    <w:p>
      <w:pPr>
        <w:ind w:left="120"/>
        <w:spacing w:after="0" w:line="226" w:lineRule="auto"/>
        <w:rPr>
          <w:sz w:val="20"/>
          <w:szCs w:val="20"/>
          <w:color w:val="auto"/>
        </w:rPr>
      </w:pPr>
      <w:r>
        <w:rPr>
          <w:rFonts w:ascii="Arial" w:cs="Arial" w:eastAsia="Arial" w:hAnsi="Arial"/>
          <w:sz w:val="16"/>
          <w:szCs w:val="16"/>
          <w:color w:val="auto"/>
        </w:rPr>
        <w:t>2.5%</w:t>
      </w:r>
      <w:r>
        <w:rPr>
          <w:rFonts w:ascii="Arial" w:cs="Arial" w:eastAsia="Arial" w:hAnsi="Arial"/>
          <w:sz w:val="23"/>
          <w:szCs w:val="23"/>
          <w:color w:val="auto"/>
          <w:vertAlign w:val="superscript"/>
        </w:rPr>
        <w:t>(1)</w:t>
      </w:r>
      <w:r>
        <w:rPr>
          <w:rFonts w:ascii="Arial" w:cs="Arial" w:eastAsia="Arial" w:hAnsi="Arial"/>
          <w:sz w:val="16"/>
          <w:szCs w:val="16"/>
          <w:color w:val="auto"/>
        </w:rPr>
        <w:t xml:space="preserve"> and the impact of the divestiture of OpenMarket of 3.8%, revenue from all other customers, excluding the two largest customers, increased by</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7.6% in fiscal year 2022 compared to fiscal year 2021.</w:t>
      </w:r>
    </w:p>
    <w:p>
      <w:pPr>
        <w:spacing w:after="0" w:line="20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consists primarily of costs associated with providing services to customers, including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costs of third-party products, as well as fee and royalty payments to software suppliers. Cost of revenue increased by $146.6 million, or 5.2%, to $2,957.5 million in fiscal year 2022, from $2,811.0 million in fiscal year 2021. The cost of revenue as a percentage of revenue decreased to 64.6% in fiscal year 2022 from 65.5% in fiscal year 2021. This decrease in cost of revenue as a percentage of revenue was attributable to operational excellence and efficiency initiatives through the ongoing implementation of automation and other sophisticated tools, the divestiture of OpenMarket completed on December 31, 2020 (as OpenMarket’s cost of revenue as a percentage of revenue was higher than the Company average), and the impact of changes of certain acquisition-related liabilities measured at fair value recognized in fiscal years 2022 and 2021. This decrease was partially offset by the increase of cost due to the impact of foreign exchange fluctuations.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715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5" w:lineRule="exact"/>
        <w:rPr>
          <w:sz w:val="20"/>
          <w:szCs w:val="20"/>
          <w:color w:val="auto"/>
        </w:rPr>
      </w:pPr>
    </w:p>
    <w:p>
      <w:pPr>
        <w:ind w:left="540" w:right="100" w:hanging="424"/>
        <w:spacing w:after="0" w:line="207" w:lineRule="auto"/>
        <w:tabs>
          <w:tab w:leader="none" w:pos="540" w:val="left"/>
        </w:tabs>
        <w:numPr>
          <w:ilvl w:val="0"/>
          <w:numId w:val="24"/>
        </w:numPr>
        <w:rPr>
          <w:rFonts w:ascii="Arial" w:cs="Arial" w:eastAsia="Arial" w:hAnsi="Arial"/>
          <w:sz w:val="27"/>
          <w:szCs w:val="27"/>
          <w:color w:val="auto"/>
          <w:vertAlign w:val="superscript"/>
        </w:rPr>
      </w:pPr>
      <w:r>
        <w:rPr>
          <w:rFonts w:ascii="Arial" w:cs="Arial" w:eastAsia="Arial" w:hAnsi="Arial"/>
          <w:sz w:val="18"/>
          <w:szCs w:val="18"/>
          <w:color w:val="auto"/>
        </w:rPr>
        <w:t>The total negative foreign exchange impact of our total revenue was 1.4% in fiscal year 2022, while the same foreign exchange impact calculated against revenue from all other customers, excluding the two largest customers, was 2.5% in fiscal year 2022</w:t>
      </w:r>
    </w:p>
    <w:p>
      <w:pPr>
        <w:spacing w:after="0" w:line="1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$41.8 million, or 13.3%, to $354.7 million in fiscal year 2022, from $312.9 million in fiscal year 2021. Research and development expense increased as a percentage of revenue from 7.3% in fiscal year 2021, to 7.8% in fiscal year 2022, as we have been accelerating our investment in our cloud offerings, 5G and network related innovation and further developing our digital offerings. Our research and development efforts are a key element of our strategy and are essential to our success, and we intend to maintain our commitment to research and development. However, an increase or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66"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color w:val="auto"/>
        </w:rPr>
        <w:t>. Selling, general and administrative expense, which is primarily comprised of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increased by $41.3 million, or 8.5%, to $528.6 million in fiscal year 2022, from $487.3 million in fiscal year 2021. Selling, general and administrative expense slightly increased as a percentage of revenue from 11.4% in fiscal year 2021, to 11.5% in fiscal year 2022, the increase in selling expense was commensurate with the revenue growth. Selling, general and administrative expense may fluctuate from time to time, depending upon such factors as changes in our workforce and sales efforts and the results of any operational efficiency programs that we may undertake.</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Amortization of Purchased Intangible Assets and Other</w:t>
      </w:r>
      <w:r>
        <w:rPr>
          <w:rFonts w:ascii="Arial" w:cs="Arial" w:eastAsia="Arial" w:hAnsi="Arial"/>
          <w:sz w:val="16"/>
          <w:szCs w:val="16"/>
          <w:color w:val="auto"/>
        </w:rPr>
        <w:t>. Amortization of purchased intangible assets and other decreased by $7.7 million,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9.8%, to $71.1 million in fiscal year 2022, from $78.8 million in fiscal year 2021. The decrease in amortization of purchased intangible assets and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was primarily attributable to a completion of amortization of previously purchased intangible assets, partially offset by an increase in amortization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intangible assets due to recently completed acquisitions.</w:t>
      </w:r>
    </w:p>
    <w:p>
      <w:pPr>
        <w:spacing w:after="0" w:line="21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color w:val="auto"/>
        </w:rPr>
        <w:t>. Operating income increased by $66.1 million, or 11.0%, to $664.8 million in fiscal year 2022, from $598.7 million in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2021. Operating income increased as a percentage of revenue, from 14.0% in fiscal year 2021 to 14.5% in fiscal year 2022. In fiscal year 2022 our revenue increased at a higher rate than the increase in cost of revenue, which resulted in an increase in our operating income. The increase in operating income was partially offset by an increase in research and development expense and selling, general and administrative expense. Our operating income was negatively affected by foreign exchange fluctuations impacts.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color w:val="auto"/>
        </w:rPr>
        <w:t>. Interest and other expense, net, increased from a net expense of $10.8 million in fiscal year 2021 to a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$26.4 million in fiscal year 2022. The increase in interest and other expense, net, was primarily attributable to an increase in foreign exchange fluctuation impacts and changes of minority equity investments measured at fair value, partially offset by decrease in interest expenses related to borrowing.</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b w:val="1"/>
          <w:bCs w:val="1"/>
          <w:i w:val="1"/>
          <w:iCs w:val="1"/>
          <w:color w:val="auto"/>
        </w:rPr>
        <w:t>Gain from Sale of a Business</w:t>
      </w:r>
      <w:r>
        <w:rPr>
          <w:rFonts w:ascii="Arial" w:cs="Arial" w:eastAsia="Arial" w:hAnsi="Arial"/>
          <w:sz w:val="18"/>
          <w:szCs w:val="18"/>
          <w:color w:val="auto"/>
        </w:rPr>
        <w:t>. Gain from sale of a business, for fiscal year 2022 decreased by $216.4 million, or 95.6% to $10.0 million from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$226.4 million for fiscal year 2021. Please see Note 3 to our consolidated financial statements.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 Income taxes for fiscal year 2022 were $98.9 million on pre-tax income of $648.4 million, resulting in an effective tax rate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15.3% in fiscal year 2022, compared to 15.5% in fiscal year 2021. The slight decrease in the effective tax rate is primarily attributable to a tax benefit recorded in fiscal year 2022, please see Note 10 to our consolidated financial statements. Our effective tax rate may fluctuate between periods as a result of discrete items that may affect a particular period.</w:t>
      </w:r>
    </w:p>
    <w:p>
      <w:pPr>
        <w:spacing w:after="0" w:line="18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b w:val="1"/>
          <w:bCs w:val="1"/>
          <w:i w:val="1"/>
          <w:iCs w:val="1"/>
          <w:color w:val="auto"/>
        </w:rPr>
        <w:t>Net Income</w:t>
      </w:r>
      <w:r>
        <w:rPr>
          <w:rFonts w:ascii="Arial" w:cs="Arial" w:eastAsia="Arial" w:hAnsi="Arial"/>
          <w:sz w:val="18"/>
          <w:szCs w:val="18"/>
          <w:color w:val="auto"/>
        </w:rPr>
        <w:t>. Net income decreased by $138.9 million, or 20.2%, to $549.5 million in fiscal year 2022, from $688.4 million in fiscal year 2021.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decrease in net income was primarily attributable to the gain from sale of a business, net of tax, which was recorded in fiscal year 2021, partially offset by an increase in operating income and a decrease in income taxes in fiscal year 2022.</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86"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b w:val="1"/>
          <w:bCs w:val="1"/>
          <w:i w:val="1"/>
          <w:iCs w:val="1"/>
          <w:color w:val="auto"/>
        </w:rPr>
        <w:t>Diluted Earnings Per Share</w:t>
      </w:r>
      <w:r>
        <w:rPr>
          <w:rFonts w:ascii="Arial" w:cs="Arial" w:eastAsia="Arial" w:hAnsi="Arial"/>
          <w:sz w:val="18"/>
          <w:szCs w:val="18"/>
          <w:color w:val="auto"/>
        </w:rPr>
        <w:t>. Diluted earnings per share decreased by $0.88, or 16.5%, to $4.44 in fiscal year 2022, from $5.32 in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2021. The decrease in diluted earnings per share was primarily attributable to the gain from sale of a business, net of tax, which increased the diluted earnings per share for fiscal years 2022 and 2021, by $0.05 and $1.44, respectively. The decrease was attributable to a decrease in net income, partially offset by the decrease in the diluted weighted average number of shares outstanding, which resulted from share repurchases. Please see also Note 20 to our consolidated financial statements.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Years Ended September 30, 2021 and 2020</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fiscal year ended September 30, 2021, compared to the fiscal year ended September 30, 2020. Following the table is a discussion and analysis of our business and results of operations for these fiscal years.</w:t>
      </w:r>
    </w:p>
    <w:p>
      <w:pPr>
        <w:spacing w:after="0" w:line="16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Year Ended September 30,</w:t>
            </w:r>
          </w:p>
        </w:tc>
        <w:tc>
          <w:tcPr>
            <w:tcW w:w="20" w:type="dxa"/>
            <w:vAlign w:val="bottom"/>
          </w:tcPr>
          <w:p>
            <w:pPr>
              <w:spacing w:after="0"/>
              <w:rPr>
                <w:sz w:val="14"/>
                <w:szCs w:val="14"/>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4,288,640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4,169,039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$ 119,601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Operating expenses: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2,810,967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2,755,563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55,404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312,941</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282,042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30,899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487,255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458,539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28,716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78,784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78,137</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647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3,689,947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3,574,281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115,666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598,693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594,758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(10,797)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(11,436)</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226,410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226,410</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814,306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583,322</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230,984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Income taxes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125,932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85,482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40,450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497,840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190,534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color w:val="auto"/>
        </w:rPr>
        <w:t>. Revenue increased by $119.6 million, or 2.9%, to $4,288.6 million in fiscal year 2021, from $4,169.0 million in fiscal year 2020.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revenue was attributable mainly to managed services arrangements, including managed transformation activities. Revenue for fiscal year 2021 increased by 2.9% compared to fiscal year ended September 30, 2020, including approximately 1.1% positive foreign exchange fluctuations impact and was positively affected by activities related to recently completed acquisitions and negatively affected by a decrease in revenue as a result of the divestiture of OpenMarket completed on December 31, 2020.</w:t>
      </w:r>
    </w:p>
    <w:p>
      <w:pPr>
        <w:spacing w:after="0" w:line="188"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color w:val="auto"/>
        </w:rPr>
        <w:t>In fiscal year 2021, revenue from customers in North America, Europe and the rest of the world accounted for 65.1%, 14.5% and 20.4%, respectively, of total revenue, compared to 65.3%, 14.7% and 20.0%, respectively, in fiscal year 2020. Revenue from customers in North America increased in fiscal year 2021, while total revenue increased at a slightly higher rate, which resulted in a decrease in revenue from customers in North America as a percentage of total revenue. The increase in revenue from customers in North America in absolute amount was primarily attributable to higher revenue from managed services arrangements from key customers in North America and to a lesser extent to activities related to recently completed acquisitions, which was partially offset by the divestiture of OpenMarket completed on December 31, 2020.</w:t>
      </w:r>
    </w:p>
    <w:p>
      <w:pPr>
        <w:spacing w:after="0" w:line="164"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Revenue from customers in Europe increased in fiscal year 2021 while total revenue increased at a slightly higher rate, which resulted in a decrease in revenue from customers in Europe as a percentage of total revenue and was positively affected by foreign exchange fluctuations impact. The increase in revenue from customers in Europe was primarily attributable to higher revenue from development and modernization activities while we expand our presence in this region, and partially offset by the divestiture of OpenMarket completed on December 31, 2020.</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86"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Revenue from customers in the rest of the world in Asia-Pacific increased in fiscal year 2021. The increase was attributable to wide number of customers and activities within this region and was partially offset by the activities in other regions within the rest of the world.</w:t>
      </w:r>
    </w:p>
    <w:p>
      <w:pPr>
        <w:spacing w:after="0" w:line="14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color w:val="auto"/>
        </w:rPr>
        <w:t>. Cost of revenue consists primarily of costs associated with providing services to customers, including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costs of third-party products, as well as fee and royalty payments to software suppliers. Cost of revenue increased by $55.4 million, or 2.0%, to $2,811.0 million in fiscal year 2021, from $2,755.6 million in fiscal year 2020. The cost of revenue as a percentage of revenue decreased to 65.5% in fiscal year 2021 from 66.1% in fiscal year 2020. This decrease in cost of revenue as a percentage of revenue was attributable to operational excellence initiatives through automation and new methodologies, as well as the divestiture of OpenMarket completed on December 31, 2020, as OpenMarket’s cost of revenue as a percentage of revenue was higher than the Company average. This decrease was partially offset by the impact of changes of certain acquisition-related liabilities measured at fair value recognized in fiscal year 2021.</w:t>
      </w:r>
    </w:p>
    <w:p>
      <w:pPr>
        <w:spacing w:after="0" w:line="17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color w:val="auto"/>
        </w:rPr>
        <w:t>. 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$30.9 million, or 11.0%, to $312.9 million in fiscal year 2021, from $282.0 million in fiscal year 2020. Research and development expense increased as a percentage of revenue from 6.8% in fiscal year 2020, to 7.3% in fiscal year 2021, as we accelerated our investment in our cloud offerings, 5G and network related innovation and further developing our digital offerings. Our research and development efforts are a key element of our strategy and are essential to our success, and we intend to maintain our commitment to research and development. However,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66"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color w:val="auto"/>
        </w:rPr>
        <w:t>. Selling, general and administrative expense, which is primarily comprised of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increased by $28.7 million, or 6.3%, to $487.3 million in fiscal year 2021, from $458.5 million in fiscal year 2020. The increase was primarily attributable to recent completed acquisitions and was also attributable to sales and marketing efforts, which were partially offset by lower travel costs as a result of the COVID-19 restrictions. Selling, general and administrative expense may fluctuate from time to time, depending upon such factors as changes in our workforce and sales efforts and the results of any operational efficiency programs that we may undertake.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Amortization of Purchased Intangible Assets and Other</w:t>
      </w:r>
      <w:r>
        <w:rPr>
          <w:rFonts w:ascii="Arial" w:cs="Arial" w:eastAsia="Arial" w:hAnsi="Arial"/>
          <w:sz w:val="17"/>
          <w:szCs w:val="17"/>
          <w:color w:val="auto"/>
        </w:rPr>
        <w:t>. Amortization of purchased intangible assets and other slightly increased by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$0.6 million, or 0.8%, to $78.8 million in fiscal year 2021, from $78.1 million in fiscal year 2020. The slight increase in amortization of purchased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intangible assets and other was primarily attributable to an increase in amortization of intangible assets due to recently completed acquisitions,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partially offset by the completion of amortization of previously purchased intangible assets.</w:t>
      </w:r>
    </w:p>
    <w:p>
      <w:pPr>
        <w:spacing w:after="0" w:line="21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color w:val="auto"/>
        </w:rPr>
        <w:t>. Operating income increased by $3.9 million, or 0.7%, to $598.7 million in fiscal year 2021, from $594.8 million in fiscal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Operating income decreased as a percentage of revenue, from 14.3% in fiscal year 2020 to 14.0% in fiscal year 2021. The decrease in operating income as a percentage of revenue was attributable primarily to the increase in research and development expense, increase in selling, general and administrative expense and changes in certain acquisition-related liabilities measured at fair value, partially offset by operational excellence initiatives and by the divestiture of OpenMarket completed on December 31, 2020, in fiscal year 2021. The impact of foreign exchange fluctuations on our operating income in fiscal year 2021 relative to fiscal year 2020, was immaterial.</w:t>
      </w:r>
    </w:p>
    <w:p>
      <w:pPr>
        <w:spacing w:after="0" w:line="178"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b w:val="1"/>
          <w:bCs w:val="1"/>
          <w:i w:val="1"/>
          <w:iCs w:val="1"/>
          <w:color w:val="auto"/>
        </w:rPr>
        <w:t xml:space="preserve">Interest and Other Expense, Net. </w:t>
      </w:r>
      <w:r>
        <w:rPr>
          <w:rFonts w:ascii="Arial" w:cs="Arial" w:eastAsia="Arial" w:hAnsi="Arial"/>
          <w:sz w:val="18"/>
          <w:szCs w:val="18"/>
          <w:color w:val="auto"/>
        </w:rPr>
        <w:t>Interest and other expense, net, decreased from a net expense of $11.4 million in fiscal year 2020 to a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$10.8 million in fiscal year 2021. The decrease in interest and other expense, net, was primarily attributable to changes of minority equity investments measured at fair value in fiscal 2021 compared to fiscal year 2020 and foreign exchange impacts, and partially offset by expenses related to financing activities.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6"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b w:val="1"/>
          <w:bCs w:val="1"/>
          <w:i w:val="1"/>
          <w:iCs w:val="1"/>
          <w:color w:val="auto"/>
        </w:rPr>
        <w:t>Gain from Sale of Business</w:t>
      </w:r>
      <w:r>
        <w:rPr>
          <w:rFonts w:ascii="Arial" w:cs="Arial" w:eastAsia="Arial" w:hAnsi="Arial"/>
          <w:sz w:val="18"/>
          <w:szCs w:val="18"/>
          <w:color w:val="auto"/>
        </w:rPr>
        <w:t>. Gain from sale of a business, for fiscal year 2021, was $226.4 million, while there was no such gain in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Please see Note 3 to our consolidated financial statements.</w:t>
      </w:r>
    </w:p>
    <w:p>
      <w:pPr>
        <w:spacing w:after="0" w:line="170" w:lineRule="exact"/>
        <w:rPr>
          <w:sz w:val="20"/>
          <w:szCs w:val="20"/>
          <w:color w:val="auto"/>
        </w:rPr>
      </w:pPr>
    </w:p>
    <w:p>
      <w:pPr>
        <w:jc w:val="both"/>
        <w:ind w:left="120" w:right="320" w:firstLine="440"/>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color w:val="auto"/>
        </w:rPr>
        <w:t>. Income taxes for fiscal year 2021 were $125.9 million on pre-tax income of $814.3 million, resulting in an effective tax rate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15.5%, compared to 14.7% in fiscal year 2020. Absent the gain from sale of a business, the effective tax rate for fiscal year 2021, would have been</w:t>
      </w:r>
    </w:p>
    <w:p>
      <w:pPr>
        <w:ind w:left="120" w:right="280"/>
        <w:spacing w:after="0" w:line="260" w:lineRule="auto"/>
        <w:rPr>
          <w:sz w:val="20"/>
          <w:szCs w:val="20"/>
          <w:color w:val="auto"/>
        </w:rPr>
      </w:pPr>
      <w:r>
        <w:rPr>
          <w:rFonts w:ascii="Arial" w:cs="Arial" w:eastAsia="Arial" w:hAnsi="Arial"/>
          <w:sz w:val="18"/>
          <w:szCs w:val="18"/>
          <w:color w:val="auto"/>
        </w:rPr>
        <w:t>14.7%. Our effective tax rate may fluctuate between periods as a result of discrete items that may affect a particular period. Please see Note 10 to our consolidated financial statements.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Net Income</w:t>
      </w:r>
      <w:r>
        <w:rPr>
          <w:rFonts w:ascii="Arial" w:cs="Arial" w:eastAsia="Arial" w:hAnsi="Arial"/>
          <w:sz w:val="17"/>
          <w:szCs w:val="17"/>
          <w:color w:val="auto"/>
        </w:rPr>
        <w:t>. Net income increased by $190.5 million, or 38.3%, to $688.4 million in fiscal year 2021, from $497.8 million in fiscal year 2020.</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in net income was primarily attributable to the gain from sale of a business, net of tax.</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Diluted Earnings Per Share</w:t>
      </w:r>
      <w:r>
        <w:rPr>
          <w:rFonts w:ascii="Arial" w:cs="Arial" w:eastAsia="Arial" w:hAnsi="Arial"/>
          <w:sz w:val="16"/>
          <w:szCs w:val="16"/>
          <w:color w:val="auto"/>
        </w:rPr>
        <w:t>. Diluted earnings per share increased by $1.61, or 43.4%, to $5.32 in fiscal year 2021, from $3.71 in fiscal year</w:t>
      </w:r>
    </w:p>
    <w:p>
      <w:pPr>
        <w:spacing w:after="0" w:line="46" w:lineRule="exact"/>
        <w:rPr>
          <w:sz w:val="20"/>
          <w:szCs w:val="20"/>
          <w:color w:val="auto"/>
        </w:rPr>
      </w:pPr>
    </w:p>
    <w:p>
      <w:pPr>
        <w:jc w:val="both"/>
        <w:ind w:left="120" w:right="320"/>
        <w:spacing w:after="0" w:line="277" w:lineRule="auto"/>
        <w:rPr>
          <w:sz w:val="20"/>
          <w:szCs w:val="20"/>
          <w:color w:val="auto"/>
        </w:rPr>
      </w:pPr>
      <w:r>
        <w:rPr>
          <w:rFonts w:ascii="Arial" w:cs="Arial" w:eastAsia="Arial" w:hAnsi="Arial"/>
          <w:sz w:val="17"/>
          <w:szCs w:val="17"/>
          <w:color w:val="auto"/>
        </w:rPr>
        <w:t>2020. The increase in diluted earnings per share was primarily attributable to the gain from sale of a business, net of tax, which increased the diluted earnings per share for fiscal year 2021 by $1.44, and, to a lesser extent to the decrease in the diluted weighted average number of shares outstanding which resulted from share repurchases. Please see also Note 20 to our consolidated financial statements.</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i w:val="1"/>
          <w:iCs w:val="1"/>
          <w:color w:val="auto"/>
        </w:rPr>
        <w:t xml:space="preserve">Cash, Cash Equivalents and Short-Term Interest-Bearing Investments. </w:t>
      </w:r>
      <w:r>
        <w:rPr>
          <w:rFonts w:ascii="Arial" w:cs="Arial" w:eastAsia="Arial" w:hAnsi="Arial"/>
          <w:sz w:val="16"/>
          <w:szCs w:val="16"/>
          <w:color w:val="auto"/>
        </w:rPr>
        <w:t>Cash, cash equivalents and short-term interest-bearing investments, totaled</w:t>
      </w:r>
      <w:r>
        <w:rPr>
          <w:rFonts w:ascii="Arial" w:cs="Arial" w:eastAsia="Arial" w:hAnsi="Arial"/>
          <w:sz w:val="16"/>
          <w:szCs w:val="16"/>
          <w:i w:val="1"/>
          <w:iCs w:val="1"/>
          <w:color w:val="auto"/>
        </w:rPr>
        <w:t xml:space="preserve"> </w:t>
      </w:r>
      <w:r>
        <w:rPr>
          <w:rFonts w:ascii="Arial" w:cs="Arial" w:eastAsia="Arial" w:hAnsi="Arial"/>
          <w:sz w:val="16"/>
          <w:szCs w:val="16"/>
          <w:color w:val="auto"/>
        </w:rPr>
        <w:t>$818.0 million as of September 30, 2022, compared to $965.6 million as of September 30, 2021. The decrease was mainly attributable to $508.5 million used to repurchase our ordinary shares, $227.2 million for capital expenditures, net, $186.1 million of cash dividend payments, $24.4 million of payments for business acquisitions and $18.3 million payments of contingent considerations, partially offset by $756.7 million in positive cash flow from operations, reflecting healthy cash collections, $82.9 million of proceeds from stock option exercises and an additional $10.0 million cash received from sale of a business. Net cash provided by operating activities amounted to $756.7 million and $925.8 million in fiscal years 2022 and 2021, respectively. The net cash provided in fiscal year 2021 included the cash benefit of a multi-year strategic partnership agreement with T-Mobile.</w:t>
      </w:r>
    </w:p>
    <w:p>
      <w:pPr>
        <w:spacing w:after="0" w:line="166"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free cash flow for fiscal year 2022, was $529.5 million, and is calculated as net cash provided by operating activities of $756.7 million for the period less $227.2 million for capital expenditures, net (which included capital expenditures of $116.4 million as part of our investment in our new campus in Israel).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8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believe that our current cash balances, cash generated from operations, our current lines of credit, loans, Senior Notes and our ability to access capital markets will provide sufficient resources to meet our operational needs, loan and debt repayment needs, fund share repurchases and the payment of cash dividends for at least the next fiscal year.</w:t>
      </w:r>
    </w:p>
    <w:p>
      <w:pPr>
        <w:spacing w:after="0" w:line="184"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U.S. government treasuries and municipal bonds, which are stated at market value. We believe we have conservative investment policy guidelines. Our interest-bearing investments are stated at fair value with the unrealized gains or losses reported as a separate component of accumulated other comprehensive (loss) income, net of tax, unless a security is impaired due to a credit loss, in</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fiscal years 2022 and 2021 we did not recognize credit losses. Please see Notes 5 and 6 to our consolidated financial statements.</w:t>
      </w:r>
    </w:p>
    <w:p>
      <w:pPr>
        <w:spacing w:after="0" w:line="18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 xml:space="preserve">Revolving Credit Facility, Loans, Senior Notes, Letters of Credit, Guarantees and Contractual Obligations. </w:t>
      </w:r>
      <w:r>
        <w:rPr>
          <w:rFonts w:ascii="Arial" w:cs="Arial" w:eastAsia="Arial" w:hAnsi="Arial"/>
          <w:sz w:val="16"/>
          <w:szCs w:val="16"/>
          <w:color w:val="auto"/>
        </w:rPr>
        <w:t>In December 2011, we entered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$500.0 million Revolving Credit Facility. In December 2014, December 2017 and March 2021, the Revolving Credit Facility was amended and restated to, among other things, extend the maturity date of the facility to December 2019, December 2022 and March 2026, respectively. As of September 30, 2022, we were in compliance with the financial covenants and had no outstanding borrowings under the Revolving Credit Facility.</w:t>
      </w:r>
    </w:p>
    <w:p>
      <w:pPr>
        <w:spacing w:after="0" w:line="15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 obligations and rank equally in right of payment with all of our existing and future senior indebtedness, including any indebtedness we may incur from time to time under the Revolving Credit Facility. As of September 30, 2022, the noncurrent outstanding principal portion was $650.0 million. Please see Note 12 to our consolidated financial statements.</w:t>
      </w:r>
    </w:p>
    <w:p>
      <w:pPr>
        <w:spacing w:after="0" w:line="16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September 30, 2022, we had additional uncommitted lines of credit available for general corporate and other specific purposes and had outstanding letters of credit and bank guarantees from various banks totaling $77.9 million. These were supported by a combination of the uncommitted lines of credit that we maintain with various banks.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Acquisitions and Divestiture of Subsidiaries. </w:t>
      </w:r>
      <w:r>
        <w:rPr>
          <w:rFonts w:ascii="Arial" w:cs="Arial" w:eastAsia="Arial" w:hAnsi="Arial"/>
          <w:sz w:val="17"/>
          <w:szCs w:val="17"/>
          <w:color w:val="auto"/>
        </w:rPr>
        <w:t>During fiscal year 2022, we completed two immaterial acquisitions of technology companies,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DevOps and Roam, for an aggregate net consideration of $54.1 million in cash, and additional contingent consideration subject to the achievement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certain performance metrics. In May 2022, the Company entered into a definitive agreement to acquire MYCOM-OSI, for approximately $188.0 million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cash. Recently, we and MYCOM-OSI mutually and amicably decided not to move forward with the planned acquisition following a longer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expected regulatory review process in the United Kingdom (that was still not complete). The definitive agreement has been terminated without any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payments by either party to the other. As previously disclosed, this acquisition was not material and the decision not to pursue it is not expected to have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an impact on our guidance. During fiscal year 2021, we acquired three immaterial technology companies, for an aggregate net consideration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$101.9 million in cash, and additional contingent consideration subject to the achievement of certain performance metrics. Among them, the largest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three is Sourced Group, a leading global technology consultancy specializing in large-scale cloud transformations for sophisticated, high-end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enterprise customers in different industries such as communications, financial services and others. During fiscal year 2021, on December 31, 2020, we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completed the divestiture of OpenMarket for approximately $300.0 million in cash. Please see Note 3 to our consolidated financial statements.</w:t>
      </w:r>
    </w:p>
    <w:p>
      <w:pPr>
        <w:spacing w:after="0" w:line="22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fiscal year 2020, we acquired three companies and other intangible assets for an aggregate net consideration of approximately</w:t>
      </w:r>
    </w:p>
    <w:p>
      <w:pPr>
        <w:spacing w:after="0" w:line="35"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$280.8 million, among them, the largest of the three is Openet, which offers cloud-native capabilities, network pedigree, and deep 5G charging, policy and data management expertise and whose solutions complement the Amdocs portfolio.</w:t>
      </w:r>
    </w:p>
    <w:p>
      <w:pPr>
        <w:spacing w:after="0" w:line="185"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Generally, the majority of our capital expenditures (excluding the investment in our new campus in Israel)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purchases of computer equipment, and the remainder is attributable mainly to leasehold improvements. Our capital expenditures were approximately $227.2 million in fiscal year 2022, net (which included capital expenditures of $116.4 million as part of our investment in our new campus in Israel). Our fiscal year 2022 capital expenditures were mainly attributable to investments in our operating facilities and our development centers around the world. The vast majority of the investment in our new campus has been incurred as of September 30, 2022, for more details, see the “Contractual Obligations” item.</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86"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From time to time, our Board of Directors can adopt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On May 12, 2021, our Board of Directors adopted a share repurchase plan authorizing the repurchase of up to $1.0 billion of our outstanding ordinary shares with no expiration date. The May 2021 plan has no expiration date and permits us to purchase our ordinary shares in the open market or through privately negotiated transactions at times and prices that we consider appropriate. In fiscal year 2022, we repurchased approximately 6.5 million ordinary shares at an average price of $78.47 per share (excluding broker and transaction fees). As of September 30, 2022, we had remaining authority to repurchase up to $490.1 million of our outstanding ordinary shares under the May 2021 plan.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fiscal years 2022, 2021 and 2020:</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2080" w:type="dxa"/>
            <w:vAlign w:val="bottom"/>
            <w:gridSpan w:val="2"/>
          </w:tcPr>
          <w:p>
            <w:pPr>
              <w:ind w:left="920"/>
              <w:spacing w:after="0"/>
              <w:rPr>
                <w:sz w:val="20"/>
                <w:szCs w:val="20"/>
                <w:color w:val="auto"/>
              </w:rPr>
            </w:pPr>
            <w:r>
              <w:rPr>
                <w:rFonts w:ascii="Arial" w:cs="Arial" w:eastAsia="Arial" w:hAnsi="Arial"/>
                <w:sz w:val="14"/>
                <w:szCs w:val="14"/>
                <w:b w:val="1"/>
                <w:bCs w:val="1"/>
                <w:color w:val="auto"/>
              </w:rPr>
              <w:t>Dividends Per</w:t>
            </w:r>
          </w:p>
        </w:tc>
        <w:tc>
          <w:tcPr>
            <w:tcW w:w="2400" w:type="dxa"/>
            <w:vAlign w:val="bottom"/>
          </w:tcPr>
          <w:p>
            <w:pPr>
              <w:spacing w:after="0"/>
              <w:rPr>
                <w:sz w:val="14"/>
                <w:szCs w:val="14"/>
                <w:color w:val="auto"/>
              </w:rPr>
            </w:pPr>
          </w:p>
        </w:tc>
        <w:tc>
          <w:tcPr>
            <w:tcW w:w="1660" w:type="dxa"/>
            <w:vAlign w:val="bottom"/>
            <w:gridSpan w:val="2"/>
          </w:tcPr>
          <w:p>
            <w:pPr>
              <w:ind w:left="580"/>
              <w:spacing w:after="0"/>
              <w:rPr>
                <w:sz w:val="20"/>
                <w:szCs w:val="20"/>
                <w:color w:val="auto"/>
              </w:rPr>
            </w:pPr>
            <w:r>
              <w:rPr>
                <w:rFonts w:ascii="Arial" w:cs="Arial" w:eastAsia="Arial" w:hAnsi="Arial"/>
                <w:sz w:val="14"/>
                <w:szCs w:val="14"/>
                <w:b w:val="1"/>
                <w:bCs w:val="1"/>
                <w:color w:val="auto"/>
              </w:rPr>
              <w:t>Total Amount</w:t>
            </w:r>
          </w:p>
        </w:tc>
        <w:tc>
          <w:tcPr>
            <w:tcW w:w="2580" w:type="dxa"/>
            <w:vAlign w:val="bottom"/>
          </w:tcPr>
          <w:p>
            <w:pPr>
              <w:spacing w:after="0"/>
              <w:rPr>
                <w:sz w:val="14"/>
                <w:szCs w:val="14"/>
                <w:color w:val="auto"/>
              </w:rPr>
            </w:pPr>
          </w:p>
        </w:tc>
      </w:tr>
      <w:tr>
        <w:trPr>
          <w:trHeight w:val="185"/>
        </w:trPr>
        <w:tc>
          <w:tcPr>
            <w:tcW w:w="2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Declaration Date</w:t>
            </w:r>
          </w:p>
        </w:tc>
        <w:tc>
          <w:tcPr>
            <w:tcW w:w="208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Ordinary Share</w:t>
            </w:r>
          </w:p>
        </w:tc>
        <w:tc>
          <w:tcPr>
            <w:tcW w:w="2400" w:type="dxa"/>
            <w:vAlign w:val="bottom"/>
            <w:tcBorders>
              <w:bottom w:val="single" w:sz="8" w:color="auto"/>
            </w:tcBorders>
          </w:tcPr>
          <w:p>
            <w:pPr>
              <w:ind w:left="1020"/>
              <w:spacing w:after="0"/>
              <w:rPr>
                <w:sz w:val="20"/>
                <w:szCs w:val="20"/>
                <w:color w:val="auto"/>
              </w:rPr>
            </w:pPr>
            <w:r>
              <w:rPr>
                <w:rFonts w:ascii="Arial" w:cs="Arial" w:eastAsia="Arial" w:hAnsi="Arial"/>
                <w:sz w:val="14"/>
                <w:szCs w:val="14"/>
                <w:b w:val="1"/>
                <w:bCs w:val="1"/>
                <w:color w:val="auto"/>
              </w:rPr>
              <w:t>Record Date</w:t>
            </w:r>
          </w:p>
        </w:tc>
        <w:tc>
          <w:tcPr>
            <w:tcW w:w="166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b w:val="1"/>
                <w:bCs w:val="1"/>
                <w:color w:val="auto"/>
              </w:rPr>
              <w:t>(In millions)</w:t>
            </w:r>
          </w:p>
        </w:tc>
        <w:tc>
          <w:tcPr>
            <w:tcW w:w="2580" w:type="dxa"/>
            <w:vAlign w:val="bottom"/>
            <w:tcBorders>
              <w:bottom w:val="single" w:sz="8" w:color="auto"/>
            </w:tcBorders>
          </w:tcPr>
          <w:p>
            <w:pPr>
              <w:ind w:left="960"/>
              <w:spacing w:after="0"/>
              <w:rPr>
                <w:sz w:val="20"/>
                <w:szCs w:val="20"/>
                <w:color w:val="auto"/>
              </w:rPr>
            </w:pPr>
            <w:r>
              <w:rPr>
                <w:rFonts w:ascii="Arial" w:cs="Arial" w:eastAsia="Arial" w:hAnsi="Arial"/>
                <w:sz w:val="14"/>
                <w:szCs w:val="14"/>
                <w:b w:val="1"/>
                <w:bCs w:val="1"/>
                <w:color w:val="auto"/>
              </w:rPr>
              <w:t>Payment Date</w:t>
            </w:r>
          </w:p>
        </w:tc>
      </w:tr>
      <w:tr>
        <w:trPr>
          <w:trHeight w:val="20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August 3, 2022</w:t>
            </w: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0.395</w:t>
            </w: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2022</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47.7</w:t>
            </w:r>
          </w:p>
        </w:tc>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28, 2022</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May 11, 2022</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0.395</w:t>
            </w:r>
          </w:p>
        </w:tc>
        <w:tc>
          <w:tcPr>
            <w:tcW w:w="2400" w:type="dxa"/>
            <w:vAlign w:val="bottom"/>
          </w:tcPr>
          <w:p>
            <w:pPr>
              <w:ind w:left="220"/>
              <w:spacing w:after="0"/>
              <w:rPr>
                <w:sz w:val="20"/>
                <w:szCs w:val="20"/>
                <w:color w:val="auto"/>
              </w:rPr>
            </w:pPr>
            <w:r>
              <w:rPr>
                <w:rFonts w:ascii="Arial" w:cs="Arial" w:eastAsia="Arial" w:hAnsi="Arial"/>
                <w:sz w:val="18"/>
                <w:szCs w:val="18"/>
                <w:color w:val="auto"/>
              </w:rPr>
              <w:t>June 30, 2022</w:t>
            </w:r>
          </w:p>
        </w:tc>
        <w:tc>
          <w:tcPr>
            <w:tcW w:w="900" w:type="dxa"/>
            <w:vAlign w:val="bottom"/>
          </w:tcPr>
          <w:p>
            <w:pPr>
              <w:ind w:left="5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48.2</w:t>
            </w:r>
          </w:p>
        </w:tc>
        <w:tc>
          <w:tcPr>
            <w:tcW w:w="2580" w:type="dxa"/>
            <w:vAlign w:val="bottom"/>
          </w:tcPr>
          <w:p>
            <w:pPr>
              <w:ind w:left="220"/>
              <w:spacing w:after="0"/>
              <w:rPr>
                <w:sz w:val="20"/>
                <w:szCs w:val="20"/>
                <w:color w:val="auto"/>
              </w:rPr>
            </w:pPr>
            <w:r>
              <w:rPr>
                <w:rFonts w:ascii="Arial" w:cs="Arial" w:eastAsia="Arial" w:hAnsi="Arial"/>
                <w:sz w:val="18"/>
                <w:szCs w:val="18"/>
                <w:color w:val="auto"/>
              </w:rPr>
              <w:t>July 29, 2022</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February 1, 2022</w:t>
            </w: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0.395</w:t>
            </w: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March 31, 2022</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48.5</w:t>
            </w:r>
          </w:p>
        </w:tc>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April 29, 2022</w:t>
            </w:r>
          </w:p>
        </w:tc>
      </w:tr>
      <w:tr>
        <w:trPr>
          <w:trHeight w:val="216"/>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2, 2021</w:t>
            </w:r>
          </w:p>
        </w:tc>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0.36</w:t>
            </w:r>
          </w:p>
        </w:tc>
        <w:tc>
          <w:tcPr>
            <w:tcW w:w="2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December 31, 2021</w:t>
            </w: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44.4</w:t>
            </w:r>
          </w:p>
        </w:tc>
        <w:tc>
          <w:tcPr>
            <w:tcW w:w="25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January 28, 2022</w:t>
            </w:r>
          </w:p>
        </w:tc>
      </w:tr>
      <w:tr>
        <w:trPr>
          <w:trHeight w:val="20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August 4, 2021</w:t>
            </w: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0.36</w:t>
            </w: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2021</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45.0</w:t>
            </w:r>
          </w:p>
        </w:tc>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29, 2021</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May 12, 2021</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0.36</w:t>
            </w:r>
          </w:p>
        </w:tc>
        <w:tc>
          <w:tcPr>
            <w:tcW w:w="2400" w:type="dxa"/>
            <w:vAlign w:val="bottom"/>
          </w:tcPr>
          <w:p>
            <w:pPr>
              <w:ind w:left="220"/>
              <w:spacing w:after="0"/>
              <w:rPr>
                <w:sz w:val="20"/>
                <w:szCs w:val="20"/>
                <w:color w:val="auto"/>
              </w:rPr>
            </w:pPr>
            <w:r>
              <w:rPr>
                <w:rFonts w:ascii="Arial" w:cs="Arial" w:eastAsia="Arial" w:hAnsi="Arial"/>
                <w:sz w:val="18"/>
                <w:szCs w:val="18"/>
                <w:color w:val="auto"/>
              </w:rPr>
              <w:t>June 30, 2021</w:t>
            </w:r>
          </w:p>
        </w:tc>
        <w:tc>
          <w:tcPr>
            <w:tcW w:w="900" w:type="dxa"/>
            <w:vAlign w:val="bottom"/>
          </w:tcPr>
          <w:p>
            <w:pPr>
              <w:ind w:left="5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45.6</w:t>
            </w:r>
          </w:p>
        </w:tc>
        <w:tc>
          <w:tcPr>
            <w:tcW w:w="2580" w:type="dxa"/>
            <w:vAlign w:val="bottom"/>
          </w:tcPr>
          <w:p>
            <w:pPr>
              <w:ind w:left="220"/>
              <w:spacing w:after="0"/>
              <w:rPr>
                <w:sz w:val="20"/>
                <w:szCs w:val="20"/>
                <w:color w:val="auto"/>
              </w:rPr>
            </w:pPr>
            <w:r>
              <w:rPr>
                <w:rFonts w:ascii="Arial" w:cs="Arial" w:eastAsia="Arial" w:hAnsi="Arial"/>
                <w:sz w:val="18"/>
                <w:szCs w:val="18"/>
                <w:color w:val="auto"/>
              </w:rPr>
              <w:t>July 23, 2021</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February 2, 2021</w:t>
            </w: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0.36</w:t>
            </w: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March 31, 2021</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46.0</w:t>
            </w:r>
          </w:p>
        </w:tc>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April 23, 2021</w:t>
            </w:r>
          </w:p>
        </w:tc>
      </w:tr>
      <w:tr>
        <w:trPr>
          <w:trHeight w:val="216"/>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10, 2020</w:t>
            </w:r>
          </w:p>
        </w:tc>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0.3275</w:t>
            </w:r>
          </w:p>
        </w:tc>
        <w:tc>
          <w:tcPr>
            <w:tcW w:w="2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December 31, 2020</w:t>
            </w: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42.9</w:t>
            </w:r>
          </w:p>
        </w:tc>
        <w:tc>
          <w:tcPr>
            <w:tcW w:w="25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January 22, 2021</w:t>
            </w:r>
          </w:p>
        </w:tc>
      </w:tr>
      <w:tr>
        <w:trPr>
          <w:trHeight w:val="209"/>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August 5, 2020</w:t>
            </w: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0.3275</w:t>
            </w: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30, 2020</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43.1</w:t>
            </w:r>
          </w:p>
        </w:tc>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October 23, 2020</w:t>
            </w: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May 7, 2020</w:t>
            </w:r>
          </w:p>
        </w:tc>
        <w:tc>
          <w:tcPr>
            <w:tcW w:w="1160" w:type="dxa"/>
            <w:vAlign w:val="bottom"/>
          </w:tcPr>
          <w:p>
            <w:pPr>
              <w:ind w:left="86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0.3275</w:t>
            </w:r>
          </w:p>
        </w:tc>
        <w:tc>
          <w:tcPr>
            <w:tcW w:w="2400" w:type="dxa"/>
            <w:vAlign w:val="bottom"/>
          </w:tcPr>
          <w:p>
            <w:pPr>
              <w:ind w:left="220"/>
              <w:spacing w:after="0"/>
              <w:rPr>
                <w:sz w:val="20"/>
                <w:szCs w:val="20"/>
                <w:color w:val="auto"/>
              </w:rPr>
            </w:pPr>
            <w:r>
              <w:rPr>
                <w:rFonts w:ascii="Arial" w:cs="Arial" w:eastAsia="Arial" w:hAnsi="Arial"/>
                <w:sz w:val="18"/>
                <w:szCs w:val="18"/>
                <w:color w:val="auto"/>
              </w:rPr>
              <w:t>June 30, 2020</w:t>
            </w:r>
          </w:p>
        </w:tc>
        <w:tc>
          <w:tcPr>
            <w:tcW w:w="900" w:type="dxa"/>
            <w:vAlign w:val="bottom"/>
          </w:tcPr>
          <w:p>
            <w:pPr>
              <w:ind w:left="5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30"/>
              <w:spacing w:after="0"/>
              <w:rPr>
                <w:sz w:val="20"/>
                <w:szCs w:val="20"/>
                <w:color w:val="auto"/>
              </w:rPr>
            </w:pPr>
            <w:r>
              <w:rPr>
                <w:rFonts w:ascii="Arial" w:cs="Arial" w:eastAsia="Arial" w:hAnsi="Arial"/>
                <w:sz w:val="18"/>
                <w:szCs w:val="18"/>
                <w:color w:val="auto"/>
              </w:rPr>
              <w:t>43.6</w:t>
            </w:r>
          </w:p>
        </w:tc>
        <w:tc>
          <w:tcPr>
            <w:tcW w:w="2580" w:type="dxa"/>
            <w:vAlign w:val="bottom"/>
          </w:tcPr>
          <w:p>
            <w:pPr>
              <w:ind w:left="220"/>
              <w:spacing w:after="0"/>
              <w:rPr>
                <w:sz w:val="20"/>
                <w:szCs w:val="20"/>
                <w:color w:val="auto"/>
              </w:rPr>
            </w:pPr>
            <w:r>
              <w:rPr>
                <w:rFonts w:ascii="Arial" w:cs="Arial" w:eastAsia="Arial" w:hAnsi="Arial"/>
                <w:sz w:val="18"/>
                <w:szCs w:val="18"/>
                <w:color w:val="auto"/>
              </w:rPr>
              <w:t>July 24, 2020</w:t>
            </w: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February 4, 2020</w:t>
            </w:r>
          </w:p>
        </w:tc>
        <w:tc>
          <w:tcPr>
            <w:tcW w:w="1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0.3275</w:t>
            </w:r>
          </w:p>
        </w:tc>
        <w:tc>
          <w:tcPr>
            <w:tcW w:w="2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March 31, 2020</w:t>
            </w:r>
          </w:p>
        </w:tc>
        <w:tc>
          <w:tcPr>
            <w:tcW w:w="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43.7</w:t>
            </w:r>
          </w:p>
        </w:tc>
        <w:tc>
          <w:tcPr>
            <w:tcW w:w="2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April 24, 2020</w:t>
            </w:r>
          </w:p>
        </w:tc>
      </w:tr>
      <w:tr>
        <w:trPr>
          <w:trHeight w:val="216"/>
        </w:trPr>
        <w:tc>
          <w:tcPr>
            <w:tcW w:w="2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12, 2019</w:t>
            </w:r>
          </w:p>
        </w:tc>
        <w:tc>
          <w:tcPr>
            <w:tcW w:w="116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0.285</w:t>
            </w:r>
          </w:p>
        </w:tc>
        <w:tc>
          <w:tcPr>
            <w:tcW w:w="2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December 31, 2019</w:t>
            </w:r>
          </w:p>
        </w:tc>
        <w:tc>
          <w:tcPr>
            <w:tcW w:w="9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38.4</w:t>
            </w:r>
          </w:p>
        </w:tc>
        <w:tc>
          <w:tcPr>
            <w:tcW w:w="25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January 24, 2020</w:t>
            </w:r>
          </w:p>
        </w:tc>
      </w:tr>
    </w:tbl>
    <w:p>
      <w:pPr>
        <w:spacing w:after="0" w:line="202"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November 8, 2022, our Board of Directors approved a quarterly dividend payment of $0.395 per share and set December 30, 2022 as the record date for determining the shareholders entitled to receive the dividend, which is payable on January 27, 2023. On November 8, 2022 our Board of Directors also approved, subject to shareholder approval at the January 2023 annual general meeting of shareholders, an increase in the quarterly cash dividend to $0.435 per share, anticipated to be paid in April 2023.</w:t>
      </w:r>
    </w:p>
    <w:p>
      <w:pPr>
        <w:spacing w:after="0" w:line="18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summarizes our contractual obligations as of September 30, 2022, and the effect such obligations are expected to have on our liquidity and cash flows in future periods (in millions):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8"/>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40" w:type="dxa"/>
            <w:vAlign w:val="bottom"/>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2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8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680" w:type="dxa"/>
            <w:vAlign w:val="bottom"/>
            <w:gridSpan w:val="2"/>
          </w:tcPr>
          <w:p>
            <w:pPr>
              <w:jc w:val="right"/>
              <w:ind w:right="76"/>
              <w:spacing w:after="0" w:line="119" w:lineRule="exact"/>
              <w:rPr>
                <w:sz w:val="20"/>
                <w:szCs w:val="20"/>
                <w:color w:val="auto"/>
              </w:rPr>
            </w:pPr>
            <w:r>
              <w:rPr>
                <w:rFonts w:ascii="Arial" w:cs="Arial" w:eastAsia="Arial" w:hAnsi="Arial"/>
                <w:sz w:val="13"/>
                <w:szCs w:val="13"/>
                <w:b w:val="1"/>
                <w:bCs w:val="1"/>
                <w:color w:val="auto"/>
              </w:rPr>
              <w:t>1-3</w:t>
            </w:r>
          </w:p>
        </w:tc>
        <w:tc>
          <w:tcPr>
            <w:tcW w:w="180" w:type="dxa"/>
            <w:vAlign w:val="bottom"/>
          </w:tcPr>
          <w:p>
            <w:pPr>
              <w:spacing w:after="0"/>
              <w:rPr>
                <w:sz w:val="10"/>
                <w:szCs w:val="10"/>
                <w:color w:val="auto"/>
              </w:rPr>
            </w:pPr>
          </w:p>
        </w:tc>
        <w:tc>
          <w:tcPr>
            <w:tcW w:w="600" w:type="dxa"/>
            <w:vAlign w:val="bottom"/>
            <w:gridSpan w:val="2"/>
          </w:tcPr>
          <w:p>
            <w:pPr>
              <w:jc w:val="right"/>
              <w:ind w:right="35"/>
              <w:spacing w:after="0" w:line="119" w:lineRule="exact"/>
              <w:rPr>
                <w:sz w:val="20"/>
                <w:szCs w:val="20"/>
                <w:color w:val="auto"/>
              </w:rPr>
            </w:pPr>
            <w:r>
              <w:rPr>
                <w:rFonts w:ascii="Arial" w:cs="Arial" w:eastAsia="Arial" w:hAnsi="Arial"/>
                <w:sz w:val="13"/>
                <w:szCs w:val="13"/>
                <w:b w:val="1"/>
                <w:bCs w:val="1"/>
                <w:color w:val="auto"/>
              </w:rPr>
              <w:t>4-5</w:t>
            </w:r>
          </w:p>
        </w:tc>
        <w:tc>
          <w:tcPr>
            <w:tcW w:w="3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040" w:type="dxa"/>
            <w:vAlign w:val="bottom"/>
            <w:vMerge w:val="continue"/>
          </w:tcPr>
          <w:p>
            <w:pPr>
              <w:spacing w:after="0"/>
              <w:rPr>
                <w:sz w:val="14"/>
                <w:szCs w:val="14"/>
                <w:color w:val="auto"/>
              </w:rPr>
            </w:pPr>
          </w:p>
        </w:tc>
        <w:tc>
          <w:tcPr>
            <w:tcW w:w="2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9"/>
        </w:trPr>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and accrued interests</w:t>
            </w:r>
          </w:p>
        </w:tc>
        <w:tc>
          <w:tcPr>
            <w:tcW w:w="22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Pension funding</w:t>
            </w:r>
          </w:p>
        </w:tc>
        <w:tc>
          <w:tcPr>
            <w:tcW w:w="2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0.8</w:t>
            </w:r>
          </w:p>
        </w:tc>
        <w:tc>
          <w:tcPr>
            <w:tcW w:w="860" w:type="dxa"/>
            <w:vAlign w:val="bottom"/>
            <w:gridSpan w:val="3"/>
          </w:tcPr>
          <w:p>
            <w:pPr>
              <w:jc w:val="right"/>
              <w:ind w:right="180"/>
              <w:spacing w:after="0"/>
              <w:rPr>
                <w:sz w:val="20"/>
                <w:szCs w:val="20"/>
                <w:color w:val="auto"/>
              </w:rPr>
            </w:pPr>
            <w:r>
              <w:rPr>
                <w:rFonts w:ascii="Arial" w:cs="Arial" w:eastAsia="Arial" w:hAnsi="Arial"/>
                <w:sz w:val="18"/>
                <w:szCs w:val="18"/>
                <w:color w:val="auto"/>
              </w:rPr>
              <w:t>2.6</w:t>
            </w:r>
          </w:p>
        </w:tc>
        <w:tc>
          <w:tcPr>
            <w:tcW w:w="980" w:type="dxa"/>
            <w:vAlign w:val="bottom"/>
            <w:gridSpan w:val="3"/>
          </w:tcPr>
          <w:p>
            <w:pPr>
              <w:jc w:val="right"/>
              <w:ind w:right="38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2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90.8</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50.7</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Non-cancelable operating leases</w:t>
            </w:r>
          </w:p>
        </w:tc>
        <w:tc>
          <w:tcPr>
            <w:tcW w:w="2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42.8</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6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1,012.0</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145.8</w:t>
            </w:r>
          </w:p>
        </w:tc>
        <w:tc>
          <w:tcPr>
            <w:tcW w:w="86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121.2</w:t>
            </w:r>
          </w:p>
        </w:tc>
        <w:tc>
          <w:tcPr>
            <w:tcW w:w="9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44.5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700.5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2240" w:type="dxa"/>
            <w:vAlign w:val="bottom"/>
            <w:vMerge w:val="restart"/>
          </w:tcPr>
          <w:p>
            <w:pPr>
              <w:jc w:val="right"/>
              <w:ind w:right="590"/>
              <w:spacing w:after="0"/>
              <w:rPr>
                <w:sz w:val="20"/>
                <w:szCs w:val="20"/>
                <w:color w:val="auto"/>
              </w:rPr>
            </w:pPr>
            <w:r>
              <w:rPr>
                <w:rFonts w:ascii="Arial" w:cs="Arial" w:eastAsia="Arial" w:hAnsi="Arial"/>
                <w:sz w:val="18"/>
                <w:szCs w:val="18"/>
                <w:color w:val="auto"/>
              </w:rPr>
              <w:t>41</w:t>
            </w: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4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86" w:right="4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As discussed in Note 2 to our consolidated financial statements, in fiscal year 2018 we purchased specific land to use as the future site of the new campus in Ra’anana, Israel. The total net investment in connection with the construction of the new campus is estimated to be approximately</w:t>
      </w:r>
    </w:p>
    <w:p>
      <w:pPr>
        <w:ind w:left="120" w:right="120"/>
        <w:spacing w:after="0" w:line="253" w:lineRule="auto"/>
        <w:rPr>
          <w:sz w:val="20"/>
          <w:szCs w:val="20"/>
          <w:color w:val="auto"/>
        </w:rPr>
      </w:pPr>
      <w:r>
        <w:rPr>
          <w:rFonts w:ascii="Arial" w:cs="Arial" w:eastAsia="Arial" w:hAnsi="Arial"/>
          <w:sz w:val="18"/>
          <w:szCs w:val="18"/>
          <w:color w:val="auto"/>
        </w:rPr>
        <w:t>$350 million over a period of approximately five years, starting with fiscal year 2018, the vast majority of which has been incurred as of September 30, 2022, and the remaining expected net investment in our campus is included under the “Purchase Obligations.” Our new campus in Israel is now substantially complete and our employees in Israel have already started the process of moving into the new premises during the first quarter of fiscal year 2023.</w:t>
      </w:r>
    </w:p>
    <w:p>
      <w:pPr>
        <w:spacing w:after="0" w:line="193"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total amount of unrecognized tax benefits for uncertain tax positions was $213.0 million as of September 30, 2022. Payment of these obligations would result from settlements with taxing authorities. Due to the difficulty in determining the timing of resolution of audits, these obligations are not included in the above table.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121" w:lineRule="exact"/>
        <w:rPr>
          <w:sz w:val="20"/>
          <w:szCs w:val="20"/>
          <w:color w:val="auto"/>
        </w:rPr>
      </w:pPr>
    </w:p>
    <w:p>
      <w:pPr>
        <w:ind w:left="120" w:right="540" w:firstLine="440"/>
        <w:spacing w:after="0" w:line="286" w:lineRule="auto"/>
        <w:rPr>
          <w:sz w:val="20"/>
          <w:szCs w:val="20"/>
          <w:color w:val="auto"/>
        </w:rPr>
      </w:pPr>
      <w:r>
        <w:rPr>
          <w:rFonts w:ascii="Arial" w:cs="Arial" w:eastAsia="Arial" w:hAnsi="Arial"/>
          <w:sz w:val="17"/>
          <w:szCs w:val="17"/>
          <w:color w:val="auto"/>
        </w:rPr>
        <w:t>As of September 30, 2022, we had deferred tax assets of $56.9 million, which were offset by valuation allowances due to the uncertainty of realizing any tax benefit for such credits and losses. These deferred tax assets derived primarily from tax credits, net capital and operating loss carryforwards related to some of our subsidiaries, please see Note 10 to our consolidated financial statements.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discussion and analysis of our consolidated financial condition and results of operations are based upon our consolidated financial statements, which have been prepared in accordance with U.S. generally accepted accounting principles, or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19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believe that the estimates, assumptions and judgments involved in the accounting policies described in Note 2 “Summary of Significant Accounting Policies” and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9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Revenue recognition and contract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Goodwill, intangible assets and long-lived assets-impairment assessment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Derivative and hedge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Accounts receivable reserves</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discuss these policies further below,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86" w:right="4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 and Contract Accounting</w:t>
      </w:r>
    </w:p>
    <w:p>
      <w:pPr>
        <w:spacing w:after="0" w:line="117"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follow very specific and detailed guidelines, which are discussed in Note 2 to our consolidated financial statements, in measuring revenue; however, certain judgments affect the application of our revenue recognition policy:</w:t>
      </w:r>
    </w:p>
    <w:p>
      <w:pPr>
        <w:spacing w:after="0" w:line="76" w:lineRule="exact"/>
        <w:rPr>
          <w:sz w:val="20"/>
          <w:szCs w:val="20"/>
          <w:color w:val="auto"/>
        </w:rPr>
      </w:pPr>
    </w:p>
    <w:p>
      <w:pPr>
        <w:ind w:left="1080" w:right="20" w:hanging="424"/>
        <w:spacing w:after="0" w:line="27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evaluate contracts entered into at or near the same time with the same customer (or related parties of the customer) and determine if the contracts should be combined in accordance with the guidance for revenue recognition.</w:t>
      </w:r>
    </w:p>
    <w:p>
      <w:pPr>
        <w:spacing w:after="0" w:line="75" w:lineRule="exact"/>
        <w:rPr>
          <w:rFonts w:ascii="Arial" w:cs="Arial" w:eastAsia="Arial" w:hAnsi="Arial"/>
          <w:sz w:val="18"/>
          <w:szCs w:val="18"/>
          <w:color w:val="auto"/>
        </w:rPr>
      </w:pPr>
    </w:p>
    <w:p>
      <w:pPr>
        <w:ind w:left="1080" w:right="60" w:hanging="424"/>
        <w:spacing w:after="0" w:line="301"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 significant portion of our revenue is recognized over the course of implementation and integration projects, usually based on a percentage that incurred labor effort to date bears to total projected labor effort. The recognition of revenue over time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62" w:lineRule="exact"/>
        <w:rPr>
          <w:rFonts w:ascii="Arial" w:cs="Arial" w:eastAsia="Arial" w:hAnsi="Arial"/>
          <w:sz w:val="16"/>
          <w:szCs w:val="16"/>
          <w:color w:val="auto"/>
        </w:rPr>
      </w:pPr>
    </w:p>
    <w:p>
      <w:pPr>
        <w:jc w:val="both"/>
        <w:ind w:left="1080" w:right="8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revenue recognition policy takes into consideration the creditworthiness and past transaction history of each customer in determining the probability of collection. This determination requires the exercise of judgment, which affects our revenue recognition. If we determine that a fee is not collectible, we exclude the relevant fee from transaction price.</w:t>
      </w:r>
    </w:p>
    <w:p>
      <w:pPr>
        <w:spacing w:after="0" w:line="89" w:lineRule="exact"/>
        <w:rPr>
          <w:rFonts w:ascii="Arial" w:cs="Arial" w:eastAsia="Arial" w:hAnsi="Arial"/>
          <w:sz w:val="18"/>
          <w:szCs w:val="18"/>
          <w:color w:val="auto"/>
        </w:rPr>
      </w:pPr>
    </w:p>
    <w:p>
      <w:pPr>
        <w:ind w:left="1080" w:right="40" w:hanging="424"/>
        <w:spacing w:after="0" w:line="296"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Many of our agreements include multiple performance obligations. We allocate the transaction price for each contract to each performance obligation identified in the contract based on the relative standalone selling price (SSP). We determine SSP for the purposes of allocating the transaction price to each performance obligation by considering several external and internal factors including, but not limited to, transactions where the specific performance obligation is sold separately, historical actual pricing practices and geographies in which we offer our services in accordance with ASC 606. The determination of SSP requires the exercise of judgement.</w:t>
      </w:r>
    </w:p>
    <w:p>
      <w:pPr>
        <w:spacing w:after="0" w:line="66"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 transactions which involve third-party hardware, software and services, the determination of revenue recognition based on the gross amount or on a net basis requires the exercise of judgment in considering whether we control the third-party hardware, software or services prior to fulfilling the performance obligation.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Accounting</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sheets.</w:t>
      </w:r>
    </w:p>
    <w:p>
      <w:pPr>
        <w:spacing w:after="0" w:line="16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apply an estimated annual effective tax rate to our quarterly operating results to determine the interim provision for income tax expense. A change in judgment that impacts the measurement of a tax position taken in a prior year is recognized as a discrete item in the interim period in which the change occurs. In the event there is a significant unusual or infrequent item recognized in our quarterly operating results, the tax attributable to that item is recorded in the interim period in which it occurs</w:t>
      </w:r>
    </w:p>
    <w:p>
      <w:pPr>
        <w:spacing w:after="0" w:line="187"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 valuation allowance is provided for the respective part of the deferred tax assets for which it is more likely than not that we will not be able to realize its benefit. In assessing the realizability of deferred tax assets, we consider whether it is more likely than not that some portion or all of the deferred tax assets will not be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realized and adjust the valuation allowances accordingly.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Although we believe that our estimates are reasonable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w:t>
      </w:r>
    </w:p>
    <w:p>
      <w:pPr>
        <w:spacing w:after="0" w:line="17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Accounting for business combinations requires us to make significant estimates and assumptions, especially at the acquisition date with respect to tangible and intangible assets acquired and liabilities. In accordance with business combinations accounting, assets acquired and liabilities assumed, as well as any contingent consideration that may be part of the acquisition agreement, are recorded at their respective fair values at the date of acquisition. Such fair value valuations require management to make significant estimates and assumptions, especially with respect to intangible assets, as a result, we obtain the assistance of independent valuation firms. We complete these assessments as soon as practical after the closing dates. Any excess of the purchase price over the estimated fair values of the identifiable net assets acquired is recorded as goodwill.</w:t>
      </w:r>
    </w:p>
    <w:p>
      <w:pPr>
        <w:spacing w:after="0" w:line="16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For acquisitions that include contingent consideration, the fair value is estimated on the acquisition date as the present value of the expected contingent payments, determined using weighted probabilities of possible payments. We remeasure the fair value of the contingent consideration at each reporting period until the contingency is resolved. Except for measurement period adjustments, the changes in fair value are recognized in the consolidated statements of income. We consider several factors when determining that contingent consideration liabilities are part of the purchase price, such as the following: the valuation of the acquisitions is not supported solely by the initial consideration paid, and the contingent consideration payments are not affected by employment termination.</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discount rate. Unanticipated events and circumstances may occur that may affect the accuracy or validity of such assumptions, estimates or actual results. As a result, during the measurement period, which may be up to one year from the acquisition date, we record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our consolidated statements of income.</w:t>
      </w:r>
    </w:p>
    <w:p>
      <w:pPr>
        <w:spacing w:after="0" w:line="16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estimate the fair values of our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Intangible Assets and Long-Lived Assets — Impairment Assessment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annual evaluation of impairment consists of either using a qualitative approach to determine whether it is more likely than not that the fair value of the assets is less than their respective carrying values or a quantitative impairment test, if necessary. Quantitative impairment tests are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The process of evaluating the potential impairment of goodwill requires judgment during the analysis. In performing a qualitative evaluation, we consider many factors in evaluating whether the carrying value of goodwill may not be recoverable, including changes in our stock price and market capitalization in relation to our book value and macroeconomic conditions affecting our business. Please see Note 2 to our consolidated financial statements. We perform an annual goodwill impairment test during the fourth quarter of each fiscal year, or more frequently if impairment indicators are present. We operate in one operating segment, and this segment comprises our only reporting unit. Where a quantitative impairment test is necessary, in calculating the fair value of the reporting unit, we used our market capitalization and a discounted cash flow methodology. There was no impairment of goodwill in fiscal years 2022, 2021 or 2020.</w:t>
      </w:r>
    </w:p>
    <w:p>
      <w:pPr>
        <w:spacing w:after="0" w:line="18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 If the sum of undiscounted future cash flows resulting from the use of the cash generating unit and its eventual disposition is less than the carrying amount of such assets, an impairment would be recognized, and the assets would be written down to their estimated fair values, based on expected future discounted cash flows. There was an immaterial impairment of long-lived assets in fiscal year 2022, and no impairment for fiscal years 2021 or 2020.</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and Hedge Accounting</w:t>
      </w:r>
    </w:p>
    <w:p>
      <w:pPr>
        <w:spacing w:after="0" w:line="11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During fiscal years 2022, 2021 and 2020, approximately 70% to 80% of our revenue and 50% to 60% of our operating expenses were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the consolidated balance sheets items. We estimate the fair value of such derivative contracts by reference to forward and spot rates quoted in active markets.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170"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allowance for doubtful accounts is for estimated losses resulting from accounts receivable and unbilled receivables for which their collection is not reasonably assured. We evaluate accounts receivable to determine if they ultimately will be collected. Significant judgments and estimates are involved in performing this evaluation, which we base on factors that may affect a customer’s ability to pay, such as past experience, credit quality of the customer, age of the receivable balance and current economic conditions, reasonable and supportable forecasts of future economic conditions, and other factors that may affect its ability to collect from customers. If the fee is not collectible at the time the transaction is consummated, we exclude the relevant fee from the transaction price. The allowance for doubtful accounts, net of credit losses is for expected credit losses resulting from accounts receivable and unbilled receivables for which their collection is not reasonably probable. If we estimate that our customers’ ability and intent to make payments have been impaired, additional allowances may be required.</w:t>
      </w:r>
    </w:p>
    <w:p>
      <w:pPr>
        <w:spacing w:after="0" w:line="17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329" w:lineRule="exact"/>
        <w:rPr>
          <w:sz w:val="20"/>
          <w:szCs w:val="20"/>
          <w:color w:val="auto"/>
        </w:rPr>
      </w:pPr>
    </w:p>
    <w:p>
      <w:pPr>
        <w:ind w:left="120" w:right="5460"/>
        <w:spacing w:after="0" w:line="378" w:lineRule="auto"/>
        <w:rPr>
          <w:sz w:val="20"/>
          <w:szCs w:val="20"/>
          <w:color w:val="auto"/>
        </w:rPr>
      </w:pPr>
      <w:r>
        <w:rPr>
          <w:rFonts w:ascii="Arial" w:cs="Arial" w:eastAsia="Arial" w:hAnsi="Arial"/>
          <w:sz w:val="18"/>
          <w:szCs w:val="18"/>
          <w:b w:val="1"/>
          <w:bCs w:val="1"/>
          <w:color w:val="auto"/>
        </w:rPr>
        <w:t>ITEM 6. DIRECTORS, SENIOR MANAGEMENT AND EMPLOYEES Directors and Senior Management</w:t>
      </w:r>
    </w:p>
    <w:p>
      <w:pPr>
        <w:ind w:left="120" w:right="100" w:firstLine="440"/>
        <w:spacing w:after="0" w:line="263" w:lineRule="auto"/>
        <w:rPr>
          <w:sz w:val="20"/>
          <w:szCs w:val="20"/>
          <w:color w:val="auto"/>
        </w:rPr>
      </w:pPr>
      <w:r>
        <w:rPr>
          <w:rFonts w:ascii="Arial" w:cs="Arial" w:eastAsia="Arial" w:hAnsi="Arial"/>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 As of November 30, 2022, our directors and officers were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90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Name</w:t>
            </w:r>
          </w:p>
        </w:tc>
        <w:tc>
          <w:tcPr>
            <w:tcW w:w="14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Age</w:t>
            </w:r>
          </w:p>
        </w:tc>
        <w:tc>
          <w:tcPr>
            <w:tcW w:w="6720" w:type="dxa"/>
            <w:vAlign w:val="bottom"/>
            <w:tcBorders>
              <w:bottom w:val="single" w:sz="8" w:color="auto"/>
            </w:tcBorders>
          </w:tcPr>
          <w:p>
            <w:pPr>
              <w:ind w:left="3220"/>
              <w:spacing w:after="0"/>
              <w:rPr>
                <w:sz w:val="20"/>
                <w:szCs w:val="20"/>
                <w:color w:val="auto"/>
              </w:rPr>
            </w:pPr>
            <w:r>
              <w:rPr>
                <w:rFonts w:ascii="Arial" w:cs="Arial" w:eastAsia="Arial" w:hAnsi="Arial"/>
                <w:sz w:val="14"/>
                <w:szCs w:val="14"/>
                <w:b w:val="1"/>
                <w:bCs w:val="1"/>
                <w:color w:val="auto"/>
              </w:rPr>
              <w:t>Position</w:t>
            </w:r>
          </w:p>
        </w:tc>
      </w:tr>
      <w:tr>
        <w:trPr>
          <w:trHeight w:val="209"/>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Robert A. Minicucci(1)(2)(3)</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70</w:t>
            </w: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Chairman of the Board</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Adrian Gardner(1)</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60</w:t>
            </w:r>
          </w:p>
        </w:tc>
        <w:tc>
          <w:tcPr>
            <w:tcW w:w="6720" w:type="dxa"/>
            <w:vAlign w:val="bottom"/>
          </w:tcPr>
          <w:p>
            <w:pPr>
              <w:ind w:left="220"/>
              <w:spacing w:after="0"/>
              <w:rPr>
                <w:sz w:val="20"/>
                <w:szCs w:val="20"/>
                <w:color w:val="auto"/>
              </w:rPr>
            </w:pPr>
            <w:r>
              <w:rPr>
                <w:rFonts w:ascii="Arial" w:cs="Arial" w:eastAsia="Arial" w:hAnsi="Arial"/>
                <w:sz w:val="18"/>
                <w:szCs w:val="18"/>
                <w:color w:val="auto"/>
              </w:rPr>
              <w:t>Director and Chairman of the Audit Committee</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James S. Kahan(3)</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75</w:t>
            </w: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Richard T.C. LeFave(1)(2)(3)</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70</w:t>
            </w:r>
          </w:p>
        </w:tc>
        <w:tc>
          <w:tcPr>
            <w:tcW w:w="6720" w:type="dxa"/>
            <w:vAlign w:val="bottom"/>
          </w:tcPr>
          <w:p>
            <w:pPr>
              <w:ind w:left="220"/>
              <w:spacing w:after="0"/>
              <w:rPr>
                <w:sz w:val="20"/>
                <w:szCs w:val="20"/>
                <w:color w:val="auto"/>
              </w:rPr>
            </w:pPr>
            <w:r>
              <w:rPr>
                <w:rFonts w:ascii="Arial" w:cs="Arial" w:eastAsia="Arial" w:hAnsi="Arial"/>
                <w:sz w:val="18"/>
                <w:szCs w:val="18"/>
                <w:color w:val="auto"/>
              </w:rPr>
              <w:t>Director and Chairman of the Nominating and Corporate Governance Committee</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Giora Yaron(4)</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74</w:t>
            </w: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 and Chairman of the Technology and Innovation Committee</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Rafael de la Vega(2)</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71</w:t>
            </w:r>
          </w:p>
        </w:tc>
        <w:tc>
          <w:tcPr>
            <w:tcW w:w="6720" w:type="dxa"/>
            <w:vAlign w:val="bottom"/>
          </w:tcPr>
          <w:p>
            <w:pPr>
              <w:ind w:left="220"/>
              <w:spacing w:after="0"/>
              <w:rPr>
                <w:sz w:val="20"/>
                <w:szCs w:val="20"/>
                <w:color w:val="auto"/>
              </w:rPr>
            </w:pPr>
            <w:r>
              <w:rPr>
                <w:rFonts w:ascii="Arial" w:cs="Arial" w:eastAsia="Arial" w:hAnsi="Arial"/>
                <w:sz w:val="18"/>
                <w:szCs w:val="18"/>
                <w:color w:val="auto"/>
                <w:w w:val="95"/>
              </w:rPr>
              <w:t>Director and Chairman of the Management Resources and Compensation Committee</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Eli Gelman(4)</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64</w:t>
            </w: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John A. MacDonald(2)(4)</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69</w:t>
            </w:r>
          </w:p>
        </w:tc>
        <w:tc>
          <w:tcPr>
            <w:tcW w:w="67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Yvette Kanouff(4)</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w:t>
            </w: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Sarah Ruth Davis(1)</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55</w:t>
            </w:r>
          </w:p>
        </w:tc>
        <w:tc>
          <w:tcPr>
            <w:tcW w:w="6720" w:type="dxa"/>
            <w:vAlign w:val="bottom"/>
          </w:tcPr>
          <w:p>
            <w:pPr>
              <w:ind w:left="220"/>
              <w:spacing w:after="0"/>
              <w:rPr>
                <w:sz w:val="20"/>
                <w:szCs w:val="20"/>
                <w:color w:val="auto"/>
              </w:rPr>
            </w:pPr>
            <w:r>
              <w:rPr>
                <w:rFonts w:ascii="Arial" w:cs="Arial" w:eastAsia="Arial" w:hAnsi="Arial"/>
                <w:sz w:val="18"/>
                <w:szCs w:val="18"/>
                <w:color w:val="auto"/>
              </w:rPr>
              <w:t>Director</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Shuky Sheffer</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62</w:t>
            </w: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Tamar Rapaport-Dagim</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51</w:t>
            </w:r>
          </w:p>
        </w:tc>
        <w:tc>
          <w:tcPr>
            <w:tcW w:w="6720" w:type="dxa"/>
            <w:vAlign w:val="bottom"/>
          </w:tcPr>
          <w:p>
            <w:pPr>
              <w:ind w:left="220"/>
              <w:spacing w:after="0"/>
              <w:rPr>
                <w:sz w:val="20"/>
                <w:szCs w:val="20"/>
                <w:color w:val="auto"/>
              </w:rPr>
            </w:pPr>
            <w:r>
              <w:rPr>
                <w:rFonts w:ascii="Arial" w:cs="Arial" w:eastAsia="Arial" w:hAnsi="Arial"/>
                <w:sz w:val="18"/>
                <w:szCs w:val="18"/>
                <w:color w:val="auto"/>
              </w:rPr>
              <w:t>Chief Financial Officer and Chief Operating Officer</w:t>
            </w: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Rajat Raheja</w:t>
            </w:r>
          </w:p>
        </w:tc>
        <w:tc>
          <w:tcPr>
            <w:tcW w:w="14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52</w:t>
            </w:r>
          </w:p>
        </w:tc>
        <w:tc>
          <w:tcPr>
            <w:tcW w:w="6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Division President, Amdocs Development Centre India LLP</w:t>
            </w:r>
          </w:p>
        </w:tc>
      </w:t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Matthew Smith</w:t>
            </w:r>
          </w:p>
        </w:tc>
        <w:tc>
          <w:tcPr>
            <w:tcW w:w="1400" w:type="dxa"/>
            <w:vAlign w:val="bottom"/>
          </w:tcPr>
          <w:p>
            <w:pPr>
              <w:jc w:val="right"/>
              <w:ind w:right="131"/>
              <w:spacing w:after="0"/>
              <w:rPr>
                <w:sz w:val="20"/>
                <w:szCs w:val="20"/>
                <w:color w:val="auto"/>
              </w:rPr>
            </w:pPr>
            <w:r>
              <w:rPr>
                <w:rFonts w:ascii="Arial" w:cs="Arial" w:eastAsia="Arial" w:hAnsi="Arial"/>
                <w:sz w:val="18"/>
                <w:szCs w:val="18"/>
                <w:color w:val="auto"/>
              </w:rPr>
              <w:t>50</w:t>
            </w:r>
          </w:p>
        </w:tc>
        <w:tc>
          <w:tcPr>
            <w:tcW w:w="6720" w:type="dxa"/>
            <w:vAlign w:val="bottom"/>
          </w:tcPr>
          <w:p>
            <w:pPr>
              <w:ind w:left="220"/>
              <w:spacing w:after="0"/>
              <w:rPr>
                <w:sz w:val="20"/>
                <w:szCs w:val="20"/>
                <w:color w:val="auto"/>
              </w:rPr>
            </w:pPr>
            <w:r>
              <w:rPr>
                <w:rFonts w:ascii="Arial" w:cs="Arial" w:eastAsia="Arial" w:hAnsi="Arial"/>
                <w:sz w:val="18"/>
                <w:szCs w:val="18"/>
                <w:color w:val="auto"/>
              </w:rPr>
              <w:t>Secretary; Head of Investor Relations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4"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Member of the Audit Committee</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86" w:right="4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the Management Resources and Compensation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Member of the Technology and Innovation Committee</w:t>
      </w:r>
    </w:p>
    <w:p>
      <w:pPr>
        <w:spacing w:after="0" w:line="211"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Robert A.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was a director of one other publicly-held company, Alliance Data Systems, Inc. until June 2020.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has provided him with strong business acumen and strategic and financial expertise.</w:t>
      </w:r>
    </w:p>
    <w:p>
      <w:pPr>
        <w:spacing w:after="0" w:line="185"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Adrian Gardner has been a director of Amdocs since 1998 and is Chairman of the Audit Committee. Mr. Gardner serves as Chief Operating Officer of Stonehage Fleming Family &amp; Partners Limited, an international Multi-Family Office business, since October 2019. Mr. Gardner has served as a member of the Audit &amp; Risk Committee of Worcester College, Oxford University since May 2017 and as its chair since June 2022. From 2016 to 2019, Mr. Gardner served as Chief Financial Officer of Ipes Holdings Limited, a provider of outsourced services to private equity firms. From 2014 to September 2016, Mr. Gardner served as Chief Financial Officer of International Personal Finance plc, an international home credit business.</w:t>
      </w:r>
    </w:p>
    <w:p>
      <w:pPr>
        <w:spacing w:after="0" w:line="2"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Mr. Gardner was Chief Financial Officer and a director of RSM Tenon Group PLC, a London-based accounting and advisory firm from 2011 until the acquisition in 2013 of its operating subsidiaries by Baker Tilly UK Holdings Limited, since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Gardner’s extensive experience as an accountant, technology investment banker and chief financial officer enables him to make valuable contributions to our strategic and financial affairs.</w:t>
      </w:r>
    </w:p>
    <w:p>
      <w:pPr>
        <w:spacing w:after="0" w:line="183" w:lineRule="exact"/>
        <w:rPr>
          <w:sz w:val="20"/>
          <w:szCs w:val="20"/>
          <w:color w:val="auto"/>
        </w:rPr>
      </w:pPr>
    </w:p>
    <w:p>
      <w:pPr>
        <w:ind w:left="120" w:right="260" w:firstLine="440"/>
        <w:spacing w:after="0" w:line="255" w:lineRule="auto"/>
        <w:rPr>
          <w:sz w:val="20"/>
          <w:szCs w:val="20"/>
          <w:color w:val="auto"/>
        </w:rPr>
      </w:pPr>
      <w:r>
        <w:rPr>
          <w:rFonts w:ascii="Arial" w:cs="Arial" w:eastAsia="Arial" w:hAnsi="Arial"/>
          <w:sz w:val="18"/>
          <w:szCs w:val="18"/>
          <w:color w:val="auto"/>
        </w:rPr>
        <w:t>James S. Kahan has been a director of Amdocs since 1998 and previously served as Chairman of the Nominating and Corporate Governance Committee from January 2018 and until November 2021. From 1983 until his retirement in 2007, he worked at SBC Communications Inc., which is now AT&amp;T, and served as a Senior Executive Vice President from 1992 until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a publicly-traded live music and ticketing entity, as well as one private company.</w:t>
      </w:r>
    </w:p>
    <w:p>
      <w:pPr>
        <w:spacing w:after="0" w:line="192" w:lineRule="exact"/>
        <w:rPr>
          <w:sz w:val="20"/>
          <w:szCs w:val="20"/>
          <w:color w:val="auto"/>
        </w:rPr>
      </w:pPr>
    </w:p>
    <w:p>
      <w:pPr>
        <w:ind w:left="120" w:right="340"/>
        <w:spacing w:after="0" w:line="263" w:lineRule="auto"/>
        <w:rPr>
          <w:sz w:val="20"/>
          <w:szCs w:val="20"/>
          <w:color w:val="auto"/>
        </w:rPr>
      </w:pPr>
      <w:r>
        <w:rPr>
          <w:rFonts w:ascii="Arial" w:cs="Arial" w:eastAsia="Arial" w:hAnsi="Arial"/>
          <w:sz w:val="18"/>
          <w:szCs w:val="18"/>
          <w:color w:val="auto"/>
        </w:rPr>
        <w:t>Mr. Kahan’s long service at SBC Communications Inc.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184" w:lineRule="exact"/>
        <w:rPr>
          <w:sz w:val="20"/>
          <w:szCs w:val="20"/>
          <w:color w:val="auto"/>
        </w:rPr>
      </w:pPr>
    </w:p>
    <w:p>
      <w:pPr>
        <w:ind w:left="120" w:right="280" w:firstLine="440"/>
        <w:spacing w:after="0" w:line="311" w:lineRule="auto"/>
        <w:rPr>
          <w:sz w:val="20"/>
          <w:szCs w:val="20"/>
          <w:color w:val="auto"/>
        </w:rPr>
      </w:pPr>
      <w:r>
        <w:rPr>
          <w:rFonts w:ascii="Arial" w:cs="Arial" w:eastAsia="Arial" w:hAnsi="Arial"/>
          <w:sz w:val="16"/>
          <w:szCs w:val="16"/>
          <w:color w:val="auto"/>
        </w:rPr>
        <w:t>Richard T.C. LeFave has been a director of Amdocs since 2011 and is the Chairman of the Nominating and Corporate Governance Committee. Since 2008, Mr. LeFave has been a Principal at D&amp;L Partners, LLC, an information technology consulting firm. Mr. LeFave served as Chief Information Officer for Nextel Communications, a telecommunications company, from 1999 until its merger with Sprint Corporation in 2005,</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after which he served as Chief Information Officer for Sprint Nextel Corporation until 2008. From 1995 to 1999, Mr. LeFave served as Chief Information Officer for Southern New England Telephone Company, a provider of communications products and services. Mr. LeFave has held the Chief Information Officer position including CISO duties for a U.S.-based manufacturing firm and attended Harvard Business School (“HBS”) courses in Board Compensation and Audit Committee strategies and completed his HBS Corporate Director Certificate. We believe Mr. LeFave’s qualifications to sit on our board include his extensive experience and leadership in the information technology and telecommunications industry.</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Giora Yaron has been a director of Amdocs since 2009 and is Chairman of the Technology and Innovation Committee.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Dr. Yaron co-founded Itamar Medical Ltd., a publicly-traded medical technology company acquired by Zoll Medical in September 2021.</w:t>
      </w:r>
    </w:p>
    <w:p>
      <w:pPr>
        <w:spacing w:after="0" w:line="9" w:lineRule="exact"/>
        <w:rPr>
          <w:sz w:val="20"/>
          <w:szCs w:val="20"/>
          <w:color w:val="auto"/>
        </w:rPr>
      </w:pPr>
    </w:p>
    <w:p>
      <w:pPr>
        <w:ind w:left="120" w:right="20"/>
        <w:spacing w:after="0" w:line="267" w:lineRule="auto"/>
        <w:rPr>
          <w:sz w:val="20"/>
          <w:szCs w:val="20"/>
          <w:color w:val="auto"/>
        </w:rPr>
      </w:pPr>
      <w:r>
        <w:rPr>
          <w:rFonts w:ascii="Arial" w:cs="Arial" w:eastAsia="Arial" w:hAnsi="Arial"/>
          <w:sz w:val="17"/>
          <w:szCs w:val="17"/>
          <w:color w:val="auto"/>
        </w:rPr>
        <w:t>He co-founded P-cube, Pentacom, Qumranet, Exanet and Comsys, privately-held companies sold to multinational corporations. In 2009, Dr. Yaron also co-founded Qwilt, Inc., a privately-held edge computing technology company and serves as one of its directors. Dr. Yaron served as a director of Hyperwise Security, a company focused on providing a comprehensive APT protection, which was sold to Checkpoint in early 2015, served as Chairman of the Board at Excelero (ExpressIO) until 2019, a company focused on providing ultra-fast block storage solution and Equalum focused on streaming in real-time changes from a variety of data bases to a unified platform for real-time Big Data Analytics, which was sold to Nvidia in early 2022. Dr. Yaron is an active investor in various companies including Salto, Afforata, Vulcan Security, Aqua Security, CyberPion, Kubia.AI, Privya.AI and Illumex. Dr. Yaron has served as the chairman of The Executive Council of Tel Aviv University, an institution of higher education, between 2010-2019 and a director of Ramot, which is the Tel Aviv University’s technology transfer company until 2015.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183"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Rafael de la Vega has been a director of Amdocs since January 2018 and is Chairman of the Management Resources and Compensation Committee. Since 2017, he has served as the Chairman and Founder of the De La Vega Group, a consultancy and advisory services firm. From February 2016 to December 2016, Mr. de la Vega served as the Vice Chairman of AT&amp;T Inc. and CEO of Business Solutions &amp; International. From 2014 to 2016, Mr. de la Vega served as President and CEO of AT&amp;T Mobile and Business Solutions and from 2007 to 2014 he served as the President and CEO of AT&amp;T Mobility. Mr. de la Vega also held various positions at several telecommunications companies, including Cingular Wireless and Bell South Latin America. During his time at Cingular Wireless, he was responsible for the integration of AT&amp;T Wireless and Cingular Wireless. He also serves on the boards of American Express Company and New York Life Insurance Company. He served on the Executive Committee of the Boy Scouts of America until May 2018 and served as Chairman of the 2017 Boy Scouts Jamboree. He is the former Chairman of Junior Achievement Worldwide and continues to serve on its board of directors. In June 2018, Mr. de la Vega joined as the Vice Chairman of the Board of Directors of Ubicquia LLC. In September 2018 he joined the Board of Advisors of RapidSOS. Mr. de la Vega also recently joined Forté Ventures as a Limited Partner. We believe Mr. de la Vega’s qualifications to sit on our Board of Directors include his extensive experience and leadership in the telecommunications industry.</w:t>
      </w:r>
    </w:p>
    <w:p>
      <w:pPr>
        <w:spacing w:after="0" w:line="172"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Eli Gelman has been a director of Amdocs since 2002. Since January 2019, Mr. Gelman serves as the chairman of the Executive Council of Tel Aviv University. Mr. Gelman served as our President and Chief Executive Officer from 2010 to September 30, 2018. From 2010 until 2013, Mr. Gelman served as a director of Retalix, a global software company, and during 2010, he also served as its Chairman. From 2008 to 2010, Mr. Gelman devoted his time to charitable matters focused on youth education. He served as 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86" w:right="4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60"/>
        <w:spacing w:after="0" w:line="296" w:lineRule="auto"/>
        <w:rPr>
          <w:sz w:val="20"/>
          <w:szCs w:val="20"/>
          <w:color w:val="auto"/>
        </w:rPr>
      </w:pPr>
      <w:r>
        <w:rPr>
          <w:rFonts w:ascii="Arial" w:cs="Arial" w:eastAsia="Arial" w:hAnsi="Arial"/>
          <w:sz w:val="16"/>
          <w:szCs w:val="16"/>
          <w:color w:val="auto"/>
        </w:rPr>
        <w:t>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 his more than two decades of service to Amdocs and its customers, including as our Chief Operating Officer and President and Chief Executive Officer. With more than 30 years of experience in the software industry, he possesses a vast institutional knowledge and strategic understanding of our organization and industry.</w:t>
      </w:r>
    </w:p>
    <w:p>
      <w:pPr>
        <w:spacing w:after="0" w:line="16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John A. MacDonald has been a director of Amdocs since 2019. Mr. MacDonald is an experienced senior executive who has worked at some of Canada’s largest technology organizations and serves as a board member of BookJane Inc. From 2012 to 2021, Mr. MacDonald served as a board member of Rogers Communications Inc. From 2003 to 2008, Mr. MacDonald served as the President, Enterprise Division of MTS Allstream. Before that, between 2002 to 2003, Mr. MacDonald was a President and Chief Operating Officer AT&amp;T Canada. AT&amp;T Canada was re-branded Allstream in 2003 and was subsequently acquired by MTS the following year. In 1994 Mr. MacDonald joined Bell Canada as its Chief Technology Officer and retired from Bell Canada in 1999 as its President and Chief Operating Officer. From 1977 to 1994 Mr. MacDonald worked at NBTel, where he became Chief Executive Officer in 1994. We believe Mr. MacDonald’s qualifications to sit on our Board of Directors include his extensive experience and leadership in the telecommunications industry.</w:t>
      </w:r>
    </w:p>
    <w:p>
      <w:pPr>
        <w:spacing w:after="0" w:line="17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Yvette Kanouff has been a director of Amdocs since 2020. Since August 2018, Ms. Kanouff has served as a director of Sprinklr CXM, which became a public company in June 2021. Since August 2019, Ms. Kanouff has served as a director of Science Applications International Corporation (SAIC). Since February 2021, Ms. Kanouff has served as a director of Entegris ENTG. Ms. Kanouff is currently a partner and chief technology officer at Silicon Valley-based venture capital and private equity firm JC2 Ventures where Ms. Kanouff is responsible for technology strategy and engineering relationships within JC2 Ventures investment companies, partners, and customers. Prior to that, Ms. Kanouff served as a senior vice president and general manager for Cisco’s Service Provider Business where she was responsible for more than $7 billion in direct revenue and more than 6,000 employees globally. Previously, Ms. Kanouff held leadership positions for numerous companies, including Cablevision, SeaChange International, and Time Warner. Ms. Kanouff holds a bachelor’s degree, a master’s degree in mathematics from the University of Central Florida and completed her HBS Corporate Director Certificate. Ms. Kanouff is also a director and executive advisor of several private technology companies.</w:t>
      </w:r>
    </w:p>
    <w:p>
      <w:pPr>
        <w:spacing w:after="0" w:line="166" w:lineRule="exact"/>
        <w:rPr>
          <w:sz w:val="20"/>
          <w:szCs w:val="20"/>
          <w:color w:val="auto"/>
        </w:rPr>
      </w:pPr>
    </w:p>
    <w:p>
      <w:pPr>
        <w:ind w:left="120" w:right="20" w:firstLine="440"/>
        <w:spacing w:after="0" w:line="283" w:lineRule="auto"/>
        <w:rPr>
          <w:sz w:val="20"/>
          <w:szCs w:val="20"/>
          <w:color w:val="auto"/>
        </w:rPr>
      </w:pPr>
      <w:r>
        <w:rPr>
          <w:rFonts w:ascii="Arial" w:cs="Arial" w:eastAsia="Arial" w:hAnsi="Arial"/>
          <w:sz w:val="16"/>
          <w:szCs w:val="16"/>
          <w:color w:val="auto"/>
        </w:rPr>
        <w:t>Sarah Ruth Davis has been a director of Amdocs since 2021. From 2007 to May 2021, Ms. Davis served in various executive roles at Loblaw Companies Limited, Canada’s largest retailer and the nation’s food and pharmacy leader. From 2017 until May 2021, Ms. Davis served as the president of Loblaw Companies Limited. From 2014 until 2017, Ms. Davis served as the chief administrative officer of Loblaw. Before being appointed as the chief administrative officer, Ms. Davis served as Loblaw’s chief financial officer from 2010 until 2014. Prior to her appointment as chief financial officer, Ms. Davis served as the financial controller between 2007 to 2010. From 2005 until 2007, she was the controller and vice president of finance of Rogers Communications, Inc. Between 1996 to 2005, Ms. Davis served in various finance and accounting roles with Bell Canada, including chief financial officer of Bell Nexxia and the vice president of complex bids at BCE Emergis Inc., a Bell spin-off that owned an array of media and e-commerce companies. Since 2014 Ms. Davis also serves on the board of directors of AGF Management Limited, an investment manager traded on the Toronto Stock Exchange. Between 2010 and 2021 Ms. Davis served on the board of directors of President’s Choice Bank. From 2017 until 2021,</w:t>
      </w:r>
    </w:p>
    <w:p>
      <w:pPr>
        <w:spacing w:after="0" w:line="6"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Ms. Davis served as the chairman of T&amp;T Supermarket Inc. In August 2021, Ms. Davis joined the boards of directors of Victoria’s Secret &amp; Co., a company traded on the New York Stock Exchange, and Pet Valu Holdings Ltd., a pet supply company traded on the Toronto Stock Exchange. Ms. Davis was named one of Canada’s Most Powerful Women: Top 100 in 2011 by the Women’s Executive Network and was the executive sponsor of the Women@Loblaw network. Ms. Davis holds a Bachelor of Commerce, honors degree from Queen’s University and is a chartered accountant and Fellow of the CPA.</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Shuky Sheffer is a director and has been our President and Chief Executive Officer since October 1, 2018. Mr. Sheffer previously served as Senior Vice President and President of the Global Business Group from October 2013 to September 30, 2018. Mr. Sheffer served as Chief Executive Officer of Retalix Ltd., a global software company, from 2009 until its acquisition by NCR Corporation in 2013. Following the acquisition, he served as a General Manager of Retalix through September 2013. From 1986 to 2009, Mr. Sheffer served at various managerial positions at Amdocs, most recently as President of the Emerging Markets Divisions.</w:t>
      </w:r>
    </w:p>
    <w:p>
      <w:pPr>
        <w:spacing w:after="0" w:line="188"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Tamar Rapaport-Dagim has been our Chief Financial Officer since 2007, and our Chief Operating Officer since October 1, 2018. Ms. Rapaport-Dagim is also the chair of several executive committees of Amdocs and a member of all of them. Ms. Rapaport-Dagim served as our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17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Rajat Raheja has been our Division President for India operations since February 2016. Mr. Raheja has close to 23 years of experience and most recently served as Director, Global Services at Deloitte Consulting. Prior to joining Amdocs, Mr. Raheja held leadership positions in Deloitte Consulting, Arthur Andersen, PricewaterhouseCoopers and Tata Telecom.</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Matthew Smith has been Secretary of Amdocs Limited since January 2015. Mr. Smith joined Amdocs in October 2012 as Director of Investor Relations and has been Head of Investor Relations since January 2014. Prior to joining Amdocs, from April 2006 to August 2012, Mr. Smith was a research director at A.I. Capital Management, a hedge fund, where he covered many sectors, including the technology sub-sectors of IT hardware, semiconductors, software and IT services. From April 2001 to April 2006, Mr. Smith was an equity analyst at CIBC World Markets (now Oppenheimer Co.).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During fiscal 2022, each of our directors who was not our employee, or Non-Employee Directors, received compensation for their services as directors in the form of cash and restricted shares. Each Non-Employee Director received an annual cash payment of $80,000. Each member of our Audit Committee who is a Non-Employee Director and who is not the chairman of such committee received an annual cash payment of $30,000. Each member of our Management Resources and Compensation Committee who is a Non-Employee Director and who is not a committee chairman received an annual cash payment of $20,000. Each member of our Nominating and Corporate Governance and Technology and Innovation Committees who is a Non-Employee Director and who is not a committee chairman received an annual cash payment of $15,000. The Chairman of our Audit Committee received an annual cash payment of $42,500 and the Chairman of our Management Resources and Compensation Committee received an annual cash payment of $32,500. The Chairmen of our Nominating and Corporate Governance and Technology and Innovation Committees each received an annual cash payment of $27,500. Each Non-Employee Director received an annual grant of restricted shares at a total value of $255,000. The Chairman of the Board of Directors received an additional annual amount equal to $200,000 awarded in the form of restricted shares. The restricted share awards to our Non-Employee Directors vest quarterly. The price per share for the purpose of determining the value of the grants to our Non-Employee Directors was the Nasdaq closing price of our shares on the last trading day preceding the grant date.</w:t>
      </w:r>
    </w:p>
    <w:p>
      <w:pPr>
        <w:spacing w:after="0" w:line="16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We enforce stock ownership guidelines that capture the Board of Directors and executive management population, requiring each to comply with benchmark equity holdings at all times (to be achieved over 5 years). The policy includes the following holding guidelines:</w:t>
      </w:r>
    </w:p>
    <w:p>
      <w:pPr>
        <w:spacing w:after="0" w:line="76"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Board of Directors – 6X over annual cash retainer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CEO – 6X over annual base salary</w:t>
      </w:r>
    </w:p>
    <w:p>
      <w:pPr>
        <w:spacing w:after="0" w:line="130" w:lineRule="exact"/>
        <w:rPr>
          <w:rFonts w:ascii="Arial" w:cs="Arial" w:eastAsia="Arial" w:hAnsi="Arial"/>
          <w:sz w:val="18"/>
          <w:szCs w:val="18"/>
          <w:color w:val="auto"/>
        </w:rPr>
      </w:pPr>
    </w:p>
    <w:p>
      <w:pPr>
        <w:jc w:val="right"/>
        <w:ind w:left="5540" w:right="5360" w:hanging="4884"/>
        <w:spacing w:after="0" w:line="535" w:lineRule="auto"/>
        <w:tabs>
          <w:tab w:leader="none" w:pos="1094" w:val="left"/>
        </w:tabs>
        <w:numPr>
          <w:ilvl w:val="0"/>
          <w:numId w:val="28"/>
        </w:numPr>
        <w:rPr>
          <w:rFonts w:ascii="Arial" w:cs="Arial" w:eastAsia="Arial" w:hAnsi="Arial"/>
          <w:sz w:val="16"/>
          <w:szCs w:val="16"/>
          <w:color w:val="auto"/>
        </w:rPr>
      </w:pPr>
      <w:r>
        <w:rPr>
          <w:rFonts w:ascii="Arial" w:cs="Arial" w:eastAsia="Arial" w:hAnsi="Arial"/>
          <w:sz w:val="16"/>
          <w:szCs w:val="16"/>
          <w:color w:val="auto"/>
        </w:rPr>
        <w:t>CFO / COO and top executives – 2X-4X over annual base salary 50</w:t>
      </w:r>
    </w:p>
    <w:p>
      <w:pPr>
        <w:sectPr>
          <w:pgSz w:w="11900" w:h="16838" w:orient="portrait"/>
          <w:cols w:equalWidth="0" w:num="1">
            <w:col w:w="11100"/>
          </w:cols>
          <w:pgMar w:left="320" w:top="486" w:right="47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also reimburse all of our Non-Employee Directors for their reasonable travel expenses incurred in connection with attending Board or committee meetings and for other reasonable expenses incurred while executing their responsibilities as directors. Cash and equity compensation paid to our Non-Employee Directors may be prorated for partial-year service.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total of 14 persons who served either as directors or officers of Amdocs during all or part of fiscal 2022 received remuneration from Amdocs.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aggregate remuneration paid or accrued by us to such persons in fiscal 2022 was approximately $6.0 million, compared to $5.3 million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$5.3 million in fiscal 2021 and fiscal 2020, respectively, which includes amounts set aside or accrued to provide cash bonuses, pension, retirement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similar benefits, but does not include amounts expended by us for automobiles made available to such persons, expenses (including business travel,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professional and business association dues) or other fringe benefits. During fiscal 2022, we granted to such persons an aggregate of 216,122 restricted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typically subject to three- to four-year vesting and, often times, achievement of certain performance thresholds, and in the case of our directors,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subject to quarterly vesting. All restricted share awards were granted pursuant to our 1998 Stock Option and Incentive Plan, as amended. See discussion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 “Share Ownership — Employee Stock Option and Incentive Plan.”</w:t>
      </w:r>
    </w:p>
    <w:p>
      <w:pPr>
        <w:spacing w:after="0" w:line="21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following table summarizes our compensation philosophy for our directors and executive management — “What we do?” and “What we don’t do?”:</w:t>
      </w:r>
    </w:p>
    <w:p>
      <w:pPr>
        <w:sectPr>
          <w:pgSz w:w="11900" w:h="16838" w:orient="portrait"/>
          <w:cols w:equalWidth="0" w:num="1">
            <w:col w:w="11100"/>
          </w:cols>
          <w:pgMar w:left="320" w:top="486" w:right="479" w:bottom="1440" w:gutter="0" w:footer="0" w:header="0"/>
        </w:sectPr>
      </w:pPr>
    </w:p>
    <w:p>
      <w:pPr>
        <w:spacing w:after="0" w:line="193"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What we do?</w:t>
      </w:r>
    </w:p>
    <w:p>
      <w:pPr>
        <w:spacing w:after="0" w:line="22" w:lineRule="exact"/>
        <w:rPr>
          <w:sz w:val="20"/>
          <w:szCs w:val="20"/>
          <w:color w:val="auto"/>
        </w:rPr>
      </w:pPr>
    </w:p>
    <w:p>
      <w:pPr>
        <w:jc w:val="center"/>
        <w:ind w:left="10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We seek to provide an appropriate mix of short and long-term incentives</w:t>
      </w:r>
    </w:p>
    <w:p>
      <w:pPr>
        <w:spacing w:after="0" w:line="314" w:lineRule="exact"/>
        <w:rPr>
          <w:sz w:val="20"/>
          <w:szCs w:val="20"/>
          <w:color w:val="auto"/>
        </w:rPr>
      </w:pPr>
    </w:p>
    <w:p>
      <w:pPr>
        <w:ind w:left="480" w:right="60" w:hanging="359"/>
        <w:spacing w:after="0" w:line="23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target at least 50-70% of executive management compensation to be performance-contingent</w:t>
      </w:r>
    </w:p>
    <w:p>
      <w:pPr>
        <w:spacing w:after="0" w:line="62" w:lineRule="exact"/>
        <w:rPr>
          <w:sz w:val="20"/>
          <w:szCs w:val="20"/>
          <w:color w:val="auto"/>
        </w:rPr>
      </w:pPr>
    </w:p>
    <w:p>
      <w:pPr>
        <w:ind w:left="480" w:right="860" w:hanging="359"/>
        <w:spacing w:after="0" w:line="240"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We strive to align executive management compensation with shareholders return through equity incentive awards</w:t>
      </w:r>
    </w:p>
    <w:p>
      <w:pPr>
        <w:spacing w:after="0" w:line="61" w:lineRule="exact"/>
        <w:rPr>
          <w:sz w:val="20"/>
          <w:szCs w:val="20"/>
          <w:color w:val="auto"/>
        </w:rPr>
      </w:pPr>
    </w:p>
    <w:p>
      <w:pPr>
        <w:ind w:left="480" w:right="60" w:hanging="359"/>
        <w:spacing w:after="0" w:line="23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set performance objectives, which we believe will drive shareholder returns</w:t>
      </w:r>
    </w:p>
    <w:p>
      <w:pPr>
        <w:spacing w:after="0" w:line="62" w:lineRule="exact"/>
        <w:rPr>
          <w:sz w:val="20"/>
          <w:szCs w:val="20"/>
          <w:color w:val="auto"/>
        </w:rPr>
      </w:pPr>
    </w:p>
    <w:p>
      <w:pPr>
        <w:ind w:left="480" w:right="60" w:hanging="359"/>
        <w:spacing w:after="0" w:line="23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We use a combination of performance metrics, such as total shareholder return (TSR), earnings per share (EPS) and revenue growth, to ensure that no single measure affects compensation disproportionately</w:t>
      </w:r>
    </w:p>
    <w:p>
      <w:pPr>
        <w:spacing w:after="0" w:line="61" w:lineRule="exact"/>
        <w:rPr>
          <w:sz w:val="20"/>
          <w:szCs w:val="20"/>
          <w:color w:val="auto"/>
        </w:rPr>
      </w:pPr>
    </w:p>
    <w:p>
      <w:pPr>
        <w:ind w:left="480" w:hanging="359"/>
        <w:spacing w:after="0" w:line="232"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We generally subject equity grants to vesting periods of three to four years to motivate long-term performance, align the interests of executive management and shareholders and provide an incentive for retention</w:t>
      </w:r>
    </w:p>
    <w:p>
      <w:pPr>
        <w:spacing w:after="0" w:line="61" w:lineRule="exact"/>
        <w:rPr>
          <w:sz w:val="20"/>
          <w:szCs w:val="20"/>
          <w:color w:val="auto"/>
        </w:rPr>
      </w:pPr>
    </w:p>
    <w:p>
      <w:pPr>
        <w:ind w:left="480" w:hanging="359"/>
        <w:spacing w:after="0" w:line="23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established stock ownership requirements for executive management and non-employee directors</w:t>
      </w:r>
    </w:p>
    <w:p>
      <w:pPr>
        <w:spacing w:after="0" w:line="62" w:lineRule="exact"/>
        <w:rPr>
          <w:sz w:val="20"/>
          <w:szCs w:val="20"/>
          <w:color w:val="auto"/>
        </w:rPr>
      </w:pPr>
    </w:p>
    <w:p>
      <w:pPr>
        <w:ind w:left="12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We include a clawback policy for cash and equity incentive awards</w:t>
      </w:r>
    </w:p>
    <w:p>
      <w:pPr>
        <w:spacing w:after="0" w:line="37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Practices</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What we don’t do?</w:t>
      </w:r>
    </w:p>
    <w:p>
      <w:pPr>
        <w:spacing w:after="0" w:line="22" w:lineRule="exact"/>
        <w:rPr>
          <w:sz w:val="20"/>
          <w:szCs w:val="20"/>
          <w:color w:val="auto"/>
        </w:rPr>
      </w:pPr>
    </w:p>
    <w:p>
      <w:pPr>
        <w:ind w:left="360" w:right="240" w:hanging="359"/>
        <w:spacing w:after="0" w:line="219"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minimum guaranteed vesting for performance-based equity awards</w:t>
      </w:r>
    </w:p>
    <w:p>
      <w:pPr>
        <w:spacing w:after="0" w:line="62"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guaranteed performance bonuses</w:t>
      </w:r>
    </w:p>
    <w:p>
      <w:pPr>
        <w:spacing w:after="0" w:line="333" w:lineRule="exact"/>
        <w:rPr>
          <w:sz w:val="20"/>
          <w:szCs w:val="20"/>
          <w:color w:val="auto"/>
        </w:rPr>
      </w:pPr>
    </w:p>
    <w:p>
      <w:pPr>
        <w:ind w:left="360" w:right="660" w:hanging="359"/>
        <w:spacing w:after="0" w:line="240"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No executive contracts with multi-year guaranteed salary increases or nonperformance bonus arrangements</w:t>
      </w:r>
    </w:p>
    <w:p>
      <w:pPr>
        <w:spacing w:after="0" w:line="62"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 loans to executives or directors</w:t>
      </w:r>
    </w:p>
    <w:p>
      <w:pPr>
        <w:spacing w:after="0" w:line="3281" w:lineRule="exact"/>
        <w:rPr>
          <w:sz w:val="20"/>
          <w:szCs w:val="20"/>
          <w:color w:val="auto"/>
        </w:rPr>
      </w:pPr>
    </w:p>
    <w:p>
      <w:pPr>
        <w:sectPr>
          <w:pgSz w:w="11900" w:h="16838" w:orient="portrait"/>
          <w:cols w:equalWidth="0" w:num="2">
            <w:col w:w="5720" w:space="240"/>
            <w:col w:w="5140"/>
          </w:cols>
          <w:pgMar w:left="320" w:top="486" w:right="479" w:bottom="1440" w:gutter="0" w:footer="0" w:header="0"/>
          <w:type w:val="continuous"/>
        </w:sectPr>
      </w:pPr>
    </w:p>
    <w:p>
      <w:pPr>
        <w:ind w:left="120" w:right="20" w:firstLine="440"/>
        <w:spacing w:after="0" w:line="311" w:lineRule="auto"/>
        <w:rPr>
          <w:sz w:val="20"/>
          <w:szCs w:val="20"/>
          <w:color w:val="auto"/>
        </w:rPr>
      </w:pPr>
      <w:r>
        <w:rPr>
          <w:rFonts w:ascii="Arial" w:cs="Arial" w:eastAsia="Arial" w:hAnsi="Arial"/>
          <w:sz w:val="16"/>
          <w:szCs w:val="16"/>
          <w:color w:val="auto"/>
        </w:rPr>
        <w:t>Eleven directors currently serve on our Board of Directors, all of whom were elected at our annual meeting of shareholders on January 28, 2022. All directors hold office until the next annual meeting of our shareholders, which generally is in January or February of each calendar year, or until their respective successors are duly elected and qualified or their positions are earlier vacated by resignation or otherwise. In August 2017, the Board</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86" w:right="47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of Directors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renewed annually for it to stay in effect. In August 2021, Mr. James Kahan and Mr. Giora Yaron were each granted a one-year waiver to continue as director past the age of 73 years until the annual general meeting in 2023 in light of the circumstances presented to the Board of Directors, including their exceptional industry experience and value to the Board, as well as the then-current global business and market environment. 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Board of Directors maintains four committees as set forth below. Members of each committee are appointed by the Board of Directors.</w:t>
      </w:r>
    </w:p>
    <w:p>
      <w:pPr>
        <w:spacing w:after="0" w:line="23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Mr. Gardner (Chair), Mr. LeFave, Mr. Minicucci and Ms. Davis, all of whom are independent directors, as defined by the rules of Nasdaq, and pursuant to the categorical director independence standards adopted by our Board of Directors. The Board of Directors has determined that each of Mr. Gardner and Ms. Davis is an “audit committee financial expert” as defined by rules promulgated by the SEC, and that each member of the Audit Committee is financially literate as required by the rules of Nasdaq. In particular, we believe that the professional experiences of Mr. Gardner, Mr. LeFave, Mr. Minicucci and Ms. Davis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 Mr. LeFave’s experience as a seasoned Fortune 500 CIO with CISO responsibilities for over five years provides a foundation of cyber awareness to the Audit Committee and also believe that Mr. LeFave’s post-graduate training at HBS in Audit Committee best practices as part of his HBS Corporate Director Certificate provides valuable contributions to the Committee. Similarly, we believe that Mr. Minicucci’s experience as chief financial officer to a public company and treasurer of another public company have provided him with strong business acumen and strategic and financial expertise that benefits the Committee. We also believe Ms. Davis’s extensive executive experience with Loblaw and her myriad roles in finance and accounting, along with her experience as a director of other public companies, position her to make valuable contributions to the Committee. The Audit Committee written charter is available on our website at </w:t>
      </w:r>
      <w:r>
        <w:rPr>
          <w:rFonts w:ascii="Arial" w:cs="Arial" w:eastAsia="Arial" w:hAnsi="Arial"/>
          <w:sz w:val="16"/>
          <w:szCs w:val="16"/>
          <w:i w:val="1"/>
          <w:iCs w:val="1"/>
          <w:color w:val="auto"/>
        </w:rPr>
        <w:t>www.amdocs.com.</w:t>
      </w:r>
    </w:p>
    <w:p>
      <w:pPr>
        <w:spacing w:after="0" w:line="174"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 xml:space="preserve">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oversees the evaluations of our Board of Directors and reviews and recommends compensation (including equity-based compensation) for our directors. The current members of the Nominating and Corporate Governance Committee are Messrs. LeFave (Chair), Kahan and Minicucci, all of whom are independent directors, as required by the Nasdaq listing standards, and pursuant to the categorical director independence standards adopted by our Board of Directors. The Nominating and Corporate Governance Committee written charter is available on our website at </w:t>
      </w:r>
      <w:r>
        <w:rPr>
          <w:rFonts w:ascii="Arial" w:cs="Arial" w:eastAsia="Arial" w:hAnsi="Arial"/>
          <w:sz w:val="17"/>
          <w:szCs w:val="17"/>
          <w:i w:val="1"/>
          <w:iCs w:val="1"/>
          <w:color w:val="auto"/>
        </w:rPr>
        <w:t>www.amdocs.com</w:t>
      </w:r>
      <w:r>
        <w:rPr>
          <w:rFonts w:ascii="Arial" w:cs="Arial" w:eastAsia="Arial" w:hAnsi="Arial"/>
          <w:sz w:val="17"/>
          <w:szCs w:val="17"/>
          <w:color w:val="auto"/>
        </w:rPr>
        <w:t xml:space="preserve">. The Nominating and Corporate Governance Committee has approved corporate governance guidelines that are also available on our website at </w:t>
      </w:r>
      <w:r>
        <w:rPr>
          <w:rFonts w:ascii="Arial" w:cs="Arial" w:eastAsia="Arial" w:hAnsi="Arial"/>
          <w:sz w:val="17"/>
          <w:szCs w:val="17"/>
          <w:i w:val="1"/>
          <w:iCs w:val="1"/>
          <w:color w:val="auto"/>
        </w:rPr>
        <w:t>www.amdocs.com</w:t>
      </w:r>
      <w:r>
        <w:rPr>
          <w:rFonts w:ascii="Arial" w:cs="Arial" w:eastAsia="Arial" w:hAnsi="Arial"/>
          <w:sz w:val="17"/>
          <w:szCs w:val="17"/>
          <w:color w:val="auto"/>
        </w:rPr>
        <w: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de la Vega (Chair), LeFave, Minicucci and MacDonald, all of whom are independent directors, as defined by the rules of Nasdaq, and pursuant to the categorical director independence standards adopted by our Board of Directors. Amongst its responsibilities, the Management Resources and Compensation Committee:</w:t>
      </w:r>
    </w:p>
    <w:p>
      <w:pPr>
        <w:spacing w:after="0" w:line="83" w:lineRule="exact"/>
        <w:rPr>
          <w:sz w:val="20"/>
          <w:szCs w:val="20"/>
          <w:color w:val="auto"/>
        </w:rPr>
      </w:pPr>
    </w:p>
    <w:p>
      <w:pPr>
        <w:ind w:left="1080" w:right="4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retains, on an annual basis, an independent compensation consultant to assist in its evaluation of executive compensation according to industry benchmarks and best practice;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periodically reviews the relevant peer groups used for compensation benchmarks;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periodically reviews the implementation of our compensation philosophy and programs;</w:t>
      </w:r>
    </w:p>
    <w:p>
      <w:pPr>
        <w:spacing w:after="0" w:line="130"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administers our 1998 Stock Option and Incentive Plan, as amended, and any other stock option or equity incentive plans in accordance with their terms;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reviews executive compensation in consideration of clawback provisions, in line with its charter.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Management Resources and Compensation Committee written charter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w:t>
      </w:r>
    </w:p>
    <w:p>
      <w:pPr>
        <w:spacing w:after="0" w:line="22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Dr. Yaron (Chair) and Mr. Gelman, Ms. Kanouff and Mr. MacDonald.</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non-employee directors receive no compensation from us, except in connection with their membership on the Board of Directors and its committees as described above regarding Non-Employee Directors under “—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Workforce Personnel</w:t>
      </w:r>
    </w:p>
    <w:p>
      <w:pPr>
        <w:spacing w:after="0" w:line="12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following table presents the approximate average number of our workforce for each of the fiscal years indicated, by function and by geographical location (in each of which we operate at multiple sites):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720" w:type="dxa"/>
            <w:vAlign w:val="bottom"/>
          </w:tcPr>
          <w:p>
            <w:pPr>
              <w:spacing w:after="0"/>
              <w:rPr>
                <w:sz w:val="12"/>
                <w:szCs w:val="12"/>
                <w:color w:val="auto"/>
              </w:rPr>
            </w:pPr>
          </w:p>
        </w:tc>
        <w:tc>
          <w:tcPr>
            <w:tcW w:w="6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2022</w:t>
            </w:r>
          </w:p>
        </w:tc>
        <w:tc>
          <w:tcPr>
            <w:tcW w:w="920" w:type="dxa"/>
            <w:vAlign w:val="bottom"/>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60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Software and Information Technology, Sales and Marketing</w:t>
            </w: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Americas</w:t>
            </w:r>
          </w:p>
        </w:tc>
        <w:tc>
          <w:tcPr>
            <w:tcW w:w="600" w:type="dxa"/>
            <w:vAlign w:val="bottom"/>
          </w:tcPr>
          <w:p>
            <w:pPr>
              <w:jc w:val="right"/>
              <w:spacing w:after="0"/>
              <w:rPr>
                <w:sz w:val="20"/>
                <w:szCs w:val="20"/>
                <w:color w:val="auto"/>
              </w:rPr>
            </w:pPr>
            <w:r>
              <w:rPr>
                <w:rFonts w:ascii="Arial" w:cs="Arial" w:eastAsia="Arial" w:hAnsi="Arial"/>
                <w:sz w:val="18"/>
                <w:szCs w:val="18"/>
                <w:color w:val="auto"/>
              </w:rPr>
              <w:t>6,043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5,465</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5,522</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EMEA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APAC</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16,299</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14,083</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12,815</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28,618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25,635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24,294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Management and Administration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Workforce</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30,288</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27,176</w:t>
            </w:r>
          </w:p>
        </w:tc>
        <w:tc>
          <w:tcPr>
            <w:tcW w:w="3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25,875</w:t>
            </w:r>
          </w:p>
        </w:tc>
        <w:tc>
          <w:tcPr>
            <w:tcW w:w="80" w:type="dxa"/>
            <w:vAlign w:val="bottom"/>
            <w:shd w:val="clear" w:color="auto" w:fill="CCEEFF"/>
          </w:tcPr>
          <w:p>
            <w:pPr>
              <w:spacing w:after="0"/>
              <w:rPr>
                <w:sz w:val="18"/>
                <w:szCs w:val="18"/>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company with global operations, we are required to comply with various labor and immigration laws throughout the world.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187"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A small number of our employees in Canada, our employees in Brazil and our employees in Chile have union representation. We also have an affiliation with a non-active union in Mexico. We have a works council body in the Netherlands and Germany which represents the employees and with which we work closely to ensure compliance with the applicable local law. We also have an employee representative body in France and Finland.</w:t>
      </w:r>
    </w:p>
    <w:p>
      <w:pPr>
        <w:spacing w:after="0" w:line="149" w:lineRule="exact"/>
        <w:rPr>
          <w:sz w:val="20"/>
          <w:szCs w:val="20"/>
          <w:color w:val="auto"/>
        </w:rPr>
      </w:pPr>
    </w:p>
    <w:p>
      <w:pPr>
        <w:ind w:left="120" w:right="200" w:firstLine="440"/>
        <w:spacing w:after="0" w:line="291" w:lineRule="auto"/>
        <w:rPr>
          <w:sz w:val="20"/>
          <w:szCs w:val="20"/>
          <w:color w:val="auto"/>
        </w:rPr>
      </w:pPr>
      <w:r>
        <w:rPr>
          <w:rFonts w:ascii="Arial" w:cs="Arial" w:eastAsia="Arial" w:hAnsi="Arial"/>
          <w:sz w:val="16"/>
          <w:szCs w:val="16"/>
          <w:color w:val="auto"/>
        </w:rPr>
        <w:t xml:space="preserve">In recent years, Israeli labor unions have increased their efforts to organize workers at companies with significant operations in Israel, including several companies in the technology sector. In addition, a national union and a group of our employees had attempted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See “Risk Factors — </w:t>
      </w:r>
      <w:r>
        <w:rPr>
          <w:rFonts w:ascii="Arial" w:cs="Arial" w:eastAsia="Arial" w:hAnsi="Arial"/>
          <w:sz w:val="16"/>
          <w:szCs w:val="16"/>
          <w:i w:val="1"/>
          <w:iCs w:val="1"/>
          <w:color w:val="auto"/>
        </w:rPr>
        <w:t>The skilled and highly qualified workforce that we need to develop, implement and modify our solutions may be</w:t>
      </w:r>
      <w:r>
        <w:rPr>
          <w:rFonts w:ascii="Arial" w:cs="Arial" w:eastAsia="Arial" w:hAnsi="Arial"/>
          <w:sz w:val="16"/>
          <w:szCs w:val="16"/>
          <w:color w:val="auto"/>
        </w:rPr>
        <w:t xml:space="preserve"> </w:t>
      </w:r>
      <w:r>
        <w:rPr>
          <w:rFonts w:ascii="Arial" w:cs="Arial" w:eastAsia="Arial" w:hAnsi="Arial"/>
          <w:sz w:val="16"/>
          <w:szCs w:val="16"/>
          <w:i w:val="1"/>
          <w:iCs w:val="1"/>
          <w:color w:val="auto"/>
        </w:rPr>
        <w:t>difficult to hire, train and retain, and we could face increased costs to attract and retain our skilled workforce</w:t>
      </w:r>
      <w:r>
        <w:rPr>
          <w:rFonts w:ascii="Arial" w:cs="Arial" w:eastAsia="Arial" w:hAnsi="Arial"/>
          <w:sz w:val="16"/>
          <w:szCs w:val="16"/>
          <w:color w:val="auto"/>
        </w:rPr>
        <w: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consider our relationship with our employees to be good and have never experienced an organized labor dispute, strike or work stoppage.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Security Ownership of Directors and Senior Management and Certain Key Employees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As of November 30, 2022, the aggregate number of our ordinary shares beneficially owned by our directors and executive officers was 2,145,405 shares. As of November 30, 2022, none of our directors or members of senior management beneficially owned 1% or more of our outstanding ordinary shares.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and Incentive Plan</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Board of Directors adopted, and our shareholders approved, our 1998 Stock Option and Incentive Plan, as amended, which we refer to as the Equity Incentive Plan, pursuant to which up to 70,550,000 of our ordinary shares may be issued.</w:t>
      </w:r>
    </w:p>
    <w:p>
      <w:pPr>
        <w:spacing w:after="0" w:line="170"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The Equity Incentive Plan provides for the grant of restricted shares, stock options and other stock-based awards to our directors, officers, employees and consultants. The purpose of the Equity Incentive Plan is to enable us to attract and retain qualified personnel and to motivate such persons by providing them with an equity participation in Amdocs. As of September 30, 2022, of the 70,550,000 ordinary shares available for issuance under the Equity Incentive Plan, 62,807,409 ordinary shares had been issued as a result of option exercises and restricted share issuances. As of September 30, 2022, 4,857,147 ordinary shares remained available for future grants, subject to a sublimit applicable to the award of restricted shares or awards denominated in stock units. As of November 30, 2022, there were outstanding options to purchase an aggregate of 2,310,540 ordinary shares at exercise prices ranging from $35.69 to $72.19 per share and 433,502 shares are subject to outstanding restricted stock units.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60" w:firstLine="440"/>
        <w:spacing w:after="0" w:line="291" w:lineRule="auto"/>
        <w:rPr>
          <w:sz w:val="20"/>
          <w:szCs w:val="20"/>
          <w:color w:val="auto"/>
        </w:rPr>
      </w:pPr>
      <w:r>
        <w:rPr>
          <w:rFonts w:ascii="Arial" w:cs="Arial" w:eastAsia="Arial" w:hAnsi="Arial"/>
          <w:sz w:val="16"/>
          <w:szCs w:val="16"/>
          <w:color w:val="auto"/>
        </w:rPr>
        <w:t>The Equity Incentive Plan is administered by a committee of our Board of Directors, which determines the terms of awards for directors, employees and consultants as well as the manner in which awards may be made subject to the terms of the Equity Incentive Plan. The Board of Directors may amend or terminate the Equity Incentive Plan, provided that shareholder approval is required to increase the number of ordinary shares available under the Equity Incentive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Under its terms, no awards may be granted pursuant to the Equity Incentive Plan after January 28, 2025.</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2023 Employee Share Purchase Plan</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November 8, 2022, our Board of Directors adopted, subject to approval by our shareholders, the Amdocs Limited 2023 Employee Share Purchase Plan, or the ESPP. The ESPP will be presented to our shareholders for approval at the annual general meeting of shareholders to be held in 2023, and, if approved, will become effective upon the filing of a Form S-8 Registration Statement with the U.S. Securities and Exchange Commission. As approved by our Board of Directors, the maximum number of our ordinary shares that may be issued under the ESPP will not exceed in the aggregate 2,400,000 ordinary shares.</w:t>
      </w:r>
    </w:p>
    <w:p>
      <w:pPr>
        <w:spacing w:after="0" w:line="18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If approved by our shareholders, the ESPP will be administered by the Management Resources and Compensation Committee of our Board of Directors and will provide eligible employees of Amdocs and its participating subsidiaries with an opportunity to acquire a proprietary interest in our Company through the purchase of ordinary shares. The ESPP will include both a “423 Component,” which is intended to qualify as an “employee stock purchase plan” under Section 423 of the Internal Revenue Code of 1986, as amended, or the Code, and a “Non-423 Component,” which is not intended to qualify as such. Under the ESPP, participants will have the right to purchase ordinary shares at the end of each purchase period under the ESPP based on their accumulated payroll deductions during the purchase period of a specified percentage of eligible compensation (up to 10%). Unless determined otherwise, each purchase period under the ESPP will be six months in duration, and the purchase price per ordinary share will equal the lesser of 85% of the fair market value of our ordinary shares at either the beginning of the purchase period or the end of the purchase period.</w:t>
      </w:r>
    </w:p>
    <w:p>
      <w:pPr>
        <w:spacing w:after="0" w:line="16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Management Resources and Compensation Committee may amend the ESPP at any time in its discretion, except that shareholder approval will be required for any amendment to increase the number of ordinary shares available under the ESPP or to make any other change that would require shareholder approval in order for the ESPP to qualify as an “employee stock purchase plan” under Section 423 of the Code. The ESPP may be terminated at any time by our Board of Directors.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specified information with respect to the beneficial ownership of the ordinary shares as of November 30, 2022 of</w:t>
      </w:r>
    </w:p>
    <w:p>
      <w:pPr>
        <w:spacing w:after="0" w:line="46" w:lineRule="exact"/>
        <w:rPr>
          <w:sz w:val="20"/>
          <w:szCs w:val="20"/>
          <w:color w:val="auto"/>
        </w:rPr>
      </w:pPr>
    </w:p>
    <w:p>
      <w:pPr>
        <w:ind w:left="120" w:hanging="4"/>
        <w:spacing w:after="0" w:line="292" w:lineRule="auto"/>
        <w:tabs>
          <w:tab w:leader="none" w:pos="335" w:val="left"/>
        </w:tabs>
        <w:numPr>
          <w:ilvl w:val="0"/>
          <w:numId w:val="30"/>
        </w:numPr>
        <w:rPr>
          <w:rFonts w:ascii="Arial" w:cs="Arial" w:eastAsia="Arial" w:hAnsi="Arial"/>
          <w:sz w:val="16"/>
          <w:szCs w:val="16"/>
          <w:color w:val="auto"/>
        </w:rPr>
      </w:pPr>
      <w:r>
        <w:rPr>
          <w:rFonts w:ascii="Arial" w:cs="Arial" w:eastAsia="Arial" w:hAnsi="Arial"/>
          <w:sz w:val="16"/>
          <w:szCs w:val="16"/>
          <w:color w:val="auto"/>
        </w:rPr>
        <w:t>any person known by us to be the beneficial owner of more than 5% of our ordinary shares, and (ii) all of our directors and executive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120,816,602 ordinary shares outstanding as of November 30, 2022, net of shares held in treasury. Information concerning shareholders other than our directors and officers is based on periodic public filings made by such</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86" w:right="45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shareholders and may not necessarily be accurate as of November 30, 2022. None of our major shareholders have voting rights that are different from those of any other shareholder.</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740" w:type="dxa"/>
            <w:vAlign w:val="bottom"/>
            <w:vMerge w:val="restart"/>
          </w:tcPr>
          <w:p>
            <w:pPr>
              <w:ind w:left="2180"/>
              <w:spacing w:after="0"/>
              <w:rPr>
                <w:sz w:val="20"/>
                <w:szCs w:val="20"/>
                <w:color w:val="auto"/>
              </w:rPr>
            </w:pPr>
            <w:r>
              <w:rPr>
                <w:rFonts w:ascii="Arial" w:cs="Arial" w:eastAsia="Arial" w:hAnsi="Arial"/>
                <w:sz w:val="14"/>
                <w:szCs w:val="14"/>
                <w:b w:val="1"/>
                <w:bCs w:val="1"/>
                <w:color w:val="auto"/>
              </w:rPr>
              <w:t>Name</w:t>
            </w:r>
          </w:p>
        </w:tc>
        <w:tc>
          <w:tcPr>
            <w:tcW w:w="760" w:type="dxa"/>
            <w:vAlign w:val="bottom"/>
            <w:vMerge w:val="restart"/>
          </w:tcPr>
          <w:p>
            <w:pPr>
              <w:spacing w:after="0"/>
              <w:rPr>
                <w:sz w:val="14"/>
                <w:szCs w:val="14"/>
                <w:color w:val="auto"/>
              </w:rPr>
            </w:pPr>
          </w:p>
        </w:tc>
        <w:tc>
          <w:tcPr>
            <w:tcW w:w="19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88"/>
              </w:rPr>
              <w:t>Shares Beneficially</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Percentage</w:t>
            </w:r>
          </w:p>
        </w:tc>
        <w:tc>
          <w:tcPr>
            <w:tcW w:w="0" w:type="dxa"/>
            <w:vAlign w:val="bottom"/>
          </w:tcPr>
          <w:p>
            <w:pPr>
              <w:spacing w:after="0"/>
              <w:rPr>
                <w:sz w:val="1"/>
                <w:szCs w:val="1"/>
                <w:color w:val="auto"/>
              </w:rPr>
            </w:pPr>
          </w:p>
        </w:tc>
      </w:tr>
      <w:tr>
        <w:trPr>
          <w:trHeight w:val="171"/>
        </w:trPr>
        <w:tc>
          <w:tcPr>
            <w:tcW w:w="474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160" w:type="dxa"/>
            <w:vAlign w:val="bottom"/>
          </w:tcPr>
          <w:p>
            <w:pPr>
              <w:jc w:val="right"/>
              <w:ind w:right="276"/>
              <w:spacing w:after="0"/>
              <w:rPr>
                <w:sz w:val="20"/>
                <w:szCs w:val="20"/>
                <w:color w:val="auto"/>
              </w:rPr>
            </w:pPr>
            <w:r>
              <w:rPr>
                <w:rFonts w:ascii="Arial" w:cs="Arial" w:eastAsia="Arial" w:hAnsi="Arial"/>
                <w:sz w:val="14"/>
                <w:szCs w:val="14"/>
                <w:b w:val="1"/>
                <w:bCs w:val="1"/>
                <w:color w:val="auto"/>
              </w:rPr>
              <w:t>Owned</w:t>
            </w:r>
          </w:p>
        </w:tc>
        <w:tc>
          <w:tcPr>
            <w:tcW w:w="8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Ownership</w:t>
            </w:r>
          </w:p>
        </w:tc>
        <w:tc>
          <w:tcPr>
            <w:tcW w:w="0" w:type="dxa"/>
            <w:vAlign w:val="bottom"/>
          </w:tcPr>
          <w:p>
            <w:pPr>
              <w:spacing w:after="0"/>
              <w:rPr>
                <w:sz w:val="1"/>
                <w:szCs w:val="1"/>
                <w:color w:val="auto"/>
              </w:rPr>
            </w:pPr>
          </w:p>
        </w:tc>
      </w:tr>
      <w:tr>
        <w:trPr>
          <w:trHeight w:val="20"/>
        </w:trPr>
        <w:tc>
          <w:tcPr>
            <w:tcW w:w="4740" w:type="dxa"/>
            <w:vAlign w:val="bottom"/>
            <w:shd w:val="clear" w:color="auto" w:fill="000000"/>
          </w:tcPr>
          <w:p>
            <w:pPr>
              <w:spacing w:after="0" w:line="20" w:lineRule="exact"/>
              <w:rPr>
                <w:sz w:val="1"/>
                <w:szCs w:val="1"/>
                <w:color w:val="auto"/>
              </w:rPr>
            </w:pPr>
          </w:p>
        </w:tc>
        <w:tc>
          <w:tcPr>
            <w:tcW w:w="760" w:type="dxa"/>
            <w:vAlign w:val="bottom"/>
            <w:vMerge w:val="restart"/>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FMR LLC(1)</w:t>
            </w:r>
          </w:p>
        </w:tc>
        <w:tc>
          <w:tcPr>
            <w:tcW w:w="760" w:type="dxa"/>
            <w:vAlign w:val="bottom"/>
            <w:vMerge w:val="continue"/>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16,303,174</w:t>
            </w:r>
          </w:p>
        </w:tc>
        <w:tc>
          <w:tcPr>
            <w:tcW w:w="820" w:type="dxa"/>
            <w:vAlign w:val="bottom"/>
            <w:vMerge w:val="continue"/>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Janus Henderson Group plc(2)</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7,185,211</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 Financial Services Company(3)</w:t>
            </w:r>
          </w:p>
        </w:tc>
        <w:tc>
          <w:tcPr>
            <w:tcW w:w="198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6,303,951</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All directors and officers as a group (14 persons)(4)</w:t>
            </w:r>
          </w:p>
        </w:tc>
        <w:tc>
          <w:tcPr>
            <w:tcW w:w="1980" w:type="dxa"/>
            <w:vAlign w:val="bottom"/>
            <w:gridSpan w:val="2"/>
          </w:tcPr>
          <w:p>
            <w:pPr>
              <w:jc w:val="right"/>
              <w:ind w:right="820"/>
              <w:spacing w:after="0"/>
              <w:rPr>
                <w:sz w:val="20"/>
                <w:szCs w:val="20"/>
                <w:color w:val="auto"/>
              </w:rPr>
            </w:pPr>
            <w:r>
              <w:rPr>
                <w:rFonts w:ascii="Arial" w:cs="Arial" w:eastAsia="Arial" w:hAnsi="Arial"/>
                <w:sz w:val="18"/>
                <w:szCs w:val="18"/>
                <w:color w:val="auto"/>
              </w:rPr>
              <w:t>2,145,405</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hanging="424"/>
        <w:spacing w:after="0" w:line="286"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a Schedule 13G/A filed by FMR LLC, or FMR, with the SEC on February 9, 2022, as of December 31, 2021, FMR had sole power to vote or direct the vote over 1,743,053 shares and sole power to dispose or direct the disposition of 16,303,174 shares. Abigail P. Johnson is a Director, the Chairman of FMR and the Chief Executive Officer of FMR. Members of the Johnson family, including Abigail P. Johnson, directly or through trusts, own approximately 49% of the voting power of FMR. The address of FMR is 245 Summer Street, Boston, Massachusetts 02210.</w:t>
      </w:r>
    </w:p>
    <w:p>
      <w:pPr>
        <w:spacing w:after="0" w:line="1" w:lineRule="exact"/>
        <w:rPr>
          <w:rFonts w:ascii="Arial" w:cs="Arial" w:eastAsia="Arial" w:hAnsi="Arial"/>
          <w:sz w:val="16"/>
          <w:szCs w:val="16"/>
          <w:color w:val="auto"/>
        </w:rPr>
      </w:pPr>
    </w:p>
    <w:p>
      <w:pPr>
        <w:ind w:left="540" w:hanging="424"/>
        <w:spacing w:after="0" w:line="265" w:lineRule="auto"/>
        <w:tabs>
          <w:tab w:leader="none" w:pos="5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Based on a Schedule 13G/A filed by Janus Henderson Group plc, or Janus Henderson, with the SEC on February 10, 2022, as of December 31, 2021, Janus Henderson has an indirect 97% ownership stake in Intech Investment Management LLC (“Intech”) and a 100% ownership stake in Janus Henderson Investors U.S. LLC (“JHIUS”), Henderson Global Investors Limited (“HGIL”) and Janus Henderson Investors Australia Institutional Funds Management Limited (“JHIAIFML”), (each an “Asset Manager” and collectively as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JHIUS may be deemed to be the beneficial owner of 6,965,869 shares or 5.6% of the shares outstanding of Amdocs Common Stock held by such Managed Portfolios. However, JHIUS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1" w:lineRule="exact"/>
        <w:rPr>
          <w:rFonts w:ascii="Arial" w:cs="Arial" w:eastAsia="Arial" w:hAnsi="Arial"/>
          <w:sz w:val="17"/>
          <w:szCs w:val="17"/>
          <w:color w:val="auto"/>
        </w:rPr>
      </w:pPr>
    </w:p>
    <w:p>
      <w:pPr>
        <w:ind w:left="540" w:right="40" w:hanging="424"/>
        <w:spacing w:after="0" w:line="281" w:lineRule="auto"/>
        <w:tabs>
          <w:tab w:leader="none" w:pos="54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a Schedule 13G filed by Massachusetts Financial Services Company, or MFS, with the SEC on February 2, 2022, as of December 31, 2021, MFS had sole power to vote or direct the vote over 5,622,052 shares and sole power to dispose or direct the disposition of 6,303,951 shares.</w:t>
      </w:r>
    </w:p>
    <w:p>
      <w:pPr>
        <w:spacing w:after="0" w:line="1" w:lineRule="exact"/>
        <w:rPr>
          <w:rFonts w:ascii="Arial" w:cs="Arial" w:eastAsia="Arial" w:hAnsi="Arial"/>
          <w:sz w:val="16"/>
          <w:szCs w:val="16"/>
          <w:color w:val="auto"/>
        </w:rPr>
      </w:pPr>
    </w:p>
    <w:p>
      <w:pPr>
        <w:ind w:left="540" w:right="100" w:hanging="424"/>
        <w:spacing w:after="0" w:line="260"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November 30, 2022. As of such date, none of our directors or executive officers beneficially owned 1% or more of our outstanding ordinary shares.</w:t>
      </w:r>
    </w:p>
    <w:p>
      <w:pPr>
        <w:spacing w:after="0" w:line="18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As of September 30, 2022, our ordinary shares were held by 2,220 record holders. Based on a review of the information provided to us by our transfer agent, 980 record holders, including Cede &amp; Co., the nominee of The Depository Trust Company, holding approximately 99% of our outstanding ordinary shares held of record, were residents of the United States.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Please see “Financial Statements” for our audited Consolidated Financial Statements and Financial Statement Schedule filed as part of this Annual Report.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86" w:right="4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We are involved in various legal claims and proceedings arising in the normal course of our business. We accrue for a loss contingency when we determine that it is probable, after consultation with counsel, that a liability has been incurred and the amount of such loss can be reasonably estimated. At this time, we believe that the results of any such contingencies, either individually or in the aggregate, will not have a material adverse effect on our financial position, results of operations or cash flows.</w:t>
      </w:r>
    </w:p>
    <w:p>
      <w:pPr>
        <w:spacing w:after="0" w:line="18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Certain of our subsidiaries are currently in a dispute with a state-owned telecom enterprise in Ecuador, which appears to have political aspects. Our counterparty has claimed monetary damages. The dispute is over contracts, under which we were providing certain services, which have been terminated by the counterparty in connection with such dispute and which are under scrutiny by certain local governmental authorities. We believe we have solid arguments and are vigorously defending our rights. While we have achieved positive results in many of the procedures, a number of the procedures are still ongoing. We are unable to reasonably estimate the ultimate outcome of the above dispute.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refer to “Liquidity and Capital Resources — Cash Dividends” for a discussion of our dividend policy.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THE OFFER AND LISTING</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December 19, 2013, we voluntarily withdrew our ordinary shares from the New York Stock Exchange and transferred our listing to the Nasdaq Global Select Market (“Nasdaq”) and commenced trading on Nasdaq on December 20, 2013. Our ordinary shares were quoted on the New York Stock Exchange (“NYSE”) from 1998 to 2013 under the symbol “DOX” and are now quoted on Nasdaq under the same symbol.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Memorandum and Articles of Incorporation</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184"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Articles grant the Board of Directors all the powers necessary for managing, directing and supervising the management of the business and affairs of Amdocs Limited.</w:t>
      </w:r>
    </w:p>
    <w:p>
      <w:pPr>
        <w:spacing w:after="0" w:line="17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 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86" w:right="4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Board of Directors is authorized to issue a maximum of (i) 25,000,000 preferred shares and (ii) 700,000,000 ordinary shares, consisting of voting and non-voting ordinary shares without further shareholder approval. As of September 30, 2022, 120,842,660 ordinary shares were outstanding (net of treasury shares) and no non-voting ordinary shares or preferred shares were outstanding. The rights, preferences and restrictions attaching to each class of the shares are set out in the Memorandum and Articles and are as follows: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31"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Issue </w:t>
      </w:r>
      <w:r>
        <w:rPr>
          <w:rFonts w:ascii="Arial" w:cs="Arial" w:eastAsia="Arial" w:hAnsi="Arial"/>
          <w:sz w:val="16"/>
          <w:szCs w:val="16"/>
          <w:color w:val="auto"/>
        </w:rPr>
        <w:t>— The preferred shares may be issued from time to time in one or more series of any number of shares up to the amount authorized.</w:t>
      </w:r>
    </w:p>
    <w:p>
      <w:pPr>
        <w:spacing w:after="0" w:line="153"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to Issue Preferred Shares </w:t>
      </w:r>
      <w:r>
        <w:rPr>
          <w:rFonts w:ascii="Arial" w:cs="Arial" w:eastAsia="Arial" w:hAnsi="Arial"/>
          <w:sz w:val="18"/>
          <w:szCs w:val="18"/>
          <w:color w:val="auto"/>
        </w:rPr>
        <w:t>— Authority is vested in the directors from time to time to authorize the issue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preferred shares and to provide for the designations, powers, preferences and relative participating, optional or other special rights and qualifications, limitations or restrictions thereon.</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Relative Rights </w:t>
      </w:r>
      <w:r>
        <w:rPr>
          <w:rFonts w:ascii="Arial" w:cs="Arial" w:eastAsia="Arial" w:hAnsi="Arial"/>
          <w:sz w:val="18"/>
          <w:szCs w:val="18"/>
          <w:color w:val="auto"/>
        </w:rPr>
        <w:t>— All shares of any one series of preferred shares must be identical with each other in all respects, except that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one series issued at different times may differ as to the dates from which dividends shall accrue.</w:t>
      </w:r>
    </w:p>
    <w:p>
      <w:pPr>
        <w:spacing w:after="0" w:line="75" w:lineRule="exact"/>
        <w:rPr>
          <w:rFonts w:ascii="Arial" w:cs="Arial" w:eastAsia="Arial" w:hAnsi="Arial"/>
          <w:sz w:val="18"/>
          <w:szCs w:val="18"/>
          <w:color w:val="auto"/>
        </w:rPr>
      </w:pPr>
    </w:p>
    <w:p>
      <w:pPr>
        <w:ind w:left="1080" w:right="20" w:hanging="424"/>
        <w:spacing w:after="0" w:line="272"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any liquidation, dissolution or winding-up of Amdocs Limited, the holders of preferred shares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a preference with respect to payment over the holders of any shares ranking junior to the preferred in liquidation at the rate fixed in any resolution or resolutions adopted by the directors in such case plus an amount equal to all dividends accumulated to the date of final distribution to such holders. Except as provided in the resolution or resolutions providing for the issue of any series of preferred shares, the holders of preferred shares are entitled to no further payment.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82" w:lineRule="exact"/>
        <w:rPr>
          <w:rFonts w:ascii="Arial" w:cs="Arial" w:eastAsia="Arial" w:hAnsi="Arial"/>
          <w:sz w:val="17"/>
          <w:szCs w:val="17"/>
          <w:color w:val="auto"/>
        </w:rPr>
      </w:pPr>
    </w:p>
    <w:p>
      <w:pPr>
        <w:ind w:left="1080" w:right="28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Except as otherwise provided for by the directors upon the issue of any new series of preferred shares,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have no right or power to vote on any question or in any proceeding or to be represented at, or to receive notice of, any meeting of shareholders.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Ordinary Shares and Non-Voting Ordinary Shares</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Except as otherwise provided by the Memorandum and Articles, the ordinary shares and non-voting ordinary shares are identical and entitle holders thereof to the same rights and privileges.</w:t>
      </w:r>
    </w:p>
    <w:p>
      <w:pPr>
        <w:spacing w:after="0" w:line="76" w:lineRule="exact"/>
        <w:rPr>
          <w:sz w:val="20"/>
          <w:szCs w:val="20"/>
          <w:color w:val="auto"/>
        </w:rPr>
      </w:pPr>
    </w:p>
    <w:p>
      <w:pPr>
        <w:ind w:left="1080" w:right="40" w:hanging="424"/>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 When and as dividends are declared on our shares, the holders of voting ordinary shares and non-voting shares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 equally, share for share, in such dividends except that if dividends are declared that are payable in voting ordinary shares or non-voting ordinary shares, dividends must be declared that are payable at the same rate in both classes of shares.</w:t>
      </w:r>
    </w:p>
    <w:p>
      <w:pPr>
        <w:spacing w:after="0" w:line="70" w:lineRule="exact"/>
        <w:rPr>
          <w:rFonts w:ascii="Arial" w:cs="Arial" w:eastAsia="Arial" w:hAnsi="Arial"/>
          <w:sz w:val="17"/>
          <w:szCs w:val="17"/>
          <w:color w:val="auto"/>
        </w:rPr>
      </w:pPr>
    </w:p>
    <w:p>
      <w:pPr>
        <w:ind w:left="1080" w:right="120" w:hanging="424"/>
        <w:spacing w:after="0" w:line="286"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Conversion of Non-Voting Ordinary Shares into Voting Ordinary Shares </w:t>
      </w:r>
      <w:r>
        <w:rPr>
          <w:rFonts w:ascii="Arial" w:cs="Arial" w:eastAsia="Arial" w:hAnsi="Arial"/>
          <w:sz w:val="17"/>
          <w:szCs w:val="17"/>
          <w:color w:val="auto"/>
        </w:rPr>
        <w:t>— Upon the transfer of non-voting ordinary shares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holder thereof to any third party not affiliated with such original holder, non-voting ordinary shares are redesignated in our books as voting ordinary shares and automatically convert into the same number of voting ordinary shares.</w:t>
      </w:r>
    </w:p>
    <w:p>
      <w:pPr>
        <w:spacing w:after="0" w:line="70" w:lineRule="exact"/>
        <w:rPr>
          <w:rFonts w:ascii="Arial" w:cs="Arial" w:eastAsia="Arial" w:hAnsi="Arial"/>
          <w:sz w:val="17"/>
          <w:szCs w:val="17"/>
          <w:color w:val="auto"/>
        </w:rPr>
      </w:pPr>
    </w:p>
    <w:p>
      <w:pPr>
        <w:ind w:left="1080" w:right="14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 Upon any liquidation, dissolution or winding-up, any assets remaining after creditors and the holders of any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have been paid in full shall be distributed to the holders of voting ordinary shares and non-voting ordinary shares equally share for share.</w:t>
      </w:r>
    </w:p>
    <w:p>
      <w:pPr>
        <w:spacing w:after="0" w:line="89"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voting ordinary shares are entitled to vote on all matters to be voted on by the shareholders,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non-voting ordinary shares are not entitled to any voting rights.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86" w:right="45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120" w:hanging="424"/>
        <w:spacing w:after="0" w:line="277"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i w:val="1"/>
          <w:iCs w:val="1"/>
          <w:color w:val="auto"/>
        </w:rPr>
        <w:t xml:space="preserve">Preferences </w:t>
      </w:r>
      <w:r>
        <w:rPr>
          <w:rFonts w:ascii="Arial" w:cs="Arial" w:eastAsia="Arial" w:hAnsi="Arial"/>
          <w:sz w:val="18"/>
          <w:szCs w:val="18"/>
          <w:color w:val="auto"/>
        </w:rPr>
        <w:t>— The voting ordinary shares and non-voting ordinary shares are subject to all the powers, rights, privileges, preferences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priorities of the preferred shares as are set out in the Articles.</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188"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71"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Amdocs Limited or an affiliated company in which judgment is rendered against the director;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are no provisions in the Memorandum or Articles that provide for a classified board of directors or for cumulative voting for directors.</w:t>
      </w:r>
    </w:p>
    <w:p>
      <w:pPr>
        <w:spacing w:after="0" w:line="23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17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86" w:right="4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16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188"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184" w:lineRule="exact"/>
        <w:rPr>
          <w:sz w:val="20"/>
          <w:szCs w:val="20"/>
          <w:color w:val="auto"/>
        </w:rPr>
      </w:pPr>
    </w:p>
    <w:p>
      <w:pPr>
        <w:jc w:val="both"/>
        <w:ind w:left="120" w:right="140" w:firstLine="440"/>
        <w:spacing w:after="0" w:line="277" w:lineRule="auto"/>
        <w:rPr>
          <w:sz w:val="20"/>
          <w:szCs w:val="20"/>
          <w:color w:val="auto"/>
        </w:rPr>
      </w:pPr>
      <w:r>
        <w:rPr>
          <w:rFonts w:ascii="Arial" w:cs="Arial" w:eastAsia="Arial" w:hAnsi="Arial"/>
          <w:sz w:val="18"/>
          <w:szCs w:val="18"/>
          <w:color w:val="auto"/>
        </w:rPr>
        <w:t>A shareholder is entitled to appoint another person as his proxy to exercise all or any of his rights to attend and to speak and vote at a meeting of Amdocs Limited.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Amdocs Limited may pass resolutions by way of written resolution.</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w:t>
      </w:r>
    </w:p>
    <w:p>
      <w:pPr>
        <w:spacing w:after="0" w:line="170"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There are no provisions in the Memorandum or Articles that would have the effect of delaying, deferring or preventing a change in control of Amdocs Limited or that would operate only with respect to a merger, acquisition or corporate restructuring involving us (or any of our subsidiaries).</w:t>
      </w:r>
    </w:p>
    <w:p>
      <w:pPr>
        <w:spacing w:after="0" w:line="12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directors may reduce our share capital or any other capital subject to us satisfying the solvency requirements set out in the Companies Law.</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March 2021, we entered into a Third Amended and Restated Credit Agreement among us, certain of our subsidiaries, the lenders from time to time party thereto and JPMorgan Chase Bank, N.A., as administrative agent, providing for an unsecured $500 million five-year revolving credit facility with a syndicate of banks (the “Amended and Restated Credit Agreement”). The facility is available for general corporate purposes, including acquisitions and repurchases of our ordinary shares that we may consider from time to time, and has a maturity date in March 2026. The Amended and Restated Credit Agreement replaces our Credit Agreement, dated as of December 11, 2017, by and among us, certain of our subsidiaries, JPMorgan Chase Bank, N.A., as administrative agent, J.P. Morgan Europe Limited, as London agent, and JPMorgan Chase Bank, N.A., Toronto branch, as Canadian agent. A copy of the Amended and Restated Credit Agreement is included as Exhibit 4.c to this Annual Report.</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00"/>
          </w:cols>
          <w:pgMar w:left="320" w:top="486" w:right="4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November 2021, we entered into the First Amendment to the Amended and Restated Credit Agreement, in which we adopted technical changes to facilitate moving from a LIBOR-based lending standard to a SONIA- based lending standard, as needed. A copy of the First Amendment to the Amended and Restated Credit Agreement is included as Exhibit 4.c.1 to this Annual Report.</w:t>
      </w:r>
    </w:p>
    <w:p>
      <w:pPr>
        <w:spacing w:after="0" w:line="184"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In October 2021, we entered into a Restated and Amended Master Services and Software License Agreement with AT&amp;T Services, Inc., as amended, which amends and restates the Master Services Agreement, as amended, that we entered into with AT&amp;T Services, Inc. in February 2017. The agreement, as amended, provides that Amdocs will provide software and services to AT&amp;T as specified therein and remains in effect until October 15, 2025. A copy of the Restated and Amended Master Services and Software License Agreement, as amended, is included as Exhibits 4.a and 4.a.1 – 4.a.5 to this Annual Report.</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past two years, we have not entered into any material contracts other than contracts entered into in the ordinary course of our business.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117"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effective tax rate was 15.3% for fiscal 2022, compared to 15.5% for fiscal 2021 and 14.7% for fiscal 2020.</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effective tax rate may fluctuate between periods as a result of discrete items that may affect a particular period and 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including the potential impact, which we are continuously assessing, of the tax reform in the United States. Moreover, our effective tax rate in future years may be adversely affected in the event that a tax authority challenges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Tax legislation in Guernsey subjects us to the standard rate of corporate income tax for a Guernsey resident company of zero percent.</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Indian Tax Considerations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Through subsidiaries, we operate development centers and a business processing operations center in India. In 2022, the corporate tax rate applicable in India on trading activities was 34.94% for development center and reduced corporate tax at 27.82% for business processing operations having gross turnover up to a prescribed threshold. Our main subsidiary in India operates under specific favorable tax entitlements that are based upon pre-approved information technology-related services activity. As a result, these activities are entitled to considerable corporate income tax concessions on eligible profits from export of services derived from such pre-approved information technology activity, provided our subsidiary continues to meet the conditions required for such tax benefits.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During the years 2016–2017, our main subsidiary in India changed its corporate legal structure from a private limited company (PLC) to a limited liability partnership (LLP) through conversion by process of law effective February 28, 2017. Thereafter, all rights and liabilities of the PLC under agreements are vested in the LLP by operation of law.</w:t>
      </w:r>
    </w:p>
    <w:p>
      <w:pPr>
        <w:spacing w:after="0" w:line="184"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As of April 1, 2011, the Minimum Alternative Tax, or MAT, became applicable to all of our PLC Indian operations. The MAT is levied on book profits at the effective rate of 17.48% and can be carried forward for 15 years to be credited against corporate income taxes. As for the LLP, as a result of the conversion certain accumulated tax credits are not available to be set off against future income of the LLP; however, for LLP the Alternative Minimum Tax, or AMT, provisions are applicable such that LLPs are subject to AMT at a rate of 21.55% on adjusted total income (income as computed under the normal provisions, increased by prescribed adjustments) if tax on income under normal provisions is lower than the AMT, and can be carried forward for 15 years.</w:t>
      </w:r>
    </w:p>
    <w:p>
      <w:pPr>
        <w:spacing w:after="0" w:line="19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Our main Indian subsidiary is subject to a separate tax entitlement under which its operating units are exempt from tax on the respective tax incentive-eligible activity if 50% of the profits of the unit are credited to a specific reserve provided that such reserve is utilized for the purpose of investments in plant and machinery within three years from the end of the year in which reserve is created. If such reserve is not utilized for the purpose specified in the Indian Tax Laws, the same will be deemed as income in the year immediately following the period of three years in which the reserve is made. The tax incentive regime also requires that employees work from specified designated premises. This requirement may conflict with our current hybrid work model and, as such, our main Indian subsidiary is now planning to gradually exit the tax incentive regime. Once the exit is finalized, the tax incentive of 50% reduction / deduction on corporate income tax will no longer be available. While the exact date of exit is not finalized as of the date of filing, the authorities in India were notified in October 2022 by our Indian subsidiary of its decision to gradually exit the regime.</w:t>
      </w:r>
    </w:p>
    <w:p>
      <w:pPr>
        <w:spacing w:after="0" w:line="16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Further, in 2018 a new operation was commenced in another subsidiary in India with effect from May 1, 2018. The activity conducted by this entity is generally entitled to a 100% reduction on its corporate income tax for the first five years of operation and a 50% reduction for the following five years. MAT is levied on book profits at an effective rate of 16.69% and can be carried forward for 15 years to be credited against corporate income taxes. One of the conditions for availment of this tax incentive is that the employees are required to work from specified designated premises. While this condition has been fulfilled previously, due to the changing work environment following the COVID-19 pandemic, the authorities have provided an option for companies to request for permission for a percentage of their employees to work from home and continue to avail of the incentives. An application was accordingly filed by this subsidiary and permission has been granted by the Indian tax authorities, allowing for up to 80% of the total workforce in such subsidiary to work from home. Accordingly, such permission is expected to ensure that the subsidiary continues to benefit from the tax incentive similar to prior years.</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Israeli Tax Considerations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primary Israeli subsidiary, Amdocs (Israel) Limited, operates one of our largest development centers. Discussed below are certain Israeli tax considerations relating to this subsidiary.</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 xml:space="preserve">General Corporate Taxation in Israel. </w:t>
      </w:r>
      <w:r>
        <w:rPr>
          <w:rFonts w:ascii="Arial" w:cs="Arial" w:eastAsia="Arial" w:hAnsi="Arial"/>
          <w:sz w:val="18"/>
          <w:szCs w:val="18"/>
          <w:color w:val="auto"/>
        </w:rPr>
        <w:t>The general corporate tax rate on taxable income is 23%. However, the effective tax rate applicable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income of an Israeli company that is eligible for tax benefits by virtue of the Law for the Encouragement of Capital Investments may be considerably lower.</w:t>
      </w:r>
    </w:p>
    <w:p>
      <w:pPr>
        <w:spacing w:after="0" w:line="184"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i w:val="1"/>
          <w:iCs w:val="1"/>
          <w:color w:val="auto"/>
        </w:rPr>
        <w:t xml:space="preserve">Law for the Encouragement of Capital Investments, 1959. </w:t>
      </w:r>
      <w:r>
        <w:rPr>
          <w:rFonts w:ascii="Arial" w:cs="Arial" w:eastAsia="Arial" w:hAnsi="Arial"/>
          <w:sz w:val="18"/>
          <w:szCs w:val="18"/>
          <w:color w:val="auto"/>
        </w:rPr>
        <w:t>Certain production and development facilities of our primary Israeli subsidiary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granted “Approved Enterprise” status pursuant to the Law for the Encouragement of Capital Investments, 1959, or the Investment Law, which provides certain tax and financial benefits to investment programs that have been granted such status. Such status was subsequently extended and expanded several times pursuant to the terms of the Investment Law of 2005.</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86" w:right="4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More recently, our primary Israeli subsidiary has availed itself of tax benefits under the “Preferred Technological Enterprise” regime, which has become available as a result of a further amendment to the Law for the Encouragement of Capital Investments which was enacted in 2017. Further details can be found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 Benefits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Until December 31, 2020, our primary Israeli subsidiary had elected the alternative benefits route with respect to its Approved Enterprise and its expansions, pursuant to which it enjoyed, in relation to its Approved Enterprise operations, certain tax holidays, based on the location of activities within Israel, for a period of two to ten years and, in the case of a two year tax holiday, reduced tax rates for an additional period of up to eight years (and, in certain cases, up to 13 years). In case it were to pay a dividend, at any time, out of exempt income generated during the tax holiday period in respect of its Approved Enterprise, it would have been subject to corporate tax at the otherwise applicable rate of 10% of the taxable income from which such dividend was paid. This corporate level tax, which was essentially a recapture of corporate tax from which the corporation was previously exempt, was in addition to the shareholder level withholding tax on dividends as described below. The exempt earnings subject to potential recapture were commonly referred to as “previously exempt earnings.”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Within the framework of the Israeli budget law enacted on November 15, 2021 (the “Amendment”), a temporary order (“TO”) provided companies with the opportunity to pay, at their discretion, a reduced corporate tax rate on such “previously exempt earnings” during one-year “window”, which ends on December 14, 2022. The exact reduced corporate tax rate applicable to the “previously exempt earnings” is calculated by applying a formula specified in the TO. In any event, the tax rate cannot be less than 6%.</w:t>
      </w:r>
    </w:p>
    <w:p>
      <w:pPr>
        <w:spacing w:after="0" w:line="187"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respect of our primary Israeli subsidiary, the 6% tax rate (instead of the 10% tax rate), i.e., the full benefit, will apply provided that the Israeli subsidiary elects to apply the benefit to all of its previously exempt earnings within the defined period. Our primary Israeli subsidiary has elected to pay the reduced corporate tax of 6% on all of its “previously exempt earnings,” and has notified the Israeli tax authorities accordingly. As of the date of filing, our primary Israeli subsidiary has paid the tax at the reduced rate on all of its “previously exempt earnings.”</w:t>
      </w:r>
    </w:p>
    <w:p>
      <w:pPr>
        <w:spacing w:after="0" w:line="17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tax benefits, available with respect to an Approved Enterprise only to taxable income attributable to that specific enterprise, are provided according to an allocation formula set forth in the Investment Law or in the relevant approval, and are contingent upon the fulfillment of the conditions stipulated by the Investment Law, the regulations issued thereunder and the instruments of approval for the specific investments in the Approved Enterprises. In the event our primary Israeli subsidiary fails to comply with these conditions, the tax and other benefits could be rescinded, in whole or in part, and the subsidiary might be required to refund the amount of the rescinded benefits, with the addition of CPI linkage differences and interest. We believe that the Approved Enterprise of our primary Israeli subsidiary substantially complies with all such conditions currently, but there can be no assurance that it will continue to do so.</w:t>
      </w:r>
    </w:p>
    <w:p>
      <w:pPr>
        <w:spacing w:after="0" w:line="19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Dividends paid out of income derived by an Approved Enterprise are subject to withholding tax at a reduced rate (15%,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general rate of 30%). If a dividend is paid by our primary Israeli subsidiary, such dividend may be distributed out of income from both Approved Enterprises and non-Approved Enterprises. As such, we expect the weighted average withholding tax rate applicable to such dividend to be approximately 20%. This withholding tax shall be levied in addition to the corporate tax to which our primary Israeli subsidiary shall be subject in the event it pays a dividend out of earnings generated during the tax holiday period related to its Approved Enterprise status.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2017 amendment (“Preferred Technological Enterprises”)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Amendment 73 to the Investment Law, which came into effect January 1, 2017, was followed by regulations promulgated on May 28, 2017, which incorporated the “Nexus Principles,” based on OECD guidelines published as part of the Base Erosion and Profit Shifting (BEPS) project, into Israeli law. The OECD has since then confirmed that the regime adopted by Israel is “not harmful.”</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86" w:right="45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new incentives regime applies to “Preferred Technological Enterprises” that meet certain conditions. A key condition for the application of the benefits pursuant to the Preferred Technological Enterprise regime is the ownership of “Qualifying IP.”</w:t>
      </w:r>
    </w:p>
    <w:p>
      <w:pPr>
        <w:spacing w:after="0" w:line="170"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corporate tax rate applicable to the Preferred Technological Income generated by a Special Preferred Technological Enterprise (companies that qualify as a Preferred Technological Enterprise and which are part of a group with annual consolidated revenue in excess of NIS 10 billion — approximately US $3 billion at current exchange rates) is 6%. The reduced tax rate applies only with respect to the revenue attributable to the portion of intellectual property developed in Israel. The Preferred Technological Income is calculated for each tax year by applying the “Nexus” formula as detailed in Israeli regulations.</w:t>
      </w:r>
    </w:p>
    <w:p>
      <w:pPr>
        <w:spacing w:after="0" w:line="188" w:lineRule="exact"/>
        <w:rPr>
          <w:sz w:val="20"/>
          <w:szCs w:val="20"/>
          <w:color w:val="auto"/>
        </w:rPr>
      </w:pPr>
    </w:p>
    <w:p>
      <w:pPr>
        <w:jc w:val="both"/>
        <w:ind w:left="120" w:right="20" w:firstLine="440"/>
        <w:spacing w:after="0" w:line="259" w:lineRule="auto"/>
        <w:rPr>
          <w:sz w:val="20"/>
          <w:szCs w:val="20"/>
          <w:color w:val="auto"/>
        </w:rPr>
      </w:pPr>
      <w:r>
        <w:rPr>
          <w:rFonts w:ascii="Arial" w:cs="Arial" w:eastAsia="Arial" w:hAnsi="Arial"/>
          <w:sz w:val="18"/>
          <w:szCs w:val="18"/>
          <w:color w:val="auto"/>
        </w:rPr>
        <w:t>The withholding tax on dividends paid to a foreign parent company holding at least 90% of the shares of the distributing company out of earnings that are eligible for the reduced corporate tax rate (in our case, 6%) is 4%. For other dividend distributions out of earnings of a Preferred Technological Enterprise, the withholding tax rate is 20% (or a lower rate under a tax treaty, if applicable). The application of the Preferred Technological Enterprise is not limited to a particular time period.</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2021, our primary Israeli subsidiary elected for the first time to apply the Preferred Technological Enterprise regime to its activities. Accordingly, our primary Israeli subsidiary will be eligible for the benefits of the Preferred Technological Enterprise regime to the extent of its Preferred Technological Income for the tax (calendar) year 2021 and for any subsequent tax year in which it meets the conditions stipulated in the Encouragement Law. Provided that the consolidated annual turnover of the group continues to be in excess of the NIS 10 billion threshold (as has been the case in recent years), we expect that our primary Israeli subsidiary will qualify as a Special Preferred Technological Enterprise also in calendar tax year 2022 and in future years and, as a result, its Preferred Technological Income will be taxed at a rate of 6% and dividends distributed out of earnings generated under the Special Preferred Technological Enterprise regime will be subject to withholding tax at a rate of 4%. However, there can be no assurance that this beneficial tax treatment will apply in any future year (for example, as a result of a change in law or if any of the conditions stipulated in the Encouragement Law are not met in a particular year).</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of Holders of Ordinary Shares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Under the laws of Guernsey as currently in effect, a holder of our ordinary shares who is not a resident of Guernsey (which includes Alderney and Herm for these purposes) and who does not carry on business in Guernsey through a permanent establishment situated there is not subject to Guernsey income tax on dividends paid with respect to the ordinary shares and is not liable for Guernsey income tax on gains realized upon sale or disposition of such ordinary shares. In addition, Guernsey does not impose a withholding tax on dividends paid by us to a holder of our ordinary shares who is not a resident of Guernsey and who does not carry on business in Guernsey through a permanent establishment situated there. Under Guernsey tax legislation, a holder of our ordinary shares who is a Guernsey resident or who carries on business in Guernsey through a permanent establishment may, depending on their circumstances, be subject to Guernsey income tax in connection with dividends paid by us and where such holder is a Guernsey resident individual, such tax may be collected by way of withholding from the dividend. We do not believe this legislation affects the taxation of a holder of ordinary shares who is not a resident of Guernsey and who does not carry on business in Guernsey through a permanent establishment situated there.</w:t>
      </w:r>
    </w:p>
    <w:p>
      <w:pPr>
        <w:spacing w:after="0" w:line="16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86" w:right="47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United States Federal Income Tax Considerations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discussion describes material U.S. federal income tax consequences to a U.S. holder of the ownership or disposition of our ordinary shares. A U.S. holder is a beneficial owner of our ordinary shares that is:</w:t>
      </w:r>
    </w:p>
    <w:p>
      <w:pPr>
        <w:spacing w:after="0" w:line="170" w:lineRule="exact"/>
        <w:rPr>
          <w:sz w:val="20"/>
          <w:szCs w:val="20"/>
          <w:color w:val="auto"/>
        </w:rPr>
      </w:pPr>
    </w:p>
    <w:p>
      <w:pPr>
        <w:ind w:left="780" w:hanging="224"/>
        <w:spacing w:after="0"/>
        <w:tabs>
          <w:tab w:leader="none" w:pos="7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820" w:hanging="264"/>
        <w:spacing w:after="0"/>
        <w:tabs>
          <w:tab w:leader="none" w:pos="8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of any state thereof;</w:t>
      </w:r>
    </w:p>
    <w:p>
      <w:pPr>
        <w:spacing w:after="0" w:line="225" w:lineRule="exact"/>
        <w:rPr>
          <w:rFonts w:ascii="Arial" w:cs="Arial" w:eastAsia="Arial" w:hAnsi="Arial"/>
          <w:sz w:val="18"/>
          <w:szCs w:val="18"/>
          <w:color w:val="auto"/>
        </w:rPr>
      </w:pPr>
    </w:p>
    <w:p>
      <w:pPr>
        <w:ind w:left="880" w:hanging="324"/>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5" w:lineRule="exact"/>
        <w:rPr>
          <w:rFonts w:ascii="Arial" w:cs="Arial" w:eastAsia="Arial" w:hAnsi="Arial"/>
          <w:sz w:val="18"/>
          <w:szCs w:val="18"/>
          <w:color w:val="auto"/>
        </w:rPr>
      </w:pPr>
    </w:p>
    <w:p>
      <w:pPr>
        <w:ind w:left="120" w:right="360" w:firstLine="436"/>
        <w:spacing w:after="0" w:line="277" w:lineRule="auto"/>
        <w:tabs>
          <w:tab w:leader="none" w:pos="865"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This summary generally considers only U.S. holders that own ordinary shares as capital assets. This summary does not discuss the U.S. federal income tax consequences to an owner of ordinary shares that is not a U.S. holder.</w:t>
      </w:r>
    </w:p>
    <w:p>
      <w:pPr>
        <w:spacing w:after="0" w:line="170"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This discussion is based on current provisions of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U.S. holder of ordinary shares based on such holder’s particular circumstances, U.S. federal income tax consequences to certain U.S. holders that are subject to special treatment (such as broker-dealers, insurance companies, tax-exempt organizations, financial institutions, U.S. holders that hold ordinary shares as part of a “straddle,” “hedge” or “conversion transaction” with other investments, U.S. holders that hold ordinary shares in connection with a trade or business outside the United States, U.S. holders who acquired ordinary shares pursuant to the exercise of an employee stock option or otherwise as compensation or U.S.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the possible application of U.S. federal gift or estate taxes or any alternative minimum or Medicare contribution tax consequences.</w:t>
      </w:r>
    </w:p>
    <w:p>
      <w:pPr>
        <w:spacing w:after="0" w:line="168"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 Except as described in “— </w:t>
      </w:r>
      <w:r>
        <w:rPr>
          <w:rFonts w:ascii="Arial" w:cs="Arial" w:eastAsia="Arial" w:hAnsi="Arial"/>
          <w:sz w:val="18"/>
          <w:szCs w:val="18"/>
          <w:i w:val="1"/>
          <w:iCs w:val="1"/>
          <w:color w:val="auto"/>
        </w:rPr>
        <w:t>Passive Foreign Investment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Considerations</w:t>
      </w:r>
      <w:r>
        <w:rPr>
          <w:rFonts w:ascii="Arial" w:cs="Arial" w:eastAsia="Arial" w:hAnsi="Arial"/>
          <w:sz w:val="18"/>
          <w:szCs w:val="18"/>
          <w:color w:val="auto"/>
        </w:rPr>
        <w:t>” below, this discussion assumes that we are not and have not been a passive foreign investment company, or a PFIC, for any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year.</w:t>
      </w:r>
    </w:p>
    <w:p>
      <w:pPr>
        <w:spacing w:after="0" w:line="18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In general, a U.S. holder receiving a distribution with respect to the ordinary shares will be required to include such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86" w:right="4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Dividend income is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a foreign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applicable requirements are satisfied. U.S. holders should consult their tax advisers regarding the availability of these preferential rates in their particular circumstances.</w:t>
      </w:r>
    </w:p>
    <w:p>
      <w:pPr>
        <w:spacing w:after="0" w:line="16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Dividends paid by us generally will be foreign-source “passive category income” or, in certain cases, “general category income” for U.S. foreign tax credit purposes, which may be relevant in calculating a U.S. holder’s foreign tax credit limitation.</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 xml:space="preserve">Disposition of Ordinary Shares. </w:t>
      </w:r>
      <w:r>
        <w:rPr>
          <w:rFonts w:ascii="Arial" w:cs="Arial" w:eastAsia="Arial" w:hAnsi="Arial"/>
          <w:sz w:val="17"/>
          <w:szCs w:val="17"/>
          <w:color w:val="auto"/>
        </w:rPr>
        <w:t>Subject to the PFIC rules described below, upon the sale, exchange or other disposition of our ordinary shares, a</w:t>
      </w:r>
      <w:r>
        <w:rPr>
          <w:rFonts w:ascii="Arial" w:cs="Arial" w:eastAsia="Arial" w:hAnsi="Arial"/>
          <w:sz w:val="17"/>
          <w:szCs w:val="17"/>
          <w:i w:val="1"/>
          <w:iCs w:val="1"/>
          <w:color w:val="auto"/>
        </w:rPr>
        <w:t xml:space="preserve"> </w:t>
      </w:r>
      <w:r>
        <w:rPr>
          <w:rFonts w:ascii="Arial" w:cs="Arial" w:eastAsia="Arial" w:hAnsi="Arial"/>
          <w:sz w:val="17"/>
          <w:szCs w:val="17"/>
          <w:color w:val="auto"/>
        </w:rPr>
        <w:t>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preferential U.S. federal income tax rate. Gains realized by a U.S. holder on a sale, exchange or other disposition of ordinary shares generally will be treated as U.S. source income for U.S. foreign tax credit purposes. The deductibility of capital losses is subject to limitations.</w:t>
      </w:r>
    </w:p>
    <w:p>
      <w:pPr>
        <w:spacing w:after="0" w:line="177"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i w:val="1"/>
          <w:iCs w:val="1"/>
          <w:color w:val="auto"/>
        </w:rPr>
        <w:t xml:space="preserve">Passive Foreign Investment Company Considerations. </w:t>
      </w:r>
      <w:r>
        <w:rPr>
          <w:rFonts w:ascii="Arial" w:cs="Arial" w:eastAsia="Arial" w:hAnsi="Arial"/>
          <w:sz w:val="16"/>
          <w:szCs w:val="16"/>
          <w:color w:val="auto"/>
        </w:rPr>
        <w:t>If, for any taxable year, 75% or more of our gross income consists of certain types of</w:t>
      </w:r>
      <w:r>
        <w:rPr>
          <w:rFonts w:ascii="Arial" w:cs="Arial" w:eastAsia="Arial" w:hAnsi="Arial"/>
          <w:sz w:val="16"/>
          <w:szCs w:val="16"/>
          <w:i w:val="1"/>
          <w:iCs w:val="1"/>
          <w:color w:val="auto"/>
        </w:rPr>
        <w:t xml:space="preserve"> </w:t>
      </w:r>
      <w:r>
        <w:rPr>
          <w:rFonts w:ascii="Arial" w:cs="Arial" w:eastAsia="Arial" w:hAnsi="Arial"/>
          <w:sz w:val="16"/>
          <w:szCs w:val="16"/>
          <w:color w:val="auto"/>
        </w:rPr>
        <w:t>passive income, or 50% or more of the average value of our assets including goodwill (generally determined on a quarterly basis) consists of passive assets (generally, assets that generate passive income), we will be treated as a PFIC for such year. If we are treated as a PFIC for any taxable year during which a U.S. holder owns our ordinary shares, the U.S. holder generally will be subject to increased tax liability upon the sale of our ordinary shares or upon the receipt of certain excess distributions, unless such U.S. holder makes an election to mark our ordinary shares to market annually.</w:t>
      </w:r>
    </w:p>
    <w:p>
      <w:pPr>
        <w:spacing w:after="0" w:line="16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believe that we were not a PFIC for our taxable year ended September 30, 2022. However, because the tests for determining PFIC status for any taxable year are dependent upon a number of factors, some of which are beyond our control, including the value of our assets, which may be determined by reference to the market price of our ordinary shares (which may be volatile), and the amount and type of our gross income, we cannot guarantee that we will not become a PFIC for the current or any future taxable year or that the IRS will agree with our conclusion regarding our current PFIC status.</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In addition, if we were a PFIC for any taxable year in which we make a distribution or the preceding taxable year, the preferential rules 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“qualified dividend income” described above would not apply. If a U.S. holder owns ordinary shares during any year in which we are a PFIC, the 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 generally must file annual reports to the IRS.</w:t>
      </w:r>
    </w:p>
    <w:p>
      <w:pPr>
        <w:spacing w:after="0" w:line="21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i w:val="1"/>
          <w:iCs w:val="1"/>
          <w:color w:val="auto"/>
        </w:rPr>
        <w:t xml:space="preserve">Information Reporting and Backup Withholding. </w:t>
      </w:r>
      <w:r>
        <w:rPr>
          <w:rFonts w:ascii="Arial" w:cs="Arial" w:eastAsia="Arial" w:hAnsi="Arial"/>
          <w:sz w:val="16"/>
          <w:szCs w:val="16"/>
          <w:color w:val="auto"/>
        </w:rPr>
        <w:t>U.S. holders generally will be subject to information reporting requirements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that are paid within the United States or through U.S.-related financial intermediaries, as well as with respect to gross proceeds from disposition of our ordinary shares, unless the U.S. holder is an “exempt recipient.” U.S. holders may also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86" w:right="4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73" w:lineRule="auto"/>
        <w:rPr>
          <w:sz w:val="20"/>
          <w:szCs w:val="20"/>
          <w:color w:val="auto"/>
        </w:rPr>
      </w:pPr>
      <w:r>
        <w:rPr>
          <w:rFonts w:ascii="Arial" w:cs="Arial" w:eastAsia="Arial" w:hAnsi="Arial"/>
          <w:sz w:val="17"/>
          <w:szCs w:val="17"/>
          <w:color w:val="auto"/>
        </w:rPr>
        <w:t>Certain U.S. holders who are individuals or certain specified entities are required to report information with respect to their investment in our ordinary shares not held through a custodial account with a U.S. financial institution to the IRS. In general a U.S. holder holding specified “foreign financial assets” (which generally would include (i) our ordinary shares not held through a custodial account with a financial institution, and (ii) a custodial account with a non-U.S. financial institution through which our ordinary shares may be held) with an aggregate value exceeding certain threshold amounts should report information about those assets on IRS Form 8938, which must be attached to the U.S. holder’s annual income tax return. Investors who fail to report required information could become subject to substantial penalties.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120" w:right="140" w:firstLine="440"/>
        <w:spacing w:after="0" w:line="301" w:lineRule="auto"/>
        <w:rPr>
          <w:sz w:val="20"/>
          <w:szCs w:val="20"/>
          <w:color w:val="auto"/>
        </w:rPr>
      </w:pPr>
      <w:r>
        <w:rPr>
          <w:rFonts w:ascii="Arial" w:cs="Arial" w:eastAsia="Arial" w:hAnsi="Arial"/>
          <w:sz w:val="16"/>
          <w:szCs w:val="16"/>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call the SEC at 1-800-SEC-0330 for further information about the Public Reference Room. Such reports are also available to the public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Some of this information may also be found on our website at </w:t>
      </w:r>
      <w:r>
        <w:rPr>
          <w:rFonts w:ascii="Arial" w:cs="Arial" w:eastAsia="Arial" w:hAnsi="Arial"/>
          <w:sz w:val="16"/>
          <w:szCs w:val="16"/>
          <w:i w:val="1"/>
          <w:iCs w:val="1"/>
          <w:color w:val="auto"/>
        </w:rPr>
        <w:t>www.amdocs.com.</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may request copies of our reports, at no cost, by writing to or telephoning us as follows: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625 Maryville Centre Drive, Suite 200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Saint Louis, Missouri 63141</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Telephone: 314-212-7000</w:t>
      </w:r>
    </w:p>
    <w:p>
      <w:pPr>
        <w:spacing w:after="0" w:line="315" w:lineRule="exact"/>
        <w:rPr>
          <w:sz w:val="20"/>
          <w:szCs w:val="20"/>
          <w:color w:val="auto"/>
        </w:rPr>
      </w:pPr>
    </w:p>
    <w:p>
      <w:pPr>
        <w:ind w:left="120" w:right="3780"/>
        <w:spacing w:after="0" w:line="377" w:lineRule="auto"/>
        <w:rPr>
          <w:sz w:val="20"/>
          <w:szCs w:val="20"/>
          <w:color w:val="auto"/>
        </w:rPr>
      </w:pPr>
      <w:r>
        <w:rPr>
          <w:rFonts w:ascii="Arial" w:cs="Arial" w:eastAsia="Arial" w:hAnsi="Arial"/>
          <w:sz w:val="18"/>
          <w:szCs w:val="18"/>
          <w:b w:val="1"/>
          <w:bCs w:val="1"/>
          <w:color w:val="auto"/>
        </w:rPr>
        <w:t>ITEM 11. QUANTITATIVE AND QUALITATIVE DISCLOSURES ABOUT MARKET RISK Foreign Currency Risk</w:t>
      </w:r>
    </w:p>
    <w:p>
      <w:pPr>
        <w:spacing w:after="0" w:line="2" w:lineRule="exact"/>
        <w:rPr>
          <w:sz w:val="20"/>
          <w:szCs w:val="20"/>
          <w:color w:val="auto"/>
        </w:rPr>
      </w:pPr>
    </w:p>
    <w:p>
      <w:pPr>
        <w:jc w:val="both"/>
        <w:ind w:left="120" w:right="140" w:firstLine="440"/>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During fiscal year 2022, approximately 70% to 80% of our revenue and approximately 50% to 60% of our operating expenses were denominated in U.S. dollars or linked to the U.S. dollar. If more customers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assuming the costs of executing these contracts are worthwhile. We use such contracts to hedge net exposure to changes in foreign currency exchange rates associated with revenue denominated in a foreign currency, primarily in Canadian dollar and European Euros, and anticipated costs to be incurred in a foreign currency, primarily New Israeli Shekels and Indian Rupees. We also use such contracts to hedge the net impact of the variability in exchange rates on certain balance sheet items such as accounts receivable and employee related accruals denominated primarily in New Israeli Shekels, Indian Rupees, Philippine Pesos, European Euros, Canadian dollars, Indonesian Rupees, as well as other foreign currency of jurisdictions in which we operate.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7 to our consolidated financial statements.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86" w:right="4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The table below presents the total volume or notional amounts and fair value of our derivative instruments as of September 30, 2022. Notional values are in U.S. dollars and are translated and calculated based on forward rates as of September 30, 2022, for forward contracts, and based on spot rates as of September 30, 2022 for options.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3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2"/>
              </w:rPr>
              <w:t>Notional</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Fair Value of</w:t>
            </w:r>
          </w:p>
        </w:tc>
      </w:tr>
      <w:tr>
        <w:trPr>
          <w:trHeight w:val="171"/>
        </w:trPr>
        <w:tc>
          <w:tcPr>
            <w:tcW w:w="6200" w:type="dxa"/>
            <w:vAlign w:val="bottom"/>
          </w:tcPr>
          <w:p>
            <w:pPr>
              <w:spacing w:after="0"/>
              <w:rPr>
                <w:sz w:val="14"/>
                <w:szCs w:val="14"/>
                <w:color w:val="auto"/>
              </w:rPr>
            </w:pPr>
          </w:p>
        </w:tc>
        <w:tc>
          <w:tcPr>
            <w:tcW w:w="13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8"/>
              </w:rPr>
              <w:t>Value*</w:t>
            </w: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r>
      <w:tr>
        <w:trPr>
          <w:trHeight w:val="209"/>
        </w:trPr>
        <w:tc>
          <w:tcPr>
            <w:tcW w:w="6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 (in millions)</w:t>
            </w:r>
          </w:p>
        </w:tc>
        <w:tc>
          <w:tcPr>
            <w:tcW w:w="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$ 1,903</w:t>
            </w:r>
          </w:p>
        </w:tc>
        <w:tc>
          <w:tcPr>
            <w:tcW w:w="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4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0" w:hanging="424"/>
        <w:spacing w:after="0" w:line="277"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interest expense and income are sensitive to changes in interest rates, as all of our cash investments and some of our borrowings, are subject to interest rate changes. Our short-term interest-bearing investments, if applicable, are generally invested in short-term conservative debt instruments, primarily U.S. dollar-denominated, and consist mainly of bank deposits, money market funds, corporate bonds securities, U.S. government treasuries and municipal bonds.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60"/>
          </w:cols>
          <w:pgMar w:left="320" w:top="486" w:right="61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DEFAULTS, DIVIDEND ARREARAGES AND DELINQUENCIES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8"/>
          <w:szCs w:val="18"/>
          <w:b w:val="1"/>
          <w:bCs w:val="1"/>
          <w:color w:val="auto"/>
        </w:rPr>
        <w:t>MATERIAL MODIFICATIONS TO THE RIGHTS OF SECURITY HOLDERS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With the participation of the Chief Executive Officer and Chief Financial Officer of Amdocs Management Limited, our management evaluated the effectiveness of our disclosure controls and procedures as of September 30, 2022.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2022, the Chief Executive Officer and the Chief Financial Officer of Amdocs Management Limited concluded that, as of such date, our disclosure controls and procedures were effective at the reasonable assurance level. Ernst and Young LLP, the independent registered public accounting firm that audited the financial statements included in this Annual Report on Form 20-F, has issued an attestation report on our internal control over financial reporting as of September 30, 2022, which is included herein.</w:t>
      </w:r>
    </w:p>
    <w:p>
      <w:pPr>
        <w:spacing w:after="0" w:line="18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year ended September 30, 2022 that has materially affected, or is reasonably likely to materially affect, our internal control over financial reporting.</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Management’s report on our internal control over financial reporting (as defined in Rules 13a-15(f) and 15d-15(f) under the Exchange Act), and the related reports of our independent public accounting firm, are included on pages F-2 through F-7 of this Annual Report on Form 20-F, and are incorporated herein by reference.</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16A.</w:t>
        <w:tab/>
        <w:t>AUDIT COMMITTEE FINANCIAL EXPERT</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Our Board of Directors has determined that there are at least two audit committee financial experts, Adrian Gardner and Sarah Ruth Davis, serving on our Audit Committee. Our Board of Directors has determined that Mr. Gardner and Ms. Davis are independent directors.</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16B.</w:t>
        <w:tab/>
        <w:t>CODE OF ETHICS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our principal executive officer, principal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86" w:right="4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financial officer and other executive officers, of our subsidiaries and other business entities controlled by us worldwide.</w:t>
      </w:r>
    </w:p>
    <w:p>
      <w:pPr>
        <w:spacing w:after="0" w:line="225" w:lineRule="exact"/>
        <w:rPr>
          <w:sz w:val="20"/>
          <w:szCs w:val="20"/>
          <w:color w:val="auto"/>
        </w:rPr>
      </w:pPr>
    </w:p>
    <w:p>
      <w:pPr>
        <w:jc w:val="both"/>
        <w:ind w:left="120" w:right="100" w:firstLine="440"/>
        <w:spacing w:after="0" w:line="277" w:lineRule="auto"/>
        <w:rPr>
          <w:sz w:val="20"/>
          <w:szCs w:val="20"/>
          <w:color w:val="auto"/>
        </w:rPr>
      </w:pPr>
      <w:r>
        <w:rPr>
          <w:rFonts w:ascii="Arial" w:cs="Arial" w:eastAsia="Arial" w:hAnsi="Arial"/>
          <w:sz w:val="18"/>
          <w:szCs w:val="18"/>
          <w:color w:val="auto"/>
        </w:rPr>
        <w:t xml:space="preserve">Our Code of Ethics and Business Conduct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 or you may request a copy of our code of ethics, at no cost, by writing to or telephoning us as follows: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625 Maryville Centre Drive, Suite 200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Saint Louis, Missouri 63141</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Telephone: 314-212-7000</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intend to post on our website within five business days all disclosures that are required by law or Nasdaq rules concerning any amendments to, or waivers from, any provision of the code.</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7"/>
          <w:szCs w:val="17"/>
          <w:b w:val="1"/>
          <w:bCs w:val="1"/>
          <w:color w:val="auto"/>
        </w:rPr>
        <w:t>PRINCIPAL ACCOUNTANT FEES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each of the last three fiscal years, Ernst &amp; Young LLP has acted as our independent registered public accounting firm.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Ernst &amp; Young billed us approximately $3.5 million for audit services for fiscal 2022, including fees associated with the annual audit and reviews of our quarterly financial results submitted on Form 6-K, consultations on various accounting issues and performance of local statutory audits. Ernst &amp; Young billed us approximately $3.6 million for audit services for fiscal 2021.</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Ernst &amp; Young billed us approximately $1.4 million for audit-related services for fiscal 2022. Audit-related services principally include SOC 1 report issuances and due diligence examinations. Ernst &amp; Young billed us approximately $2.5 million for audit-related services for fiscal 2021.</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Ernst &amp; Young billed us approximately $1.1 million for tax advice, including fees associated with tax compliance, tax advice and tax planning services, for fiscal 2022. Ernst &amp; Young billed us approximately $1.3 million for tax advice in fiscal 2021.</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 Other Fees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Ernst &amp; Young did not bill us for services other than Audit Fees, Audit-Related Fees and Tax Fees described above for fiscal 2022 or fiscal 2021.</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for Non-Audit Services</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86" w:right="4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2022, our Audit Committee approved all of the services provided by Ernst &amp; Young.</w:t>
      </w:r>
    </w:p>
    <w:p>
      <w:pPr>
        <w:spacing w:after="0" w:line="3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16D.</w:t>
        <w:tab/>
        <w:t>EXEMPTION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7"/>
          <w:szCs w:val="17"/>
          <w:b w:val="1"/>
          <w:bCs w:val="1"/>
          <w:color w:val="auto"/>
        </w:rPr>
        <w:t>PURCHASES OF EQUITY SECURITIES BY THE ISSUER AND AFFILIATED PURCHASERS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fiscal year ended September 30, 2022 of equity securities that are registered by us pursuant to Section 12 of the Exchange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3"/>
              </w:rPr>
              <w:t>(c)</w:t>
            </w:r>
          </w:p>
        </w:tc>
        <w:tc>
          <w:tcPr>
            <w:tcW w:w="120" w:type="dxa"/>
            <w:vAlign w:val="bottom"/>
          </w:tcPr>
          <w:p>
            <w:pPr>
              <w:spacing w:after="0"/>
              <w:rPr>
                <w:sz w:val="14"/>
                <w:szCs w:val="14"/>
                <w:color w:val="auto"/>
              </w:rPr>
            </w:pPr>
          </w:p>
        </w:tc>
        <w:tc>
          <w:tcPr>
            <w:tcW w:w="17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60" w:type="dxa"/>
            <w:vAlign w:val="bottom"/>
            <w:gridSpan w:val="2"/>
            <w:vMerge w:val="restart"/>
          </w:tcPr>
          <w:p>
            <w:pPr>
              <w:jc w:val="center"/>
              <w:ind w:right="620"/>
              <w:spacing w:after="0"/>
              <w:rPr>
                <w:sz w:val="20"/>
                <w:szCs w:val="20"/>
                <w:color w:val="auto"/>
              </w:rPr>
            </w:pPr>
            <w:r>
              <w:rPr>
                <w:rFonts w:ascii="Arial" w:cs="Arial" w:eastAsia="Arial" w:hAnsi="Arial"/>
                <w:sz w:val="14"/>
                <w:szCs w:val="14"/>
                <w:b w:val="1"/>
                <w:bCs w:val="1"/>
                <w:color w:val="auto"/>
                <w:w w:val="93"/>
              </w:rPr>
              <w:t>(a)</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7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gridSpan w:val="2"/>
            <w:vMerge w:val="restart"/>
          </w:tcPr>
          <w:p>
            <w:pPr>
              <w:jc w:val="right"/>
              <w:ind w:right="1100"/>
              <w:spacing w:after="0"/>
              <w:rPr>
                <w:sz w:val="20"/>
                <w:szCs w:val="20"/>
                <w:color w:val="auto"/>
              </w:rPr>
            </w:pPr>
            <w:r>
              <w:rPr>
                <w:rFonts w:ascii="Arial" w:cs="Arial" w:eastAsia="Arial" w:hAnsi="Arial"/>
                <w:sz w:val="14"/>
                <w:szCs w:val="14"/>
                <w:b w:val="1"/>
                <w:bCs w:val="1"/>
                <w:color w:val="auto"/>
              </w:rPr>
              <w:t>(b)</w:t>
            </w: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88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Total Number of</w:t>
            </w:r>
          </w:p>
        </w:tc>
        <w:tc>
          <w:tcPr>
            <w:tcW w:w="1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7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20" w:type="dxa"/>
            <w:vAlign w:val="bottom"/>
          </w:tcPr>
          <w:p>
            <w:pPr>
              <w:spacing w:after="0"/>
              <w:rPr>
                <w:sz w:val="12"/>
                <w:szCs w:val="12"/>
                <w:color w:val="auto"/>
              </w:rPr>
            </w:pPr>
          </w:p>
        </w:tc>
        <w:tc>
          <w:tcPr>
            <w:tcW w:w="17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of Shares that</w:t>
            </w:r>
          </w:p>
        </w:tc>
        <w:tc>
          <w:tcPr>
            <w:tcW w:w="0" w:type="dxa"/>
            <w:vAlign w:val="bottom"/>
          </w:tcPr>
          <w:p>
            <w:pPr>
              <w:spacing w:after="0"/>
              <w:rPr>
                <w:sz w:val="1"/>
                <w:szCs w:val="1"/>
                <w:color w:val="auto"/>
              </w:rPr>
            </w:pPr>
          </w:p>
        </w:tc>
      </w:tr>
      <w:tr>
        <w:trPr>
          <w:trHeight w:val="148"/>
        </w:trPr>
        <w:tc>
          <w:tcPr>
            <w:tcW w:w="3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66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16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9"/>
              </w:rPr>
              <w:t>Average Price</w:t>
            </w:r>
          </w:p>
        </w:tc>
        <w:tc>
          <w:tcPr>
            <w:tcW w:w="17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8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4"/>
              </w:rPr>
              <w:t>May Yet Be Purchased Under</w:t>
            </w:r>
          </w:p>
        </w:tc>
        <w:tc>
          <w:tcPr>
            <w:tcW w:w="0" w:type="dxa"/>
            <w:vAlign w:val="bottom"/>
          </w:tcPr>
          <w:p>
            <w:pPr>
              <w:spacing w:after="0"/>
              <w:rPr>
                <w:sz w:val="1"/>
                <w:szCs w:val="1"/>
                <w:color w:val="auto"/>
              </w:rPr>
            </w:pPr>
          </w:p>
        </w:tc>
      </w:tr>
      <w:tr>
        <w:trPr>
          <w:trHeight w:val="171"/>
        </w:trPr>
        <w:tc>
          <w:tcPr>
            <w:tcW w:w="3100" w:type="dxa"/>
            <w:vAlign w:val="bottom"/>
            <w:gridSpan w:val="3"/>
            <w:vMerge w:val="continue"/>
          </w:tcPr>
          <w:p>
            <w:pPr>
              <w:spacing w:after="0"/>
              <w:rPr>
                <w:sz w:val="14"/>
                <w:szCs w:val="14"/>
                <w:color w:val="auto"/>
              </w:rPr>
            </w:pPr>
          </w:p>
        </w:tc>
        <w:tc>
          <w:tcPr>
            <w:tcW w:w="16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Purchased</w:t>
            </w:r>
          </w:p>
        </w:tc>
        <w:tc>
          <w:tcPr>
            <w:tcW w:w="1740" w:type="dxa"/>
            <w:vAlign w:val="bottom"/>
            <w:gridSpan w:val="3"/>
          </w:tcPr>
          <w:p>
            <w:pPr>
              <w:ind w:left="20"/>
              <w:spacing w:after="0"/>
              <w:rPr>
                <w:sz w:val="20"/>
                <w:szCs w:val="20"/>
                <w:color w:val="auto"/>
              </w:rPr>
            </w:pPr>
            <w:r>
              <w:rPr>
                <w:rFonts w:ascii="Arial" w:cs="Arial" w:eastAsia="Arial" w:hAnsi="Arial"/>
                <w:sz w:val="14"/>
                <w:szCs w:val="14"/>
                <w:b w:val="1"/>
                <w:bCs w:val="1"/>
                <w:color w:val="auto"/>
              </w:rPr>
              <w:t>Paid per Share(1)</w:t>
            </w:r>
          </w:p>
        </w:tc>
        <w:tc>
          <w:tcPr>
            <w:tcW w:w="17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3"/>
              </w:rPr>
              <w:t>or Programs</w:t>
            </w:r>
          </w:p>
        </w:tc>
        <w:tc>
          <w:tcPr>
            <w:tcW w:w="120" w:type="dxa"/>
            <w:vAlign w:val="bottom"/>
          </w:tcPr>
          <w:p>
            <w:pPr>
              <w:spacing w:after="0"/>
              <w:rPr>
                <w:sz w:val="14"/>
                <w:szCs w:val="14"/>
                <w:color w:val="auto"/>
              </w:rPr>
            </w:pPr>
          </w:p>
        </w:tc>
        <w:tc>
          <w:tcPr>
            <w:tcW w:w="1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the Plans or Programs(2)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10/1/21-10/31/21</w:t>
            </w:r>
          </w:p>
        </w:tc>
        <w:tc>
          <w:tcPr>
            <w:tcW w:w="58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253,895</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6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253,895</w:t>
            </w: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978,487,277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11/1/21-11/30/21</w:t>
            </w:r>
          </w:p>
        </w:tc>
        <w:tc>
          <w:tcPr>
            <w:tcW w:w="58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696,974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74.39</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696,974</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926,641,991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12/1/21-12/31/21</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1,362,930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72.66</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1,362,930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827,614,145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01/1/22-01/31/22</w:t>
            </w:r>
          </w:p>
        </w:tc>
        <w:tc>
          <w:tcPr>
            <w:tcW w:w="58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530,469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75.38</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530,469</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787,628,127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02/1/22-02/28/22</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563,182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78.13</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563,182</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743,629,102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03/1/22-03/31/22</w:t>
            </w:r>
          </w:p>
        </w:tc>
        <w:tc>
          <w:tcPr>
            <w:tcW w:w="58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573,933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80.17</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573,933</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697,614,346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04/1/22-04/30/22</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390,067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82.59</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390,067</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665,398,244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05/1/22-05/31/22</w:t>
            </w:r>
          </w:p>
        </w:tc>
        <w:tc>
          <w:tcPr>
            <w:tcW w:w="58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575,231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80.88</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575,231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618,873,069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06/1/22-06/30/22</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255,530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83.10</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255,530</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597,639,241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07/1/22-07/31/22</w:t>
            </w:r>
          </w:p>
        </w:tc>
        <w:tc>
          <w:tcPr>
            <w:tcW w:w="580" w:type="dxa"/>
            <w:vAlign w:val="bottom"/>
          </w:tcPr>
          <w:p>
            <w:pPr>
              <w:spacing w:after="0"/>
              <w:rPr>
                <w:sz w:val="18"/>
                <w:szCs w:val="18"/>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357,076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84.01</w:t>
            </w:r>
          </w:p>
        </w:tc>
        <w:tc>
          <w:tcPr>
            <w:tcW w:w="1740" w:type="dxa"/>
            <w:vAlign w:val="bottom"/>
            <w:gridSpan w:val="2"/>
          </w:tcPr>
          <w:p>
            <w:pPr>
              <w:jc w:val="right"/>
              <w:ind w:right="620"/>
              <w:spacing w:after="0"/>
              <w:rPr>
                <w:sz w:val="20"/>
                <w:szCs w:val="20"/>
                <w:color w:val="auto"/>
              </w:rPr>
            </w:pPr>
            <w:r>
              <w:rPr>
                <w:rFonts w:ascii="Arial" w:cs="Arial" w:eastAsia="Arial" w:hAnsi="Arial"/>
                <w:sz w:val="18"/>
                <w:szCs w:val="18"/>
                <w:color w:val="auto"/>
              </w:rPr>
              <w:t>357,076</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567,640,221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08/1/22-08/31/22</w:t>
            </w:r>
          </w:p>
        </w:tc>
        <w:tc>
          <w:tcPr>
            <w:tcW w:w="5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364,979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87.76</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364,979</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535,611,458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500" w:type="dxa"/>
            <w:vAlign w:val="bottom"/>
          </w:tcPr>
          <w:p>
            <w:pPr>
              <w:spacing w:after="0"/>
              <w:rPr>
                <w:sz w:val="20"/>
                <w:szCs w:val="20"/>
                <w:color w:val="auto"/>
              </w:rPr>
            </w:pPr>
            <w:r>
              <w:rPr>
                <w:rFonts w:ascii="Arial" w:cs="Arial" w:eastAsia="Arial" w:hAnsi="Arial"/>
                <w:sz w:val="18"/>
                <w:szCs w:val="18"/>
                <w:color w:val="auto"/>
              </w:rPr>
              <w:t>09/1/22-09/30/22</w:t>
            </w:r>
          </w:p>
        </w:tc>
        <w:tc>
          <w:tcPr>
            <w:tcW w:w="5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554,675</w:t>
            </w:r>
          </w:p>
        </w:tc>
        <w:tc>
          <w:tcPr>
            <w:tcW w:w="62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640"/>
              <w:spacing w:after="0"/>
              <w:rPr>
                <w:sz w:val="20"/>
                <w:szCs w:val="20"/>
                <w:color w:val="auto"/>
              </w:rPr>
            </w:pPr>
            <w:r>
              <w:rPr>
                <w:rFonts w:ascii="Arial" w:cs="Arial" w:eastAsia="Arial" w:hAnsi="Arial"/>
                <w:sz w:val="18"/>
                <w:szCs w:val="18"/>
                <w:color w:val="auto"/>
              </w:rPr>
              <w:t>82.03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554,675</w:t>
            </w:r>
          </w:p>
        </w:tc>
        <w:tc>
          <w:tcPr>
            <w:tcW w:w="620" w:type="dxa"/>
            <w:vAlign w:val="bottom"/>
          </w:tcPr>
          <w:p>
            <w:pPr>
              <w:spacing w:after="0"/>
              <w:rPr>
                <w:sz w:val="19"/>
                <w:szCs w:val="19"/>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490,108,787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6,478,941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78.47</w:t>
            </w:r>
          </w:p>
        </w:tc>
        <w:tc>
          <w:tcPr>
            <w:tcW w:w="17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6,478,941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490,108,787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ind w:left="540" w:hanging="424"/>
        <w:spacing w:after="0" w:line="292" w:lineRule="auto"/>
        <w:tabs>
          <w:tab w:leader="none" w:pos="5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May 12, 2021, our board of Directors adopted a share repurchase plan authorizing the repurchase of up to an additional $1.0 billion of our outstanding ordinary shares with no expiration date. The May 2021 plan has no expiration date and permits us to purchase our ordinary shares in the open market or through privately negotiated transactions at times and prices that we consider appropriate. In fiscal year 2022, we repurchased approximately 6.5 million ordinary shares at an average price of $78.47 per share (excluding broker and transaction fees). As of September 30, 2022, we had remaining authority to repurchase up to $490.1 million of our outstanding ordinary shares under the May 2021 plan.</w:t>
      </w:r>
    </w:p>
    <w:p>
      <w:pPr>
        <w:spacing w:after="0" w:line="307"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16F.</w:t>
        <w:tab/>
        <w:t>CHANGE IN REGISTRANT’S CERTIFYING ACCOUNTANT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020"/>
          </w:cols>
          <w:pgMar w:left="320" w:top="486" w:right="5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16G.</w:t>
        <w:tab/>
        <w:t>CORPORATE GOVERNANCE</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We believe there are no significant ways that our corporate governance practices differ from those followed by U.S. domestic issuers under the Nasdaq listing standards. For further information regarding our corporate governance practices, please refer to our Notice and Proxy Statement to be mailed to our shareholders in December 2022 and to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16H.</w:t>
        <w:tab/>
        <w:t>MINE SAFETY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16I.</w:t>
        <w:tab/>
        <w:t>DISCLOSURE REGARDING FOREIGN JURISDICTIONS THAT PREVENT INSPECTION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840"/>
          </w:cols>
          <w:pgMar w:left="320" w:top="486" w:right="7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060"/>
          </w:cols>
          <w:pgMar w:left="320" w:top="486" w:right="519" w:bottom="1440" w:gutter="0" w:footer="0" w:header="0"/>
        </w:sectPr>
      </w:pPr>
    </w:p>
    <w:p>
      <w:pPr>
        <w:spacing w:after="0" w:line="370" w:lineRule="exact"/>
        <w:rPr>
          <w:sz w:val="20"/>
          <w:szCs w:val="20"/>
          <w:color w:val="auto"/>
        </w:rPr>
      </w:pPr>
    </w:p>
    <w:p>
      <w:pPr>
        <w:jc w:val="both"/>
        <w:ind w:left="120"/>
        <w:spacing w:after="0" w:line="408" w:lineRule="auto"/>
        <w:rPr>
          <w:sz w:val="20"/>
          <w:szCs w:val="20"/>
          <w:color w:val="auto"/>
        </w:rPr>
      </w:pPr>
      <w:r>
        <w:rPr>
          <w:rFonts w:ascii="Arial" w:cs="Arial" w:eastAsia="Arial" w:hAnsi="Arial"/>
          <w:sz w:val="17"/>
          <w:szCs w:val="17"/>
          <w:b w:val="1"/>
          <w:bCs w:val="1"/>
          <w:color w:val="auto"/>
        </w:rPr>
        <w:t>ITEM 18. Financial</w:t>
      </w:r>
    </w:p>
    <w:p>
      <w:pPr>
        <w:spacing w:after="0" w:line="20" w:lineRule="exact"/>
        <w:rPr>
          <w:sz w:val="20"/>
          <w:szCs w:val="20"/>
          <w:color w:val="auto"/>
        </w:rPr>
      </w:pPr>
      <w:r>
        <w:rPr>
          <w:sz w:val="20"/>
          <w:szCs w:val="20"/>
          <w:color w:val="auto"/>
        </w:rPr>
        <w:br w:type="column"/>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and Schedule</w:t>
      </w:r>
    </w:p>
    <w:p>
      <w:pPr>
        <w:spacing w:after="0" w:line="121" w:lineRule="exact"/>
        <w:rPr>
          <w:sz w:val="20"/>
          <w:szCs w:val="20"/>
          <w:color w:val="auto"/>
        </w:rPr>
      </w:pPr>
    </w:p>
    <w:p>
      <w:pPr>
        <w:sectPr>
          <w:pgSz w:w="11900" w:h="16838" w:orient="portrait"/>
          <w:cols w:equalWidth="0" w:num="2">
            <w:col w:w="860" w:space="340"/>
            <w:col w:w="9860"/>
          </w:cols>
          <w:pgMar w:left="320" w:top="486" w:right="519" w:bottom="1440" w:gutter="0" w:footer="0" w:header="0"/>
          <w:type w:val="continuous"/>
        </w:sectPr>
      </w:pPr>
    </w:p>
    <w:p>
      <w:pPr>
        <w:ind w:left="120" w:right="280" w:firstLine="440"/>
        <w:spacing w:after="0" w:line="277" w:lineRule="auto"/>
        <w:rPr>
          <w:sz w:val="20"/>
          <w:szCs w:val="20"/>
          <w:color w:val="auto"/>
        </w:rPr>
      </w:pPr>
      <w:r>
        <w:rPr>
          <w:rFonts w:ascii="Arial" w:cs="Arial" w:eastAsia="Arial" w:hAnsi="Arial"/>
          <w:sz w:val="18"/>
          <w:szCs w:val="18"/>
          <w:color w:val="auto"/>
        </w:rPr>
        <w:t>The following Financial Statements and Financial Statement Schedule of Amdocs Limited, with respect to financial results for the fiscal years ended September 30, 2022, 2021 and 2020, are included at the end of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Financial Statements of Amdocs Limited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Balance Sheets as of September 30, 2022 and 2021</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Statements of Income for the fiscal years ended September 30, 2022,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Statements of Comprehensive Income for the fiscal years ended September 30, 2022,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Statements of Changes in Equity for the fiscal years ended September 30, 2022,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Consolidated Statements of Cash Flows for the fiscal years ended September 30, 2022, 2021 and 2020</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Notes to the Consolidated Financial Statements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 Schedules of Amdocs Limited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Valuation and Qualifying Accounts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All other schedules have been omitted since they are either not required or not applicable, or the information has otherwise been included.</w:t>
      </w:r>
    </w:p>
    <w:p>
      <w:pPr>
        <w:spacing w:after="0" w:line="38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hereof are filed herewith in response to this Item.</w:t>
      </w:r>
    </w:p>
    <w:p>
      <w:pPr>
        <w:spacing w:after="0" w:line="200" w:lineRule="exact"/>
        <w:rPr>
          <w:sz w:val="20"/>
          <w:szCs w:val="20"/>
          <w:color w:val="auto"/>
        </w:rPr>
      </w:pP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5800" w:type="dxa"/>
            <w:vAlign w:val="bottom"/>
            <w:gridSpan w:val="2"/>
          </w:tcPr>
          <w:p>
            <w:pPr>
              <w:ind w:left="42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800" w:type="dxa"/>
            <w:vAlign w:val="bottom"/>
            <w:gridSpan w:val="2"/>
            <w:vMerge w:val="restart"/>
          </w:tcPr>
          <w:p>
            <w:pPr>
              <w:ind w:left="5080"/>
              <w:spacing w:after="0"/>
              <w:rPr>
                <w:sz w:val="20"/>
                <w:szCs w:val="20"/>
                <w:color w:val="auto"/>
              </w:rPr>
            </w:pPr>
            <w:r>
              <w:rPr>
                <w:rFonts w:ascii="Arial" w:cs="Arial" w:eastAsia="Arial" w:hAnsi="Arial"/>
                <w:sz w:val="14"/>
                <w:szCs w:val="14"/>
                <w:b w:val="1"/>
                <w:bCs w:val="1"/>
                <w:color w:val="auto"/>
                <w:w w:val="90"/>
              </w:rPr>
              <w:t>Description</w:t>
            </w:r>
          </w:p>
        </w:tc>
        <w:tc>
          <w:tcPr>
            <w:tcW w:w="0" w:type="dxa"/>
            <w:vAlign w:val="bottom"/>
          </w:tcPr>
          <w:p>
            <w:pPr>
              <w:spacing w:after="0"/>
              <w:rPr>
                <w:sz w:val="1"/>
                <w:szCs w:val="1"/>
                <w:color w:val="auto"/>
              </w:rPr>
            </w:pPr>
          </w:p>
        </w:tc>
      </w:tr>
      <w:tr>
        <w:trPr>
          <w:trHeight w:val="171"/>
        </w:trPr>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ind w:left="30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r:id="rId97">
        <w:r>
          <w:rPr>
            <w:rFonts w:ascii="Arial" w:cs="Arial" w:eastAsia="Arial" w:hAnsi="Arial"/>
            <w:sz w:val="16"/>
            <w:szCs w:val="16"/>
            <w:u w:val="single" w:color="auto"/>
            <w:color w:val="0000EE"/>
          </w:rPr>
          <w:t>Amended and Restated Memorandum of Incorporation of Amdocs Limited (incorporated by reference to Exhibit 99.1 to Amdocs’ Form</w:t>
        </w:r>
      </w:hyperlink>
    </w:p>
    <w:p>
      <w:pPr>
        <w:spacing w:after="0" w:line="23" w:lineRule="exact"/>
        <w:rPr>
          <w:sz w:val="20"/>
          <w:szCs w:val="20"/>
          <w:color w:val="auto"/>
        </w:rPr>
      </w:pPr>
    </w:p>
    <w:p>
      <w:pPr>
        <w:ind w:left="1120"/>
        <w:spacing w:after="0"/>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6-K filed January 26, 2009)</w:t>
        </w:r>
      </w:hyperlink>
    </w:p>
    <w:p>
      <w:pPr>
        <w:spacing w:after="0" w:line="103" w:lineRule="exact"/>
        <w:rPr>
          <w:sz w:val="20"/>
          <w:szCs w:val="20"/>
          <w:color w:val="auto"/>
        </w:rPr>
      </w:pPr>
    </w:p>
    <w:p>
      <w:pPr>
        <w:ind w:left="1120" w:hanging="818"/>
        <w:spacing w:after="0" w:line="277"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1.2</w:t>
      </w:r>
      <w:r>
        <w:rPr>
          <w:sz w:val="20"/>
          <w:szCs w:val="20"/>
          <w:color w:val="auto"/>
        </w:rPr>
        <w:tab/>
      </w:r>
      <w:hyperlink r:id="rId98">
        <w:r>
          <w:rPr>
            <w:rFonts w:ascii="Arial" w:cs="Arial" w:eastAsia="Arial" w:hAnsi="Arial"/>
            <w:sz w:val="18"/>
            <w:szCs w:val="18"/>
            <w:u w:val="single" w:color="auto"/>
            <w:color w:val="0000EE"/>
          </w:rPr>
          <w:t>Amended and Restated Articles of Incorporation of Amdocs Limited (incorporated by reference to Exhibit 1.2 to Amdocs’ Annual Report</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on Form 20-F, filed December 7, 2010)</w:t>
        </w:r>
      </w:hyperlink>
    </w:p>
    <w:p>
      <w:pPr>
        <w:spacing w:after="0" w:line="62" w:lineRule="exact"/>
        <w:rPr>
          <w:sz w:val="20"/>
          <w:szCs w:val="20"/>
          <w:color w:val="auto"/>
        </w:rPr>
      </w:pPr>
    </w:p>
    <w:p>
      <w:pPr>
        <w:ind w:left="1120" w:hanging="824"/>
        <w:spacing w:after="0"/>
        <w:tabs>
          <w:tab w:leader="none" w:pos="112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0000EE"/>
        </w:rPr>
        <w:t>Description of rights of each applicable class of securities registered under Section 12 of the Securities Exchange Act of 1934</w:t>
      </w:r>
    </w:p>
    <w:p>
      <w:pPr>
        <w:spacing w:after="0" w:line="169"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73</w:t>
      </w:r>
    </w:p>
    <w:p>
      <w:pPr>
        <w:sectPr>
          <w:pgSz w:w="11900" w:h="16838" w:orient="portrait"/>
          <w:cols w:equalWidth="0" w:num="1">
            <w:col w:w="11060"/>
          </w:cols>
          <w:pgMar w:left="320" w:top="486" w:right="519" w:bottom="1440" w:gutter="0" w:footer="0" w:header="0"/>
          <w:type w:val="continuous"/>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0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3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40" w:type="dxa"/>
            <w:vAlign w:val="bottom"/>
            <w:gridSpan w:val="17"/>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1040" w:type="dxa"/>
            <w:vAlign w:val="bottom"/>
          </w:tcPr>
          <w:p>
            <w:pPr>
              <w:ind w:left="160"/>
              <w:spacing w:after="0"/>
              <w:rPr>
                <w:sz w:val="20"/>
                <w:szCs w:val="20"/>
                <w:color w:val="auto"/>
              </w:rPr>
            </w:pPr>
            <w:r>
              <w:rPr>
                <w:rFonts w:ascii="Arial" w:cs="Arial" w:eastAsia="Arial" w:hAnsi="Arial"/>
                <w:sz w:val="14"/>
                <w:szCs w:val="14"/>
                <w:b w:val="1"/>
                <w:bCs w:val="1"/>
                <w:color w:val="auto"/>
              </w:rPr>
              <w:t>No.</w:t>
            </w:r>
          </w:p>
        </w:tc>
        <w:tc>
          <w:tcPr>
            <w:tcW w:w="3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40" w:type="dxa"/>
            <w:vAlign w:val="bottom"/>
            <w:gridSpan w:val="1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040" w:type="dxa"/>
            <w:vAlign w:val="bottom"/>
          </w:tcPr>
          <w:p>
            <w:pPr>
              <w:spacing w:after="0"/>
              <w:rPr>
                <w:sz w:val="20"/>
                <w:szCs w:val="20"/>
                <w:color w:val="auto"/>
              </w:rPr>
            </w:pPr>
            <w:r>
              <w:rPr>
                <w:rFonts w:ascii="Arial" w:cs="Arial" w:eastAsia="Arial" w:hAnsi="Arial"/>
                <w:sz w:val="18"/>
                <w:szCs w:val="18"/>
                <w:color w:val="auto"/>
              </w:rPr>
              <w:t>2.1</w:t>
            </w:r>
          </w:p>
        </w:tc>
        <w:tc>
          <w:tcPr>
            <w:tcW w:w="9780" w:type="dxa"/>
            <w:vAlign w:val="bottom"/>
            <w:gridSpan w:val="19"/>
          </w:tcPr>
          <w:p>
            <w:pPr>
              <w:spacing w:after="0"/>
              <w:rPr>
                <w:rFonts w:ascii="Arial" w:cs="Arial" w:eastAsia="Arial" w:hAnsi="Arial"/>
                <w:sz w:val="18"/>
                <w:szCs w:val="18"/>
                <w:color w:val="0000EE"/>
                <w:w w:val="96"/>
              </w:rPr>
            </w:pPr>
            <w:hyperlink r:id="rId100">
              <w:r>
                <w:rPr>
                  <w:rFonts w:ascii="Arial" w:cs="Arial" w:eastAsia="Arial" w:hAnsi="Arial"/>
                  <w:sz w:val="18"/>
                  <w:szCs w:val="18"/>
                  <w:color w:val="0000EE"/>
                  <w:w w:val="96"/>
                </w:rPr>
                <w:t>Base Indenture between Amdocs Limited, as Issuer, and The Bank of New York Mellon, as Trustee, dated as of June 24, 2020</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0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(incorporated by reference to Exhibit 4.1 to Amdocs’ Form 6-K filed June 24, 2020)</w:t>
              </w:r>
            </w:hyperlink>
          </w:p>
        </w:tc>
        <w:tc>
          <w:tcPr>
            <w:tcW w:w="7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2.2</w:t>
            </w:r>
          </w:p>
        </w:tc>
        <w:tc>
          <w:tcPr>
            <w:tcW w:w="9780" w:type="dxa"/>
            <w:vAlign w:val="bottom"/>
            <w:tcBorders>
              <w:bottom w:val="single" w:sz="8" w:color="0000EE"/>
            </w:tcBorders>
            <w:gridSpan w:val="19"/>
          </w:tcPr>
          <w:p>
            <w:pPr>
              <w:spacing w:after="0"/>
              <w:rPr>
                <w:rFonts w:ascii="Arial" w:cs="Arial" w:eastAsia="Arial" w:hAnsi="Arial"/>
                <w:sz w:val="18"/>
                <w:szCs w:val="18"/>
                <w:color w:val="0000EE"/>
                <w:w w:val="90"/>
              </w:rPr>
            </w:pPr>
            <w:hyperlink r:id="rId101">
              <w:r>
                <w:rPr>
                  <w:rFonts w:ascii="Arial" w:cs="Arial" w:eastAsia="Arial" w:hAnsi="Arial"/>
                  <w:sz w:val="18"/>
                  <w:szCs w:val="18"/>
                  <w:color w:val="0000EE"/>
                  <w:w w:val="90"/>
                </w:rPr>
                <w:t>First Supplemental Indenture to the Base Indenture between Amdocs Limited, as Issuer, and The Bank of New York Mellon, as Trustee,</w:t>
              </w:r>
            </w:hyperlink>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94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01">
              <w:r>
                <w:rPr>
                  <w:rFonts w:ascii="Arial" w:cs="Arial" w:eastAsia="Arial" w:hAnsi="Arial"/>
                  <w:sz w:val="18"/>
                  <w:szCs w:val="18"/>
                  <w:color w:val="0000EE"/>
                  <w:w w:val="90"/>
                </w:rPr>
                <w:t>dated as of June 24, 2020 (incorporated by reference to Exhibit 4.2 to Amdocs’ Form 6-K filed June 24, 2020)</w:t>
              </w:r>
            </w:hyperlink>
          </w:p>
        </w:tc>
        <w:tc>
          <w:tcPr>
            <w:tcW w:w="18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4.a†</w:t>
            </w:r>
          </w:p>
        </w:tc>
        <w:tc>
          <w:tcPr>
            <w:tcW w:w="9780" w:type="dxa"/>
            <w:vAlign w:val="bottom"/>
            <w:gridSpan w:val="19"/>
          </w:tcPr>
          <w:p>
            <w:pPr>
              <w:spacing w:after="0"/>
              <w:rPr>
                <w:sz w:val="20"/>
                <w:szCs w:val="20"/>
                <w:color w:val="auto"/>
              </w:rPr>
            </w:pPr>
            <w:r>
              <w:rPr>
                <w:rFonts w:ascii="Arial" w:cs="Arial" w:eastAsia="Arial" w:hAnsi="Arial"/>
                <w:sz w:val="18"/>
                <w:szCs w:val="18"/>
                <w:color w:val="0000EE"/>
                <w:w w:val="90"/>
              </w:rPr>
              <w:t>Restated and Amended Master Services and Software License Agreement between Amdocs, Inc. and AT&amp;T Services, Inc. for Software</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386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and Professional Services, effective October 14, 2021</w:t>
            </w:r>
          </w:p>
        </w:tc>
        <w:tc>
          <w:tcPr>
            <w:tcW w:w="5880" w:type="dxa"/>
            <w:vAlign w:val="bottom"/>
            <w:tcBorders>
              <w:top w:val="single" w:sz="8" w:color="0000EE"/>
            </w:tcBorders>
            <w:gridSpan w:val="17"/>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4.a.1†</w:t>
            </w:r>
          </w:p>
        </w:tc>
        <w:tc>
          <w:tcPr>
            <w:tcW w:w="9780" w:type="dxa"/>
            <w:vAlign w:val="bottom"/>
            <w:gridSpan w:val="19"/>
          </w:tcPr>
          <w:p>
            <w:pPr>
              <w:spacing w:after="0"/>
              <w:rPr>
                <w:sz w:val="20"/>
                <w:szCs w:val="20"/>
                <w:color w:val="auto"/>
              </w:rPr>
            </w:pPr>
            <w:r>
              <w:rPr>
                <w:rFonts w:ascii="Arial" w:cs="Arial" w:eastAsia="Arial" w:hAnsi="Arial"/>
                <w:sz w:val="18"/>
                <w:szCs w:val="18"/>
                <w:color w:val="0000EE"/>
                <w:w w:val="92"/>
              </w:rPr>
              <w:t>Sixth Amendment to the Restated and Amended Master Services and Software License Agreement between Amdocs, Inc. and AT&amp;T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580" w:type="dxa"/>
            <w:vAlign w:val="bottom"/>
            <w:tcBorders>
              <w:top w:val="single" w:sz="8" w:color="0000EE"/>
            </w:tcBorders>
            <w:gridSpan w:val="13"/>
          </w:tcPr>
          <w:p>
            <w:pPr>
              <w:spacing w:after="0" w:line="196" w:lineRule="exact"/>
              <w:rPr>
                <w:sz w:val="20"/>
                <w:szCs w:val="20"/>
                <w:color w:val="auto"/>
              </w:rPr>
            </w:pPr>
            <w:r>
              <w:rPr>
                <w:rFonts w:ascii="Arial" w:cs="Arial" w:eastAsia="Arial" w:hAnsi="Arial"/>
                <w:sz w:val="18"/>
                <w:szCs w:val="18"/>
                <w:color w:val="0000EE"/>
              </w:rPr>
              <w:t>Services, Inc. for Software and Professional Services, effective October 14, 2021</w:t>
            </w:r>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4.a.2†</w:t>
            </w:r>
          </w:p>
        </w:tc>
        <w:tc>
          <w:tcPr>
            <w:tcW w:w="97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Seventh Amendment to the Restated and Amended Master Services and Software License Agreement between Amdocs, Inc. and AT&amp;T</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780" w:type="dxa"/>
            <w:vAlign w:val="bottom"/>
            <w:gridSpan w:val="19"/>
          </w:tcPr>
          <w:p>
            <w:pPr>
              <w:spacing w:after="0" w:line="196" w:lineRule="exact"/>
              <w:rPr>
                <w:sz w:val="20"/>
                <w:szCs w:val="20"/>
                <w:color w:val="auto"/>
              </w:rPr>
            </w:pPr>
            <w:r>
              <w:rPr>
                <w:rFonts w:ascii="Arial" w:cs="Arial" w:eastAsia="Arial" w:hAnsi="Arial"/>
                <w:sz w:val="18"/>
                <w:szCs w:val="18"/>
                <w:color w:val="0000EE"/>
              </w:rPr>
              <w:t>Services, Inc. for Software and Professional Services, effective October 14,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4.a.3†</w:t>
            </w:r>
          </w:p>
        </w:tc>
        <w:tc>
          <w:tcPr>
            <w:tcW w:w="9780" w:type="dxa"/>
            <w:vAlign w:val="bottom"/>
            <w:gridSpan w:val="19"/>
          </w:tcPr>
          <w:p>
            <w:pPr>
              <w:spacing w:after="0"/>
              <w:rPr>
                <w:sz w:val="20"/>
                <w:szCs w:val="20"/>
                <w:color w:val="auto"/>
              </w:rPr>
            </w:pPr>
            <w:r>
              <w:rPr>
                <w:rFonts w:ascii="Arial" w:cs="Arial" w:eastAsia="Arial" w:hAnsi="Arial"/>
                <w:sz w:val="18"/>
                <w:szCs w:val="18"/>
                <w:color w:val="0000EE"/>
                <w:w w:val="91"/>
              </w:rPr>
              <w:t>Eighth Amendment Eight to the Restated and Amended Master Services and Software License Agreement between Amdocs, Inc. and</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6"/>
          </w:tcPr>
          <w:p>
            <w:pPr>
              <w:spacing w:after="0" w:line="196" w:lineRule="exact"/>
              <w:rPr>
                <w:sz w:val="20"/>
                <w:szCs w:val="20"/>
                <w:color w:val="auto"/>
              </w:rPr>
            </w:pPr>
            <w:r>
              <w:rPr>
                <w:rFonts w:ascii="Arial" w:cs="Arial" w:eastAsia="Arial" w:hAnsi="Arial"/>
                <w:sz w:val="18"/>
                <w:szCs w:val="18"/>
                <w:color w:val="0000EE"/>
                <w:w w:val="90"/>
              </w:rPr>
              <w:t>AT&amp;T Services, Inc. for Software and Professional Services, effective October 14, 2021</w:t>
            </w:r>
          </w:p>
        </w:tc>
        <w:tc>
          <w:tcPr>
            <w:tcW w:w="3260" w:type="dxa"/>
            <w:vAlign w:val="bottom"/>
            <w:tcBorders>
              <w:top w:val="single" w:sz="8" w:color="0000EE"/>
            </w:tcBorders>
            <w:gridSpan w:val="8"/>
          </w:tcPr>
          <w:p>
            <w:pPr>
              <w:spacing w:after="0"/>
              <w:rPr>
                <w:sz w:val="17"/>
                <w:szCs w:val="17"/>
                <w:color w:val="auto"/>
              </w:rPr>
            </w:pPr>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4.a.4†</w:t>
            </w:r>
          </w:p>
        </w:tc>
        <w:tc>
          <w:tcPr>
            <w:tcW w:w="964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0"/>
              </w:rPr>
              <w:t>Ninth Amendment to the Restated and Amended Master Services and Software License Agreement between Amdocs, Inc. and AT&amp;T</w:t>
            </w:r>
          </w:p>
        </w:tc>
        <w:tc>
          <w:tcPr>
            <w:tcW w:w="14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780" w:type="dxa"/>
            <w:vAlign w:val="bottom"/>
            <w:gridSpan w:val="19"/>
          </w:tcPr>
          <w:p>
            <w:pPr>
              <w:spacing w:after="0" w:line="196" w:lineRule="exact"/>
              <w:rPr>
                <w:sz w:val="20"/>
                <w:szCs w:val="20"/>
                <w:color w:val="auto"/>
              </w:rPr>
            </w:pPr>
            <w:r>
              <w:rPr>
                <w:rFonts w:ascii="Arial" w:cs="Arial" w:eastAsia="Arial" w:hAnsi="Arial"/>
                <w:sz w:val="18"/>
                <w:szCs w:val="18"/>
                <w:color w:val="0000EE"/>
              </w:rPr>
              <w:t>Services, Inc. for Software and Professional Services, effective October 14,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4.a.5†</w:t>
            </w:r>
          </w:p>
        </w:tc>
        <w:tc>
          <w:tcPr>
            <w:tcW w:w="9620" w:type="dxa"/>
            <w:vAlign w:val="bottom"/>
            <w:tcBorders>
              <w:bottom w:val="single" w:sz="8" w:color="0000EE"/>
            </w:tcBorders>
            <w:gridSpan w:val="15"/>
          </w:tcPr>
          <w:p>
            <w:pPr>
              <w:spacing w:after="0"/>
              <w:rPr>
                <w:sz w:val="20"/>
                <w:szCs w:val="20"/>
                <w:color w:val="auto"/>
              </w:rPr>
            </w:pPr>
            <w:r>
              <w:rPr>
                <w:rFonts w:ascii="Arial" w:cs="Arial" w:eastAsia="Arial" w:hAnsi="Arial"/>
                <w:sz w:val="18"/>
                <w:szCs w:val="18"/>
                <w:color w:val="0000EE"/>
                <w:w w:val="90"/>
              </w:rPr>
              <w:t>Tenth Amendment to the Restated and Amended Master Services and Software License Agreement between Amdocs, Inc. and AT&amp;T</w:t>
            </w:r>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780" w:type="dxa"/>
            <w:vAlign w:val="bottom"/>
            <w:gridSpan w:val="19"/>
          </w:tcPr>
          <w:p>
            <w:pPr>
              <w:spacing w:after="0" w:line="196" w:lineRule="exact"/>
              <w:rPr>
                <w:sz w:val="20"/>
                <w:szCs w:val="20"/>
                <w:color w:val="auto"/>
              </w:rPr>
            </w:pPr>
            <w:r>
              <w:rPr>
                <w:rFonts w:ascii="Arial" w:cs="Arial" w:eastAsia="Arial" w:hAnsi="Arial"/>
                <w:sz w:val="18"/>
                <w:szCs w:val="18"/>
                <w:color w:val="0000EE"/>
              </w:rPr>
              <w:t>Services, Inc. for Software and Professional Services, effective October 14, 2021</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4.b</w:t>
            </w:r>
          </w:p>
        </w:tc>
        <w:tc>
          <w:tcPr>
            <w:tcW w:w="8900" w:type="dxa"/>
            <w:vAlign w:val="bottom"/>
            <w:tcBorders>
              <w:bottom w:val="single" w:sz="8" w:color="0000EE"/>
            </w:tcBorders>
            <w:gridSpan w:val="9"/>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Amdocs Limited 1998 Stock Option and Incentive Plan, as amended (incorporated by reference to Exhibit 99.1 to Amdocs’</w:t>
              </w:r>
            </w:hyperlink>
          </w:p>
        </w:tc>
        <w:tc>
          <w:tcPr>
            <w:tcW w:w="88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454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Registration Statement on Form S-8, filed on August 17, 2020)</w:t>
              </w:r>
            </w:hyperlink>
          </w:p>
        </w:tc>
        <w:tc>
          <w:tcPr>
            <w:tcW w:w="524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4.c</w:t>
            </w:r>
          </w:p>
        </w:tc>
        <w:tc>
          <w:tcPr>
            <w:tcW w:w="9540" w:type="dxa"/>
            <w:vAlign w:val="bottom"/>
            <w:tcBorders>
              <w:bottom w:val="single" w:sz="8" w:color="0000EE"/>
            </w:tcBorders>
            <w:gridSpan w:val="12"/>
          </w:tcPr>
          <w:p>
            <w:pPr>
              <w:spacing w:after="0"/>
              <w:rPr>
                <w:rFonts w:ascii="Arial" w:cs="Arial" w:eastAsia="Arial" w:hAnsi="Arial"/>
                <w:sz w:val="18"/>
                <w:szCs w:val="18"/>
                <w:color w:val="0000EE"/>
                <w:w w:val="90"/>
              </w:rPr>
            </w:pPr>
            <w:hyperlink r:id="rId103">
              <w:r>
                <w:rPr>
                  <w:rFonts w:ascii="Arial" w:cs="Arial" w:eastAsia="Arial" w:hAnsi="Arial"/>
                  <w:sz w:val="18"/>
                  <w:szCs w:val="18"/>
                  <w:color w:val="0000EE"/>
                  <w:w w:val="90"/>
                </w:rPr>
                <w:t>Third Amended and Restated Credit Agreement, dated as of March 19, 2021, among Amdocs Limited, certain of its subsidiaries, the</w:t>
              </w:r>
            </w:hyperlink>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68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lenders from time to time party thereto, JPMorgan Chase Bank, N.A., as administrative agent (incorporated by reference to Exhibit 4.c</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780" w:type="dxa"/>
            <w:vAlign w:val="bottom"/>
            <w:gridSpan w:val="19"/>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to Amdocs’ Annual Report on Form 20-F, filed December 9, 2021)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4820" w:type="dxa"/>
            <w:vAlign w:val="bottom"/>
            <w:gridSpan w:val="3"/>
            <w:shd w:val="clear" w:color="auto" w:fill="0000EE"/>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tcPr>
          <w:p>
            <w:pPr>
              <w:spacing w:after="0"/>
              <w:rPr>
                <w:sz w:val="20"/>
                <w:szCs w:val="20"/>
                <w:color w:val="auto"/>
              </w:rPr>
            </w:pPr>
            <w:r>
              <w:rPr>
                <w:rFonts w:ascii="Arial" w:cs="Arial" w:eastAsia="Arial" w:hAnsi="Arial"/>
                <w:sz w:val="18"/>
                <w:szCs w:val="18"/>
                <w:color w:val="auto"/>
              </w:rPr>
              <w:t>4.c.1</w:t>
            </w:r>
          </w:p>
        </w:tc>
        <w:tc>
          <w:tcPr>
            <w:tcW w:w="9440" w:type="dxa"/>
            <w:vAlign w:val="bottom"/>
            <w:tcBorders>
              <w:bottom w:val="single" w:sz="8" w:color="0000EE"/>
            </w:tcBorders>
            <w:gridSpan w:val="11"/>
          </w:tcPr>
          <w:p>
            <w:pPr>
              <w:spacing w:after="0"/>
              <w:rPr>
                <w:rFonts w:ascii="Arial" w:cs="Arial" w:eastAsia="Arial" w:hAnsi="Arial"/>
                <w:sz w:val="18"/>
                <w:szCs w:val="18"/>
                <w:color w:val="0000EE"/>
                <w:w w:val="90"/>
              </w:rPr>
            </w:pPr>
            <w:hyperlink r:id="rId104">
              <w:r>
                <w:rPr>
                  <w:rFonts w:ascii="Arial" w:cs="Arial" w:eastAsia="Arial" w:hAnsi="Arial"/>
                  <w:sz w:val="18"/>
                  <w:szCs w:val="18"/>
                  <w:color w:val="0000EE"/>
                  <w:w w:val="90"/>
                </w:rPr>
                <w:t>First Amendment to the Third Amended and Restated Credit Agreement, dated as of November 23, 2021, among Amdocs Limited,</w:t>
              </w:r>
            </w:hyperlink>
          </w:p>
        </w:tc>
        <w:tc>
          <w:tcPr>
            <w:tcW w:w="3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86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04">
              <w:r>
                <w:rPr>
                  <w:rFonts w:ascii="Arial" w:cs="Arial" w:eastAsia="Arial" w:hAnsi="Arial"/>
                  <w:sz w:val="18"/>
                  <w:szCs w:val="18"/>
                  <w:color w:val="0000EE"/>
                  <w:w w:val="90"/>
                </w:rPr>
                <w:t>certain of its subsidiaries, the lenders from time to time party thereto, JPMorgan Chase Bank, N.A., as administrative agent</w:t>
              </w:r>
            </w:hyperlink>
          </w:p>
        </w:tc>
        <w:tc>
          <w:tcPr>
            <w:tcW w:w="9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9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(incorporated by reference to Exhibit 4.c.1 to Amdocs’ Annual Report on Form 20-F, filed December 9, 2021)</w:t>
              </w:r>
            </w:hyperlink>
          </w:p>
        </w:tc>
        <w:tc>
          <w:tcPr>
            <w:tcW w:w="18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left="1340" w:hanging="1044"/>
        <w:spacing w:after="0"/>
        <w:tabs>
          <w:tab w:leader="none" w:pos="13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0000EE"/>
        </w:rPr>
        <w:t>Subsidiaries of Amdocs Limited</w:t>
      </w:r>
    </w:p>
    <w:p>
      <w:pPr>
        <w:spacing w:after="0" w:line="10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12.1</w:t>
            </w:r>
          </w:p>
        </w:tc>
        <w:tc>
          <w:tcPr>
            <w:tcW w:w="560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2"/>
              </w:rPr>
              <w:t>Certification of Chief Executive Officer pursuant to Rule 13a-14(a)/15d-14(a)</w:t>
            </w:r>
          </w:p>
        </w:tc>
      </w:tr>
      <w:tr>
        <w:trPr>
          <w:trHeight w:val="304"/>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12.2</w:t>
            </w:r>
          </w:p>
        </w:tc>
        <w:tc>
          <w:tcPr>
            <w:tcW w:w="556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2"/>
              </w:rPr>
              <w:t>Certification of Chief Financial Officer pursuant to Rule 13a-14(a)/15d-14(a)</w:t>
            </w:r>
          </w:p>
        </w:tc>
        <w:tc>
          <w:tcPr>
            <w:tcW w:w="40" w:type="dxa"/>
            <w:vAlign w:val="bottom"/>
          </w:tcPr>
          <w:p>
            <w:pPr>
              <w:spacing w:after="0"/>
              <w:rPr>
                <w:sz w:val="24"/>
                <w:szCs w:val="24"/>
                <w:color w:val="auto"/>
              </w:rPr>
            </w:pPr>
          </w:p>
        </w:tc>
      </w:tr>
      <w:tr>
        <w:trPr>
          <w:trHeight w:val="304"/>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13.1</w:t>
            </w:r>
          </w:p>
        </w:tc>
        <w:tc>
          <w:tcPr>
            <w:tcW w:w="48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2"/>
              </w:rPr>
              <w:t>Certification of Chief Executive Officer pursuant to 18 U.S.C. 1350</w:t>
            </w:r>
          </w:p>
        </w:tc>
        <w:tc>
          <w:tcPr>
            <w:tcW w:w="720" w:type="dxa"/>
            <w:vAlign w:val="bottom"/>
            <w:gridSpan w:val="2"/>
          </w:tcPr>
          <w:p>
            <w:pPr>
              <w:spacing w:after="0"/>
              <w:rPr>
                <w:sz w:val="24"/>
                <w:szCs w:val="24"/>
                <w:color w:val="auto"/>
              </w:rPr>
            </w:pPr>
          </w:p>
        </w:tc>
      </w:tr>
      <w:tr>
        <w:trPr>
          <w:trHeight w:val="304"/>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13.2</w:t>
            </w:r>
          </w:p>
        </w:tc>
        <w:tc>
          <w:tcPr>
            <w:tcW w:w="5600" w:type="dxa"/>
            <w:vAlign w:val="bottom"/>
            <w:gridSpan w:val="5"/>
          </w:tcPr>
          <w:p>
            <w:pPr>
              <w:spacing w:after="0"/>
              <w:rPr>
                <w:sz w:val="20"/>
                <w:szCs w:val="20"/>
                <w:color w:val="auto"/>
              </w:rPr>
            </w:pPr>
            <w:r>
              <w:rPr>
                <w:rFonts w:ascii="Arial" w:cs="Arial" w:eastAsia="Arial" w:hAnsi="Arial"/>
                <w:sz w:val="18"/>
                <w:szCs w:val="18"/>
                <w:color w:val="0000EE"/>
              </w:rPr>
              <w:t>Certification of Chief Financial Officer pursuant to 18 U.S.C. 1350</w:t>
            </w:r>
          </w:p>
        </w:tc>
      </w:tr>
      <w:tr>
        <w:trPr>
          <w:trHeight w:val="304"/>
        </w:trPr>
        <w:tc>
          <w:tcPr>
            <w:tcW w:w="1140" w:type="dxa"/>
            <w:vAlign w:val="bottom"/>
          </w:tcPr>
          <w:p>
            <w:pPr>
              <w:jc w:val="right"/>
              <w:ind w:right="730"/>
              <w:spacing w:after="0"/>
              <w:rPr>
                <w:sz w:val="20"/>
                <w:szCs w:val="20"/>
                <w:color w:val="auto"/>
              </w:rPr>
            </w:pPr>
            <w:r>
              <w:rPr>
                <w:rFonts w:ascii="Arial" w:cs="Arial" w:eastAsia="Arial" w:hAnsi="Arial"/>
                <w:sz w:val="18"/>
                <w:szCs w:val="18"/>
                <w:color w:val="auto"/>
                <w:w w:val="85"/>
              </w:rPr>
              <w:t>14.1</w:t>
            </w:r>
          </w:p>
        </w:tc>
        <w:tc>
          <w:tcPr>
            <w:tcW w:w="482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EE"/>
              </w:rPr>
              <w:t>Consent of Ernst &amp; Young LLP</w:t>
            </w:r>
          </w:p>
        </w:tc>
        <w:tc>
          <w:tcPr>
            <w:tcW w:w="780" w:type="dxa"/>
            <w:vAlign w:val="bottom"/>
            <w:gridSpan w:val="3"/>
          </w:tcPr>
          <w:p>
            <w:pPr>
              <w:spacing w:after="0"/>
              <w:rPr>
                <w:sz w:val="24"/>
                <w:szCs w:val="24"/>
                <w:color w:val="auto"/>
              </w:rPr>
            </w:pPr>
          </w:p>
        </w:tc>
      </w:tr>
      <w:tr>
        <w:trPr>
          <w:trHeight w:val="385"/>
        </w:trPr>
        <w:tc>
          <w:tcPr>
            <w:tcW w:w="1140" w:type="dxa"/>
            <w:vAlign w:val="bottom"/>
          </w:tcPr>
          <w:p>
            <w:pPr>
              <w:spacing w:after="0"/>
              <w:rPr>
                <w:sz w:val="24"/>
                <w:szCs w:val="24"/>
                <w:color w:val="auto"/>
              </w:rPr>
            </w:pPr>
          </w:p>
        </w:tc>
        <w:tc>
          <w:tcPr>
            <w:tcW w:w="2260" w:type="dxa"/>
            <w:vAlign w:val="bottom"/>
            <w:tcBorders>
              <w:top w:val="single" w:sz="8" w:color="0000EE"/>
            </w:tcBorders>
          </w:tcPr>
          <w:p>
            <w:pPr>
              <w:spacing w:after="0"/>
              <w:rPr>
                <w:sz w:val="24"/>
                <w:szCs w:val="24"/>
                <w:color w:val="auto"/>
              </w:rPr>
            </w:pPr>
          </w:p>
        </w:tc>
        <w:tc>
          <w:tcPr>
            <w:tcW w:w="2560" w:type="dxa"/>
            <w:vAlign w:val="bottom"/>
          </w:tcPr>
          <w:p>
            <w:pPr>
              <w:jc w:val="right"/>
              <w:ind w:right="350"/>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86" w:right="4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jc w:val="center"/>
              <w:ind w:right="119"/>
              <w:spacing w:after="0"/>
              <w:rPr>
                <w:sz w:val="20"/>
                <w:szCs w:val="20"/>
                <w:color w:val="auto"/>
              </w:rPr>
            </w:pPr>
            <w:r>
              <w:rPr>
                <w:rFonts w:ascii="Arial" w:cs="Arial" w:eastAsia="Arial" w:hAnsi="Arial"/>
                <w:sz w:val="14"/>
                <w:szCs w:val="14"/>
                <w:b w:val="1"/>
                <w:bCs w:val="1"/>
                <w:color w:val="auto"/>
                <w:w w:val="94"/>
              </w:rPr>
              <w:t>Exhibit</w:t>
            </w:r>
          </w:p>
        </w:tc>
        <w:tc>
          <w:tcPr>
            <w:tcW w:w="10060" w:type="dxa"/>
            <w:vAlign w:val="bottom"/>
            <w:vMerge w:val="restart"/>
          </w:tcPr>
          <w:p>
            <w:pPr>
              <w:ind w:left="4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760" w:type="dxa"/>
            <w:vAlign w:val="bottom"/>
          </w:tcPr>
          <w:p>
            <w:pPr>
              <w:jc w:val="center"/>
              <w:ind w:right="119"/>
              <w:spacing w:after="0"/>
              <w:rPr>
                <w:sz w:val="20"/>
                <w:szCs w:val="20"/>
                <w:color w:val="auto"/>
              </w:rPr>
            </w:pPr>
            <w:r>
              <w:rPr>
                <w:rFonts w:ascii="Arial" w:cs="Arial" w:eastAsia="Arial" w:hAnsi="Arial"/>
                <w:sz w:val="14"/>
                <w:szCs w:val="14"/>
                <w:b w:val="1"/>
                <w:bCs w:val="1"/>
                <w:color w:val="auto"/>
                <w:w w:val="88"/>
              </w:rPr>
              <w:t>No.</w:t>
            </w:r>
          </w:p>
        </w:tc>
        <w:tc>
          <w:tcPr>
            <w:tcW w:w="10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5"/>
        </w:trPr>
        <w:tc>
          <w:tcPr>
            <w:tcW w:w="760" w:type="dxa"/>
            <w:vAlign w:val="bottom"/>
          </w:tcPr>
          <w:p>
            <w:pPr>
              <w:spacing w:after="0"/>
              <w:rPr>
                <w:sz w:val="20"/>
                <w:szCs w:val="20"/>
                <w:color w:val="auto"/>
              </w:rPr>
            </w:pPr>
            <w:r>
              <w:rPr>
                <w:rFonts w:ascii="Arial" w:cs="Arial" w:eastAsia="Arial" w:hAnsi="Arial"/>
                <w:sz w:val="18"/>
                <w:szCs w:val="18"/>
                <w:color w:val="auto"/>
              </w:rPr>
              <w:t>100.1</w:t>
            </w:r>
          </w:p>
        </w:tc>
        <w:tc>
          <w:tcPr>
            <w:tcW w:w="10060" w:type="dxa"/>
            <w:vAlign w:val="bottom"/>
          </w:tcPr>
          <w:p>
            <w:pPr>
              <w:ind w:left="240"/>
              <w:spacing w:after="0"/>
              <w:rPr>
                <w:sz w:val="20"/>
                <w:szCs w:val="20"/>
                <w:color w:val="auto"/>
              </w:rPr>
            </w:pPr>
            <w:r>
              <w:rPr>
                <w:rFonts w:ascii="Arial" w:cs="Arial" w:eastAsia="Arial" w:hAnsi="Arial"/>
                <w:sz w:val="18"/>
                <w:szCs w:val="18"/>
                <w:color w:val="auto"/>
                <w:w w:val="96"/>
              </w:rPr>
              <w:t>The following financial information from Amdocs Limited’s Annual Report on Form 20-F for the year ended September 30, 2022,</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60" w:type="dxa"/>
            <w:vAlign w:val="bottom"/>
          </w:tcPr>
          <w:p>
            <w:pPr>
              <w:ind w:left="240"/>
              <w:spacing w:after="0"/>
              <w:rPr>
                <w:sz w:val="20"/>
                <w:szCs w:val="20"/>
                <w:color w:val="auto"/>
              </w:rPr>
            </w:pPr>
            <w:r>
              <w:rPr>
                <w:rFonts w:ascii="Arial" w:cs="Arial" w:eastAsia="Arial" w:hAnsi="Arial"/>
                <w:sz w:val="18"/>
                <w:szCs w:val="18"/>
                <w:color w:val="auto"/>
                <w:w w:val="90"/>
              </w:rPr>
              <w:t>formatted in Extensible Business Reporting Language (XBRL): (i) Consolidated Balance Sheets as of September 30, 2022 and 2021, (ii)</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60" w:type="dxa"/>
            <w:vAlign w:val="bottom"/>
          </w:tcPr>
          <w:p>
            <w:pPr>
              <w:ind w:left="240"/>
              <w:spacing w:after="0"/>
              <w:rPr>
                <w:sz w:val="20"/>
                <w:szCs w:val="20"/>
                <w:color w:val="auto"/>
              </w:rPr>
            </w:pPr>
            <w:r>
              <w:rPr>
                <w:rFonts w:ascii="Arial" w:cs="Arial" w:eastAsia="Arial" w:hAnsi="Arial"/>
                <w:sz w:val="18"/>
                <w:szCs w:val="18"/>
                <w:color w:val="auto"/>
                <w:w w:val="97"/>
              </w:rPr>
              <w:t>Consolidated Statements of Income for the years ended September 30, 2022, 2021 and 2020, (iii) Consolidated Statements of</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60" w:type="dxa"/>
            <w:vAlign w:val="bottom"/>
          </w:tcPr>
          <w:p>
            <w:pPr>
              <w:ind w:left="240"/>
              <w:spacing w:after="0"/>
              <w:rPr>
                <w:sz w:val="20"/>
                <w:szCs w:val="20"/>
                <w:color w:val="auto"/>
              </w:rPr>
            </w:pPr>
            <w:r>
              <w:rPr>
                <w:rFonts w:ascii="Arial" w:cs="Arial" w:eastAsia="Arial" w:hAnsi="Arial"/>
                <w:sz w:val="18"/>
                <w:szCs w:val="18"/>
                <w:color w:val="auto"/>
                <w:w w:val="90"/>
              </w:rPr>
              <w:t>Comprehensive Income for the years ended September 30, 2022, 2021 and 2020, (iv) Consolidated Statements of Changes in Equity for</w:t>
            </w:r>
          </w:p>
        </w:tc>
        <w:tc>
          <w:tcPr>
            <w:tcW w:w="0" w:type="dxa"/>
            <w:vAlign w:val="bottom"/>
          </w:tcPr>
          <w:p>
            <w:pPr>
              <w:spacing w:after="0"/>
              <w:rPr>
                <w:sz w:val="1"/>
                <w:szCs w:val="1"/>
                <w:color w:val="auto"/>
              </w:rPr>
            </w:pPr>
          </w:p>
        </w:tc>
      </w:tr>
      <w:tr>
        <w:trPr>
          <w:trHeight w:val="216"/>
        </w:trPr>
        <w:tc>
          <w:tcPr>
            <w:tcW w:w="760" w:type="dxa"/>
            <w:vAlign w:val="bottom"/>
          </w:tcPr>
          <w:p>
            <w:pPr>
              <w:spacing w:after="0"/>
              <w:rPr>
                <w:sz w:val="18"/>
                <w:szCs w:val="18"/>
                <w:color w:val="auto"/>
              </w:rPr>
            </w:pPr>
          </w:p>
        </w:tc>
        <w:tc>
          <w:tcPr>
            <w:tcW w:w="10060" w:type="dxa"/>
            <w:vAlign w:val="bottom"/>
          </w:tcPr>
          <w:p>
            <w:pPr>
              <w:ind w:left="240"/>
              <w:spacing w:after="0"/>
              <w:rPr>
                <w:sz w:val="20"/>
                <w:szCs w:val="20"/>
                <w:color w:val="auto"/>
              </w:rPr>
            </w:pPr>
            <w:r>
              <w:rPr>
                <w:rFonts w:ascii="Arial" w:cs="Arial" w:eastAsia="Arial" w:hAnsi="Arial"/>
                <w:sz w:val="18"/>
                <w:szCs w:val="18"/>
                <w:color w:val="auto"/>
                <w:w w:val="96"/>
              </w:rPr>
              <w:t>the fiscal years ended September 30, 2022, 2021 and 2020, (v) the Consolidated Statements of Cash Flows for the years ended</w:t>
            </w:r>
          </w:p>
        </w:tc>
        <w:tc>
          <w:tcPr>
            <w:tcW w:w="0" w:type="dxa"/>
            <w:vAlign w:val="bottom"/>
          </w:tcPr>
          <w:p>
            <w:pPr>
              <w:spacing w:after="0"/>
              <w:rPr>
                <w:sz w:val="1"/>
                <w:szCs w:val="1"/>
                <w:color w:val="auto"/>
              </w:rPr>
            </w:pPr>
          </w:p>
        </w:tc>
      </w:tr>
      <w:tr>
        <w:trPr>
          <w:trHeight w:val="230"/>
        </w:trPr>
        <w:tc>
          <w:tcPr>
            <w:tcW w:w="760" w:type="dxa"/>
            <w:vAlign w:val="bottom"/>
          </w:tcPr>
          <w:p>
            <w:pPr>
              <w:spacing w:after="0"/>
              <w:rPr>
                <w:sz w:val="20"/>
                <w:szCs w:val="20"/>
                <w:color w:val="auto"/>
              </w:rPr>
            </w:pPr>
          </w:p>
        </w:tc>
        <w:tc>
          <w:tcPr>
            <w:tcW w:w="10060" w:type="dxa"/>
            <w:vAlign w:val="bottom"/>
          </w:tcPr>
          <w:p>
            <w:pPr>
              <w:ind w:left="240"/>
              <w:spacing w:after="0"/>
              <w:rPr>
                <w:sz w:val="20"/>
                <w:szCs w:val="20"/>
                <w:color w:val="auto"/>
              </w:rPr>
            </w:pPr>
            <w:r>
              <w:rPr>
                <w:rFonts w:ascii="Arial" w:cs="Arial" w:eastAsia="Arial" w:hAnsi="Arial"/>
                <w:sz w:val="18"/>
                <w:szCs w:val="18"/>
                <w:color w:val="auto"/>
                <w:w w:val="94"/>
              </w:rPr>
              <w:t>September 30, 2022, 2021 and 2020, (vi) Notes to Consolidated Financial Statements, and (vii) Valuation and Qualifying Accounts</w:t>
            </w:r>
          </w:p>
        </w:tc>
        <w:tc>
          <w:tcPr>
            <w:tcW w:w="0" w:type="dxa"/>
            <w:vAlign w:val="bottom"/>
          </w:tcPr>
          <w:p>
            <w:pPr>
              <w:spacing w:after="0"/>
              <w:rPr>
                <w:sz w:val="1"/>
                <w:szCs w:val="1"/>
                <w:color w:val="auto"/>
              </w:rPr>
            </w:pPr>
          </w:p>
        </w:tc>
      </w:tr>
      <w:tr>
        <w:trPr>
          <w:trHeight w:val="324"/>
        </w:trPr>
        <w:tc>
          <w:tcPr>
            <w:tcW w:w="760" w:type="dxa"/>
            <w:vAlign w:val="bottom"/>
          </w:tcPr>
          <w:p>
            <w:pPr>
              <w:spacing w:after="0"/>
              <w:rPr>
                <w:sz w:val="20"/>
                <w:szCs w:val="20"/>
                <w:color w:val="auto"/>
              </w:rPr>
            </w:pPr>
            <w:r>
              <w:rPr>
                <w:rFonts w:ascii="Arial" w:cs="Arial" w:eastAsia="Arial" w:hAnsi="Arial"/>
                <w:sz w:val="18"/>
                <w:szCs w:val="18"/>
                <w:color w:val="auto"/>
              </w:rPr>
              <w:t>104</w:t>
            </w:r>
          </w:p>
        </w:tc>
        <w:tc>
          <w:tcPr>
            <w:tcW w:w="10060" w:type="dxa"/>
            <w:vAlign w:val="bottom"/>
          </w:tcPr>
          <w:p>
            <w:pPr>
              <w:ind w:left="240"/>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line="277"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Certain information has been excluded from the exhibit because it is both (i) not material and (ii) is the type that the registrant treats as private or confidential.</w:t>
      </w:r>
    </w:p>
    <w:p>
      <w:pPr>
        <w:spacing w:after="0" w:line="10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980"/>
          </w:cols>
          <w:pgMar w:left="320" w:top="486" w:right="59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Title: Secretary and Authorized Signatory</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December 13, 2022</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360"/>
          </w:cols>
          <w:pgMar w:left="320" w:top="486" w:right="121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82"/>
        </w:trPr>
        <w:tc>
          <w:tcPr>
            <w:tcW w:w="10560" w:type="dxa"/>
            <w:vAlign w:val="bottom"/>
            <w:gridSpan w:val="11"/>
            <w:vMerge w:val="continue"/>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4900" w:type="dxa"/>
            <w:vAlign w:val="bottom"/>
            <w:tcBorders>
              <w:bottom w:val="single" w:sz="8" w:color="0000EE"/>
            </w:tcBorders>
            <w:gridSpan w:val="4"/>
          </w:tcPr>
          <w:p>
            <w:pPr>
              <w:spacing w:after="0" w:line="190" w:lineRule="exact"/>
              <w:rPr>
                <w:sz w:val="20"/>
                <w:szCs w:val="20"/>
                <w:color w:val="auto"/>
              </w:rPr>
            </w:pPr>
            <w:r>
              <w:rPr>
                <w:rFonts w:ascii="Arial" w:cs="Arial" w:eastAsia="Arial" w:hAnsi="Arial"/>
                <w:sz w:val="18"/>
                <w:szCs w:val="18"/>
                <w:color w:val="0000EE"/>
                <w:w w:val="91"/>
              </w:rPr>
              <w:t>Management’s Report on Internal Control Over Financial Reporting</w:t>
            </w:r>
          </w:p>
        </w:tc>
        <w:tc>
          <w:tcPr>
            <w:tcW w:w="5300" w:type="dxa"/>
            <w:vAlign w:val="bottom"/>
            <w:gridSpan w:val="6"/>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0"/>
          </w:tcPr>
          <w:p>
            <w:pPr>
              <w:spacing w:after="0" w:line="196" w:lineRule="exact"/>
              <w:rPr>
                <w:sz w:val="20"/>
                <w:szCs w:val="20"/>
                <w:color w:val="auto"/>
              </w:rPr>
            </w:pPr>
            <w:r>
              <w:rPr>
                <w:rFonts w:ascii="Arial" w:cs="Arial" w:eastAsia="Arial" w:hAnsi="Arial"/>
                <w:sz w:val="18"/>
                <w:szCs w:val="18"/>
                <w:color w:val="0000EE"/>
              </w:rPr>
              <w:t>Reports of Independent Registered Public Accounting Firm (PCAOB ID Number:42)</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680" w:type="dxa"/>
            <w:vAlign w:val="bottom"/>
            <w:tcBorders>
              <w:top w:val="single" w:sz="8" w:color="0000EE"/>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88"/>
              </w:rPr>
              <w:t>Consolidated Balance Sheets as of September 30, 2022 and 2021</w:t>
            </w:r>
          </w:p>
        </w:tc>
        <w:tc>
          <w:tcPr>
            <w:tcW w:w="1460" w:type="dxa"/>
            <w:vAlign w:val="bottom"/>
            <w:tcBorders>
              <w:top w:val="single" w:sz="8" w:color="0000EE"/>
            </w:tcBorders>
            <w:gridSpan w:val="2"/>
          </w:tcPr>
          <w:p>
            <w:pPr>
              <w:spacing w:after="0"/>
              <w:rPr>
                <w:sz w:val="17"/>
                <w:szCs w:val="17"/>
                <w:color w:val="auto"/>
              </w:rPr>
            </w:pPr>
          </w:p>
        </w:tc>
        <w:tc>
          <w:tcPr>
            <w:tcW w:w="4060" w:type="dxa"/>
            <w:vAlign w:val="bottom"/>
            <w:gridSpan w:val="5"/>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0"/>
          </w:tcPr>
          <w:p>
            <w:pPr>
              <w:spacing w:after="0" w:line="196" w:lineRule="exact"/>
              <w:rPr>
                <w:sz w:val="20"/>
                <w:szCs w:val="20"/>
                <w:color w:val="auto"/>
              </w:rPr>
            </w:pPr>
            <w:r>
              <w:rPr>
                <w:rFonts w:ascii="Arial" w:cs="Arial" w:eastAsia="Arial" w:hAnsi="Arial"/>
                <w:sz w:val="18"/>
                <w:szCs w:val="18"/>
                <w:color w:val="0000EE"/>
              </w:rPr>
              <w:t>Consolidated Statements of Income for the fiscal years ended September 30, 2022, 2021 and 2020</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Consolidated Statements of Comprehensive Income for the fiscal years ended September 30, 2022, 2021 and 2020</w:t>
            </w:r>
          </w:p>
        </w:tc>
        <w:tc>
          <w:tcPr>
            <w:tcW w:w="19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860" w:type="dxa"/>
            <w:vAlign w:val="bottom"/>
            <w:tcBorders>
              <w:bottom w:val="single" w:sz="8" w:color="0000EE"/>
            </w:tcBorders>
            <w:gridSpan w:val="8"/>
          </w:tcPr>
          <w:p>
            <w:pPr>
              <w:spacing w:after="0" w:line="196" w:lineRule="exact"/>
              <w:rPr>
                <w:sz w:val="20"/>
                <w:szCs w:val="20"/>
                <w:color w:val="auto"/>
              </w:rPr>
            </w:pPr>
            <w:r>
              <w:rPr>
                <w:rFonts w:ascii="Arial" w:cs="Arial" w:eastAsia="Arial" w:hAnsi="Arial"/>
                <w:sz w:val="18"/>
                <w:szCs w:val="18"/>
                <w:color w:val="0000EE"/>
                <w:w w:val="89"/>
              </w:rPr>
              <w:t>Consolidated Statements of Changes in Equity for the fiscal years ended September 30, 2022, 2021 and 2020</w:t>
            </w:r>
          </w:p>
        </w:tc>
        <w:tc>
          <w:tcPr>
            <w:tcW w:w="23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0"/>
          </w:tcPr>
          <w:p>
            <w:pPr>
              <w:spacing w:after="0" w:line="196" w:lineRule="exact"/>
              <w:rPr>
                <w:sz w:val="20"/>
                <w:szCs w:val="20"/>
                <w:color w:val="auto"/>
              </w:rPr>
            </w:pPr>
            <w:r>
              <w:rPr>
                <w:rFonts w:ascii="Arial" w:cs="Arial" w:eastAsia="Arial" w:hAnsi="Arial"/>
                <w:sz w:val="18"/>
                <w:szCs w:val="18"/>
                <w:color w:val="0000EE"/>
              </w:rPr>
              <w:t>Consolidated Statements of Cash Flows for the fiscal years ended September 30, 2022, 2021 and 2020</w:t>
            </w: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360" w:type="dxa"/>
            <w:vAlign w:val="bottom"/>
            <w:tcBorders>
              <w:top w:val="single" w:sz="8" w:color="0000EE"/>
            </w:tcBorders>
            <w:gridSpan w:val="7"/>
          </w:tcPr>
          <w:p>
            <w:pPr>
              <w:spacing w:after="0" w:line="196" w:lineRule="exact"/>
              <w:rPr>
                <w:sz w:val="20"/>
                <w:szCs w:val="20"/>
                <w:color w:val="auto"/>
              </w:rPr>
            </w:pPr>
            <w:r>
              <w:rPr>
                <w:rFonts w:ascii="Arial" w:cs="Arial" w:eastAsia="Arial" w:hAnsi="Arial"/>
                <w:sz w:val="18"/>
                <w:szCs w:val="18"/>
                <w:color w:val="0000EE"/>
              </w:rPr>
              <w:t>Notes to the Consolidated Financial Statements</w:t>
            </w:r>
          </w:p>
        </w:tc>
        <w:tc>
          <w:tcPr>
            <w:tcW w:w="28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56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 Schedule</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00" w:type="dxa"/>
            <w:vAlign w:val="bottom"/>
            <w:gridSpan w:val="10"/>
          </w:tcPr>
          <w:p>
            <w:pPr>
              <w:spacing w:after="0" w:line="190" w:lineRule="exact"/>
              <w:rPr>
                <w:sz w:val="20"/>
                <w:szCs w:val="20"/>
                <w:color w:val="auto"/>
              </w:rPr>
            </w:pPr>
            <w:r>
              <w:rPr>
                <w:rFonts w:ascii="Arial" w:cs="Arial" w:eastAsia="Arial" w:hAnsi="Arial"/>
                <w:sz w:val="18"/>
                <w:szCs w:val="18"/>
                <w:color w:val="0000EE"/>
              </w:rPr>
              <w:t>Valuation and Qualifying Accounts</w:t>
            </w: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F-42</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00" w:type="dxa"/>
            <w:vAlign w:val="bottom"/>
            <w:gridSpan w:val="6"/>
          </w:tcPr>
          <w:p>
            <w:pPr>
              <w:ind w:left="1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92" w:lineRule="exact"/>
        <w:rPr>
          <w:sz w:val="20"/>
          <w:szCs w:val="20"/>
          <w:color w:val="auto"/>
        </w:rPr>
      </w:pPr>
    </w:p>
    <w:p>
      <w:pPr>
        <w:ind w:left="1080" w:right="4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30, 2022. In making this assessment, the Company’s management used the criteria set forth by the Committee of Sponsoring Organizations of the Treadway Commission (2013 framework) in Internal Control-Integrated Framework.</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Based on its assessment, management concluded that, as of September 30, 2022, the Company’s internal control over financial reporting is effective based on those criteria.</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86" w:right="47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and Shareholders of Amdocs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We have audited the accompanying consolidated balance sheets of Amdocs Limited (the “Company”) as of September 30, 2022 and 2021, the related consolidated statements of income, comprehensive income, changes in equity and cash flows for each of the three years in the period ended September 30, 2022, and the related notes and the financial statement schedule listed in the Index at Item 18 of Part III (collectively referred to as the “consolidated financial statements”). In our opinion, the consolidated financial statements present fairly, in all material respects, the financial position of the Company at September 30, 2022 and 2021, and the results of its operations and its cash flows for each of the three years in the period ended September 30, 2022, in conformity with U.S. generally accepted accounting principles.</w:t>
      </w:r>
    </w:p>
    <w:p>
      <w:pPr>
        <w:spacing w:after="0" w:line="178"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2022, based on criteria established in Internal Control-Integrated Framework issued by the Committee of Sponsoring Organizations of the Treadway Commission (2013 framework), and our report dated December 13, 2022 expressed an unqualified opinion thereon.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left="120" w:right="140"/>
        <w:spacing w:after="0" w:line="291" w:lineRule="auto"/>
        <w:rPr>
          <w:sz w:val="20"/>
          <w:szCs w:val="20"/>
          <w:color w:val="auto"/>
        </w:rPr>
      </w:pPr>
      <w:r>
        <w:rPr>
          <w:rFonts w:ascii="Arial" w:cs="Arial" w:eastAsia="Arial" w:hAnsi="Arial"/>
          <w:sz w:val="16"/>
          <w:szCs w:val="16"/>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w:t>
      </w:r>
    </w:p>
    <w:p>
      <w:pPr>
        <w:ind w:left="120" w:right="300" w:hanging="4"/>
        <w:spacing w:after="0" w:line="255" w:lineRule="auto"/>
        <w:tabs>
          <w:tab w:leader="none" w:pos="3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320" w:top="486" w:right="47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recognition for projects</w:t>
      </w:r>
    </w:p>
    <w:p>
      <w:pPr>
        <w:spacing w:after="0" w:line="131" w:lineRule="exact"/>
        <w:rPr>
          <w:sz w:val="20"/>
          <w:szCs w:val="20"/>
          <w:color w:val="auto"/>
        </w:rPr>
      </w:pPr>
    </w:p>
    <w:p>
      <w:pPr>
        <w:ind w:left="120"/>
        <w:spacing w:after="0"/>
        <w:tabs>
          <w:tab w:leader="none" w:pos="19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 2 to the consolidated financial statements, the Company’s software solutions usually require significant</w:t>
      </w:r>
    </w:p>
    <w:p>
      <w:pPr>
        <w:spacing w:after="0" w:line="23" w:lineRule="exact"/>
        <w:rPr>
          <w:sz w:val="20"/>
          <w:szCs w:val="20"/>
          <w:color w:val="auto"/>
        </w:rPr>
      </w:pPr>
    </w:p>
    <w:p>
      <w:pPr>
        <w:ind w:left="2000" w:right="80" w:hanging="1879"/>
        <w:spacing w:after="0" w:line="323" w:lineRule="auto"/>
        <w:tabs>
          <w:tab w:leader="none" w:pos="1980" w:val="left"/>
        </w:tabs>
        <w:rPr>
          <w:sz w:val="20"/>
          <w:szCs w:val="20"/>
          <w:color w:val="auto"/>
        </w:rPr>
      </w:pPr>
      <w:r>
        <w:rPr>
          <w:rFonts w:ascii="Arial" w:cs="Arial" w:eastAsia="Arial" w:hAnsi="Arial"/>
          <w:sz w:val="16"/>
          <w:szCs w:val="16"/>
          <w:i w:val="1"/>
          <w:iCs w:val="1"/>
          <w:color w:val="auto"/>
        </w:rPr>
        <w:t>Matter</w:t>
      </w:r>
      <w:r>
        <w:rPr>
          <w:sz w:val="20"/>
          <w:szCs w:val="20"/>
          <w:color w:val="auto"/>
        </w:rPr>
        <w:tab/>
      </w:r>
      <w:r>
        <w:rPr>
          <w:rFonts w:ascii="Arial" w:cs="Arial" w:eastAsia="Arial" w:hAnsi="Arial"/>
          <w:sz w:val="16"/>
          <w:szCs w:val="16"/>
          <w:color w:val="auto"/>
        </w:rPr>
        <w:t>customization, modification, implementation and integration. As a result, a significant portion of the Company’s project revenue is recognized over time, based on the percentage that incurred labor effort to date bears to total projected labor effort.</w:t>
      </w:r>
    </w:p>
    <w:p>
      <w:pPr>
        <w:spacing w:after="0" w:line="44" w:lineRule="exact"/>
        <w:rPr>
          <w:sz w:val="20"/>
          <w:szCs w:val="20"/>
          <w:color w:val="auto"/>
        </w:rPr>
      </w:pPr>
    </w:p>
    <w:p>
      <w:pPr>
        <w:ind w:left="2000" w:right="160"/>
        <w:spacing w:after="0" w:line="275" w:lineRule="auto"/>
        <w:rPr>
          <w:sz w:val="20"/>
          <w:szCs w:val="20"/>
          <w:color w:val="auto"/>
        </w:rPr>
      </w:pPr>
      <w:r>
        <w:rPr>
          <w:rFonts w:ascii="Arial" w:cs="Arial" w:eastAsia="Arial" w:hAnsi="Arial"/>
          <w:sz w:val="17"/>
          <w:szCs w:val="17"/>
          <w:color w:val="auto"/>
        </w:rPr>
        <w:t>Auditing the recognition of the Company’s project revenue was especially subjective and complex because of the significant estimation required by management to determine the total projected labor effort to complete a project. Determining the estimate of labor effort requires the knowledge of project-specific details, including the specific terms and conditions of the contract, remaining performance obligations, changes to the project schedule, and complexity of the project. Changes in this estimate can have a material effect on the timing of revenue recognition.</w:t>
      </w:r>
    </w:p>
    <w:p>
      <w:pPr>
        <w:spacing w:after="0" w:line="82" w:lineRule="exact"/>
        <w:rPr>
          <w:sz w:val="20"/>
          <w:szCs w:val="20"/>
          <w:color w:val="auto"/>
        </w:rPr>
      </w:pPr>
    </w:p>
    <w:p>
      <w:pPr>
        <w:ind w:left="120"/>
        <w:spacing w:after="0"/>
        <w:tabs>
          <w:tab w:leader="none" w:pos="198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projected labor</w:t>
      </w:r>
    </w:p>
    <w:p>
      <w:pPr>
        <w:spacing w:after="0" w:line="23" w:lineRule="exact"/>
        <w:rPr>
          <w:sz w:val="20"/>
          <w:szCs w:val="20"/>
          <w:color w:val="auto"/>
        </w:rPr>
      </w:pPr>
    </w:p>
    <w:p>
      <w:pPr>
        <w:ind w:left="2000" w:right="140" w:hanging="1875"/>
        <w:spacing w:after="0" w:line="295" w:lineRule="auto"/>
        <w:tabs>
          <w:tab w:leader="none" w:pos="198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6"/>
          <w:szCs w:val="16"/>
          <w:color w:val="auto"/>
        </w:rPr>
        <w:t>effort estimation process. For example, for a sample of projects, we tested controls over management’s review of the initial estimate of total projected labor effort to complete a project, as well as the ongoing evaluation of those estimates through the life of the project. Additionally, for a sample of completed projects, we tested the retrospective review controls performed by management to assess the reasonableness of the estimated labor effort throughout the life of the project.</w:t>
      </w:r>
    </w:p>
    <w:p>
      <w:pPr>
        <w:spacing w:after="0" w:line="67" w:lineRule="exact"/>
        <w:rPr>
          <w:sz w:val="20"/>
          <w:szCs w:val="20"/>
          <w:color w:val="auto"/>
        </w:rPr>
      </w:pPr>
    </w:p>
    <w:p>
      <w:pPr>
        <w:ind w:left="2000"/>
        <w:spacing w:after="0" w:line="289" w:lineRule="auto"/>
        <w:rPr>
          <w:sz w:val="20"/>
          <w:szCs w:val="20"/>
          <w:color w:val="auto"/>
        </w:rPr>
      </w:pPr>
      <w:r>
        <w:rPr>
          <w:rFonts w:ascii="Arial" w:cs="Arial" w:eastAsia="Arial" w:hAnsi="Arial"/>
          <w:sz w:val="16"/>
          <w:szCs w:val="16"/>
          <w:color w:val="auto"/>
        </w:rPr>
        <w:t>Our audit procedures included, among others, evaluating the significant assumptions and the accuracy and completeness of the underlying data used in management’s estimate. For example, for a sample of contracts, we tested management’s estimate of total projected labor effort through a combination of analytical procedures, such as comparison of the estimated labor effort period over period and inspection of contracts to understand the specific terms and conditions as well as the remaining obligations in the contract. For a sample of projects, we also met with various executives throughout the organization, including project managers, to obtain an understanding of project status and other factors considered in developing the estimate of projected labor effort including project challenges, completed milestones, customer change orders and delays. In addition, we performed a retrospective review of actual labor effort incurred compared to previously estimated projected labor effort to evaluate management’s historical ability to accurately estimate projected labor effort.</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left="120"/>
        <w:spacing w:after="0"/>
        <w:tabs>
          <w:tab w:leader="none" w:pos="1980" w:val="left"/>
        </w:tabs>
        <w:rPr>
          <w:sz w:val="20"/>
          <w:szCs w:val="20"/>
          <w:color w:val="auto"/>
        </w:rPr>
      </w:pPr>
      <w:r>
        <w:rPr>
          <w:rFonts w:ascii="Arial" w:cs="Arial" w:eastAsia="Arial" w:hAnsi="Arial"/>
          <w:sz w:val="18"/>
          <w:szCs w:val="18"/>
          <w:i w:val="1"/>
          <w:iCs w:val="1"/>
          <w:color w:val="auto"/>
        </w:rPr>
        <w:t>Description of the</w:t>
      </w:r>
      <w:r>
        <w:rPr>
          <w:sz w:val="20"/>
          <w:szCs w:val="20"/>
          <w:color w:val="auto"/>
        </w:rPr>
        <w:tab/>
      </w:r>
      <w:r>
        <w:rPr>
          <w:rFonts w:ascii="Arial" w:cs="Arial" w:eastAsia="Arial" w:hAnsi="Arial"/>
          <w:sz w:val="16"/>
          <w:szCs w:val="16"/>
          <w:color w:val="auto"/>
        </w:rPr>
        <w:t>As discussed in Notes 2 and 10 to the consolidated financial statements, the Company operates in a multinational tax</w:t>
      </w:r>
    </w:p>
    <w:p>
      <w:pPr>
        <w:spacing w:after="0" w:line="23" w:lineRule="exact"/>
        <w:rPr>
          <w:sz w:val="20"/>
          <w:szCs w:val="20"/>
          <w:color w:val="auto"/>
        </w:rPr>
      </w:pPr>
    </w:p>
    <w:p>
      <w:pPr>
        <w:ind w:left="2000" w:right="100" w:hanging="1879"/>
        <w:spacing w:after="0" w:line="253" w:lineRule="auto"/>
        <w:tabs>
          <w:tab w:leader="none" w:pos="1980" w:val="left"/>
        </w:tabs>
        <w:rPr>
          <w:sz w:val="20"/>
          <w:szCs w:val="20"/>
          <w:color w:val="auto"/>
        </w:rPr>
      </w:pPr>
      <w:r>
        <w:rPr>
          <w:rFonts w:ascii="Arial" w:cs="Arial" w:eastAsia="Arial" w:hAnsi="Arial"/>
          <w:sz w:val="18"/>
          <w:szCs w:val="18"/>
          <w:i w:val="1"/>
          <w:iCs w:val="1"/>
          <w:color w:val="auto"/>
        </w:rPr>
        <w:t>Matter</w:t>
      </w:r>
      <w:r>
        <w:rPr>
          <w:sz w:val="20"/>
          <w:szCs w:val="20"/>
          <w:color w:val="auto"/>
        </w:rPr>
        <w:tab/>
      </w:r>
      <w:r>
        <w:rPr>
          <w:rFonts w:ascii="Arial" w:cs="Arial" w:eastAsia="Arial" w:hAnsi="Arial"/>
          <w:sz w:val="18"/>
          <w:szCs w:val="18"/>
          <w:color w:val="auto"/>
        </w:rPr>
        <w:t>environment and is subject to tax treaty provisions and transfer pricing guidelines for intercompany transactions. The Company uses significant judgment to (1) determine whether, based on the technical merits, a tax position is more likely than not to be sustained and (2) measure the amount of tax benefit that qualifies for recognition. As of September 30, 2022, the total amount of unrecognized tax benefits for uncertain tax positions was $213 million.</w:t>
      </w:r>
    </w:p>
    <w:p>
      <w:pPr>
        <w:spacing w:after="0" w:line="98" w:lineRule="exact"/>
        <w:rPr>
          <w:sz w:val="20"/>
          <w:szCs w:val="20"/>
          <w:color w:val="auto"/>
        </w:rPr>
      </w:pPr>
    </w:p>
    <w:p>
      <w:pPr>
        <w:ind w:left="2000" w:right="180"/>
        <w:spacing w:after="0" w:line="293" w:lineRule="auto"/>
        <w:rPr>
          <w:sz w:val="20"/>
          <w:szCs w:val="20"/>
          <w:color w:val="auto"/>
        </w:rPr>
      </w:pPr>
      <w:r>
        <w:rPr>
          <w:rFonts w:ascii="Arial" w:cs="Arial" w:eastAsia="Arial" w:hAnsi="Arial"/>
          <w:sz w:val="16"/>
          <w:szCs w:val="16"/>
          <w:color w:val="auto"/>
        </w:rPr>
        <w:t>Auditing management’s analysis of the Company’s uncertain tax positions was especially subjective and complex due to the significant judgments made by management to determine the provisions for tax uncertainties. These provisions are based on interpretations of complex tax laws and legal rulings across various jurisdictions in which the Company operates and the determination of arm’s length pricing for certain intercompany transactions. The assumptions underlying the provisions for uncertain tax positions include the potential tax exposure resulting from management’s interpretations and the determination of the cumulative probability that the uncertain tax position will be upheld upon regulatory examination.</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20"/>
          </w:cols>
          <w:pgMar w:left="320" w:top="486" w:right="4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tabs>
          <w:tab w:leader="none" w:pos="1980" w:val="left"/>
        </w:tabs>
        <w:rPr>
          <w:sz w:val="20"/>
          <w:szCs w:val="20"/>
          <w:color w:val="auto"/>
        </w:rPr>
      </w:pPr>
      <w:r>
        <w:rPr>
          <w:rFonts w:ascii="Arial" w:cs="Arial" w:eastAsia="Arial" w:hAnsi="Arial"/>
          <w:sz w:val="18"/>
          <w:szCs w:val="18"/>
          <w:i w:val="1"/>
          <w:iCs w:val="1"/>
          <w:color w:val="auto"/>
        </w:rPr>
        <w:t>How We Addressed the</w:t>
      </w:r>
      <w:r>
        <w:rPr>
          <w:sz w:val="20"/>
          <w:szCs w:val="20"/>
          <w:color w:val="auto"/>
        </w:rPr>
        <w:tab/>
      </w:r>
      <w:r>
        <w:rPr>
          <w:rFonts w:ascii="Arial" w:cs="Arial" w:eastAsia="Arial" w:hAnsi="Arial"/>
          <w:sz w:val="16"/>
          <w:szCs w:val="16"/>
          <w:color w:val="auto"/>
        </w:rPr>
        <w:t>We obtained an understanding, evaluated the design and tested the operating effectiveness of controls over the Company’s</w:t>
      </w:r>
    </w:p>
    <w:p>
      <w:pPr>
        <w:spacing w:after="0" w:line="23" w:lineRule="exact"/>
        <w:rPr>
          <w:sz w:val="20"/>
          <w:szCs w:val="20"/>
          <w:color w:val="auto"/>
        </w:rPr>
      </w:pPr>
    </w:p>
    <w:p>
      <w:pPr>
        <w:ind w:left="2000" w:right="20" w:hanging="1875"/>
        <w:spacing w:after="0" w:line="255" w:lineRule="auto"/>
        <w:tabs>
          <w:tab w:leader="none" w:pos="1980" w:val="left"/>
        </w:tabs>
        <w:rPr>
          <w:sz w:val="20"/>
          <w:szCs w:val="20"/>
          <w:color w:val="auto"/>
        </w:rPr>
      </w:pPr>
      <w:r>
        <w:rPr>
          <w:rFonts w:ascii="Arial" w:cs="Arial" w:eastAsia="Arial" w:hAnsi="Arial"/>
          <w:sz w:val="18"/>
          <w:szCs w:val="18"/>
          <w:i w:val="1"/>
          <w:iCs w:val="1"/>
          <w:color w:val="auto"/>
        </w:rPr>
        <w:t>Matter in Our Audit</w:t>
      </w:r>
      <w:r>
        <w:rPr>
          <w:sz w:val="20"/>
          <w:szCs w:val="20"/>
          <w:color w:val="auto"/>
        </w:rPr>
        <w:tab/>
      </w:r>
      <w:r>
        <w:rPr>
          <w:rFonts w:ascii="Arial" w:cs="Arial" w:eastAsia="Arial" w:hAnsi="Arial"/>
          <w:sz w:val="18"/>
          <w:szCs w:val="18"/>
          <w:color w:val="auto"/>
        </w:rPr>
        <w:t>process to assess and review their tax positions. For example, we tested the controls over management’s review of assumptions used in the estimation calculation, including the review over existing and potential tax controversies and tax audit results, and the computation of the impact to uncertain tax positions and tax reserves.</w:t>
      </w:r>
    </w:p>
    <w:p>
      <w:pPr>
        <w:spacing w:after="0" w:line="95" w:lineRule="exact"/>
        <w:rPr>
          <w:sz w:val="20"/>
          <w:szCs w:val="20"/>
          <w:color w:val="auto"/>
        </w:rPr>
      </w:pPr>
    </w:p>
    <w:p>
      <w:pPr>
        <w:ind w:left="2000"/>
        <w:spacing w:after="0" w:line="269" w:lineRule="auto"/>
        <w:rPr>
          <w:sz w:val="20"/>
          <w:szCs w:val="20"/>
          <w:color w:val="auto"/>
        </w:rPr>
      </w:pPr>
      <w:r>
        <w:rPr>
          <w:rFonts w:ascii="Arial" w:cs="Arial" w:eastAsia="Arial" w:hAnsi="Arial"/>
          <w:sz w:val="17"/>
          <w:szCs w:val="17"/>
          <w:color w:val="auto"/>
        </w:rPr>
        <w:t>We involved our tax professionals to assist us with obtaining an understanding of the Company’s tax structure, assessing the Company’s compliance with tax laws, related developments in administrative rulings and court cases, identifying tax law changes in jurisdictions that may impact the Company’s unrecognized tax benefits and assessing the technical merits of the Company’s tax positions. We inspected the Company’s correspondence with the relevant tax authorities and evaluated income tax opinions. Our audit procedures also included, among others, evaluating the assumptions management used to develop its uncertain tax positions and related unrecognized income tax benefit amounts by jurisdiction and testing the completeness and accuracy of the underlying data used by management to calculate the uncertain tax positions. For certain tax positions related to intercompany transactions, we assessed the assumptions and pricing method used in determining arm’s length prices and the documentation to support the pricing. We also evaluated the adequacy of the Company’s financial statement disclosures related to these tax matters.</w:t>
      </w:r>
    </w:p>
    <w:p>
      <w:pPr>
        <w:spacing w:after="0" w:line="1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1988.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13, 2022</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20"/>
          </w:cols>
          <w:pgMar w:left="320" w:top="486" w:right="4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and Shareholders of Amdocs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have audited Amdocs Limited’s internal control over financial reporting as of September 30, 2022, based on criteria established in Internal Control</w:t>
      </w:r>
    </w:p>
    <w:p>
      <w:pPr>
        <w:spacing w:after="0" w:line="46"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 Integrated Framework issued by the Committee of Sponsoring Organizations of the Treadway Commission (2013 framework), (the COSO criteria). In our opinion, Amdocs Limited (the “Company”) maintained, in all material respects, effective internal control over financial reporting as of September 30, 2022, based on the COSO criteria.</w:t>
      </w:r>
    </w:p>
    <w:p>
      <w:pPr>
        <w:spacing w:after="0" w:line="190"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September 30, 2022 and 2021, the related consolidated statements of income, comprehensive income, changes in equity and cash flows for each of the three years in the period ended September 30, 2022, and the related notes and the financial statement schedule listed in the Index at Item 18 of Part III and our report dated December 13, 2022 expressed an unqualified opinion thereon.</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76" w:lineRule="exact"/>
        <w:rPr>
          <w:sz w:val="20"/>
          <w:szCs w:val="20"/>
          <w:color w:val="auto"/>
        </w:rPr>
      </w:pPr>
    </w:p>
    <w:p>
      <w:pPr>
        <w:ind w:left="120" w:right="740"/>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46" w:lineRule="exact"/>
        <w:rPr>
          <w:sz w:val="20"/>
          <w:szCs w:val="20"/>
          <w:color w:val="auto"/>
        </w:rPr>
      </w:pPr>
    </w:p>
    <w:p>
      <w:pPr>
        <w:jc w:val="both"/>
        <w:ind w:left="120" w:right="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21"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80"/>
          </w:cols>
          <w:pgMar w:left="320" w:top="486" w:right="49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13, 2022</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86" w:right="49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7"/>
          </w:tcPr>
          <w:p>
            <w:pPr>
              <w:jc w:val="right"/>
              <w:ind w:right="6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86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2022</w:t>
            </w:r>
          </w:p>
        </w:tc>
        <w:tc>
          <w:tcPr>
            <w:tcW w:w="4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ind w:left="510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573,377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709,064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244,603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256,527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946,777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866,819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238,390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235,089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2,003,147</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2,067,499</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794,287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698,768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176,884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233,162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2,662,825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2,622,644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178,312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259,032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574,938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630,669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6,390,393</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6,511,774</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428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1"/>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134,400</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121,199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612,656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612,303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personnel costs</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208,602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274,275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43,336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58,714</w:t>
            </w:r>
          </w:p>
        </w:tc>
        <w:tc>
          <w:tcPr>
            <w:tcW w:w="0" w:type="dxa"/>
            <w:vAlign w:val="bottom"/>
          </w:tcPr>
          <w:p>
            <w:pPr>
              <w:spacing w:after="0"/>
              <w:rPr>
                <w:sz w:val="1"/>
                <w:szCs w:val="1"/>
                <w:color w:val="auto"/>
              </w:rPr>
            </w:pPr>
          </w:p>
        </w:tc>
      </w:tr>
      <w:tr>
        <w:trPr>
          <w:trHeight w:val="229"/>
        </w:trPr>
        <w:tc>
          <w:tcPr>
            <w:tcW w:w="86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253,686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237,374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1,252,680</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1,303,865</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312,237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304,538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138,378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177,906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Long-term debt, net of unamortized debt issuance costs</w:t>
            </w: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645,117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644,553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481,703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445,728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680" w:type="dxa"/>
            <w:vAlign w:val="bottom"/>
            <w:tcBorders>
              <w:bottom w:val="single" w:sz="8" w:color="CCEEFF"/>
            </w:tcBorders>
            <w:vMerge w:val="continue"/>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2,830,115</w:t>
            </w:r>
          </w:p>
        </w:tc>
        <w:tc>
          <w:tcPr>
            <w:tcW w:w="4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2,876,590</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Equity:</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520"/>
              <w:spacing w:after="0" w:line="176"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gridSpan w:val="3"/>
            <w:shd w:val="clear" w:color="auto" w:fill="CCEEFF"/>
          </w:tcPr>
          <w:p>
            <w:pPr>
              <w:jc w:val="right"/>
              <w:ind w:right="24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1"/>
        </w:trPr>
        <w:tc>
          <w:tcPr>
            <w:tcW w:w="8680" w:type="dxa"/>
            <w:vAlign w:val="bottom"/>
          </w:tcPr>
          <w:p>
            <w:pPr>
              <w:ind w:left="360"/>
              <w:spacing w:after="0" w:line="161" w:lineRule="exact"/>
              <w:rPr>
                <w:sz w:val="20"/>
                <w:szCs w:val="20"/>
                <w:color w:val="auto"/>
              </w:rPr>
            </w:pPr>
            <w:r>
              <w:rPr>
                <w:rFonts w:ascii="Arial" w:cs="Arial" w:eastAsia="Arial" w:hAnsi="Arial"/>
                <w:sz w:val="18"/>
                <w:szCs w:val="18"/>
                <w:color w:val="auto"/>
                <w:w w:val="93"/>
              </w:rPr>
              <w:t>Ordinary Shares — Authorized 700,000 shares; £0.01 par value; 284,400 and 281,945 issued and 120,842 and</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680" w:type="dxa"/>
            <w:vAlign w:val="bottom"/>
          </w:tcPr>
          <w:p>
            <w:pPr>
              <w:ind w:left="540"/>
              <w:spacing w:after="0" w:line="203" w:lineRule="exact"/>
              <w:rPr>
                <w:sz w:val="20"/>
                <w:szCs w:val="20"/>
                <w:color w:val="auto"/>
              </w:rPr>
            </w:pPr>
            <w:r>
              <w:rPr>
                <w:rFonts w:ascii="Arial" w:cs="Arial" w:eastAsia="Arial" w:hAnsi="Arial"/>
                <w:sz w:val="18"/>
                <w:szCs w:val="18"/>
                <w:color w:val="auto"/>
              </w:rPr>
              <w:t>124,866 outstanding, in 2022 and 2021, respectively</w:t>
            </w:r>
          </w:p>
        </w:tc>
        <w:tc>
          <w:tcPr>
            <w:tcW w:w="100" w:type="dxa"/>
            <w:vAlign w:val="bottom"/>
          </w:tcPr>
          <w:p>
            <w:pPr>
              <w:spacing w:after="0"/>
              <w:rPr>
                <w:sz w:val="17"/>
                <w:szCs w:val="17"/>
                <w:color w:val="auto"/>
              </w:rPr>
            </w:pPr>
          </w:p>
        </w:tc>
        <w:tc>
          <w:tcPr>
            <w:tcW w:w="1220" w:type="dxa"/>
            <w:vAlign w:val="bottom"/>
            <w:gridSpan w:val="2"/>
          </w:tcPr>
          <w:p>
            <w:pPr>
              <w:jc w:val="right"/>
              <w:ind w:right="440"/>
              <w:spacing w:after="0" w:line="203" w:lineRule="exact"/>
              <w:rPr>
                <w:sz w:val="20"/>
                <w:szCs w:val="20"/>
                <w:color w:val="auto"/>
              </w:rPr>
            </w:pPr>
            <w:r>
              <w:rPr>
                <w:rFonts w:ascii="Arial" w:cs="Arial" w:eastAsia="Arial" w:hAnsi="Arial"/>
                <w:sz w:val="18"/>
                <w:szCs w:val="18"/>
                <w:color w:val="auto"/>
              </w:rPr>
              <w:t>4,548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4,516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4,105,900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3,951,201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tcPr>
          <w:p>
            <w:pPr>
              <w:ind w:left="360"/>
              <w:spacing w:after="0" w:line="176" w:lineRule="exact"/>
              <w:rPr>
                <w:sz w:val="20"/>
                <w:szCs w:val="20"/>
                <w:color w:val="auto"/>
              </w:rPr>
            </w:pPr>
            <w:r>
              <w:rPr>
                <w:rFonts w:ascii="Arial" w:cs="Arial" w:eastAsia="Arial" w:hAnsi="Arial"/>
                <w:sz w:val="18"/>
                <w:szCs w:val="18"/>
                <w:color w:val="auto"/>
              </w:rPr>
              <w:t>Treasury stock, at cost — 163,558 and 157,079 ordinary shares in 2022 and 2021, respectively</w:t>
            </w:r>
          </w:p>
        </w:tc>
        <w:tc>
          <w:tcPr>
            <w:tcW w:w="100" w:type="dxa"/>
            <w:vAlign w:val="bottom"/>
          </w:tcPr>
          <w:p>
            <w:pPr>
              <w:spacing w:after="0"/>
              <w:rPr>
                <w:sz w:val="15"/>
                <w:szCs w:val="15"/>
                <w:color w:val="auto"/>
              </w:rPr>
            </w:pPr>
          </w:p>
        </w:tc>
        <w:tc>
          <w:tcPr>
            <w:tcW w:w="1220" w:type="dxa"/>
            <w:vAlign w:val="bottom"/>
            <w:gridSpan w:val="2"/>
          </w:tcPr>
          <w:p>
            <w:pPr>
              <w:jc w:val="right"/>
              <w:ind w:right="380"/>
              <w:spacing w:after="0" w:line="176" w:lineRule="exact"/>
              <w:rPr>
                <w:sz w:val="20"/>
                <w:szCs w:val="20"/>
                <w:color w:val="auto"/>
              </w:rPr>
            </w:pPr>
            <w:r>
              <w:rPr>
                <w:rFonts w:ascii="Arial" w:cs="Arial" w:eastAsia="Arial" w:hAnsi="Arial"/>
                <w:sz w:val="18"/>
                <w:szCs w:val="18"/>
                <w:color w:val="auto"/>
                <w:w w:val="89"/>
              </w:rPr>
              <w:t>(6,731,789)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jc w:val="right"/>
              <w:ind w:right="80"/>
              <w:spacing w:after="0" w:line="176" w:lineRule="exact"/>
              <w:rPr>
                <w:sz w:val="20"/>
                <w:szCs w:val="20"/>
                <w:color w:val="auto"/>
              </w:rPr>
            </w:pPr>
            <w:r>
              <w:rPr>
                <w:rFonts w:ascii="Arial" w:cs="Arial" w:eastAsia="Arial" w:hAnsi="Arial"/>
                <w:sz w:val="18"/>
                <w:szCs w:val="18"/>
                <w:color w:val="auto"/>
                <w:w w:val="89"/>
              </w:rPr>
              <w:t>(6,223,317)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(72,476)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6,211,586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5,850,937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b w:val="1"/>
                <w:bCs w:val="1"/>
                <w:color w:val="auto"/>
              </w:rPr>
              <w:t>Total Amdocs Limited Shareholders’ equity</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3,517,769</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3,592,675</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tcPr>
          <w:p>
            <w:pPr>
              <w:spacing w:after="0"/>
              <w:rPr>
                <w:sz w:val="19"/>
                <w:szCs w:val="19"/>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42,509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42,509</w:t>
            </w:r>
          </w:p>
        </w:tc>
        <w:tc>
          <w:tcPr>
            <w:tcW w:w="0" w:type="dxa"/>
            <w:vAlign w:val="bottom"/>
          </w:tcPr>
          <w:p>
            <w:pPr>
              <w:spacing w:after="0"/>
              <w:rPr>
                <w:sz w:val="1"/>
                <w:szCs w:val="1"/>
                <w:color w:val="auto"/>
              </w:rPr>
            </w:pPr>
          </w:p>
        </w:tc>
      </w:tr>
      <w:tr>
        <w:trPr>
          <w:trHeight w:val="196"/>
        </w:trPr>
        <w:tc>
          <w:tcPr>
            <w:tcW w:w="8680" w:type="dxa"/>
            <w:vAlign w:val="bottom"/>
            <w:tcBorders>
              <w:top w:val="single" w:sz="8" w:color="CCEEFF"/>
            </w:tcBorders>
            <w:shd w:val="clear" w:color="auto" w:fill="CCEEFF"/>
          </w:tcPr>
          <w:p>
            <w:pPr>
              <w:ind w:left="720"/>
              <w:spacing w:after="0" w:line="196" w:lineRule="exact"/>
              <w:rPr>
                <w:sz w:val="20"/>
                <w:szCs w:val="20"/>
                <w:color w:val="auto"/>
              </w:rPr>
            </w:pPr>
            <w:r>
              <w:rPr>
                <w:rFonts w:ascii="Arial" w:cs="Arial" w:eastAsia="Arial" w:hAnsi="Arial"/>
                <w:sz w:val="18"/>
                <w:szCs w:val="18"/>
                <w:b w:val="1"/>
                <w:bCs w:val="1"/>
                <w:color w:val="auto"/>
              </w:rPr>
              <w:t>Total equity</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3,560,278</w:t>
            </w:r>
          </w:p>
        </w:tc>
        <w:tc>
          <w:tcPr>
            <w:tcW w:w="4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3,635,184</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8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6,390,393</w:t>
            </w:r>
          </w:p>
        </w:tc>
        <w:tc>
          <w:tcPr>
            <w:tcW w:w="4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4"/>
              </w:rPr>
              <w:t>6,511,774</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86" w:right="4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4,576,697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4,288,640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4,169,039</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2,957,547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2,810,967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2,755,563</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354,706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312,941</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282,042</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528,572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487,255</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458,539</w:t>
            </w:r>
          </w:p>
        </w:tc>
        <w:tc>
          <w:tcPr>
            <w:tcW w:w="0" w:type="dxa"/>
            <w:vAlign w:val="bottom"/>
          </w:tcPr>
          <w:p>
            <w:pPr>
              <w:spacing w:after="0"/>
              <w:rPr>
                <w:sz w:val="1"/>
                <w:szCs w:val="1"/>
                <w:color w:val="auto"/>
              </w:rPr>
            </w:pPr>
          </w:p>
        </w:tc>
      </w:tr>
      <w:tr>
        <w:trPr>
          <w:trHeight w:val="229"/>
        </w:trPr>
        <w:tc>
          <w:tcPr>
            <w:tcW w:w="75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71,075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78,784</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78,137</w:t>
            </w:r>
          </w:p>
        </w:tc>
        <w:tc>
          <w:tcPr>
            <w:tcW w:w="0" w:type="dxa"/>
            <w:vAlign w:val="bottom"/>
          </w:tcPr>
          <w:p>
            <w:pPr>
              <w:spacing w:after="0"/>
              <w:rPr>
                <w:sz w:val="1"/>
                <w:szCs w:val="1"/>
                <w:color w:val="auto"/>
              </w:rPr>
            </w:pPr>
          </w:p>
        </w:tc>
      </w:tr>
      <w:tr>
        <w:trPr>
          <w:trHeight w:val="210"/>
        </w:trPr>
        <w:tc>
          <w:tcPr>
            <w:tcW w:w="75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3,911,900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3,689,947</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3,574,281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664,797</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598,693</w:t>
            </w:r>
          </w:p>
        </w:tc>
        <w:tc>
          <w:tcPr>
            <w:tcW w:w="3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594,758</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(26,391)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(10,797)</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(11,436)</w:t>
            </w:r>
          </w:p>
        </w:tc>
        <w:tc>
          <w:tcPr>
            <w:tcW w:w="0" w:type="dxa"/>
            <w:vAlign w:val="bottom"/>
          </w:tcPr>
          <w:p>
            <w:pPr>
              <w:spacing w:after="0"/>
              <w:rPr>
                <w:sz w:val="1"/>
                <w:szCs w:val="1"/>
                <w:color w:val="auto"/>
              </w:rPr>
            </w:pPr>
          </w:p>
        </w:tc>
      </w:tr>
      <w:tr>
        <w:trPr>
          <w:trHeight w:val="229"/>
        </w:trPr>
        <w:tc>
          <w:tcPr>
            <w:tcW w:w="758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226,410</w:t>
            </w:r>
          </w:p>
        </w:tc>
        <w:tc>
          <w:tcPr>
            <w:tcW w:w="1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648,406</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814,306</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583,322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98,905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125,932</w:t>
            </w:r>
          </w:p>
        </w:tc>
        <w:tc>
          <w:tcPr>
            <w:tcW w:w="14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85,482</w:t>
            </w:r>
          </w:p>
        </w:tc>
        <w:tc>
          <w:tcPr>
            <w:tcW w:w="0" w:type="dxa"/>
            <w:vAlign w:val="bottom"/>
          </w:tcPr>
          <w:p>
            <w:pPr>
              <w:spacing w:after="0"/>
              <w:rPr>
                <w:sz w:val="1"/>
                <w:szCs w:val="1"/>
                <w:color w:val="auto"/>
              </w:rPr>
            </w:pPr>
          </w:p>
        </w:tc>
      </w:tr>
      <w:tr>
        <w:trPr>
          <w:trHeight w:val="209"/>
        </w:trPr>
        <w:tc>
          <w:tcPr>
            <w:tcW w:w="7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549,501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688,374</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497,840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7580" w:type="dxa"/>
            <w:vAlign w:val="bottom"/>
            <w:tcBorders>
              <w:bottom w:val="single" w:sz="8" w:color="CCEEFF"/>
            </w:tcBorders>
            <w:vMerge w:val="continue"/>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3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86" w:right="4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2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$549,501</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$688,374</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$497,840</w:t>
            </w:r>
          </w:p>
        </w:tc>
        <w:tc>
          <w:tcPr>
            <w:tcW w:w="0" w:type="dxa"/>
            <w:vAlign w:val="bottom"/>
          </w:tcPr>
          <w:p>
            <w:pPr>
              <w:spacing w:after="0"/>
              <w:rPr>
                <w:sz w:val="1"/>
                <w:szCs w:val="1"/>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1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fair value of cash flow hedges(1)</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(60,353)</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(5,063)</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14,891</w:t>
            </w:r>
          </w:p>
        </w:tc>
        <w:tc>
          <w:tcPr>
            <w:tcW w:w="0" w:type="dxa"/>
            <w:vAlign w:val="bottom"/>
          </w:tcPr>
          <w:p>
            <w:pPr>
              <w:spacing w:after="0"/>
              <w:rPr>
                <w:sz w:val="1"/>
                <w:szCs w:val="1"/>
                <w:color w:val="auto"/>
              </w:rPr>
            </w:pP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Net change in fair value of available-for-sale securities(2)</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(21,523)</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(1,272)</w:t>
            </w: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actuarial gain (loss) on defined benefit plan(3)</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4,011</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6360" w:type="dxa"/>
            <w:vAlign w:val="bottom"/>
            <w:gridSpan w:val="2"/>
            <w:vMerge w:val="restart"/>
          </w:tcPr>
          <w:p>
            <w:pPr>
              <w:spacing w:after="0"/>
              <w:rPr>
                <w:sz w:val="20"/>
                <w:szCs w:val="20"/>
                <w:color w:val="auto"/>
              </w:rPr>
            </w:pPr>
            <w:r>
              <w:rPr>
                <w:rFonts w:ascii="Arial" w:cs="Arial" w:eastAsia="Arial" w:hAnsi="Arial"/>
                <w:sz w:val="18"/>
                <w:szCs w:val="18"/>
                <w:color w:val="auto"/>
              </w:rPr>
              <w:t>Other comprehensive (loss) income, net of tax</w:t>
            </w:r>
          </w:p>
        </w:tc>
        <w:tc>
          <w:tcPr>
            <w:tcW w:w="184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360" w:type="dxa"/>
            <w:vAlign w:val="bottom"/>
            <w:tcBorders>
              <w:bottom w:val="single" w:sz="8" w:color="CCEEFF"/>
            </w:tcBorders>
            <w:gridSpan w:val="2"/>
            <w:vMerge w:val="continue"/>
          </w:tcPr>
          <w:p>
            <w:pPr>
              <w:spacing w:after="0"/>
              <w:rPr>
                <w:sz w:val="18"/>
                <w:szCs w:val="18"/>
                <w:color w:val="auto"/>
              </w:rPr>
            </w:pPr>
          </w:p>
        </w:tc>
        <w:tc>
          <w:tcPr>
            <w:tcW w:w="1840" w:type="dxa"/>
            <w:vAlign w:val="bottom"/>
            <w:tcBorders>
              <w:bottom w:val="single" w:sz="8" w:color="CCEEFF"/>
            </w:tcBorders>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(81,814)</w:t>
            </w:r>
          </w:p>
        </w:tc>
        <w:tc>
          <w:tcPr>
            <w:tcW w:w="320" w:type="dxa"/>
            <w:vAlign w:val="bottom"/>
            <w:tcBorders>
              <w:bottom w:val="single" w:sz="8" w:color="CCEEFF"/>
            </w:tcBorders>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18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14,209</w:t>
            </w:r>
          </w:p>
        </w:tc>
        <w:tc>
          <w:tcPr>
            <w:tcW w:w="1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8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$467,687</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$686,050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$512,049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1220" w:type="dxa"/>
            <w:vAlign w:val="bottom"/>
            <w:tcBorders>
              <w:bottom w:val="single" w:sz="8" w:color="auto"/>
            </w:tcBorders>
          </w:tcPr>
          <w:p>
            <w:pPr>
              <w:spacing w:after="0"/>
              <w:rPr>
                <w:sz w:val="12"/>
                <w:szCs w:val="12"/>
                <w:color w:val="auto"/>
              </w:rPr>
            </w:pPr>
          </w:p>
        </w:tc>
        <w:tc>
          <w:tcPr>
            <w:tcW w:w="5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5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tax benefit (expense) of $2,076, $3,369 and $(2,371) for the fiscal years ended September 30, 2022, 2021 and 2020, respectively, please see Note 7.</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tax benefit (expense) for the fiscal years ended September 30, 2022, 2021 and 2020.</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Net of tax expense of $(80), $(1,461) and $(11) for the fiscal years ended September 30, 2022, 2021 and 2020, respectively.</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86" w:right="4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88"/>
              </w:rPr>
              <w:t>Accumulated</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380" w:type="dxa"/>
            <w:vAlign w:val="bottom"/>
          </w:tcPr>
          <w:p>
            <w:pPr>
              <w:spacing w:after="0"/>
              <w:rPr>
                <w:sz w:val="14"/>
                <w:szCs w:val="14"/>
                <w:color w:val="auto"/>
              </w:rPr>
            </w:pPr>
          </w:p>
        </w:tc>
        <w:tc>
          <w:tcPr>
            <w:tcW w:w="1260" w:type="dxa"/>
            <w:vAlign w:val="bottom"/>
            <w:gridSpan w:val="5"/>
          </w:tcPr>
          <w:p>
            <w:pPr>
              <w:ind w:left="120"/>
              <w:spacing w:after="0"/>
              <w:rPr>
                <w:sz w:val="20"/>
                <w:szCs w:val="20"/>
                <w:color w:val="auto"/>
              </w:rPr>
            </w:pPr>
            <w:r>
              <w:rPr>
                <w:rFonts w:ascii="Arial" w:cs="Arial" w:eastAsia="Arial" w:hAnsi="Arial"/>
                <w:sz w:val="13"/>
                <w:szCs w:val="13"/>
                <w:b w:val="1"/>
                <w:bCs w:val="1"/>
                <w:color w:val="auto"/>
              </w:rPr>
              <w:t>Ordinary Shares</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5"/>
              </w:rPr>
              <w:t>Amdocs</w:t>
            </w: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jc w:val="right"/>
              <w:ind w:right="160"/>
              <w:spacing w:after="0" w:line="104" w:lineRule="exact"/>
              <w:rPr>
                <w:sz w:val="20"/>
                <w:szCs w:val="20"/>
                <w:color w:val="auto"/>
              </w:rPr>
            </w:pPr>
            <w:r>
              <w:rPr>
                <w:rFonts w:ascii="Arial" w:cs="Arial" w:eastAsia="Arial" w:hAnsi="Arial"/>
                <w:sz w:val="10"/>
                <w:szCs w:val="10"/>
                <w:b w:val="1"/>
                <w:bCs w:val="1"/>
                <w:color w:val="auto"/>
              </w:rPr>
              <w:t>Additional</w:t>
            </w: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gridSpan w:val="3"/>
            <w:vMerge w:val="restart"/>
          </w:tcPr>
          <w:p>
            <w:pPr>
              <w:ind w:left="20"/>
              <w:spacing w:after="0" w:line="104" w:lineRule="exact"/>
              <w:rPr>
                <w:sz w:val="20"/>
                <w:szCs w:val="20"/>
                <w:color w:val="auto"/>
              </w:rPr>
            </w:pPr>
            <w:r>
              <w:rPr>
                <w:rFonts w:ascii="Arial" w:cs="Arial" w:eastAsia="Arial" w:hAnsi="Arial"/>
                <w:sz w:val="10"/>
                <w:szCs w:val="10"/>
                <w:b w:val="1"/>
                <w:bCs w:val="1"/>
                <w:color w:val="auto"/>
              </w:rPr>
              <w:t>Comprehensive</w:t>
            </w: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vMerge w:val="restart"/>
          </w:tcPr>
          <w:p>
            <w:pPr>
              <w:jc w:val="center"/>
              <w:ind w:right="160"/>
              <w:spacing w:after="0" w:line="104" w:lineRule="exact"/>
              <w:rPr>
                <w:sz w:val="20"/>
                <w:szCs w:val="20"/>
                <w:color w:val="auto"/>
              </w:rPr>
            </w:pPr>
            <w:r>
              <w:rPr>
                <w:rFonts w:ascii="Arial" w:cs="Arial" w:eastAsia="Arial" w:hAnsi="Arial"/>
                <w:sz w:val="10"/>
                <w:szCs w:val="10"/>
                <w:b w:val="1"/>
                <w:bCs w:val="1"/>
                <w:color w:val="auto"/>
              </w:rPr>
              <w:t>Limited</w:t>
            </w: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33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gridSpan w:val="3"/>
            <w:vMerge w:val="continue"/>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Paid-in</w:t>
            </w:r>
          </w:p>
        </w:tc>
        <w:tc>
          <w:tcPr>
            <w:tcW w:w="920" w:type="dxa"/>
            <w:vAlign w:val="bottom"/>
            <w:gridSpan w:val="2"/>
          </w:tcPr>
          <w:p>
            <w:pPr>
              <w:jc w:val="right"/>
              <w:ind w:right="184"/>
              <w:spacing w:after="0" w:line="135" w:lineRule="exact"/>
              <w:rPr>
                <w:sz w:val="20"/>
                <w:szCs w:val="20"/>
                <w:color w:val="auto"/>
              </w:rPr>
            </w:pPr>
            <w:r>
              <w:rPr>
                <w:rFonts w:ascii="Arial" w:cs="Arial" w:eastAsia="Arial" w:hAnsi="Arial"/>
                <w:sz w:val="13"/>
                <w:szCs w:val="13"/>
                <w:b w:val="1"/>
                <w:bCs w:val="1"/>
                <w:color w:val="auto"/>
              </w:rPr>
              <w:t>Treasury</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87"/>
              </w:rPr>
              <w:t>(Loss)</w:t>
            </w:r>
          </w:p>
        </w:tc>
        <w:tc>
          <w:tcPr>
            <w:tcW w:w="860" w:type="dxa"/>
            <w:vAlign w:val="bottom"/>
            <w:gridSpan w:val="2"/>
          </w:tcPr>
          <w:p>
            <w:pPr>
              <w:jc w:val="right"/>
              <w:ind w:right="260"/>
              <w:spacing w:after="0" w:line="135" w:lineRule="exact"/>
              <w:rPr>
                <w:sz w:val="20"/>
                <w:szCs w:val="20"/>
                <w:color w:val="auto"/>
              </w:rPr>
            </w:pPr>
            <w:r>
              <w:rPr>
                <w:rFonts w:ascii="Arial" w:cs="Arial" w:eastAsia="Arial" w:hAnsi="Arial"/>
                <w:sz w:val="13"/>
                <w:szCs w:val="13"/>
                <w:b w:val="1"/>
                <w:bCs w:val="1"/>
                <w:color w:val="auto"/>
              </w:rPr>
              <w:t>Retained</w:t>
            </w:r>
          </w:p>
        </w:tc>
        <w:tc>
          <w:tcPr>
            <w:tcW w:w="920" w:type="dxa"/>
            <w:vAlign w:val="bottom"/>
            <w:gridSpan w:val="2"/>
          </w:tcPr>
          <w:p>
            <w:pPr>
              <w:jc w:val="center"/>
              <w:ind w:right="160"/>
              <w:spacing w:after="0" w:line="135" w:lineRule="exact"/>
              <w:rPr>
                <w:sz w:val="20"/>
                <w:szCs w:val="20"/>
                <w:color w:val="auto"/>
              </w:rPr>
            </w:pPr>
            <w:r>
              <w:rPr>
                <w:rFonts w:ascii="Arial" w:cs="Arial" w:eastAsia="Arial" w:hAnsi="Arial"/>
                <w:sz w:val="13"/>
                <w:szCs w:val="13"/>
                <w:b w:val="1"/>
                <w:bCs w:val="1"/>
                <w:color w:val="auto"/>
                <w:w w:val="87"/>
              </w:rPr>
              <w:t>Shareholders’</w:t>
            </w:r>
          </w:p>
        </w:tc>
        <w:tc>
          <w:tcPr>
            <w:tcW w:w="9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99"/>
              </w:rPr>
              <w:t>Non-controlling</w:t>
            </w:r>
          </w:p>
        </w:tc>
        <w:tc>
          <w:tcPr>
            <w:tcW w:w="840" w:type="dxa"/>
            <w:vAlign w:val="bottom"/>
            <w:gridSpan w:val="2"/>
          </w:tcPr>
          <w:p>
            <w:pPr>
              <w:jc w:val="right"/>
              <w:ind w:right="34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3380" w:type="dxa"/>
            <w:vAlign w:val="bottom"/>
          </w:tcPr>
          <w:p>
            <w:pPr>
              <w:spacing w:after="0"/>
              <w:rPr>
                <w:sz w:val="13"/>
                <w:szCs w:val="13"/>
                <w:color w:val="auto"/>
              </w:rPr>
            </w:pPr>
          </w:p>
        </w:tc>
        <w:tc>
          <w:tcPr>
            <w:tcW w:w="54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w w:val="89"/>
              </w:rPr>
              <w:t>Amount</w:t>
            </w:r>
          </w:p>
        </w:tc>
        <w:tc>
          <w:tcPr>
            <w:tcW w:w="100" w:type="dxa"/>
            <w:vAlign w:val="bottom"/>
          </w:tcPr>
          <w:p>
            <w:pPr>
              <w:spacing w:after="0"/>
              <w:rPr>
                <w:sz w:val="13"/>
                <w:szCs w:val="13"/>
                <w:color w:val="auto"/>
              </w:rPr>
            </w:pPr>
          </w:p>
        </w:tc>
        <w:tc>
          <w:tcPr>
            <w:tcW w:w="700" w:type="dxa"/>
            <w:vAlign w:val="bottom"/>
            <w:tcBorders>
              <w:bottom w:val="single" w:sz="8" w:color="auto"/>
            </w:tcBorders>
          </w:tcPr>
          <w:p>
            <w:pPr>
              <w:jc w:val="right"/>
              <w:ind w:right="65"/>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ind w:right="165"/>
              <w:spacing w:after="0"/>
              <w:rPr>
                <w:sz w:val="20"/>
                <w:szCs w:val="20"/>
                <w:color w:val="auto"/>
              </w:rPr>
            </w:pPr>
            <w:r>
              <w:rPr>
                <w:rFonts w:ascii="Arial" w:cs="Arial" w:eastAsia="Arial" w:hAnsi="Arial"/>
                <w:sz w:val="13"/>
                <w:szCs w:val="13"/>
                <w:b w:val="1"/>
                <w:bCs w:val="1"/>
                <w:color w:val="auto"/>
              </w:rPr>
              <w:t>Stock</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5"/>
              <w:spacing w:after="0"/>
              <w:rPr>
                <w:sz w:val="20"/>
                <w:szCs w:val="20"/>
                <w:color w:val="auto"/>
              </w:rPr>
            </w:pPr>
            <w:r>
              <w:rPr>
                <w:rFonts w:ascii="Arial" w:cs="Arial" w:eastAsia="Arial" w:hAnsi="Arial"/>
                <w:sz w:val="13"/>
                <w:szCs w:val="13"/>
                <w:b w:val="1"/>
                <w:bCs w:val="1"/>
                <w:color w:val="auto"/>
                <w:w w:val="87"/>
              </w:rPr>
              <w:t>Income(1)</w:t>
            </w:r>
          </w:p>
        </w:tc>
        <w:tc>
          <w:tcPr>
            <w:tcW w:w="160" w:type="dxa"/>
            <w:vAlign w:val="bottom"/>
          </w:tcPr>
          <w:p>
            <w:pPr>
              <w:spacing w:after="0"/>
              <w:rPr>
                <w:sz w:val="13"/>
                <w:szCs w:val="13"/>
                <w:color w:val="auto"/>
              </w:rPr>
            </w:pPr>
          </w:p>
        </w:tc>
        <w:tc>
          <w:tcPr>
            <w:tcW w:w="700" w:type="dxa"/>
            <w:vAlign w:val="bottom"/>
            <w:tcBorders>
              <w:bottom w:val="single" w:sz="8" w:color="auto"/>
            </w:tcBorders>
          </w:tcPr>
          <w:p>
            <w:pPr>
              <w:jc w:val="right"/>
              <w:ind w:right="25"/>
              <w:spacing w:after="0"/>
              <w:rPr>
                <w:sz w:val="20"/>
                <w:szCs w:val="20"/>
                <w:color w:val="auto"/>
              </w:rPr>
            </w:pPr>
            <w:r>
              <w:rPr>
                <w:rFonts w:ascii="Arial" w:cs="Arial" w:eastAsia="Arial" w:hAnsi="Arial"/>
                <w:sz w:val="13"/>
                <w:szCs w:val="13"/>
                <w:b w:val="1"/>
                <w:bCs w:val="1"/>
                <w:color w:val="auto"/>
              </w:rPr>
              <w:t>Earnings</w:t>
            </w:r>
          </w:p>
        </w:tc>
        <w:tc>
          <w:tcPr>
            <w:tcW w:w="160" w:type="dxa"/>
            <w:vAlign w:val="bottom"/>
          </w:tcPr>
          <w:p>
            <w:pPr>
              <w:spacing w:after="0"/>
              <w:rPr>
                <w:sz w:val="13"/>
                <w:szCs w:val="13"/>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w w:val="99"/>
              </w:rPr>
              <w:t>interests(2)</w:t>
            </w:r>
          </w:p>
        </w:tc>
        <w:tc>
          <w:tcPr>
            <w:tcW w:w="120" w:type="dxa"/>
            <w:vAlign w:val="bottom"/>
          </w:tcPr>
          <w:p>
            <w:pPr>
              <w:spacing w:after="0"/>
              <w:rPr>
                <w:sz w:val="13"/>
                <w:szCs w:val="13"/>
                <w:color w:val="auto"/>
              </w:rPr>
            </w:pPr>
          </w:p>
        </w:tc>
        <w:tc>
          <w:tcPr>
            <w:tcW w:w="740" w:type="dxa"/>
            <w:vAlign w:val="bottom"/>
            <w:tcBorders>
              <w:bottom w:val="single" w:sz="8" w:color="auto"/>
            </w:tcBorders>
          </w:tcPr>
          <w:p>
            <w:pPr>
              <w:jc w:val="right"/>
              <w:ind w:right="124"/>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3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2019</w:t>
            </w:r>
          </w:p>
        </w:tc>
        <w:tc>
          <w:tcPr>
            <w:tcW w:w="6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5"/>
                <w:szCs w:val="15"/>
                <w:color w:val="auto"/>
                <w:w w:val="95"/>
              </w:rPr>
              <w:t>134,773</w:t>
            </w:r>
          </w:p>
        </w:tc>
        <w:tc>
          <w:tcPr>
            <w:tcW w:w="600" w:type="dxa"/>
            <w:vAlign w:val="bottom"/>
            <w:gridSpan w:val="3"/>
            <w:shd w:val="clear" w:color="auto" w:fill="CCEEFF"/>
          </w:tcPr>
          <w:p>
            <w:pPr>
              <w:jc w:val="right"/>
              <w:ind w:right="100"/>
              <w:spacing w:after="0" w:line="142" w:lineRule="exact"/>
              <w:rPr>
                <w:sz w:val="20"/>
                <w:szCs w:val="20"/>
                <w:color w:val="auto"/>
              </w:rPr>
            </w:pPr>
            <w:r>
              <w:rPr>
                <w:rFonts w:ascii="Arial" w:cs="Arial" w:eastAsia="Arial" w:hAnsi="Arial"/>
                <w:sz w:val="15"/>
                <w:szCs w:val="15"/>
                <w:color w:val="auto"/>
                <w:w w:val="95"/>
              </w:rPr>
              <w:t>$ 4,452</w:t>
            </w:r>
          </w:p>
        </w:tc>
        <w:tc>
          <w:tcPr>
            <w:tcW w:w="8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5"/>
                <w:szCs w:val="15"/>
                <w:color w:val="auto"/>
                <w:w w:val="90"/>
              </w:rPr>
              <w:t>$3,667,662</w:t>
            </w:r>
          </w:p>
        </w:tc>
        <w:tc>
          <w:tcPr>
            <w:tcW w:w="92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5"/>
                <w:szCs w:val="15"/>
                <w:color w:val="auto"/>
                <w:w w:val="94"/>
              </w:rPr>
              <w:t>$ (5,182,409)</w:t>
            </w:r>
          </w:p>
        </w:tc>
        <w:tc>
          <w:tcPr>
            <w:tcW w:w="160" w:type="dxa"/>
            <w:vAlign w:val="bottom"/>
            <w:gridSpan w:val="2"/>
            <w:shd w:val="clear" w:color="auto" w:fill="CCEEFF"/>
          </w:tcPr>
          <w:p>
            <w:pPr>
              <w:ind w:left="40"/>
              <w:spacing w:after="0" w:line="142" w:lineRule="exact"/>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5"/>
                <w:szCs w:val="15"/>
                <w:color w:val="auto"/>
              </w:rPr>
              <w:t>(2,547)</w:t>
            </w:r>
          </w:p>
        </w:tc>
        <w:tc>
          <w:tcPr>
            <w:tcW w:w="86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5"/>
                <w:szCs w:val="15"/>
                <w:color w:val="auto"/>
                <w:w w:val="90"/>
              </w:rPr>
              <w:t>$5,012,799</w:t>
            </w:r>
          </w:p>
        </w:tc>
        <w:tc>
          <w:tcPr>
            <w:tcW w:w="92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5"/>
                <w:szCs w:val="15"/>
                <w:color w:val="auto"/>
                <w:w w:val="93"/>
              </w:rPr>
              <w:t>$ 3,499,957</w:t>
            </w:r>
          </w:p>
        </w:tc>
        <w:tc>
          <w:tcPr>
            <w:tcW w:w="100" w:type="dxa"/>
            <w:vAlign w:val="bottom"/>
            <w:shd w:val="clear" w:color="auto" w:fill="CCEEFF"/>
          </w:tcPr>
          <w:p>
            <w:pPr>
              <w:spacing w:after="0" w:line="142" w:lineRule="exact"/>
              <w:rPr>
                <w:sz w:val="20"/>
                <w:szCs w:val="20"/>
                <w:color w:val="auto"/>
              </w:rPr>
            </w:pPr>
            <w:r>
              <w:rPr>
                <w:rFonts w:ascii="Arial" w:cs="Arial" w:eastAsia="Arial" w:hAnsi="Arial"/>
                <w:sz w:val="15"/>
                <w:szCs w:val="15"/>
                <w:color w:val="auto"/>
                <w:w w:val="95"/>
              </w:rPr>
              <w:t>$</w:t>
            </w:r>
          </w:p>
        </w:tc>
        <w:tc>
          <w:tcPr>
            <w:tcW w:w="880" w:type="dxa"/>
            <w:vAlign w:val="bottom"/>
            <w:gridSpan w:val="2"/>
            <w:shd w:val="clear" w:color="auto" w:fill="CCEEFF"/>
          </w:tcPr>
          <w:p>
            <w:pPr>
              <w:ind w:left="340"/>
              <w:spacing w:after="0" w:line="142" w:lineRule="exact"/>
              <w:rPr>
                <w:sz w:val="20"/>
                <w:szCs w:val="20"/>
                <w:color w:val="auto"/>
              </w:rPr>
            </w:pPr>
            <w:r>
              <w:rPr>
                <w:rFonts w:ascii="Arial" w:cs="Arial" w:eastAsia="Arial" w:hAnsi="Arial"/>
                <w:sz w:val="15"/>
                <w:szCs w:val="15"/>
                <w:color w:val="auto"/>
              </w:rPr>
              <w:t>42,509</w:t>
            </w:r>
          </w:p>
        </w:tc>
        <w:tc>
          <w:tcPr>
            <w:tcW w:w="840" w:type="dxa"/>
            <w:vAlign w:val="bottom"/>
            <w:gridSpan w:val="2"/>
            <w:shd w:val="clear" w:color="auto" w:fill="CCEEFF"/>
          </w:tcPr>
          <w:p>
            <w:pPr>
              <w:jc w:val="right"/>
              <w:ind w:right="100"/>
              <w:spacing w:after="0" w:line="142" w:lineRule="exact"/>
              <w:rPr>
                <w:sz w:val="20"/>
                <w:szCs w:val="20"/>
                <w:color w:val="auto"/>
              </w:rPr>
            </w:pPr>
            <w:r>
              <w:rPr>
                <w:rFonts w:ascii="Arial" w:cs="Arial" w:eastAsia="Arial" w:hAnsi="Arial"/>
                <w:sz w:val="15"/>
                <w:szCs w:val="15"/>
                <w:color w:val="auto"/>
                <w:w w:val="90"/>
              </w:rPr>
              <w:t>$ 3,542,466</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income(2)</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4"/>
              <w:spacing w:after="0" w:line="149"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5"/>
                <w:szCs w:val="15"/>
                <w:color w:val="auto"/>
              </w:rPr>
              <w:t>497,840</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5"/>
                <w:szCs w:val="15"/>
                <w:color w:val="auto"/>
              </w:rPr>
              <w:t>497,840</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497,840</w:t>
            </w:r>
          </w:p>
        </w:tc>
        <w:tc>
          <w:tcPr>
            <w:tcW w:w="0" w:type="dxa"/>
            <w:vAlign w:val="bottom"/>
          </w:tcPr>
          <w:p>
            <w:pPr>
              <w:spacing w:after="0"/>
              <w:rPr>
                <w:sz w:val="1"/>
                <w:szCs w:val="1"/>
                <w:color w:val="auto"/>
              </w:rPr>
            </w:pPr>
          </w:p>
        </w:tc>
      </w:tr>
      <w:tr>
        <w:trPr>
          <w:trHeight w:val="162"/>
        </w:trPr>
        <w:tc>
          <w:tcPr>
            <w:tcW w:w="3380" w:type="dxa"/>
            <w:vAlign w:val="bottom"/>
          </w:tcPr>
          <w:p>
            <w:pPr>
              <w:ind w:left="280"/>
              <w:spacing w:after="0"/>
              <w:rPr>
                <w:sz w:val="20"/>
                <w:szCs w:val="20"/>
                <w:color w:val="auto"/>
              </w:rPr>
            </w:pPr>
            <w:r>
              <w:rPr>
                <w:rFonts w:ascii="Arial" w:cs="Arial" w:eastAsia="Arial" w:hAnsi="Arial"/>
                <w:sz w:val="14"/>
                <w:szCs w:val="14"/>
                <w:color w:val="auto"/>
              </w:rPr>
              <w:t>Other comprehensive income</w:t>
            </w: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56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14,209</w:t>
            </w: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14,209</w:t>
            </w:r>
          </w:p>
        </w:tc>
        <w:tc>
          <w:tcPr>
            <w:tcW w:w="100" w:type="dxa"/>
            <w:vAlign w:val="bottom"/>
          </w:tcPr>
          <w:p>
            <w:pPr>
              <w:spacing w:after="0"/>
              <w:rPr>
                <w:sz w:val="14"/>
                <w:szCs w:val="14"/>
                <w:color w:val="auto"/>
              </w:rPr>
            </w:pPr>
          </w:p>
        </w:tc>
        <w:tc>
          <w:tcPr>
            <w:tcW w:w="88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14,209</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Comprehensive income</w:t>
            </w:r>
          </w:p>
        </w:tc>
        <w:tc>
          <w:tcPr>
            <w:tcW w:w="5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rPr>
              <w:t>512,049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rPr>
              <w:t>512,049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5"/>
                <w:szCs w:val="15"/>
                <w:color w:val="auto"/>
              </w:rPr>
              <w:t>1,871</w:t>
            </w:r>
          </w:p>
        </w:tc>
        <w:tc>
          <w:tcPr>
            <w:tcW w:w="600" w:type="dxa"/>
            <w:vAlign w:val="bottom"/>
            <w:gridSpan w:val="3"/>
          </w:tcPr>
          <w:p>
            <w:pPr>
              <w:jc w:val="right"/>
              <w:ind w:right="100"/>
              <w:spacing w:after="0" w:line="149" w:lineRule="exact"/>
              <w:rPr>
                <w:sz w:val="20"/>
                <w:szCs w:val="20"/>
                <w:color w:val="auto"/>
              </w:rPr>
            </w:pPr>
            <w:r>
              <w:rPr>
                <w:rFonts w:ascii="Arial" w:cs="Arial" w:eastAsia="Arial" w:hAnsi="Arial"/>
                <w:sz w:val="15"/>
                <w:szCs w:val="15"/>
                <w:color w:val="auto"/>
              </w:rPr>
              <w:t>24</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97,819</w:t>
            </w:r>
          </w:p>
        </w:tc>
        <w:tc>
          <w:tcPr>
            <w:tcW w:w="920" w:type="dxa"/>
            <w:vAlign w:val="bottom"/>
            <w:gridSpan w:val="2"/>
          </w:tcPr>
          <w:p>
            <w:pPr>
              <w:jc w:val="right"/>
              <w:ind w:right="104"/>
              <w:spacing w:after="0" w:line="14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5"/>
                <w:szCs w:val="15"/>
                <w:color w:val="auto"/>
              </w:rPr>
              <w:t>97,843</w:t>
            </w:r>
          </w:p>
        </w:tc>
        <w:tc>
          <w:tcPr>
            <w:tcW w:w="10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97,843</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5"/>
                <w:szCs w:val="15"/>
                <w:color w:val="auto"/>
              </w:rPr>
              <w:t>(5,668)</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(360,912)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(360,912)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5"/>
                <w:szCs w:val="15"/>
                <w:color w:val="auto"/>
              </w:rPr>
              <w:t>(360,912)</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Cash dividends declared ($1.2675 per ordinary share)</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560" w:type="dxa"/>
            <w:vAlign w:val="bottom"/>
            <w:gridSpan w:val="2"/>
          </w:tcPr>
          <w:p>
            <w:pPr>
              <w:ind w:left="220"/>
              <w:spacing w:after="0" w:line="149"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4"/>
              <w:spacing w:after="0" w:line="14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(168,732)</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(168,732)</w:t>
            </w:r>
          </w:p>
        </w:tc>
        <w:tc>
          <w:tcPr>
            <w:tcW w:w="10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5"/>
                <w:szCs w:val="15"/>
                <w:color w:val="auto"/>
              </w:rPr>
              <w:t>(168,732)</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5"/>
                <w:szCs w:val="15"/>
                <w:color w:val="auto"/>
              </w:rPr>
              <w:t>559</w:t>
            </w:r>
          </w:p>
        </w:tc>
        <w:tc>
          <w:tcPr>
            <w:tcW w:w="6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7</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4"/>
              <w:spacing w:after="0" w:line="149"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5"/>
                <w:szCs w:val="15"/>
                <w:color w:val="auto"/>
              </w:rPr>
              <w:t>7</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w w:val="92"/>
              </w:rPr>
              <w:t>Equity-based compensation expense related to employees</w:t>
            </w: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56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42,434</w:t>
            </w:r>
          </w:p>
        </w:tc>
        <w:tc>
          <w:tcPr>
            <w:tcW w:w="920" w:type="dxa"/>
            <w:vAlign w:val="bottom"/>
            <w:gridSpan w:val="2"/>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42,434</w:t>
            </w:r>
          </w:p>
        </w:tc>
        <w:tc>
          <w:tcPr>
            <w:tcW w:w="100" w:type="dxa"/>
            <w:vAlign w:val="bottom"/>
          </w:tcPr>
          <w:p>
            <w:pPr>
              <w:spacing w:after="0"/>
              <w:rPr>
                <w:sz w:val="14"/>
                <w:szCs w:val="14"/>
                <w:color w:val="auto"/>
              </w:rPr>
            </w:pPr>
          </w:p>
        </w:tc>
        <w:tc>
          <w:tcPr>
            <w:tcW w:w="88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42,434</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2020</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5"/>
              </w:rPr>
              <w:t>131,535</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87"/>
              </w:rPr>
              <w:t>$ 4,483</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0"/>
              </w:rPr>
              <w:t>$3,807,915</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87"/>
              </w:rPr>
              <w:t>$ (5,543,321)</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rPr>
              <w:t>11,662</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0"/>
              </w:rPr>
              <w:t>$5,341,907</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3"/>
              </w:rPr>
              <w:t>$ 3,622,646</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5"/>
                <w:szCs w:val="15"/>
                <w:color w:val="auto"/>
                <w:w w:val="87"/>
              </w:rPr>
              <w:t>42,509</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0"/>
              </w:rPr>
              <w:t>$ 3,665,155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income(2)</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4"/>
              <w:spacing w:after="0" w:line="149"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5"/>
                <w:szCs w:val="15"/>
                <w:color w:val="auto"/>
              </w:rPr>
              <w:t>688,374</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5"/>
                <w:szCs w:val="15"/>
                <w:color w:val="auto"/>
              </w:rPr>
              <w:t>688,374</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688,374</w:t>
            </w:r>
          </w:p>
        </w:tc>
        <w:tc>
          <w:tcPr>
            <w:tcW w:w="0" w:type="dxa"/>
            <w:vAlign w:val="bottom"/>
          </w:tcPr>
          <w:p>
            <w:pPr>
              <w:spacing w:after="0"/>
              <w:rPr>
                <w:sz w:val="1"/>
                <w:szCs w:val="1"/>
                <w:color w:val="auto"/>
              </w:rPr>
            </w:pPr>
          </w:p>
        </w:tc>
      </w:tr>
      <w:tr>
        <w:trPr>
          <w:trHeight w:val="162"/>
        </w:trPr>
        <w:tc>
          <w:tcPr>
            <w:tcW w:w="3380" w:type="dxa"/>
            <w:vAlign w:val="bottom"/>
          </w:tcPr>
          <w:p>
            <w:pPr>
              <w:ind w:left="280"/>
              <w:spacing w:after="0"/>
              <w:rPr>
                <w:sz w:val="20"/>
                <w:szCs w:val="20"/>
                <w:color w:val="auto"/>
              </w:rPr>
            </w:pPr>
            <w:r>
              <w:rPr>
                <w:rFonts w:ascii="Arial" w:cs="Arial" w:eastAsia="Arial" w:hAnsi="Arial"/>
                <w:sz w:val="14"/>
                <w:szCs w:val="14"/>
                <w:color w:val="auto"/>
              </w:rPr>
              <w:t>Other comprehensive loss</w:t>
            </w: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56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(2,324)</w:t>
            </w: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(2,324)</w:t>
            </w:r>
          </w:p>
        </w:tc>
        <w:tc>
          <w:tcPr>
            <w:tcW w:w="100" w:type="dxa"/>
            <w:vAlign w:val="bottom"/>
          </w:tcPr>
          <w:p>
            <w:pPr>
              <w:spacing w:after="0"/>
              <w:rPr>
                <w:sz w:val="14"/>
                <w:szCs w:val="14"/>
                <w:color w:val="auto"/>
              </w:rPr>
            </w:pPr>
          </w:p>
        </w:tc>
        <w:tc>
          <w:tcPr>
            <w:tcW w:w="88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(2,324)</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Comprehensive income</w:t>
            </w:r>
          </w:p>
        </w:tc>
        <w:tc>
          <w:tcPr>
            <w:tcW w:w="5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rPr>
              <w:t>686,050</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rPr>
              <w:t>686,050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5"/>
                <w:szCs w:val="15"/>
                <w:color w:val="auto"/>
              </w:rPr>
              <w:t>1,541</w:t>
            </w:r>
          </w:p>
        </w:tc>
        <w:tc>
          <w:tcPr>
            <w:tcW w:w="600" w:type="dxa"/>
            <w:vAlign w:val="bottom"/>
            <w:gridSpan w:val="3"/>
          </w:tcPr>
          <w:p>
            <w:pPr>
              <w:jc w:val="right"/>
              <w:ind w:right="100"/>
              <w:spacing w:after="0" w:line="149" w:lineRule="exact"/>
              <w:rPr>
                <w:sz w:val="20"/>
                <w:szCs w:val="20"/>
                <w:color w:val="auto"/>
              </w:rPr>
            </w:pPr>
            <w:r>
              <w:rPr>
                <w:rFonts w:ascii="Arial" w:cs="Arial" w:eastAsia="Arial" w:hAnsi="Arial"/>
                <w:sz w:val="15"/>
                <w:szCs w:val="15"/>
                <w:color w:val="auto"/>
              </w:rPr>
              <w:t>21</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89,037</w:t>
            </w:r>
          </w:p>
        </w:tc>
        <w:tc>
          <w:tcPr>
            <w:tcW w:w="920" w:type="dxa"/>
            <w:vAlign w:val="bottom"/>
            <w:gridSpan w:val="2"/>
          </w:tcPr>
          <w:p>
            <w:pPr>
              <w:jc w:val="right"/>
              <w:ind w:right="104"/>
              <w:spacing w:after="0" w:line="14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5"/>
                <w:szCs w:val="15"/>
                <w:color w:val="auto"/>
              </w:rPr>
              <w:t>89,058</w:t>
            </w:r>
          </w:p>
        </w:tc>
        <w:tc>
          <w:tcPr>
            <w:tcW w:w="10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89,058</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5"/>
                <w:szCs w:val="15"/>
                <w:color w:val="auto"/>
              </w:rPr>
              <w:t>(9,036)</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(679,996)</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(679,996)</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5"/>
                <w:szCs w:val="15"/>
                <w:color w:val="auto"/>
              </w:rPr>
              <w:t>(679,996)</w:t>
            </w: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Cash dividends declared ($1.4075 per ordinary share)</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560" w:type="dxa"/>
            <w:vAlign w:val="bottom"/>
            <w:gridSpan w:val="2"/>
          </w:tcPr>
          <w:p>
            <w:pPr>
              <w:ind w:left="220"/>
              <w:spacing w:after="0" w:line="149"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4"/>
              <w:spacing w:after="0" w:line="14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(179,344)</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(179,344)</w:t>
            </w:r>
          </w:p>
        </w:tc>
        <w:tc>
          <w:tcPr>
            <w:tcW w:w="10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5"/>
                <w:szCs w:val="15"/>
                <w:color w:val="auto"/>
              </w:rPr>
              <w:t>(179,344)</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5"/>
                <w:szCs w:val="15"/>
                <w:color w:val="auto"/>
              </w:rPr>
              <w:t>826</w:t>
            </w:r>
          </w:p>
        </w:tc>
        <w:tc>
          <w:tcPr>
            <w:tcW w:w="6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12</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4"/>
              <w:spacing w:after="0" w:line="149"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5"/>
                <w:szCs w:val="15"/>
                <w:color w:val="auto"/>
              </w:rPr>
              <w:t>12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12</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w w:val="92"/>
              </w:rPr>
              <w:t>Equity-based compensation expense related to employees</w:t>
            </w: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56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54,249</w:t>
            </w:r>
          </w:p>
        </w:tc>
        <w:tc>
          <w:tcPr>
            <w:tcW w:w="920" w:type="dxa"/>
            <w:vAlign w:val="bottom"/>
            <w:gridSpan w:val="2"/>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54,249</w:t>
            </w:r>
          </w:p>
        </w:tc>
        <w:tc>
          <w:tcPr>
            <w:tcW w:w="100" w:type="dxa"/>
            <w:vAlign w:val="bottom"/>
          </w:tcPr>
          <w:p>
            <w:pPr>
              <w:spacing w:after="0"/>
              <w:rPr>
                <w:sz w:val="14"/>
                <w:szCs w:val="14"/>
                <w:color w:val="auto"/>
              </w:rPr>
            </w:pPr>
          </w:p>
        </w:tc>
        <w:tc>
          <w:tcPr>
            <w:tcW w:w="88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54,249</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2021</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5"/>
              </w:rPr>
              <w:t>124,866</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87"/>
              </w:rPr>
              <w:t>$ 4,516</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0"/>
              </w:rPr>
              <w:t>$3,951,201</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87"/>
              </w:rPr>
              <w:t>$ (6,223,317)</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rPr>
              <w:t>9,338</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0"/>
              </w:rPr>
              <w:t>$5,850,937</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3"/>
              </w:rPr>
              <w:t>$ 3,592,675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5"/>
                <w:szCs w:val="15"/>
                <w:color w:val="auto"/>
                <w:w w:val="87"/>
              </w:rPr>
              <w:t>42,509</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0"/>
              </w:rPr>
              <w:t>$ 3,635,184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Net income(2)</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4"/>
              <w:spacing w:after="0" w:line="149"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5"/>
                <w:szCs w:val="15"/>
                <w:color w:val="auto"/>
              </w:rPr>
              <w:t>549,501</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5"/>
                <w:szCs w:val="15"/>
                <w:color w:val="auto"/>
              </w:rPr>
              <w:t>549,501</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549,501</w:t>
            </w:r>
          </w:p>
        </w:tc>
        <w:tc>
          <w:tcPr>
            <w:tcW w:w="0" w:type="dxa"/>
            <w:vAlign w:val="bottom"/>
          </w:tcPr>
          <w:p>
            <w:pPr>
              <w:spacing w:after="0"/>
              <w:rPr>
                <w:sz w:val="1"/>
                <w:szCs w:val="1"/>
                <w:color w:val="auto"/>
              </w:rPr>
            </w:pPr>
          </w:p>
        </w:tc>
      </w:tr>
      <w:tr>
        <w:trPr>
          <w:trHeight w:val="162"/>
        </w:trPr>
        <w:tc>
          <w:tcPr>
            <w:tcW w:w="3380" w:type="dxa"/>
            <w:vAlign w:val="bottom"/>
          </w:tcPr>
          <w:p>
            <w:pPr>
              <w:ind w:left="280"/>
              <w:spacing w:after="0"/>
              <w:rPr>
                <w:sz w:val="20"/>
                <w:szCs w:val="20"/>
                <w:color w:val="auto"/>
              </w:rPr>
            </w:pPr>
            <w:r>
              <w:rPr>
                <w:rFonts w:ascii="Arial" w:cs="Arial" w:eastAsia="Arial" w:hAnsi="Arial"/>
                <w:sz w:val="14"/>
                <w:szCs w:val="14"/>
                <w:color w:val="auto"/>
              </w:rPr>
              <w:t>Other comprehensive loss</w:t>
            </w: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56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(81,814)</w:t>
            </w: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(81,814)</w:t>
            </w:r>
          </w:p>
        </w:tc>
        <w:tc>
          <w:tcPr>
            <w:tcW w:w="100" w:type="dxa"/>
            <w:vAlign w:val="bottom"/>
          </w:tcPr>
          <w:p>
            <w:pPr>
              <w:spacing w:after="0"/>
              <w:rPr>
                <w:sz w:val="14"/>
                <w:szCs w:val="14"/>
                <w:color w:val="auto"/>
              </w:rPr>
            </w:pPr>
          </w:p>
        </w:tc>
        <w:tc>
          <w:tcPr>
            <w:tcW w:w="88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(81,814)</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ind w:left="280"/>
              <w:spacing w:after="0" w:line="142" w:lineRule="exact"/>
              <w:rPr>
                <w:sz w:val="20"/>
                <w:szCs w:val="20"/>
                <w:color w:val="auto"/>
              </w:rPr>
            </w:pPr>
            <w:r>
              <w:rPr>
                <w:rFonts w:ascii="Arial" w:cs="Arial" w:eastAsia="Arial" w:hAnsi="Arial"/>
                <w:sz w:val="14"/>
                <w:szCs w:val="14"/>
                <w:color w:val="auto"/>
              </w:rPr>
              <w:t>Comprehensive income</w:t>
            </w:r>
          </w:p>
        </w:tc>
        <w:tc>
          <w:tcPr>
            <w:tcW w:w="5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rPr>
              <w:t>467,687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ind w:left="540"/>
              <w:spacing w:after="0" w:line="142" w:lineRule="exact"/>
              <w:rPr>
                <w:sz w:val="20"/>
                <w:szCs w:val="20"/>
                <w:color w:val="auto"/>
              </w:rPr>
            </w:pPr>
            <w:r>
              <w:rPr>
                <w:rFonts w:ascii="Arial" w:cs="Arial" w:eastAsia="Arial" w:hAnsi="Arial"/>
                <w:sz w:val="15"/>
                <w:szCs w:val="15"/>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rPr>
              <w:t>467,687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5"/>
                <w:szCs w:val="15"/>
                <w:color w:val="auto"/>
              </w:rPr>
              <w:t>1,431</w:t>
            </w:r>
          </w:p>
        </w:tc>
        <w:tc>
          <w:tcPr>
            <w:tcW w:w="600" w:type="dxa"/>
            <w:vAlign w:val="bottom"/>
            <w:gridSpan w:val="3"/>
          </w:tcPr>
          <w:p>
            <w:pPr>
              <w:jc w:val="right"/>
              <w:ind w:right="100"/>
              <w:spacing w:after="0" w:line="149" w:lineRule="exact"/>
              <w:rPr>
                <w:sz w:val="20"/>
                <w:szCs w:val="20"/>
                <w:color w:val="auto"/>
              </w:rPr>
            </w:pPr>
            <w:r>
              <w:rPr>
                <w:rFonts w:ascii="Arial" w:cs="Arial" w:eastAsia="Arial" w:hAnsi="Arial"/>
                <w:sz w:val="15"/>
                <w:szCs w:val="15"/>
                <w:color w:val="auto"/>
              </w:rPr>
              <w:t>17</w:t>
            </w: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82,892</w:t>
            </w:r>
          </w:p>
        </w:tc>
        <w:tc>
          <w:tcPr>
            <w:tcW w:w="920" w:type="dxa"/>
            <w:vAlign w:val="bottom"/>
            <w:gridSpan w:val="2"/>
          </w:tcPr>
          <w:p>
            <w:pPr>
              <w:jc w:val="right"/>
              <w:ind w:right="104"/>
              <w:spacing w:after="0" w:line="14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60"/>
              <w:spacing w:after="0" w:line="149" w:lineRule="exact"/>
              <w:rPr>
                <w:sz w:val="20"/>
                <w:szCs w:val="20"/>
                <w:color w:val="auto"/>
              </w:rPr>
            </w:pPr>
            <w:r>
              <w:rPr>
                <w:rFonts w:ascii="Arial" w:cs="Arial" w:eastAsia="Arial" w:hAnsi="Arial"/>
                <w:sz w:val="15"/>
                <w:szCs w:val="15"/>
                <w:color w:val="auto"/>
              </w:rPr>
              <w:t>82,909</w:t>
            </w:r>
          </w:p>
        </w:tc>
        <w:tc>
          <w:tcPr>
            <w:tcW w:w="10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82,909</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5"/>
                <w:szCs w:val="15"/>
                <w:color w:val="auto"/>
              </w:rPr>
              <w:t>(6,479)</w:t>
            </w:r>
          </w:p>
        </w:tc>
        <w:tc>
          <w:tcPr>
            <w:tcW w:w="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5"/>
                <w:szCs w:val="15"/>
                <w:color w:val="auto"/>
              </w:rPr>
              <w:t>(508,472)</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(508,472)</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5"/>
                <w:szCs w:val="15"/>
                <w:color w:val="auto"/>
              </w:rPr>
              <w:t>(508,472)</w:t>
            </w:r>
          </w:p>
        </w:tc>
        <w:tc>
          <w:tcPr>
            <w:tcW w:w="0" w:type="dxa"/>
            <w:vAlign w:val="bottom"/>
          </w:tcPr>
          <w:p>
            <w:pPr>
              <w:spacing w:after="0"/>
              <w:rPr>
                <w:sz w:val="1"/>
                <w:szCs w:val="1"/>
                <w:color w:val="auto"/>
              </w:rPr>
            </w:pPr>
          </w:p>
        </w:tc>
      </w:tr>
      <w:tr>
        <w:trPr>
          <w:trHeight w:val="149"/>
        </w:trPr>
        <w:tc>
          <w:tcPr>
            <w:tcW w:w="3380" w:type="dxa"/>
            <w:vAlign w:val="bottom"/>
          </w:tcPr>
          <w:p>
            <w:pPr>
              <w:spacing w:after="0" w:line="149" w:lineRule="exact"/>
              <w:rPr>
                <w:sz w:val="20"/>
                <w:szCs w:val="20"/>
                <w:color w:val="auto"/>
              </w:rPr>
            </w:pPr>
            <w:r>
              <w:rPr>
                <w:rFonts w:ascii="Arial" w:cs="Arial" w:eastAsia="Arial" w:hAnsi="Arial"/>
                <w:sz w:val="14"/>
                <w:szCs w:val="14"/>
                <w:color w:val="auto"/>
              </w:rPr>
              <w:t>Cash dividends declared ($1.545 per ordinary share)</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560" w:type="dxa"/>
            <w:vAlign w:val="bottom"/>
            <w:gridSpan w:val="2"/>
          </w:tcPr>
          <w:p>
            <w:pPr>
              <w:ind w:left="200"/>
              <w:spacing w:after="0" w:line="149"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8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04"/>
              <w:spacing w:after="0" w:line="149"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(188,852)</w:t>
            </w: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5"/>
                <w:szCs w:val="15"/>
                <w:color w:val="auto"/>
              </w:rPr>
              <w:t>(188,852)</w:t>
            </w:r>
          </w:p>
        </w:tc>
        <w:tc>
          <w:tcPr>
            <w:tcW w:w="100" w:type="dxa"/>
            <w:vAlign w:val="bottom"/>
          </w:tcPr>
          <w:p>
            <w:pPr>
              <w:spacing w:after="0"/>
              <w:rPr>
                <w:sz w:val="12"/>
                <w:szCs w:val="12"/>
                <w:color w:val="auto"/>
              </w:rPr>
            </w:pPr>
          </w:p>
        </w:tc>
        <w:tc>
          <w:tcPr>
            <w:tcW w:w="880" w:type="dxa"/>
            <w:vAlign w:val="bottom"/>
            <w:gridSpan w:val="2"/>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60"/>
              <w:spacing w:after="0" w:line="149" w:lineRule="exact"/>
              <w:rPr>
                <w:sz w:val="20"/>
                <w:szCs w:val="20"/>
                <w:color w:val="auto"/>
              </w:rPr>
            </w:pPr>
            <w:r>
              <w:rPr>
                <w:rFonts w:ascii="Arial" w:cs="Arial" w:eastAsia="Arial" w:hAnsi="Arial"/>
                <w:sz w:val="15"/>
                <w:szCs w:val="15"/>
                <w:color w:val="auto"/>
              </w:rPr>
              <w:t>(188,852)</w:t>
            </w:r>
          </w:p>
        </w:tc>
        <w:tc>
          <w:tcPr>
            <w:tcW w:w="0" w:type="dxa"/>
            <w:vAlign w:val="bottom"/>
          </w:tcPr>
          <w:p>
            <w:pPr>
              <w:spacing w:after="0"/>
              <w:rPr>
                <w:sz w:val="1"/>
                <w:szCs w:val="1"/>
                <w:color w:val="auto"/>
              </w:rPr>
            </w:pPr>
          </w:p>
        </w:tc>
      </w:tr>
      <w:tr>
        <w:trPr>
          <w:trHeight w:val="148"/>
        </w:trPr>
        <w:tc>
          <w:tcPr>
            <w:tcW w:w="3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5"/>
                <w:szCs w:val="15"/>
                <w:color w:val="auto"/>
              </w:rPr>
              <w:t>1,024</w:t>
            </w:r>
          </w:p>
        </w:tc>
        <w:tc>
          <w:tcPr>
            <w:tcW w:w="6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15</w:t>
            </w: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04"/>
              <w:spacing w:after="0" w:line="149" w:lineRule="exact"/>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5"/>
                <w:szCs w:val="15"/>
                <w:color w:val="auto"/>
              </w:rPr>
              <w:t>15</w:t>
            </w: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540"/>
              <w:spacing w:after="0" w:line="149"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5"/>
                <w:szCs w:val="15"/>
                <w:color w:val="auto"/>
              </w:rPr>
              <w:t>15</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w w:val="92"/>
              </w:rPr>
              <w:t>Equity-based compensation expense related to employees</w:t>
            </w:r>
          </w:p>
        </w:tc>
        <w:tc>
          <w:tcPr>
            <w:tcW w:w="66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560" w:type="dxa"/>
            <w:vAlign w:val="bottom"/>
            <w:gridSpan w:val="2"/>
          </w:tcPr>
          <w:p>
            <w:pPr>
              <w:ind w:left="220"/>
              <w:spacing w:after="0" w:line="162" w:lineRule="exact"/>
              <w:rPr>
                <w:sz w:val="20"/>
                <w:szCs w:val="20"/>
                <w:color w:val="auto"/>
              </w:rPr>
            </w:pPr>
            <w:r>
              <w:rPr>
                <w:rFonts w:ascii="Arial" w:cs="Arial" w:eastAsia="Arial" w:hAnsi="Arial"/>
                <w:sz w:val="15"/>
                <w:szCs w:val="15"/>
                <w:color w:val="auto"/>
              </w:rPr>
              <w:t>—</w:t>
            </w:r>
          </w:p>
        </w:tc>
        <w:tc>
          <w:tcPr>
            <w:tcW w:w="80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71,807</w:t>
            </w:r>
          </w:p>
        </w:tc>
        <w:tc>
          <w:tcPr>
            <w:tcW w:w="920" w:type="dxa"/>
            <w:vAlign w:val="bottom"/>
            <w:gridSpan w:val="2"/>
          </w:tcPr>
          <w:p>
            <w:pPr>
              <w:jc w:val="right"/>
              <w:ind w:right="104"/>
              <w:spacing w:after="0" w:line="162" w:lineRule="exact"/>
              <w:rPr>
                <w:sz w:val="20"/>
                <w:szCs w:val="20"/>
                <w:color w:val="auto"/>
              </w:rPr>
            </w:pPr>
            <w:r>
              <w:rPr>
                <w:rFonts w:ascii="Arial" w:cs="Arial" w:eastAsia="Arial" w:hAnsi="Arial"/>
                <w:sz w:val="15"/>
                <w:szCs w:val="15"/>
                <w:color w:val="auto"/>
              </w:rPr>
              <w:t>—</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860" w:type="dxa"/>
            <w:vAlign w:val="bottom"/>
            <w:gridSpan w:val="2"/>
          </w:tcPr>
          <w:p>
            <w:pPr>
              <w:jc w:val="right"/>
              <w:ind w:right="240"/>
              <w:spacing w:after="0" w:line="162"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71,807</w:t>
            </w:r>
          </w:p>
        </w:tc>
        <w:tc>
          <w:tcPr>
            <w:tcW w:w="100" w:type="dxa"/>
            <w:vAlign w:val="bottom"/>
          </w:tcPr>
          <w:p>
            <w:pPr>
              <w:spacing w:after="0"/>
              <w:rPr>
                <w:sz w:val="14"/>
                <w:szCs w:val="14"/>
                <w:color w:val="auto"/>
              </w:rPr>
            </w:pPr>
          </w:p>
        </w:tc>
        <w:tc>
          <w:tcPr>
            <w:tcW w:w="880" w:type="dxa"/>
            <w:vAlign w:val="bottom"/>
            <w:gridSpan w:val="2"/>
          </w:tcPr>
          <w:p>
            <w:pPr>
              <w:ind w:left="540"/>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00"/>
              <w:spacing w:after="0" w:line="162" w:lineRule="exact"/>
              <w:rPr>
                <w:sz w:val="20"/>
                <w:szCs w:val="20"/>
                <w:color w:val="auto"/>
              </w:rPr>
            </w:pPr>
            <w:r>
              <w:rPr>
                <w:rFonts w:ascii="Arial" w:cs="Arial" w:eastAsia="Arial" w:hAnsi="Arial"/>
                <w:sz w:val="15"/>
                <w:szCs w:val="15"/>
                <w:color w:val="auto"/>
              </w:rPr>
              <w:t>71,807</w:t>
            </w:r>
          </w:p>
        </w:tc>
        <w:tc>
          <w:tcPr>
            <w:tcW w:w="0" w:type="dxa"/>
            <w:vAlign w:val="bottom"/>
          </w:tcPr>
          <w:p>
            <w:pPr>
              <w:spacing w:after="0"/>
              <w:rPr>
                <w:sz w:val="1"/>
                <w:szCs w:val="1"/>
                <w:color w:val="auto"/>
              </w:rPr>
            </w:pPr>
          </w:p>
        </w:tc>
      </w:tr>
      <w:tr>
        <w:trPr>
          <w:trHeight w:val="142"/>
        </w:trPr>
        <w:tc>
          <w:tcPr>
            <w:tcW w:w="3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September 30, 2022</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5"/>
              </w:rPr>
              <w:t>120,842</w:t>
            </w:r>
          </w:p>
        </w:tc>
        <w:tc>
          <w:tcPr>
            <w:tcW w:w="1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87"/>
              </w:rPr>
              <w:t>$ 4,548</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u w:val="single" w:color="auto"/>
                <w:color w:val="auto"/>
                <w:w w:val="90"/>
              </w:rPr>
              <w:t>$</w:t>
            </w:r>
            <w:r>
              <w:rPr>
                <w:rFonts w:ascii="Arial" w:cs="Arial" w:eastAsia="Arial" w:hAnsi="Arial"/>
                <w:sz w:val="15"/>
                <w:szCs w:val="15"/>
                <w:color w:val="auto"/>
                <w:w w:val="90"/>
              </w:rPr>
              <w:t>4,105,900</w:t>
            </w:r>
          </w:p>
        </w:tc>
        <w:tc>
          <w:tcPr>
            <w:tcW w:w="10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2"/>
              </w:rPr>
              <w:t>$ (6,731,789</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79"/>
              </w:rPr>
              <w:t>)</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5"/>
                <w:szCs w:val="15"/>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rPr>
              <w:t>(72,476)</w:t>
            </w:r>
          </w:p>
        </w:tc>
        <w:tc>
          <w:tcPr>
            <w:tcW w:w="16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85"/>
              </w:rPr>
              <w:t>$ 6,211,586</w:t>
            </w:r>
          </w:p>
        </w:tc>
        <w:tc>
          <w:tcPr>
            <w:tcW w:w="1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3"/>
              </w:rPr>
              <w:t>$ 3,517,769</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5"/>
                <w:szCs w:val="15"/>
                <w:color w:val="auto"/>
                <w:w w:val="95"/>
              </w:rPr>
              <w:t>$</w:t>
            </w:r>
          </w:p>
        </w:tc>
        <w:tc>
          <w:tcPr>
            <w:tcW w:w="760" w:type="dxa"/>
            <w:vAlign w:val="bottom"/>
            <w:tcBorders>
              <w:top w:val="single" w:sz="8" w:color="auto"/>
            </w:tcBorders>
            <w:shd w:val="clear" w:color="auto" w:fill="CCEEFF"/>
          </w:tcPr>
          <w:p>
            <w:pPr>
              <w:ind w:left="340"/>
              <w:spacing w:after="0" w:line="142" w:lineRule="exact"/>
              <w:rPr>
                <w:sz w:val="20"/>
                <w:szCs w:val="20"/>
                <w:color w:val="auto"/>
              </w:rPr>
            </w:pPr>
            <w:r>
              <w:rPr>
                <w:rFonts w:ascii="Arial" w:cs="Arial" w:eastAsia="Arial" w:hAnsi="Arial"/>
                <w:sz w:val="15"/>
                <w:szCs w:val="15"/>
                <w:color w:val="auto"/>
                <w:w w:val="87"/>
              </w:rPr>
              <w:t>42,509</w:t>
            </w:r>
          </w:p>
        </w:tc>
        <w:tc>
          <w:tcPr>
            <w:tcW w:w="12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5"/>
                <w:szCs w:val="15"/>
                <w:color w:val="auto"/>
                <w:w w:val="90"/>
              </w:rPr>
              <w:t>$ 3,560,278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0" w:lineRule="exact"/>
        <w:rPr>
          <w:sz w:val="20"/>
          <w:szCs w:val="20"/>
          <w:color w:val="auto"/>
        </w:rPr>
      </w:pPr>
    </w:p>
    <w:p>
      <w:pPr>
        <w:ind w:left="540" w:right="80" w:hanging="424"/>
        <w:spacing w:after="0" w:line="227" w:lineRule="auto"/>
        <w:tabs>
          <w:tab w:leader="none" w:pos="5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As of September 30, 2022, 2021 and 2020, accumulated other comprehensive (loss) income is comprised of unrealized (loss) gain on derivatives, net of tax, of $(46,580), $13,773 and $18,836, unrealized loss on short-term interest-bearing investments, net of tax, of $(22,797), $(1,274) and $(2) and unrealized loss on defined benefit plan, net of tax, of $(3,099), $(3,161) and $(7,172).</w:t>
      </w:r>
    </w:p>
    <w:p>
      <w:pPr>
        <w:ind w:left="540" w:hanging="424"/>
        <w:spacing w:after="0"/>
        <w:tabs>
          <w:tab w:leader="none" w:pos="5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 fiscal years 2022, 2021 and 2020, all of the Company’s net income is attributable to Amdocs Limited as the net income attributable to the Non-controlling interests is negligible.</w:t>
      </w:r>
    </w:p>
    <w:p>
      <w:pPr>
        <w:spacing w:after="0" w:line="1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86" w:right="4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4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3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income</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1"/>
              <w:spacing w:after="0"/>
              <w:rPr>
                <w:sz w:val="20"/>
                <w:szCs w:val="20"/>
                <w:color w:val="auto"/>
              </w:rPr>
            </w:pPr>
            <w:r>
              <w:rPr>
                <w:rFonts w:ascii="Arial" w:cs="Arial" w:eastAsia="Arial" w:hAnsi="Arial"/>
                <w:sz w:val="18"/>
                <w:szCs w:val="18"/>
                <w:color w:val="auto"/>
                <w:w w:val="98"/>
              </w:rPr>
              <w:t>549,501</w:t>
            </w: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w w:val="89"/>
              </w:rPr>
              <w:t>$ 688,374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497,840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Depreciation, amortization and impairment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1"/>
              <w:spacing w:after="0"/>
              <w:rPr>
                <w:sz w:val="20"/>
                <w:szCs w:val="20"/>
                <w:color w:val="auto"/>
              </w:rPr>
            </w:pPr>
            <w:r>
              <w:rPr>
                <w:rFonts w:ascii="Arial" w:cs="Arial" w:eastAsia="Arial" w:hAnsi="Arial"/>
                <w:sz w:val="18"/>
                <w:szCs w:val="18"/>
                <w:color w:val="auto"/>
                <w:w w:val="98"/>
              </w:rPr>
              <w:t>224,535</w:t>
            </w: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208,830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198,409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debt issuance cost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564</w:t>
            </w: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548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Equity-based compensation expense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1"/>
              <w:spacing w:after="0"/>
              <w:rPr>
                <w:sz w:val="20"/>
                <w:szCs w:val="20"/>
                <w:color w:val="auto"/>
              </w:rPr>
            </w:pPr>
            <w:r>
              <w:rPr>
                <w:rFonts w:ascii="Arial" w:cs="Arial" w:eastAsia="Arial" w:hAnsi="Arial"/>
                <w:sz w:val="18"/>
                <w:szCs w:val="18"/>
                <w:color w:val="auto"/>
              </w:rPr>
              <w:t>71,807</w:t>
            </w: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54,249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42,434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Gain from sale of a business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(10,000)</w:t>
            </w: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(226,410)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Deferred income taxes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(3,292)</w:t>
            </w: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(50,605)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30,239</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from short-term interest-bearing investments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2,728</w:t>
            </w: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1,726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receivable, net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(64,978)</w:t>
            </w: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(69,051)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134,584</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(3,527)</w:t>
            </w: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(17,041)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(10,815)</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19,760</w:t>
            </w: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(50,038)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(23,329)</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Lease assets and liabilities, net</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1"/>
              <w:spacing w:after="0"/>
              <w:rPr>
                <w:sz w:val="20"/>
                <w:szCs w:val="20"/>
                <w:color w:val="auto"/>
              </w:rPr>
            </w:pPr>
            <w:r>
              <w:rPr>
                <w:rFonts w:ascii="Arial" w:cs="Arial" w:eastAsia="Arial" w:hAnsi="Arial"/>
                <w:sz w:val="18"/>
                <w:szCs w:val="18"/>
                <w:color w:val="auto"/>
              </w:rPr>
              <w:t>1,394</w:t>
            </w: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9,630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(7,881)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accrued expenses and accrued personnel</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(83,932)</w:t>
            </w: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122,224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(190,354)</w:t>
            </w: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(22,456)</w:t>
            </w: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193,655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(15,184)</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taxes payable, net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15,648</w:t>
            </w: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26,814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(9,281)</w:t>
            </w:r>
          </w:p>
        </w:tc>
        <w:tc>
          <w:tcPr>
            <w:tcW w:w="0" w:type="dxa"/>
            <w:vAlign w:val="bottom"/>
          </w:tcPr>
          <w:p>
            <w:pPr>
              <w:spacing w:after="0"/>
              <w:rPr>
                <w:sz w:val="1"/>
                <w:szCs w:val="1"/>
                <w:color w:val="auto"/>
              </w:rPr>
            </w:pPr>
          </w:p>
        </w:tc>
      </w:tr>
      <w:tr>
        <w:trPr>
          <w:trHeight w:val="229"/>
        </w:trPr>
        <w:tc>
          <w:tcPr>
            <w:tcW w:w="654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341"/>
              <w:spacing w:after="0"/>
              <w:rPr>
                <w:sz w:val="20"/>
                <w:szCs w:val="20"/>
                <w:color w:val="auto"/>
              </w:rPr>
            </w:pPr>
            <w:r>
              <w:rPr>
                <w:rFonts w:ascii="Arial" w:cs="Arial" w:eastAsia="Arial" w:hAnsi="Arial"/>
                <w:sz w:val="18"/>
                <w:szCs w:val="18"/>
                <w:color w:val="auto"/>
              </w:rPr>
              <w:t>58,967</w:t>
            </w: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32,902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11,330</w:t>
            </w: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provided by operating activities</w:t>
            </w:r>
          </w:p>
        </w:tc>
        <w:tc>
          <w:tcPr>
            <w:tcW w:w="1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756,719</w:t>
            </w:r>
          </w:p>
        </w:tc>
        <w:tc>
          <w:tcPr>
            <w:tcW w:w="4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925,807</w:t>
            </w:r>
          </w:p>
        </w:tc>
        <w:tc>
          <w:tcPr>
            <w:tcW w:w="2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658,136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54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 net(1)</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90"/>
              </w:rPr>
              <w:t>(227,219)</w:t>
            </w: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(210,438)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(205,510)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41"/>
              <w:spacing w:after="0"/>
              <w:rPr>
                <w:sz w:val="20"/>
                <w:szCs w:val="20"/>
                <w:color w:val="auto"/>
              </w:rPr>
            </w:pPr>
            <w:r>
              <w:rPr>
                <w:rFonts w:ascii="Arial" w:cs="Arial" w:eastAsia="Arial" w:hAnsi="Arial"/>
                <w:sz w:val="18"/>
                <w:szCs w:val="18"/>
                <w:color w:val="auto"/>
              </w:rPr>
              <w:t>21,948</w:t>
            </w: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rPr>
              <w:t>18,205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(34,275)</w:t>
            </w: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(276,978)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Net cash paid for business and intangible assets acquisitions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(24,430)</w:t>
            </w: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(142,697)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(249,358)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sale of a business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10,000</w:t>
            </w: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288,990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rPr>
              <w:t>(8,525)</w:t>
            </w: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(6,082)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(6,104)</w:t>
            </w: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investing activities</w:t>
            </w:r>
          </w:p>
        </w:tc>
        <w:tc>
          <w:tcPr>
            <w:tcW w:w="1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(262,501</w:t>
            </w:r>
          </w:p>
        </w:tc>
        <w:tc>
          <w:tcPr>
            <w:tcW w:w="420" w:type="dxa"/>
            <w:vAlign w:val="bottom"/>
            <w:tcBorders>
              <w:top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(329,000</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(461,725</w:t>
            </w:r>
          </w:p>
        </w:tc>
        <w:tc>
          <w:tcPr>
            <w:tcW w:w="1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financing arrangements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450,000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Payments under financing arrangements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(100,000)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(350,000)</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issuance of debt, net</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1"/>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643,919</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Repurchase of shares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w w:val="90"/>
              </w:rPr>
              <w:t>(508,472)</w:t>
            </w: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(679,996)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(360,912)</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 exercises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82,924</w:t>
            </w: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89,056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97,850</w:t>
            </w: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Payments of dividends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1"/>
              <w:spacing w:after="0"/>
              <w:rPr>
                <w:sz w:val="20"/>
                <w:szCs w:val="20"/>
                <w:color w:val="auto"/>
              </w:rPr>
            </w:pPr>
            <w:r>
              <w:rPr>
                <w:rFonts w:ascii="Arial" w:cs="Arial" w:eastAsia="Arial" w:hAnsi="Arial"/>
                <w:sz w:val="18"/>
                <w:szCs w:val="18"/>
                <w:color w:val="auto"/>
                <w:w w:val="90"/>
              </w:rPr>
              <w:t>(186,073)</w:t>
            </w: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(177,472)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w w:val="88"/>
              </w:rPr>
              <w:t>(164,061)</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Payment of contingent consideration from a business acquisition</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(18,284)</w:t>
            </w:r>
          </w:p>
        </w:tc>
        <w:tc>
          <w:tcPr>
            <w:tcW w:w="100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(2,519)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Other</w:t>
            </w: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196"/>
        </w:trPr>
        <w:tc>
          <w:tcPr>
            <w:tcW w:w="6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cash (used in) provided by financing activities</w:t>
            </w:r>
          </w:p>
        </w:tc>
        <w:tc>
          <w:tcPr>
            <w:tcW w:w="1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(629,905</w:t>
            </w:r>
          </w:p>
        </w:tc>
        <w:tc>
          <w:tcPr>
            <w:tcW w:w="420" w:type="dxa"/>
            <w:vAlign w:val="bottom"/>
            <w:tcBorders>
              <w:top w:val="single" w:sz="8" w:color="CCEEFF"/>
            </w:tcBorders>
            <w:shd w:val="clear" w:color="auto" w:fill="CCEEFF"/>
          </w:tcPr>
          <w:p>
            <w:pPr>
              <w:jc w:val="right"/>
              <w:ind w:right="28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(870,931</w:t>
            </w:r>
          </w:p>
        </w:tc>
        <w:tc>
          <w:tcPr>
            <w:tcW w:w="260" w:type="dxa"/>
            <w:vAlign w:val="bottom"/>
            <w:tcBorders>
              <w:top w:val="single" w:sz="8" w:color="CCEEFF"/>
            </w:tcBorders>
            <w:shd w:val="clear" w:color="auto" w:fill="CCEEFF"/>
          </w:tcPr>
          <w:p>
            <w:pPr>
              <w:jc w:val="right"/>
              <w:ind w:right="12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315,145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Net (decrease) increase in cash and cash equivalents</w:t>
            </w: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83"/>
              </w:rPr>
              <w:t>(135,687)</w:t>
            </w:r>
          </w:p>
        </w:tc>
        <w:tc>
          <w:tcPr>
            <w:tcW w:w="420" w:type="dxa"/>
            <w:vAlign w:val="bottom"/>
          </w:tcPr>
          <w:p>
            <w:pPr>
              <w:spacing w:after="0"/>
              <w:rPr>
                <w:sz w:val="16"/>
                <w:szCs w:val="16"/>
                <w:color w:val="auto"/>
              </w:rPr>
            </w:pPr>
          </w:p>
        </w:tc>
        <w:tc>
          <w:tcPr>
            <w:tcW w:w="7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3"/>
              </w:rPr>
              <w:t>(274,124)</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5"/>
              </w:rPr>
              <w:t>511,556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w w:val="98"/>
              </w:rPr>
              <w:t>709,064</w:t>
            </w: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983,188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471,632</w:t>
            </w: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Cash and cash equivalents at end of year</w:t>
            </w:r>
          </w:p>
        </w:tc>
        <w:tc>
          <w:tcPr>
            <w:tcW w:w="136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40" w:type="dxa"/>
            <w:vAlign w:val="bottom"/>
            <w:tcBorders>
              <w:bottom w:val="single" w:sz="8" w:color="CCEEFF"/>
            </w:tcBorders>
            <w:vMerge w:val="continue"/>
          </w:tcPr>
          <w:p>
            <w:pPr>
              <w:spacing w:after="0"/>
              <w:rPr>
                <w:sz w:val="18"/>
                <w:szCs w:val="18"/>
                <w:color w:val="auto"/>
              </w:rPr>
            </w:pPr>
          </w:p>
        </w:tc>
        <w:tc>
          <w:tcPr>
            <w:tcW w:w="1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573,377</w:t>
            </w:r>
          </w:p>
        </w:tc>
        <w:tc>
          <w:tcPr>
            <w:tcW w:w="4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$ 709,064</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983,188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5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Supplementary Cash Flow Information</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Interest and Income Taxes Paid</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Income taxes, net of refunds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41"/>
              <w:spacing w:after="0"/>
              <w:rPr>
                <w:sz w:val="20"/>
                <w:szCs w:val="20"/>
                <w:color w:val="auto"/>
              </w:rPr>
            </w:pPr>
            <w:r>
              <w:rPr>
                <w:rFonts w:ascii="Arial" w:cs="Arial" w:eastAsia="Arial" w:hAnsi="Arial"/>
                <w:sz w:val="18"/>
                <w:szCs w:val="18"/>
                <w:color w:val="auto"/>
              </w:rPr>
              <w:t>80,419</w:t>
            </w:r>
          </w:p>
        </w:tc>
        <w:tc>
          <w:tcPr>
            <w:tcW w:w="1000" w:type="dxa"/>
            <w:vAlign w:val="bottom"/>
            <w:gridSpan w:val="2"/>
          </w:tcPr>
          <w:p>
            <w:pPr>
              <w:jc w:val="right"/>
              <w:ind w:right="181"/>
              <w:spacing w:after="0"/>
              <w:rPr>
                <w:sz w:val="20"/>
                <w:szCs w:val="20"/>
                <w:color w:val="auto"/>
              </w:rPr>
            </w:pPr>
            <w:r>
              <w:rPr>
                <w:rFonts w:ascii="Arial" w:cs="Arial" w:eastAsia="Arial" w:hAnsi="Arial"/>
                <w:sz w:val="18"/>
                <w:szCs w:val="18"/>
                <w:color w:val="auto"/>
                <w:w w:val="89"/>
              </w:rPr>
              <w:t>$ 146,442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45,398</w:t>
            </w: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Interest(2)</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16,741</w:t>
            </w:r>
          </w:p>
        </w:tc>
        <w:tc>
          <w:tcPr>
            <w:tcW w:w="100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19,371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40" w:hanging="424"/>
        <w:spacing w:after="0" w:line="228" w:lineRule="auto"/>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under “Purchase of property and equipment, net,” include proceeds from sale of property and equipment of $521, $328, and $194 for the years ended September 30, 2022, 2021 and 2020, respectively</w:t>
      </w:r>
    </w:p>
    <w:p>
      <w:pPr>
        <w:ind w:left="540" w:hanging="424"/>
        <w:spacing w:after="0"/>
        <w:tabs>
          <w:tab w:leader="none" w:pos="5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amounts under “Interest” include payments of interest to financial institution, tax authorities and other.</w:t>
      </w:r>
    </w:p>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40"/>
          </w:cols>
          <w:pgMar w:left="320" w:top="486" w:right="4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Nature of Entity</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cloud portfolio.</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or GAAP and are denominated in U.S. dollars.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the vast majority of which are wholly-owned. All intercompany transactions and balances have been eliminated in consolidation.</w:t>
      </w:r>
    </w:p>
    <w:p>
      <w:pPr>
        <w:spacing w:after="0" w:line="170"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In December 2017, the Company entered into agreements with Union Investments and Development Limited (“Union”) to partner through a legal entity that is equally owned by the Company and Union for the purpose of acquiring specific land which the Company uses as the site for a new campus in Ra’anana, Israel. On January 2, 2018, the Company completed the acquisition of the land. Pursuant to the agreements between the Company and Union, as the Company has control over the construction and ongoing operations of the new campus, the new entity’s financial information is consolidated into the Company’s consolidated financial statements with the portion not owned classified as non-controlling interests. The Company is obligated to distribute in the future the new entity’s earnings under certain conditions, in fiscal years 2022, 2021 and 2020 the new entity had negligible earnings or losses and, therefore, an immaterial effect on consolidated financial statements of Amdocs Limited.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35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86" w:right="49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dollar. The Company periodically assesses the applicability of the U.S. dollar as the Company’s functional currency by reviewing the salient indicators as indicated in the authoritative guidance for foreign currency matters.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Cash and cash equivalents consist of cash and interest-bearing investments with insignificant interest rate risk and maturities from acquisition date of 90 days or less.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11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From time to time, the Company uses non-recourse factoring arrangements, to sell accounts receivable to third-party financial institutions. The sale of the receivables in these arrangements are accounted for as a true sale.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Company has short-term interest-bearing investments comprised of marketable securities and bank deposits. The Company classifies all of its marketable securities as available-for-sale securities and considers all of its marketable debt securities as available for use to meet the Company’s operational needs, including those with maturity dates beyond one year, and therefore classifies these securities within current assets on the consolidated balance sheets. Such marketable securities consist primarily of money market funds, corporate bonds, U.S. government treasuries and municipal bonds, which are stated at market value. The available-for-sale investments are carried at estimated fair value with any unrealized gains and losses, net of taxes, included in accumulated other comprehensive (loss) income in shareholders’ equity. The Company recognizes an impairment when there is a decline in the fair value of its investments below the amortized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 and the available-for-sale debt security’s amortized cost basis is written down to its fair value at the reporting date. For securities that do not meet these criteria, the Company needs to assess whether the decline is as result of a credit loss, and if so, the decline is recognized in earnings, while declines in fair value related to other factors are recognized in other comprehensive (loss) income. The Company uses a discounted cash flow analysis to estimate credit losses. Realized gains and losses on short-term interest-bearing investments are included in earnings and are determined based on specific identification method.</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Property and equipment are stated at cost. Depreciation is computed using the straight-line method over the estimated useful life of the asset, which primarily ranges from three to ten years. Leasehold improvements are amortized over the shorter of the estimated useful lives or the term of the related lease. Property and equipment that have been fully depreciated and are no longer in use are netted against accumulated depreciation.</w:t>
      </w:r>
    </w:p>
    <w:p>
      <w:pPr>
        <w:spacing w:after="0" w:line="149"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Company capitalizes certain expenditures for software that is internally developed for use in the business, which is classified as computer equipment. Amortization of internal use software begins when the software is ready for service and continues on the straight-line method over the estimated useful life.</w:t>
      </w:r>
    </w:p>
    <w:p>
      <w:pPr>
        <w:spacing w:after="0" w:line="184"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capitalizes the expenditures related to the new campus in Israel, which are classified as building and land. Amortization will begin in fiscal year 2023 and will be amortized on the straight-line basis over the estimated useful life.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As a lessee, the majority of the Company’s lease obligation is for office real estate. The significant judgments used in determining its lease obligation include whether a contract is or contains a lease and the determination of</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86" w:right="4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the discount rate used to calculate the lease liability. The Company elected the practical expedient not to separate non-lease components from lease components and instead to account for each separate lease component and the non-lease components associated with that lease component as a single lease component for its real estate and vehicle leases.</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The Company’s leases may include the option to extend or terminate before the end of the contractual term and are often non-cancelable or cancelable only by the payment of penalties. The lease assets and liabilities include these options in the lease term when it is reasonably certain that they will be exercised. In certain cases, the Company subleases excess office real estate to third-party tenants in immaterial amounts.</w:t>
      </w:r>
    </w:p>
    <w:p>
      <w:pPr>
        <w:spacing w:after="0" w:line="16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Lease assets and liabilities recognized at the lease commencement date are determined predominantly as the present value of the payments due over the lease term. Unless the implicit rate can be determined, the Company uses its incremental borrowing rate on that date to calculate the present value. The incremental borrowing rate approximates the rate at which the Company could borrow, on a secured basis for a similar term, an amount equal to its lease payments in a similar economic environment.</w:t>
      </w:r>
    </w:p>
    <w:p>
      <w:pPr>
        <w:spacing w:after="0" w:line="187" w:lineRule="exact"/>
        <w:rPr>
          <w:sz w:val="20"/>
          <w:szCs w:val="20"/>
          <w:color w:val="auto"/>
        </w:rPr>
      </w:pPr>
    </w:p>
    <w:p>
      <w:pPr>
        <w:jc w:val="both"/>
        <w:ind w:left="120" w:right="20" w:firstLine="440"/>
        <w:spacing w:after="0" w:line="305" w:lineRule="auto"/>
        <w:rPr>
          <w:sz w:val="20"/>
          <w:szCs w:val="20"/>
          <w:color w:val="auto"/>
        </w:rPr>
      </w:pPr>
      <w:r>
        <w:rPr>
          <w:rFonts w:ascii="Arial" w:cs="Arial" w:eastAsia="Arial" w:hAnsi="Arial"/>
          <w:sz w:val="15"/>
          <w:szCs w:val="15"/>
          <w:color w:val="auto"/>
        </w:rPr>
        <w:t>When the Company is the lessee, all leases are recognized as lease liabilities and associated lease assets on the consolidated balance sheets. Lease liabilities represent the Company’s obligation to make payments arising from the lease. Lease assets represent the Company’s right to use an underlying asset for the lease term and may also include advance payments, initial direct costs or lease incentives. Fixed and variable payments that depend upon an index or rate, such as the Consumer Price Index (CPI), are included in the recognition of lease assets and liabilities at the commencement-date rate.</w:t>
      </w:r>
    </w:p>
    <w:p>
      <w:pPr>
        <w:spacing w:after="0" w:line="2" w:lineRule="exact"/>
        <w:rPr>
          <w:sz w:val="20"/>
          <w:szCs w:val="20"/>
          <w:color w:val="auto"/>
        </w:rPr>
      </w:pPr>
    </w:p>
    <w:p>
      <w:pPr>
        <w:jc w:val="both"/>
        <w:ind w:left="120" w:right="20"/>
        <w:spacing w:after="0" w:line="323" w:lineRule="auto"/>
        <w:rPr>
          <w:sz w:val="20"/>
          <w:szCs w:val="20"/>
          <w:color w:val="auto"/>
        </w:rPr>
      </w:pPr>
      <w:r>
        <w:rPr>
          <w:rFonts w:ascii="Arial" w:cs="Arial" w:eastAsia="Arial" w:hAnsi="Arial"/>
          <w:sz w:val="16"/>
          <w:szCs w:val="16"/>
          <w:color w:val="auto"/>
        </w:rPr>
        <w:t>Other variable payments, such as common area maintenance, property and other taxes, utilities and insurance that are based on the lessor’s cost, are recognized in the Consolidated Income Statement in the period incurred. Operating lease expense is recorded on a straight-line basis over the lease term.</w:t>
      </w:r>
    </w:p>
    <w:p>
      <w:pPr>
        <w:spacing w:after="0" w:line="24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11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12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Other definite-life intangible assets consist primarily of core technology and customer relationships. Core technology acquired by the Company is amortized over its estimated useful life on a straight-line basis.</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184"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Goodwill and intangible assets deemed to have indefinite lives are subject to an annual impairment test or more frequently if impairment indicators are present. The Company annual evaluation of impairment consists of either using a qualitative approach to determine whether it is more likely than not that the fair value of the assets is less than their respective carrying values or a quantitative impairment test, if necessary. The goodwill impairment test is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There was no impairment of goodwill in fiscal years 2022, 2021 or 2020.</w:t>
      </w:r>
    </w:p>
    <w:p>
      <w:pPr>
        <w:spacing w:after="0" w:line="17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Company tests long-lived assets, including definite life intangible assets, for impairment whenever events or changes in circumstances indicate that the carrying amount of such assets may not be recoverable. Impairment indicators include any significant changes in the manner of its use of the assets or the strategy of its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20"/>
          </w:cols>
          <w:pgMar w:left="320" w:top="486" w:right="45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overall business, significant negative industry or economic trends and significant decline in our share price for a sustained period.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 There was an immaterial impairment of long-lived assets in fiscal year 2022, and no impairment for fiscal years 2021 or 2020.</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Comprehensive income, net of related taxes where applicable, includes, in addition to net income:</w:t>
      </w:r>
    </w:p>
    <w:p>
      <w:pPr>
        <w:spacing w:after="0" w:line="117" w:lineRule="exact"/>
        <w:rPr>
          <w:sz w:val="20"/>
          <w:szCs w:val="20"/>
          <w:color w:val="auto"/>
        </w:rPr>
      </w:pPr>
    </w:p>
    <w:p>
      <w:pPr>
        <w:ind w:left="1320" w:hanging="213"/>
        <w:spacing w:after="0"/>
        <w:tabs>
          <w:tab w:leader="none" w:pos="13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change in fair value of available-for-sale securities;</w:t>
      </w:r>
    </w:p>
    <w:p>
      <w:pPr>
        <w:spacing w:after="0" w:line="117" w:lineRule="exact"/>
        <w:rPr>
          <w:rFonts w:ascii="Arial" w:cs="Arial" w:eastAsia="Arial" w:hAnsi="Arial"/>
          <w:sz w:val="18"/>
          <w:szCs w:val="18"/>
          <w:color w:val="auto"/>
        </w:rPr>
      </w:pPr>
    </w:p>
    <w:p>
      <w:pPr>
        <w:ind w:left="1380" w:hanging="273"/>
        <w:spacing w:after="0"/>
        <w:tabs>
          <w:tab w:leader="none" w:pos="1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change in fair value of cash flow hedges; and</w:t>
      </w:r>
    </w:p>
    <w:p>
      <w:pPr>
        <w:spacing w:after="0" w:line="117" w:lineRule="exact"/>
        <w:rPr>
          <w:rFonts w:ascii="Arial" w:cs="Arial" w:eastAsia="Arial" w:hAnsi="Arial"/>
          <w:sz w:val="18"/>
          <w:szCs w:val="18"/>
          <w:color w:val="auto"/>
        </w:rPr>
      </w:pPr>
    </w:p>
    <w:p>
      <w:pPr>
        <w:ind w:left="1420" w:hanging="313"/>
        <w:spacing w:after="0"/>
        <w:tabs>
          <w:tab w:leader="none" w:pos="14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actuarial gains and losses on defined benefit plans.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repurchases its ordinary shares from time to time on the open market or in other transactions and holds such shares as treasury stock. The Company presents the cost to repurchase treasury stock as a reduction of equity.</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accordance with business combinations accounting, assets acquired and liabilities assumed, as well as any contingent consideration that may be part of the acquisition agreement, are recorded at their respective fair values at the date of acquisition. The Company allocates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the Company obtains the assistance of independent valuation firms. The Company completes these assessments as soon as practical after the closing dates. Any excess of the purchase price over the estimated fair values of the identifiable net assets acquired is recorded as goodwill.</w:t>
      </w:r>
    </w:p>
    <w:p>
      <w:pPr>
        <w:spacing w:after="0" w:line="16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For acquisitions that include contingent consideration, the fair value is estimated on the acquisition date as the present value of the expected contingent payments, determined using weighted probabilities of possible payments. The Company remeasures the fair value of the contingent consideration at each reporting period until the contingency is resolved. Except for measurement period adjustments, the changes in fair value are recognized in the consolidated statements of income. The Company considers several factors when determining that contingent consideration liabilities are part of the purchase price, such as the following: the valuation of the acquisitions is not supported solely by the initial consideration paid, and the contingent consideration payments are not affected by employment termination. Any earn-out which is not considered a contingent consideration is recognized as compensation expense over expected service period.</w:t>
      </w:r>
    </w:p>
    <w:p>
      <w:pPr>
        <w:spacing w:after="0" w:line="17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Although the Company believes the assumptions and estimates of fair value it has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86" w:right="4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assumptions, estimates or actual results. As a result, during the measurement period, which may be up to one year from the acquisition date, the Company records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its consolidated statements of income.</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Company estimates the fair values of its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84"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Company may establish a valuation allowance for certain deferred tax assets and estimate the value of uncertain tax positions of a newly acquired entity. This process requires significant judgment and analysis.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100" w:firstLine="440"/>
        <w:spacing w:after="0" w:line="271" w:lineRule="auto"/>
        <w:rPr>
          <w:sz w:val="20"/>
          <w:szCs w:val="20"/>
          <w:color w:val="auto"/>
        </w:rPr>
      </w:pPr>
      <w:r>
        <w:rPr>
          <w:rFonts w:ascii="Arial" w:cs="Arial" w:eastAsia="Arial" w:hAnsi="Arial"/>
          <w:sz w:val="17"/>
          <w:szCs w:val="17"/>
          <w:color w:val="auto"/>
        </w:rPr>
        <w:t>The Company records deferred income taxes to reflect the net tax effects of temporary differences between the carrying amounts of assets and liabilities for financial reporting and tax purposes. Deferred taxes are computed based on enacted tax rates anticipated to be in effect when the deferred taxes are expected to be paid or realized. A valuation allowance is provided for deferred tax assets if it is more likely than not, the Company will not be able to realize their benefit. In assessing the realizability of deferred tax assets, the Company considers whether it is more likely than not that some portion or all of the deferred tax assets will not be realized and adjust the valuation allowances accordingly.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Deferred tax liabilities and assets are classified as noncurrent liabilities and noncurrent assets, respectively, on the consolidated balance sheets.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tax liabilities also include anticipated withholding taxes due on subsidiaries’ earnings when paid as dividends to the Company.</w:t>
      </w:r>
    </w:p>
    <w:p>
      <w:pPr>
        <w:spacing w:after="0" w:line="211"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Interest and penalties related to uncertain tax positions are recognized in the provision for income taxes.</w:t>
      </w:r>
    </w:p>
    <w:p>
      <w:pPr>
        <w:spacing w:after="0" w:line="17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Significant judgment is required in evaluating the uncertain tax positions and determining the provision for income taxes. The Company adjusts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Please see Note 10 to the consolidated financial statements.</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applies an estimated annual effective tax rate to its quarterly operating results to determine the interim provision for income tax expense. A change in judgment that impacts the measurement of a tax position taken in a prior year is recognized as a discrete item in the interim period in which the change occurs. In the event there is a significant unusual or infrequent item recognized in the quarterly operating results, the tax attributable to that item is recorded in the interim period in which it occurs. As a result, the Company’s quarterly effective tax rate may fluctuate throughout the course of a fiscal year.</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86" w:right="45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The Company recognizes revenue under the five-step methodology required under ASC 606, which requires the Company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4" w:lineRule="exact"/>
        <w:rPr>
          <w:sz w:val="20"/>
          <w:szCs w:val="20"/>
          <w:color w:val="auto"/>
        </w:rPr>
      </w:pPr>
    </w:p>
    <w:p>
      <w:pPr>
        <w:ind w:left="120" w:right="460" w:firstLine="440"/>
        <w:spacing w:after="0" w:line="342" w:lineRule="auto"/>
        <w:rPr>
          <w:sz w:val="20"/>
          <w:szCs w:val="20"/>
          <w:color w:val="auto"/>
        </w:rPr>
      </w:pPr>
      <w:r>
        <w:rPr>
          <w:rFonts w:ascii="Arial" w:cs="Arial" w:eastAsia="Arial" w:hAnsi="Arial"/>
          <w:sz w:val="16"/>
          <w:szCs w:val="16"/>
          <w:color w:val="auto"/>
        </w:rPr>
        <w:t>Revenue is recognized net of any revenue-based taxes assessed by a governmental authority that are both imposed on and concurrent with a specific revenue-producing transaction and collected by the Company from a customer (for example, sales, use and value added taxes).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primary revenue categories, related performance obligations, and associated recognition patterns are as follows:</w:t>
      </w:r>
    </w:p>
    <w:p>
      <w:pPr>
        <w:spacing w:after="0" w:line="225"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i w:val="1"/>
          <w:iCs w:val="1"/>
          <w:color w:val="auto"/>
        </w:rPr>
        <w:t xml:space="preserve">Revenue Recognition for projects </w:t>
      </w:r>
      <w:r>
        <w:rPr>
          <w:rFonts w:ascii="Arial" w:cs="Arial" w:eastAsia="Arial" w:hAnsi="Arial"/>
          <w:sz w:val="17"/>
          <w:szCs w:val="17"/>
          <w:color w:val="auto"/>
        </w:rPr>
        <w:t>— The Company usually sells its software licenses as part of an overall solution offered to a customer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customization, modification, implementation and integration. Those services are deemed essential to the software. As a result, revenue related to these projects is recognized over time, usually based on a percentage that incurred labor effort to date bears to total projected labor effort. Incurred effort represents work performed, which corresponds with, and thereby best depicts, the transfer of control to the customer. Revenue from customization, implementation, modification and integration services is also recognized over the course of the projects.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w:t>
      </w:r>
    </w:p>
    <w:p>
      <w:pPr>
        <w:spacing w:after="0" w:line="178"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As a significant portion of the Company’s revenue is satisfied over time as work progresses, the annual and quarterly operating results may be affected by the size and timing of the initiation of customer projects as well as the Company’s progress in completing such projects.</w:t>
      </w:r>
    </w:p>
    <w:p>
      <w:pPr>
        <w:spacing w:after="0" w:line="146"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i w:val="1"/>
          <w:iCs w:val="1"/>
          <w:color w:val="auto"/>
        </w:rPr>
        <w:t xml:space="preserve">Revenue Recognition for subsequent license fee </w:t>
      </w:r>
      <w:r>
        <w:rPr>
          <w:rFonts w:ascii="Arial" w:cs="Arial" w:eastAsia="Arial" w:hAnsi="Arial"/>
          <w:sz w:val="18"/>
          <w:szCs w:val="18"/>
          <w:color w:val="auto"/>
        </w:rPr>
        <w:t>— Subsequent license fee revenue is recognized when the customer has access to the license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use and benefit from the license. In cases when the conditions require delivery, then delivery must have occurred for purposes of revenue recognition. Subsequent license fee is based on a customer’s subscriber level, transaction volume or other measurements when greater than the level specified in the contract for the initial license fee.</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i w:val="1"/>
          <w:iCs w:val="1"/>
          <w:color w:val="auto"/>
        </w:rPr>
        <w:t xml:space="preserve">Revenue Recognition for term-based license and perpetual license </w:t>
      </w:r>
      <w:r>
        <w:rPr>
          <w:rFonts w:ascii="Arial" w:cs="Arial" w:eastAsia="Arial" w:hAnsi="Arial"/>
          <w:sz w:val="18"/>
          <w:szCs w:val="18"/>
          <w:color w:val="auto"/>
        </w:rPr>
        <w:t>— Revenue related to software solutions that do not require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customization, implementation and modification are recognized upon delivery.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Revenue Recognition for maintenance </w:t>
      </w:r>
      <w:r>
        <w:rPr>
          <w:rFonts w:ascii="Arial" w:cs="Arial" w:eastAsia="Arial" w:hAnsi="Arial"/>
          <w:sz w:val="18"/>
          <w:szCs w:val="18"/>
          <w:color w:val="auto"/>
        </w:rPr>
        <w:t>— Maintenance revenue is recognized ratably over the term of the maintenance agreement.</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i w:val="1"/>
          <w:iCs w:val="1"/>
          <w:color w:val="auto"/>
        </w:rPr>
        <w:t xml:space="preserve">Revenue Recognition for ongoing services </w:t>
      </w:r>
      <w:r>
        <w:rPr>
          <w:rFonts w:ascii="Arial" w:cs="Arial" w:eastAsia="Arial" w:hAnsi="Arial"/>
          <w:sz w:val="18"/>
          <w:szCs w:val="18"/>
          <w:color w:val="auto"/>
        </w:rPr>
        <w:t>— Revenue from ongoing support services and revenue from other ongoing services is recognized over</w:t>
      </w:r>
      <w:r>
        <w:rPr>
          <w:rFonts w:ascii="Arial" w:cs="Arial" w:eastAsia="Arial" w:hAnsi="Arial"/>
          <w:sz w:val="18"/>
          <w:szCs w:val="18"/>
          <w:i w:val="1"/>
          <w:iCs w:val="1"/>
          <w:color w:val="auto"/>
        </w:rPr>
        <w:t xml:space="preserve"> </w:t>
      </w:r>
      <w:r>
        <w:rPr>
          <w:rFonts w:ascii="Arial" w:cs="Arial" w:eastAsia="Arial" w:hAnsi="Arial"/>
          <w:sz w:val="18"/>
          <w:szCs w:val="18"/>
          <w:color w:val="auto"/>
        </w:rPr>
        <w:t>time as services are performed, using one method of measuring performance such as time elapsed, output produced, volume of data processed or subscriber count that provides the most faithful depiction of the transfer of services.</w:t>
      </w:r>
    </w:p>
    <w:p>
      <w:pPr>
        <w:spacing w:after="0" w:line="184"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i w:val="1"/>
          <w:iCs w:val="1"/>
          <w:color w:val="auto"/>
        </w:rPr>
        <w:t xml:space="preserve">Revenue Recognition for managed services arrangements </w:t>
      </w:r>
      <w:r>
        <w:rPr>
          <w:rFonts w:ascii="Arial" w:cs="Arial" w:eastAsia="Arial" w:hAnsi="Arial"/>
          <w:sz w:val="18"/>
          <w:szCs w:val="18"/>
          <w:color w:val="auto"/>
        </w:rPr>
        <w:t>— Managed services arrangements include management of data center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IT infrastructure, application management and ongoing support, management of end-to-end business processes, and managed transformation that includes both a transformation project as well as taking over managed services responsibility.</w:t>
      </w:r>
    </w:p>
    <w:p>
      <w:pPr>
        <w:spacing w:after="0" w:line="184" w:lineRule="exact"/>
        <w:rPr>
          <w:sz w:val="20"/>
          <w:szCs w:val="20"/>
          <w:color w:val="auto"/>
        </w:rPr>
      </w:pPr>
    </w:p>
    <w:p>
      <w:pPr>
        <w:jc w:val="both"/>
        <w:ind w:left="120" w:right="380" w:firstLine="440"/>
        <w:spacing w:after="0" w:line="263" w:lineRule="auto"/>
        <w:rPr>
          <w:sz w:val="20"/>
          <w:szCs w:val="20"/>
          <w:color w:val="auto"/>
        </w:rPr>
      </w:pPr>
      <w:r>
        <w:rPr>
          <w:rFonts w:ascii="Arial" w:cs="Arial" w:eastAsia="Arial" w:hAnsi="Arial"/>
          <w:sz w:val="18"/>
          <w:szCs w:val="18"/>
          <w:color w:val="auto"/>
        </w:rPr>
        <w:t>The revenue from managed services arrangements is recognized for each individual performance obligation according to its relevant revenue category, including, but not limited to, revenue from the management of a customer’s operations, revenue from projects and revenue from ongoing support services.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080"/>
          </w:cols>
          <w:pgMar w:left="320" w:top="486" w:right="49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Revenue from the management of a customer’s operations pursuant to managed services arrangements is recognized over time as services are performed, using one method of measuring performance such as time elapsed, output produced, volume of data processed or subscriber count that provides the most faithful depiction of the transfer of services, pursuant to the specific contract terms of the managed services arrangements. Typically, managed services arrangements are long term in duration and are not subject to significant seasonality.</w:t>
      </w:r>
    </w:p>
    <w:p>
      <w:pPr>
        <w:spacing w:after="0" w:line="171" w:lineRule="exact"/>
        <w:rPr>
          <w:sz w:val="20"/>
          <w:szCs w:val="20"/>
          <w:color w:val="auto"/>
        </w:rPr>
      </w:pPr>
    </w:p>
    <w:p>
      <w:pPr>
        <w:ind w:left="120" w:right="260" w:firstLine="440"/>
        <w:spacing w:after="0" w:line="293" w:lineRule="auto"/>
        <w:rPr>
          <w:sz w:val="20"/>
          <w:szCs w:val="20"/>
          <w:color w:val="auto"/>
        </w:rPr>
      </w:pPr>
      <w:r>
        <w:rPr>
          <w:rFonts w:ascii="Arial" w:cs="Arial" w:eastAsia="Arial" w:hAnsi="Arial"/>
          <w:sz w:val="16"/>
          <w:szCs w:val="16"/>
          <w:i w:val="1"/>
          <w:iCs w:val="1"/>
          <w:color w:val="auto"/>
        </w:rPr>
        <w:t xml:space="preserve">Revenue Recognition for third-party hardware software and services </w:t>
      </w:r>
      <w:r>
        <w:rPr>
          <w:rFonts w:ascii="Arial" w:cs="Arial" w:eastAsia="Arial" w:hAnsi="Arial"/>
          <w:sz w:val="16"/>
          <w:szCs w:val="16"/>
          <w:color w:val="auto"/>
        </w:rPr>
        <w:t>— Third-party hardware sales are typically recognized upon delivery or</w:t>
      </w:r>
      <w:r>
        <w:rPr>
          <w:rFonts w:ascii="Arial" w:cs="Arial" w:eastAsia="Arial" w:hAnsi="Arial"/>
          <w:sz w:val="16"/>
          <w:szCs w:val="16"/>
          <w:i w:val="1"/>
          <w:iCs w:val="1"/>
          <w:color w:val="auto"/>
        </w:rPr>
        <w:t xml:space="preserve"> </w:t>
      </w:r>
      <w:r>
        <w:rPr>
          <w:rFonts w:ascii="Arial" w:cs="Arial" w:eastAsia="Arial" w:hAnsi="Arial"/>
          <w:sz w:val="16"/>
          <w:szCs w:val="16"/>
          <w:color w:val="auto"/>
        </w:rPr>
        <w:t>installation, and revenue from third-party software sales is recognized upon delivery. Maintenance revenue is recognized ratably over the term of the maintenance agreement. Revenue from third-party hardware and software sales is recorded at a gross amount for transactions in which the Company controls the third-party hardware and software prior to fulfilling the performance obligation. In specific circumstances where the Company does not meet the above criteria, revenue is recognized on a net basis. In certain arrangements, the Company may earn revenue from other third-party services which is recorded at a gross amount as it controls the services before transferring them to the customer.</w:t>
      </w:r>
    </w:p>
    <w:p>
      <w:pPr>
        <w:spacing w:after="0" w:line="16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Arrangements with Multiple Performance Obligations </w:t>
      </w:r>
      <w:r>
        <w:rPr>
          <w:rFonts w:ascii="Arial" w:cs="Arial" w:eastAsia="Arial" w:hAnsi="Arial"/>
          <w:sz w:val="17"/>
          <w:szCs w:val="17"/>
          <w:color w:val="auto"/>
        </w:rPr>
        <w:t>— Many of the Company’s agreements include multiple performance obligations.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allocates the transaction price for each contract to each performance obligation identified in the contract based on the relative standalone selling price (SSP). The Company determines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the Company offers its services in accordance with ASC 606. The determination of SSP requires the exercise of judgement. If a specific performance obligation is sold for a broad range of amounts (that is, the selling price is highly variable) or if the Company has not yet established a price for that good or service, and the good or service has not previously been sold on a standalone basis (that is, the selling price is uncertain), the Company applies the residual approach whereby all other performance obligations within a contract are first allocated a portion of the transaction price based upon their respective SSPs with any residual amount of transaction price allocated to the remaining specific performance obligation.</w:t>
      </w:r>
    </w:p>
    <w:p>
      <w:pPr>
        <w:spacing w:after="0" w:line="18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Billing terms and conditions generally vary by contract category. Amounts are typically billed as work progresses in accordance with agreed-upon contractual terms, either at periodic intervals (e.g., monthly or quarterly) or upon achievement of contractual milestones. In cases where timing of revenue recognition significantly differs from the timing of invoicing, the Company considers whether a significant financing component exists. The Company elected to use the practical expedient in assessing the financing component in contracts where the time between cash collection and performance is less than one year.</w:t>
      </w:r>
    </w:p>
    <w:p>
      <w:pPr>
        <w:spacing w:after="0" w:line="188"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i w:val="1"/>
          <w:iCs w:val="1"/>
          <w:color w:val="auto"/>
        </w:rPr>
        <w:t xml:space="preserve">Accounts Receivable — Billed </w:t>
      </w:r>
      <w:r>
        <w:rPr>
          <w:rFonts w:ascii="Arial" w:cs="Arial" w:eastAsia="Arial" w:hAnsi="Arial"/>
          <w:sz w:val="18"/>
          <w:szCs w:val="18"/>
          <w:color w:val="auto"/>
        </w:rPr>
        <w:t>— Billed accounts receivables include all outstanding invoices to customers, as well as amounts allowed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billed according to contractual billing terms with customers.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i w:val="1"/>
          <w:iCs w:val="1"/>
          <w:color w:val="auto"/>
        </w:rPr>
        <w:t xml:space="preserve">Accounts Receivable — Unbilled — </w:t>
      </w:r>
      <w:r>
        <w:rPr>
          <w:rFonts w:ascii="Arial" w:cs="Arial" w:eastAsia="Arial" w:hAnsi="Arial"/>
          <w:sz w:val="18"/>
          <w:szCs w:val="18"/>
          <w:color w:val="auto"/>
        </w:rPr>
        <w:t>Unbilled accounts receivable is recorded when revenue recognition criteria is met prior to contractual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being met. Unbilled accounts receivable that are expected to be billed beyond the next 12 months are considered long-term unbilled receivables and included in other noncurrent assets.</w:t>
      </w:r>
    </w:p>
    <w:p>
      <w:pPr>
        <w:spacing w:after="0" w:line="184"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i w:val="1"/>
          <w:iCs w:val="1"/>
          <w:color w:val="auto"/>
        </w:rPr>
        <w:t xml:space="preserve">Deferred Revenue — </w:t>
      </w:r>
      <w:r>
        <w:rPr>
          <w:rFonts w:ascii="Arial" w:cs="Arial" w:eastAsia="Arial" w:hAnsi="Arial"/>
          <w:sz w:val="16"/>
          <w:szCs w:val="16"/>
          <w:color w:val="auto"/>
        </w:rPr>
        <w:t>Deferred revenue represents billings to customers for which revenue has not yet been recognized. Deferred revenue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be recognized beyond the next 12 months is considered long-term deferred revenue and included in other noncurrent liabilities.</w:t>
      </w:r>
    </w:p>
    <w:p>
      <w:pPr>
        <w:spacing w:after="0" w:line="12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i w:val="1"/>
          <w:iCs w:val="1"/>
          <w:color w:val="auto"/>
        </w:rPr>
        <w:t xml:space="preserve">Assets Recognized from the Costs to Obtain a Contract with a Customer — </w:t>
      </w:r>
      <w:r>
        <w:rPr>
          <w:rFonts w:ascii="Arial" w:cs="Arial" w:eastAsia="Arial" w:hAnsi="Arial"/>
          <w:sz w:val="17"/>
          <w:szCs w:val="17"/>
          <w:color w:val="auto"/>
        </w:rPr>
        <w:t>Incremental costs of obtaining a contract (e.g., sales commissions) are</w:t>
      </w:r>
      <w:r>
        <w:rPr>
          <w:rFonts w:ascii="Arial" w:cs="Arial" w:eastAsia="Arial" w:hAnsi="Arial"/>
          <w:sz w:val="17"/>
          <w:szCs w:val="17"/>
          <w:i w:val="1"/>
          <w:iCs w:val="1"/>
          <w:color w:val="auto"/>
        </w:rPr>
        <w:t xml:space="preserve"> </w:t>
      </w:r>
      <w:r>
        <w:rPr>
          <w:rFonts w:ascii="Arial" w:cs="Arial" w:eastAsia="Arial" w:hAnsi="Arial"/>
          <w:sz w:val="17"/>
          <w:szCs w:val="17"/>
          <w:color w:val="auto"/>
        </w:rPr>
        <w:t>capitalized and amortized on a pro-rata basis over the contract period if the Company expects to recover those costs. Commissions on renewals are commensurate with the commission from the initial arrangement. Incremental costs of obtaining a contract include only those costs the Company incurs to obtain a contract that it would not have incurred if the contract had not been obtained. The Company has</w:t>
      </w:r>
    </w:p>
    <w:p>
      <w:pPr>
        <w:spacing w:after="0" w:line="10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20"/>
          </w:cols>
          <w:pgMar w:left="320" w:top="486" w:right="45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determined that certain sales commissions programs meet the requirements to be capitalized, which prior to the adoption of ASC 606, were previously expensed as incurred. Additionally, as a practical expedient, the Company expenses costs to obtain a contract as incurred if the amortization period would have been a year or less. The amortization of these costs is included in selling, general and administrative expenses in the Company’s consolidated statements of income.</w:t>
      </w:r>
    </w:p>
    <w:p>
      <w:pPr>
        <w:spacing w:after="0" w:line="18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In certain circumstances where the Company enters into a contract with a customer for the provision of managed services for a defined period of time, the Company defers certain direct costs incurred at the inception of the contract. These costs include expenses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Cost of revenue consists of all costs associated with providing software licenses and services to customers, third party hardware and software including identified losses on contracts. Estimated losses on projects satisfied over time as work performed are recognized in the period in which the loss is identified.</w:t>
      </w:r>
    </w:p>
    <w:p>
      <w:pPr>
        <w:spacing w:after="0" w:line="184"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Cost of revenue also includes costs of third-party products associated with selling third-party computer hardware and software products to customers and other third-party services, when the related revenue is recorded at the gross amount. Customers purchasing third-party products and services from the Company generally do so in conjunction with the purchase of the Company’s software and services.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Research and development expenditures consist of costs incurred in the development of new software modules and product offerings, as part of the Company’s internal product development programs, which are sold, leased or otherwise marketed. Research and development costs are expensed as incurred.</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The Company measures and recognizes the compensation expense for all equity-based payments to employees and directors based on their estimated fair values. The Company estimated the fair value of employee stock options at the date of grant using a Black-Scholes valuation model. The Company values restricted stock including performance restricted stock based on the market value of the underlying shares at the date of grant which is reduced by the present value of estimated dividends for grants of restricted stock units that do not accrue dividends. The Company recognizes compensation costs using the graded vesting attribution method that results in an accelerated recognition of compensation costs in comparison to the straight-line method. Performance restricted stock are subject to certain performance criteria; accordingly, compensation expense is recognized for such awards when it becomes probable that the related performance condition will be satisfied.</w:t>
      </w:r>
    </w:p>
    <w:p>
      <w:pPr>
        <w:spacing w:after="0" w:line="17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86" w:right="45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and cash equivalents, short-term interest-bearing investments, trade receivables and unbilled receivable.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and the rest of the world. Most of the Company’s customers are among the largest communications and media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166"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The Company evaluates accounts receivable and unbilled receivables to determine if they ultimately will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reasonable and supportable forecasts of future economic conditions, and other factors that may affect its ability to collect from customers. The allowance for doubtful accounts, net of credit losses is for expected credit losses resulting from accounts receivable and unbilled receivables for which their collection is not reasonably probable. The allowance for doubtful accounts as of September 30, 2022 and 2021, was $16,627 and $20,065, respectively. As of September 30, 2022, the Company had two customers with accounts receivable balances of more than 10% of total accounts receivable, aggregating to 41%. As of September 30, 2021, the Company had two customers with accounts receivable balances of more than 10% of total accounts receivable, aggregating to 40%, please see Note 21.</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Basic earnings per share is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The Company includes participating securities (unvested restricted stock that contain non-forfeitable rights to dividends or dividend equivalents) in the computation of earnings per share pursuant to the two-class method, which calculates earnings per share for common shares and participating securities.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(loss) income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September 2022, the Financial Accounting Standards Board, or FASB, issued Accounting Standard Update, or ASU No. 2022-04, “</w:t>
      </w:r>
      <w:r>
        <w:rPr>
          <w:rFonts w:ascii="Arial" w:cs="Arial" w:eastAsia="Arial" w:hAnsi="Arial"/>
          <w:sz w:val="16"/>
          <w:szCs w:val="16"/>
          <w:i w:val="1"/>
          <w:iCs w:val="1"/>
          <w:color w:val="auto"/>
        </w:rPr>
        <w:t>Liabilities</w:t>
      </w:r>
    </w:p>
    <w:p>
      <w:pPr>
        <w:spacing w:after="0" w:line="46" w:lineRule="exact"/>
        <w:rPr>
          <w:sz w:val="20"/>
          <w:szCs w:val="20"/>
          <w:color w:val="auto"/>
        </w:rPr>
      </w:pPr>
    </w:p>
    <w:p>
      <w:pPr>
        <w:ind w:left="120" w:right="480"/>
        <w:spacing w:after="0" w:line="323" w:lineRule="auto"/>
        <w:rPr>
          <w:sz w:val="20"/>
          <w:szCs w:val="20"/>
          <w:color w:val="auto"/>
        </w:rPr>
      </w:pPr>
      <w:r>
        <w:rPr>
          <w:rFonts w:ascii="Arial" w:cs="Arial" w:eastAsia="Arial" w:hAnsi="Arial"/>
          <w:sz w:val="16"/>
          <w:szCs w:val="16"/>
          <w:i w:val="1"/>
          <w:iCs w:val="1"/>
          <w:color w:val="auto"/>
        </w:rPr>
        <w:t>— Supplier Finance Programs (Subtopic 405-50): Disclosure of Supplier Finance Program Obligations</w:t>
      </w:r>
      <w:r>
        <w:rPr>
          <w:rFonts w:ascii="Arial" w:cs="Arial" w:eastAsia="Arial" w:hAnsi="Arial"/>
          <w:sz w:val="16"/>
          <w:szCs w:val="16"/>
          <w:color w:val="auto"/>
        </w:rPr>
        <w:t>.” The ASU requires from entities that use</w:t>
      </w:r>
      <w:r>
        <w:rPr>
          <w:rFonts w:ascii="Arial" w:cs="Arial" w:eastAsia="Arial" w:hAnsi="Arial"/>
          <w:sz w:val="16"/>
          <w:szCs w:val="16"/>
          <w:i w:val="1"/>
          <w:iCs w:val="1"/>
          <w:color w:val="auto"/>
        </w:rPr>
        <w:t xml:space="preserve"> </w:t>
      </w:r>
      <w:r>
        <w:rPr>
          <w:rFonts w:ascii="Arial" w:cs="Arial" w:eastAsia="Arial" w:hAnsi="Arial"/>
          <w:sz w:val="16"/>
          <w:szCs w:val="16"/>
          <w:color w:val="auto"/>
        </w:rPr>
        <w:t>supplier finance programs to disclose sufficient information about the program’s nature, activity during the period, changes from period to</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86" w:right="4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period, and potential magnitude. This ASU will be effective for the Company on October 1, 2024, and early adoption is permitted. The Company is currently evaluating the impact of adoption of this ASU on its consolidated financial statements.</w:t>
      </w:r>
    </w:p>
    <w:p>
      <w:pPr>
        <w:spacing w:after="0" w:line="170"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August 2021, the FASB issued ASU No. 2021-08, “</w:t>
      </w:r>
      <w:r>
        <w:rPr>
          <w:rFonts w:ascii="Arial" w:cs="Arial" w:eastAsia="Arial" w:hAnsi="Arial"/>
          <w:sz w:val="18"/>
          <w:szCs w:val="18"/>
          <w:i w:val="1"/>
          <w:iCs w:val="1"/>
          <w:color w:val="auto"/>
        </w:rPr>
        <w:t>Business Combinations (Topic 805): Accounting for Contract Assets and Contract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Liabilities from Contracts with Customers.” </w:t>
      </w:r>
      <w:r>
        <w:rPr>
          <w:rFonts w:ascii="Arial" w:cs="Arial" w:eastAsia="Arial" w:hAnsi="Arial"/>
          <w:sz w:val="18"/>
          <w:szCs w:val="18"/>
          <w:color w:val="auto"/>
        </w:rPr>
        <w:t>The ASU requires companies to apply ASC 606 to recognize and measure contract assets and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liabilities from contracts with customers acquired in a business combination. This ASU will be effective for the Company on October 1, 2023 and early adoption is permitted.</w:t>
      </w:r>
    </w:p>
    <w:p>
      <w:pPr>
        <w:spacing w:after="0" w:line="187"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In March 2020, the FASB issued ASU No. 2020-04, “</w:t>
      </w:r>
      <w:r>
        <w:rPr>
          <w:rFonts w:ascii="Arial" w:cs="Arial" w:eastAsia="Arial" w:hAnsi="Arial"/>
          <w:sz w:val="18"/>
          <w:szCs w:val="18"/>
          <w:i w:val="1"/>
          <w:iCs w:val="1"/>
          <w:color w:val="auto"/>
        </w:rPr>
        <w:t>Reference Rate Reform: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The ASU provides temporary optional expedients and exceptions on certain contract modifications, hedge relationships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that reference London Inter-Bank Offered Rate (“LIBOR”) or other reference rates expected to be discontinued due to the reference rate reform. This ASU is effective as of March 12, 2020 through December 31, 2022. The Company expects that the adoption of this ASU will not have a material impact on its consolidated financial statements.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Acquisitions and Divestiture of a Subsidiary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Divestiture of a Subsidiary</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December 31, 2020, the Company completed the divestiture. Based on the total consideration, the Company recorded pre-tax gain of $226,410 (net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immaterial transaction costs) in the Consolidated Statements of Income during the fiscal year ended September 30, 2021. In connection with this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divestiture, $9,194 of net assets and $61,396 of goodwill, were disposed. During fiscal year 2022, the Company recorded additional pre-tax gain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 in the Consolidated Statements of Income as a result of achievement of certain performance metrics and received such additional consideration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cash during fiscal year 2022. The divestiture does not represent a strategic shift that will have a major effect on operations and financial results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therefore, did not qualify for presentation as a discontinued operation, please see also Note 10.</w:t>
      </w:r>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 During fiscal year 2022, the Company completed two immaterial acquisitions of technology companies, DevOps and Roam, for an aggregate net consideration of $54,091 in cash, and additional contingent consideration subject to the achievement of certain performance metrics. In May 2022, the Company entered into a definitive agreement to acquire MYCOM-OSI, for approximately $188,000 in cash. Recently, the Company and MYCOM-OSI mutually and amicably decided not to move forward with the planned acquisition following a longer than expected regulatory review process in the United Kingdom (that was still not complete). The definitive agreement has been terminated without any payments by either party to the other. As previously disclosed, this acquisition was not material and the decision not to pursue it is not expected to have an impact on the Company’s guidance.</w:t>
      </w:r>
    </w:p>
    <w:p>
      <w:pPr>
        <w:spacing w:after="0" w:line="165"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During fiscal year 2021, the Company acquired three technology companies, for an aggregate net consideration of $101,864 in cash, and additional contingent consideration subject to the achievement of certain performance metrics. Among them the largest of the three is Sourced Group, a leading global technology consultancy specializing in large-scale cloud transformations for sophisticated, high-end enterprise customers in</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20"/>
          </w:cols>
          <w:pgMar w:left="320" w:top="486" w:right="45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different industries such as communications, financial services and others. During fiscal year 2020, the Company acquired three companies and other intangible assets for an aggregate net consideration of approximately $280,808, among them the largest is Openet, which offers cloud-native capabilities, network pedigree, and deep 5G charging, policy and data management expertise and whose solutions complement the Amdocs portfolio.</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Revenue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880" w:type="dxa"/>
            <w:vAlign w:val="bottom"/>
          </w:tcPr>
          <w:p>
            <w:pPr>
              <w:spacing w:after="0"/>
              <w:rPr>
                <w:sz w:val="10"/>
                <w:szCs w:val="10"/>
                <w:color w:val="auto"/>
              </w:rPr>
            </w:pP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40" w:type="dxa"/>
            <w:vAlign w:val="bottom"/>
          </w:tcPr>
          <w:p>
            <w:pPr>
              <w:spacing w:after="0"/>
              <w:rPr>
                <w:sz w:val="10"/>
                <w:szCs w:val="10"/>
                <w:color w:val="auto"/>
              </w:rPr>
            </w:pPr>
          </w:p>
        </w:tc>
        <w:tc>
          <w:tcPr>
            <w:tcW w:w="88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58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Accounts receivable — billed (net of allowances for doubtful accounts</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$16,627 and $20,065 as of September 30, 2022 and 2021,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789,611</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704,541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157,166</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162,278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27,417</w:t>
            </w:r>
          </w:p>
        </w:tc>
        <w:tc>
          <w:tcPr>
            <w:tcW w:w="7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38,252</w:t>
            </w:r>
          </w:p>
        </w:tc>
        <w:tc>
          <w:tcPr>
            <w:tcW w:w="0" w:type="dxa"/>
            <w:vAlign w:val="bottom"/>
          </w:tcPr>
          <w:p>
            <w:pPr>
              <w:spacing w:after="0"/>
              <w:rPr>
                <w:sz w:val="1"/>
                <w:szCs w:val="1"/>
                <w:color w:val="auto"/>
              </w:rPr>
            </w:pPr>
          </w:p>
        </w:tc>
      </w:tr>
      <w:tr>
        <w:trPr>
          <w:trHeight w:val="20"/>
        </w:trPr>
        <w:tc>
          <w:tcPr>
            <w:tcW w:w="5880" w:type="dxa"/>
            <w:vAlign w:val="bottom"/>
            <w:vMerge w:val="restart"/>
          </w:tcPr>
          <w:p>
            <w:pPr>
              <w:spacing w:after="0"/>
              <w:rPr>
                <w:sz w:val="20"/>
                <w:szCs w:val="20"/>
                <w:color w:val="auto"/>
              </w:rPr>
            </w:pPr>
            <w:r>
              <w:rPr>
                <w:rFonts w:ascii="Arial" w:cs="Arial" w:eastAsia="Arial" w:hAnsi="Arial"/>
                <w:sz w:val="18"/>
                <w:szCs w:val="18"/>
                <w:color w:val="auto"/>
              </w:rPr>
              <w:t>Total Accounts receivable — unbilled</w:t>
            </w: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184,583</w:t>
            </w:r>
          </w:p>
        </w:tc>
        <w:tc>
          <w:tcPr>
            <w:tcW w:w="120" w:type="dxa"/>
            <w:vAlign w:val="bottom"/>
            <w:tcBorders>
              <w:bottom w:val="single" w:sz="8" w:color="CCEEFF"/>
            </w:tcBorders>
            <w:vMerge w:val="continue"/>
          </w:tcPr>
          <w:p>
            <w:pPr>
              <w:spacing w:after="0"/>
              <w:rPr>
                <w:sz w:val="18"/>
                <w:szCs w:val="18"/>
                <w:color w:val="auto"/>
              </w:rPr>
            </w:pPr>
          </w:p>
        </w:tc>
        <w:tc>
          <w:tcPr>
            <w:tcW w:w="5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200,530</w:t>
            </w:r>
          </w:p>
        </w:tc>
        <w:tc>
          <w:tcPr>
            <w:tcW w:w="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(253,686)</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(237,374)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(69,907)</w:t>
            </w:r>
          </w:p>
        </w:tc>
        <w:tc>
          <w:tcPr>
            <w:tcW w:w="7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(108,675)</w:t>
            </w:r>
          </w:p>
        </w:tc>
        <w:tc>
          <w:tcPr>
            <w:tcW w:w="0" w:type="dxa"/>
            <w:vAlign w:val="bottom"/>
          </w:tcPr>
          <w:p>
            <w:pPr>
              <w:spacing w:after="0"/>
              <w:rPr>
                <w:sz w:val="1"/>
                <w:szCs w:val="1"/>
                <w:color w:val="auto"/>
              </w:rPr>
            </w:pP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(323,593)</w:t>
            </w:r>
          </w:p>
        </w:tc>
        <w:tc>
          <w:tcPr>
            <w:tcW w:w="1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(346,049)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Revenue recognized during the year ended September 30, 2022, which was included in deferred revenue (current) as of September 30, 2021 was $222,581. Revenue recognized during the year ended September 30, 2021, which was included in deferred revenue (current) as of September 30, 2020 was $115,474.</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Remaining Performance Obligations from Contracts with Customer</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As of September 30, 2022, the aggregate amount of the transaction price allocated to remaining performance obligations that are unsatisfied or partially unsatisfied was approximately $6.3 billion. Remaining performance obligations typically include the remaining non-cancelable, committed and fixed portion of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 Please see Note 21 — Segment Information and Sales to Significant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Fair Value Measurements</w:t>
      </w:r>
    </w:p>
    <w:p>
      <w:pPr>
        <w:spacing w:after="0" w:line="121" w:lineRule="exact"/>
        <w:rPr>
          <w:sz w:val="20"/>
          <w:szCs w:val="20"/>
          <w:color w:val="auto"/>
        </w:rPr>
      </w:pPr>
    </w:p>
    <w:p>
      <w:pPr>
        <w:jc w:val="both"/>
        <w:ind w:left="120" w:right="280" w:firstLine="440"/>
        <w:spacing w:after="0" w:line="301"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080"/>
          </w:cols>
          <w:pgMar w:left="320" w:top="486" w:right="49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Quoted prices in active markets for identical assets or liabilities;</w:t>
      </w:r>
    </w:p>
    <w:p>
      <w:pPr>
        <w:spacing w:after="0" w:line="117" w:lineRule="exact"/>
        <w:rPr>
          <w:sz w:val="20"/>
          <w:szCs w:val="20"/>
          <w:color w:val="auto"/>
        </w:rPr>
      </w:pPr>
    </w:p>
    <w:p>
      <w:pPr>
        <w:ind w:left="560" w:right="200" w:firstLine="423"/>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quoted prices included in Level 1, such as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Unobservable inputs that are supported by little or no market activity that is significant to the fair value of the assets or liabilities.</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September 30, 2022 and 2021:</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06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As of September 30, 2022</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88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700" w:type="dxa"/>
            <w:vAlign w:val="bottom"/>
          </w:tcPr>
          <w:p>
            <w:pPr>
              <w:jc w:val="right"/>
              <w:ind w:right="97"/>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7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90"/>
              </w:rPr>
              <w:t>$266,362</w:t>
            </w:r>
          </w:p>
        </w:tc>
        <w:tc>
          <w:tcPr>
            <w:tcW w:w="16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w w:val="87"/>
              </w:rPr>
              <w:t>$ 266,362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168,308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168,308</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U.S. government treasuries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40,229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40,229</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Municipal bonds</w:t>
            </w: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16,125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16,125</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Supranational and sovereign debt</w:t>
            </w: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10,594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10,594</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Asset backed obligations</w:t>
            </w: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9,347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Total available-for-sale securities</w:t>
            </w: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060" w:type="dxa"/>
            <w:vAlign w:val="bottom"/>
            <w:tcBorders>
              <w:bottom w:val="single" w:sz="8" w:color="CCEEFF"/>
            </w:tcBorders>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306,591</w:t>
            </w:r>
          </w:p>
        </w:tc>
        <w:tc>
          <w:tcPr>
            <w:tcW w:w="2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204,374</w:t>
            </w:r>
          </w:p>
        </w:tc>
        <w:tc>
          <w:tcPr>
            <w:tcW w:w="40" w:type="dxa"/>
            <w:vAlign w:val="bottom"/>
            <w:tcBorders>
              <w:bottom w:val="single" w:sz="8" w:color="CCEEFF"/>
            </w:tcBorders>
            <w:vMerge w:val="continue"/>
          </w:tcPr>
          <w:p>
            <w:pPr>
              <w:spacing w:after="0"/>
              <w:rPr>
                <w:sz w:val="18"/>
                <w:szCs w:val="18"/>
                <w:color w:val="auto"/>
              </w:rPr>
            </w:pPr>
          </w:p>
        </w:tc>
        <w:tc>
          <w:tcPr>
            <w:tcW w:w="18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ind w:left="3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vMerge w:val="continue"/>
          </w:tcPr>
          <w:p>
            <w:pPr>
              <w:spacing w:after="0"/>
              <w:rPr>
                <w:sz w:val="18"/>
                <w:szCs w:val="18"/>
                <w:color w:val="auto"/>
              </w:rPr>
            </w:pPr>
          </w:p>
        </w:tc>
        <w:tc>
          <w:tcPr>
            <w:tcW w:w="20" w:type="dxa"/>
            <w:vAlign w:val="bottom"/>
            <w:tcBorders>
              <w:bottom w:val="single" w:sz="8" w:color="CCEEFF"/>
            </w:tcBorders>
            <w:vMerge w:val="continue"/>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510,965</w:t>
            </w:r>
          </w:p>
        </w:tc>
        <w:tc>
          <w:tcPr>
            <w:tcW w:w="12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46,015</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88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w w:val="92"/>
              </w:rPr>
              <w:t>(48,901)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(48,901)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2"/>
              </w:rPr>
              <w:t>(23,390)</w:t>
            </w:r>
          </w:p>
        </w:tc>
        <w:tc>
          <w:tcPr>
            <w:tcW w:w="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(23,390)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60" w:type="dxa"/>
            <w:vAlign w:val="bottom"/>
            <w:vMerge w:val="continue"/>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$306,591</w:t>
            </w:r>
          </w:p>
        </w:tc>
        <w:tc>
          <w:tcPr>
            <w:tcW w:w="2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155,473</w:t>
            </w:r>
          </w:p>
        </w:tc>
        <w:tc>
          <w:tcPr>
            <w:tcW w:w="4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16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68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4"/>
              </w:rPr>
              <w:t>$ 22,625</w:t>
            </w:r>
          </w:p>
        </w:tc>
        <w:tc>
          <w:tcPr>
            <w:tcW w:w="3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$ 484,689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60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As of September 30, 2021</w:t>
            </w: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6060" w:type="dxa"/>
            <w:vAlign w:val="bottom"/>
          </w:tcPr>
          <w:p>
            <w:pPr>
              <w:spacing w:after="0"/>
              <w:rPr>
                <w:sz w:val="12"/>
                <w:szCs w:val="12"/>
                <w:color w:val="auto"/>
              </w:rPr>
            </w:pPr>
          </w:p>
        </w:tc>
        <w:tc>
          <w:tcPr>
            <w:tcW w:w="880" w:type="dxa"/>
            <w:vAlign w:val="bottom"/>
            <w:gridSpan w:val="3"/>
          </w:tcPr>
          <w:p>
            <w:pPr>
              <w:ind w:left="14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3"/>
          </w:tcPr>
          <w:p>
            <w:pPr>
              <w:ind w:left="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4"/>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700" w:type="dxa"/>
            <w:vAlign w:val="bottom"/>
          </w:tcPr>
          <w:p>
            <w:pPr>
              <w:jc w:val="right"/>
              <w:ind w:right="117"/>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84"/>
              </w:rPr>
              <w:t>$ 209,026</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w w:val="87"/>
              </w:rPr>
              <w:t>$ 209,026</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190,437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190,437</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U.S. government treasuries</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54,752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54,752</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Supranational and sovereign debt</w:t>
            </w: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7,453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30"/>
        </w:trPr>
        <w:tc>
          <w:tcPr>
            <w:tcW w:w="6060" w:type="dxa"/>
            <w:vAlign w:val="bottom"/>
          </w:tcPr>
          <w:p>
            <w:pPr>
              <w:ind w:left="360"/>
              <w:spacing w:after="0"/>
              <w:rPr>
                <w:sz w:val="20"/>
                <w:szCs w:val="20"/>
                <w:color w:val="auto"/>
              </w:rPr>
            </w:pPr>
            <w:r>
              <w:rPr>
                <w:rFonts w:ascii="Arial" w:cs="Arial" w:eastAsia="Arial" w:hAnsi="Arial"/>
                <w:sz w:val="18"/>
                <w:szCs w:val="18"/>
                <w:color w:val="auto"/>
              </w:rPr>
              <w:t>Asset backed obligations</w:t>
            </w: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3,885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9"/>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09"/>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263,778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201,775</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center"/>
              <w:ind w:left="5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465,553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color w:val="auto"/>
              </w:rPr>
              <w:t>Equity Investments</w:t>
            </w:r>
          </w:p>
        </w:tc>
        <w:tc>
          <w:tcPr>
            <w:tcW w:w="720" w:type="dxa"/>
            <w:vAlign w:val="bottom"/>
            <w:tcBorders>
              <w:bottom w:val="single" w:sz="8" w:color="auto"/>
            </w:tcBorders>
            <w:gridSpan w:val="2"/>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vMerge w:val="continue"/>
          </w:tcPr>
          <w:p>
            <w:pPr>
              <w:spacing w:after="0"/>
              <w:rPr>
                <w:sz w:val="17"/>
                <w:szCs w:val="17"/>
                <w:color w:val="auto"/>
              </w:rPr>
            </w:pPr>
          </w:p>
        </w:tc>
        <w:tc>
          <w:tcPr>
            <w:tcW w:w="720" w:type="dxa"/>
            <w:vAlign w:val="bottom"/>
            <w:gridSpan w:val="2"/>
          </w:tcPr>
          <w:p>
            <w:pPr>
              <w:ind w:left="440"/>
              <w:spacing w:after="0" w:line="203" w:lineRule="exact"/>
              <w:rPr>
                <w:sz w:val="20"/>
                <w:szCs w:val="20"/>
                <w:color w:val="auto"/>
              </w:rPr>
            </w:pPr>
            <w:r>
              <w:rPr>
                <w:rFonts w:ascii="Arial" w:cs="Arial" w:eastAsia="Arial" w:hAnsi="Arial"/>
                <w:sz w:val="18"/>
                <w:szCs w:val="18"/>
                <w:color w:val="auto"/>
              </w:rPr>
              <w:t>—</w:t>
            </w:r>
          </w:p>
        </w:tc>
        <w:tc>
          <w:tcPr>
            <w:tcW w:w="1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1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w w:val="90"/>
              </w:rPr>
              <w:t>37,581</w:t>
            </w:r>
          </w:p>
        </w:tc>
        <w:tc>
          <w:tcPr>
            <w:tcW w:w="6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37,581</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8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10,979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10,979</w:t>
            </w:r>
          </w:p>
        </w:tc>
        <w:tc>
          <w:tcPr>
            <w:tcW w:w="0" w:type="dxa"/>
            <w:vAlign w:val="bottom"/>
          </w:tcPr>
          <w:p>
            <w:pPr>
              <w:spacing w:after="0"/>
              <w:rPr>
                <w:sz w:val="1"/>
                <w:szCs w:val="1"/>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Other liabilities</w:t>
            </w:r>
          </w:p>
        </w:tc>
        <w:tc>
          <w:tcPr>
            <w:tcW w:w="8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5"/>
          </w:tcPr>
          <w:p>
            <w:pPr>
              <w:jc w:val="right"/>
              <w:spacing w:after="0"/>
              <w:rPr>
                <w:sz w:val="20"/>
                <w:szCs w:val="20"/>
                <w:color w:val="auto"/>
              </w:rPr>
            </w:pPr>
            <w:r>
              <w:rPr>
                <w:rFonts w:ascii="Arial" w:cs="Arial" w:eastAsia="Arial" w:hAnsi="Arial"/>
                <w:sz w:val="18"/>
                <w:szCs w:val="18"/>
                <w:color w:val="auto"/>
              </w:rPr>
              <w:t>(51,590)</w:t>
            </w:r>
          </w:p>
        </w:tc>
        <w:tc>
          <w:tcPr>
            <w:tcW w:w="3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8"/>
                <w:szCs w:val="18"/>
                <w:color w:val="auto"/>
              </w:rPr>
              <w:t>(51,590)</w:t>
            </w:r>
          </w:p>
        </w:tc>
        <w:tc>
          <w:tcPr>
            <w:tcW w:w="0" w:type="dxa"/>
            <w:vAlign w:val="bottom"/>
          </w:tcPr>
          <w:p>
            <w:pPr>
              <w:spacing w:after="0"/>
              <w:rPr>
                <w:sz w:val="1"/>
                <w:szCs w:val="1"/>
                <w:color w:val="auto"/>
              </w:rPr>
            </w:pP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$ 263,778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212,754</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2"/>
              </w:rPr>
              <w:t>$ (14,009)</w:t>
            </w: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$ 462,523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80"/>
          </w:cols>
          <w:pgMar w:left="320" w:top="486" w:right="49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any transfers between Level 1 and Level 2 fair value measurements during fiscal year 2022. Level 3 liabilities relate to certain acquisition-related liabilities, which were generally valued using a Monte-Carlo simulation model and based on estimates of potential pay-out scenarios, valued during fiscal years 2022 and 2021. These liabilities were included in both accrued expenses and other current liabilities and other noncurrent liabilities as of September 30, 2022 and 2021. The decrease in Level 3 liabilities was primarily attributable to payments of certain acquisition-related liabilities, changes in the fair value recorded in the consolidated statement of income in fiscal year 2022, partially offset by changes recorded against goodwill in connection with recent acquisitions. Level 3 assets relate to equity investments, which were valued based on price changes in orderly transactions for similar private investments of the same issuer. The increase in Level 3 assets is a result of equity investments made during fiscal year 2022, as well as changes in the fair value was recorded in the consolidated statement of income.</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other current liabilities, accrued personnel costs approximate their fair value because of the relatively short maturity of these items, for the fair value of the Senior Notes, please see Note 12.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Available-For-Sale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September 30, 2022</w:t>
            </w: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9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Amortized</w:t>
            </w: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8"/>
              </w:rPr>
              <w:t>Unrealized</w:t>
            </w:r>
          </w:p>
        </w:tc>
        <w:tc>
          <w:tcPr>
            <w:tcW w:w="52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80" w:type="dxa"/>
            <w:vAlign w:val="bottom"/>
            <w:tcBorders>
              <w:bottom w:val="single" w:sz="8" w:color="auto"/>
            </w:tcBorders>
          </w:tcPr>
          <w:p>
            <w:pPr>
              <w:jc w:val="right"/>
              <w:ind w:right="122"/>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Gains</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2"/>
              </w:rPr>
              <w:t>Losses</w:t>
            </w:r>
          </w:p>
        </w:tc>
        <w:tc>
          <w:tcPr>
            <w:tcW w:w="5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$266,362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$266,362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2580" w:type="dxa"/>
            <w:vAlign w:val="bottom"/>
            <w:gridSpan w:val="3"/>
          </w:tcPr>
          <w:p>
            <w:pPr>
              <w:jc w:val="right"/>
              <w:ind w:right="260"/>
              <w:spacing w:after="0"/>
              <w:rPr>
                <w:sz w:val="20"/>
                <w:szCs w:val="20"/>
                <w:color w:val="auto"/>
              </w:rPr>
            </w:pPr>
            <w:r>
              <w:rPr>
                <w:rFonts w:ascii="Arial" w:cs="Arial" w:eastAsia="Arial" w:hAnsi="Arial"/>
                <w:sz w:val="18"/>
                <w:szCs w:val="18"/>
                <w:color w:val="auto"/>
              </w:rPr>
              <w:t>183,266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14,958</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168,308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44,658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4,429</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40,229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Municipal bond</w:t>
            </w:r>
          </w:p>
        </w:tc>
        <w:tc>
          <w:tcPr>
            <w:tcW w:w="2580" w:type="dxa"/>
            <w:vAlign w:val="bottom"/>
            <w:gridSpan w:val="3"/>
          </w:tcPr>
          <w:p>
            <w:pPr>
              <w:jc w:val="right"/>
              <w:ind w:right="260"/>
              <w:spacing w:after="0"/>
              <w:rPr>
                <w:sz w:val="20"/>
                <w:szCs w:val="20"/>
                <w:color w:val="auto"/>
              </w:rPr>
            </w:pPr>
            <w:r>
              <w:rPr>
                <w:rFonts w:ascii="Arial" w:cs="Arial" w:eastAsia="Arial" w:hAnsi="Arial"/>
                <w:sz w:val="18"/>
                <w:szCs w:val="18"/>
                <w:color w:val="auto"/>
              </w:rPr>
              <w:t>17,759</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1,634</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16,125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Supranational and sovereign debt</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11,882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10,594</w:t>
            </w: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2580" w:type="dxa"/>
            <w:vAlign w:val="bottom"/>
            <w:gridSpan w:val="3"/>
          </w:tcPr>
          <w:p>
            <w:pPr>
              <w:jc w:val="right"/>
              <w:ind w:right="260"/>
              <w:spacing w:after="0"/>
              <w:rPr>
                <w:sz w:val="20"/>
                <w:szCs w:val="20"/>
                <w:color w:val="auto"/>
              </w:rPr>
            </w:pPr>
            <w:r>
              <w:rPr>
                <w:rFonts w:ascii="Arial" w:cs="Arial" w:eastAsia="Arial" w:hAnsi="Arial"/>
                <w:sz w:val="18"/>
                <w:szCs w:val="18"/>
                <w:color w:val="auto"/>
              </w:rPr>
              <w:t>9,835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ind w:left="34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488</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9,347</w:t>
            </w: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16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$533,762</w:t>
            </w:r>
          </w:p>
        </w:tc>
        <w:tc>
          <w:tcPr>
            <w:tcW w:w="2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22,797</w:t>
            </w:r>
          </w:p>
        </w:tc>
        <w:tc>
          <w:tcPr>
            <w:tcW w:w="5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$510,965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32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right="600" w:hanging="424"/>
        <w:spacing w:after="0" w:line="279"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consolidated balance sheets. As of September 30, 2022, $244,603 of securities were classified as short-term interest-bearing investments and $266,362 of securities were classified as cash and cash equivalents.</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As of September 30, 2021</w:t>
            </w:r>
          </w:p>
        </w:tc>
        <w:tc>
          <w:tcPr>
            <w:tcW w:w="7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980" w:type="dxa"/>
            <w:vAlign w:val="bottom"/>
          </w:tcPr>
          <w:p>
            <w:pPr>
              <w:spacing w:after="0"/>
              <w:rPr>
                <w:sz w:val="10"/>
                <w:szCs w:val="10"/>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w:t>
            </w:r>
          </w:p>
        </w:tc>
        <w:tc>
          <w:tcPr>
            <w:tcW w:w="120" w:type="dxa"/>
            <w:vAlign w:val="bottom"/>
          </w:tcPr>
          <w:p>
            <w:pPr>
              <w:spacing w:after="0"/>
              <w:rPr>
                <w:sz w:val="10"/>
                <w:szCs w:val="10"/>
                <w:color w:val="auto"/>
              </w:rPr>
            </w:pPr>
          </w:p>
        </w:tc>
        <w:tc>
          <w:tcPr>
            <w:tcW w:w="8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7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Fair Value</w:t>
            </w:r>
          </w:p>
        </w:tc>
        <w:tc>
          <w:tcPr>
            <w:tcW w:w="40" w:type="dxa"/>
            <w:vAlign w:val="bottom"/>
            <w:gridSpan w:val="2"/>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7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Cost</w:t>
            </w:r>
          </w:p>
        </w:tc>
        <w:tc>
          <w:tcPr>
            <w:tcW w:w="5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82"/>
              </w:rPr>
              <w:t>Losses</w:t>
            </w:r>
          </w:p>
        </w:tc>
        <w:tc>
          <w:tcPr>
            <w:tcW w:w="520" w:type="dxa"/>
            <w:vAlign w:val="bottom"/>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0"/>
              </w:rPr>
              <w:t>$209,026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0"/>
              </w:rPr>
              <w:t>$209,026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191,445</w:t>
            </w:r>
          </w:p>
        </w:tc>
        <w:tc>
          <w:tcPr>
            <w:tcW w:w="12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1,084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190,437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54,987</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239</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54,752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76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7,479</w:t>
            </w:r>
          </w:p>
        </w:tc>
        <w:tc>
          <w:tcPr>
            <w:tcW w:w="120" w:type="dxa"/>
            <w:vAlign w:val="bottom"/>
          </w:tcPr>
          <w:p>
            <w:pPr>
              <w:spacing w:after="0"/>
              <w:rPr>
                <w:sz w:val="18"/>
                <w:szCs w:val="18"/>
                <w:color w:val="auto"/>
              </w:rPr>
            </w:pPr>
          </w:p>
        </w:tc>
        <w:tc>
          <w:tcPr>
            <w:tcW w:w="8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26</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3,890</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3,885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760" w:type="dxa"/>
            <w:vAlign w:val="bottom"/>
            <w:gridSpan w:val="2"/>
            <w:vMerge w:val="restart"/>
          </w:tcPr>
          <w:p>
            <w:pPr>
              <w:spacing w:after="0"/>
              <w:rPr>
                <w:sz w:val="20"/>
                <w:szCs w:val="20"/>
                <w:color w:val="auto"/>
              </w:rPr>
            </w:pPr>
            <w:r>
              <w:rPr>
                <w:rFonts w:ascii="Arial" w:cs="Arial" w:eastAsia="Arial" w:hAnsi="Arial"/>
                <w:sz w:val="18"/>
                <w:szCs w:val="18"/>
                <w:color w:val="auto"/>
              </w:rPr>
              <w:t>Total(1)</w:t>
            </w:r>
          </w:p>
        </w:tc>
        <w:tc>
          <w:tcPr>
            <w:tcW w:w="700" w:type="dxa"/>
            <w:vAlign w:val="bottom"/>
            <w:tcBorders>
              <w:bottom w:val="single" w:sz="8" w:color="auto"/>
            </w:tcBorders>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5760" w:type="dxa"/>
            <w:vAlign w:val="bottom"/>
            <w:gridSpan w:val="2"/>
            <w:vMerge w:val="continue"/>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466,827</w:t>
            </w:r>
          </w:p>
        </w:tc>
        <w:tc>
          <w:tcPr>
            <w:tcW w:w="5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w:t>
            </w:r>
          </w:p>
        </w:tc>
        <w:tc>
          <w:tcPr>
            <w:tcW w:w="260" w:type="dxa"/>
            <w:vAlign w:val="bottom"/>
            <w:vMerge w:val="continue"/>
          </w:tcPr>
          <w:p>
            <w:pPr>
              <w:spacing w:after="0"/>
              <w:rPr>
                <w:sz w:val="17"/>
                <w:szCs w:val="17"/>
                <w:color w:val="auto"/>
              </w:rPr>
            </w:pPr>
          </w:p>
        </w:tc>
        <w:tc>
          <w:tcPr>
            <w:tcW w:w="26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1,354</w:t>
            </w:r>
          </w:p>
        </w:tc>
        <w:tc>
          <w:tcPr>
            <w:tcW w:w="52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465,553</w:t>
            </w:r>
          </w:p>
        </w:tc>
        <w:tc>
          <w:tcPr>
            <w:tcW w:w="20" w:type="dxa"/>
            <w:vAlign w:val="bottom"/>
            <w:tcBorders>
              <w:bottom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660" w:hanging="424"/>
        <w:spacing w:after="0" w:line="277"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short-term interest-bearing investments and available-for-sale securities with maturities of 90 days or less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20"/>
          </w:cols>
          <w:pgMar w:left="320" w:top="486" w:right="45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right="40"/>
        <w:spacing w:after="0" w:line="263" w:lineRule="auto"/>
        <w:rPr>
          <w:sz w:val="20"/>
          <w:szCs w:val="20"/>
          <w:color w:val="auto"/>
        </w:rPr>
      </w:pPr>
      <w:r>
        <w:rPr>
          <w:rFonts w:ascii="Arial" w:cs="Arial" w:eastAsia="Arial" w:hAnsi="Arial"/>
          <w:sz w:val="18"/>
          <w:szCs w:val="18"/>
          <w:color w:val="auto"/>
        </w:rPr>
        <w:t>from the date of acquisition were included in cash and cash equivalents on the Company’s consolidated balance sheets. As of September 30, 2021, $256,527 of securities were classified as short-term interest-bearing investments and $209,026 of securities were classified as cash and cash equivalents.</w:t>
      </w:r>
    </w:p>
    <w:p>
      <w:pPr>
        <w:spacing w:after="0" w:line="184"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As of September 30, 2022, the unrealized losses attributable to the Company’s available-for-sale securities were primarily due to credit spreads and interest rate movements, the majority of the securities that have unrealized losses as of September 30, 2022, also had immaterial unrealized losses as of September 30, 2021. The Company assessed whether such unrealized losses for the investments in its portfolio were caused by expected credit loss. Based on this assessment, the Company did not recognize any credit losses in the fiscal years ended September 30, 2022 and 2021. Realized gains and losses on short-term interest-bearing investments are included in earnings and are determined based on specific identification method.</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2022, the Company’s available-for-sale securities had the following maturity dates: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285,671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1 to 2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59,726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85,794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3 to 4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67,113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12,661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80" w:type="dxa"/>
            <w:vAlign w:val="bottom"/>
          </w:tcPr>
          <w:p>
            <w:pPr>
              <w:spacing w:after="0"/>
              <w:rPr>
                <w:sz w:val="17"/>
                <w:szCs w:val="17"/>
                <w:color w:val="auto"/>
              </w:rPr>
            </w:pPr>
          </w:p>
        </w:tc>
        <w:tc>
          <w:tcPr>
            <w:tcW w:w="18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510,965</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Derivative Financial Instruments</w:t>
      </w:r>
    </w:p>
    <w:p>
      <w:pPr>
        <w:spacing w:after="0" w:line="121"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$3,349 as of September 30, 2022. The Company has limited its credit risk by entering into derivative transactions exclusively with investment-grade rated financial institutions and monitors the creditworthiness of these financial institutions on an ongoing basis.</w:t>
      </w:r>
    </w:p>
    <w:p>
      <w:pPr>
        <w:spacing w:after="0" w:line="18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classifies cash flows from its derivative transactions as cash flows from operating activities in the consolidated statements of cash flows.</w:t>
      </w:r>
    </w:p>
    <w:p>
      <w:pPr>
        <w:spacing w:after="0" w:line="17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table below presents the total volume or notional amounts of the Company’s derivative instruments as of September 30, 2022. Notional values are in U.S. dollars and are translated and calculated based on forward rates as of September 30, 2022 for forward contracts.</w:t>
      </w:r>
    </w:p>
    <w:p>
      <w:pPr>
        <w:spacing w:after="0" w:line="165"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9"/>
              </w:rPr>
              <w:t>Notional Value*</w:t>
            </w:r>
          </w:p>
        </w:tc>
      </w:tr>
      <w:tr>
        <w:trPr>
          <w:trHeight w:val="20"/>
        </w:trPr>
        <w:tc>
          <w:tcPr>
            <w:tcW w:w="6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1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1,902,786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20" w:hanging="424"/>
        <w:spacing w:after="0" w:line="277" w:lineRule="auto"/>
        <w:tabs>
          <w:tab w:leader="none" w:pos="5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20"/>
          </w:cols>
          <w:pgMar w:left="320" w:top="486" w:right="45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Company records all derivative instruments on the consolidated balance sheets at fair value. For further information, please see Note 5 to the consolidated financial statements. The fair value of the open foreign exchange contracts recorded as an asset or a liability by the Company on its consolidated balance sheets as of September 30, 2022 and September 30, 2021, is as follows:</w:t>
      </w:r>
    </w:p>
    <w:p>
      <w:pPr>
        <w:spacing w:after="0" w:line="202"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64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rPr>
              <w:t>1,226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6,962</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w:t>
            </w: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8"/>
                <w:szCs w:val="18"/>
                <w:color w:val="auto"/>
                <w:w w:val="89"/>
              </w:rPr>
              <w:t>(35,659)</w:t>
            </w:r>
          </w:p>
        </w:tc>
        <w:tc>
          <w:tcPr>
            <w:tcW w:w="1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(16,413)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23"/>
        </w:trPr>
        <w:tc>
          <w:tcPr>
            <w:tcW w:w="6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(50,846)</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9,960</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48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1080" w:type="dxa"/>
            <w:vAlign w:val="bottom"/>
            <w:gridSpan w:val="2"/>
          </w:tcPr>
          <w:p>
            <w:pPr>
              <w:jc w:val="right"/>
              <w:ind w:right="520"/>
              <w:spacing w:after="0"/>
              <w:rPr>
                <w:sz w:val="20"/>
                <w:szCs w:val="20"/>
                <w:color w:val="auto"/>
              </w:rPr>
            </w:pPr>
            <w:r>
              <w:rPr>
                <w:rFonts w:ascii="Arial" w:cs="Arial" w:eastAsia="Arial" w:hAnsi="Arial"/>
                <w:sz w:val="18"/>
                <w:szCs w:val="18"/>
                <w:color w:val="auto"/>
                <w:w w:val="98"/>
              </w:rPr>
              <w:t>10,808</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4,230</w:t>
            </w:r>
          </w:p>
        </w:tc>
      </w:tr>
      <w:tr>
        <w:trPr>
          <w:trHeight w:val="216"/>
        </w:trPr>
        <w:tc>
          <w:tcPr>
            <w:tcW w:w="64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(8,863)</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(3,211)</w:t>
            </w:r>
          </w:p>
        </w:tc>
      </w:tr>
      <w:tr>
        <w:trPr>
          <w:trHeight w:val="223"/>
        </w:trPr>
        <w:tc>
          <w:tcPr>
            <w:tcW w:w="6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1,945</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100" w:type="dxa"/>
            <w:vAlign w:val="bottom"/>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9"/>
              </w:rPr>
              <w:t>(48,901)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10,979</w:t>
            </w:r>
          </w:p>
        </w:tc>
      </w:tr>
      <w:tr>
        <w:trPr>
          <w:trHeight w:val="20"/>
        </w:trPr>
        <w:tc>
          <w:tcPr>
            <w:tcW w:w="6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120" w:firstLine="440"/>
        <w:spacing w:after="0" w:line="320" w:lineRule="auto"/>
        <w:rPr>
          <w:sz w:val="20"/>
          <w:szCs w:val="20"/>
          <w:color w:val="auto"/>
        </w:rPr>
      </w:pPr>
      <w:r>
        <w:rPr>
          <w:rFonts w:ascii="Arial" w:cs="Arial" w:eastAsia="Arial" w:hAnsi="Arial"/>
          <w:sz w:val="15"/>
          <w:szCs w:val="15"/>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September 30, 2022 is scheduled to mature within the next 12 months.</w:t>
      </w:r>
    </w:p>
    <w:p>
      <w:pPr>
        <w:spacing w:after="0" w:line="146"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The effective portion of the gain or loss on the derivative instruments is initially recorded as a component of other comprehensive (loss) income,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is recognized immediately in interest and other expense, net.</w:t>
      </w:r>
    </w:p>
    <w:p>
      <w:pPr>
        <w:spacing w:after="0" w:line="178"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fiscal years ended September 30, 2022, 2021 and 2020, respectively, which partially offsets the foreign currency impact from the underlying exposures, is summarized as follows:</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8"/>
          </w:tcPr>
          <w:p>
            <w:pPr>
              <w:jc w:val="center"/>
              <w:ind w:left="219"/>
              <w:spacing w:after="0"/>
              <w:rPr>
                <w:sz w:val="20"/>
                <w:szCs w:val="20"/>
                <w:color w:val="auto"/>
              </w:rPr>
            </w:pPr>
            <w:r>
              <w:rPr>
                <w:rFonts w:ascii="Arial" w:cs="Arial" w:eastAsia="Arial" w:hAnsi="Arial"/>
                <w:sz w:val="14"/>
                <w:szCs w:val="14"/>
                <w:b w:val="1"/>
                <w:bCs w:val="1"/>
                <w:color w:val="auto"/>
                <w:w w:val="90"/>
              </w:rPr>
              <w:t>(Losses) Gains Reclassified from</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3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10"/>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Accumulated Other Comprehensive</w:t>
            </w:r>
          </w:p>
        </w:tc>
      </w:tr>
      <w:tr>
        <w:trPr>
          <w:trHeight w:val="149"/>
        </w:trPr>
        <w:tc>
          <w:tcPr>
            <w:tcW w:w="3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10"/>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(Loss) Income (Effective Portion)</w:t>
            </w:r>
          </w:p>
        </w:tc>
      </w:tr>
      <w:tr>
        <w:trPr>
          <w:trHeight w:val="171"/>
        </w:trPr>
        <w:tc>
          <w:tcPr>
            <w:tcW w:w="39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left="359"/>
              <w:spacing w:after="0"/>
              <w:rPr>
                <w:sz w:val="20"/>
                <w:szCs w:val="20"/>
                <w:color w:val="auto"/>
              </w:rPr>
            </w:pPr>
            <w:r>
              <w:rPr>
                <w:rFonts w:ascii="Arial" w:cs="Arial" w:eastAsia="Arial" w:hAnsi="Arial"/>
                <w:sz w:val="14"/>
                <w:szCs w:val="14"/>
                <w:b w:val="1"/>
                <w:bCs w:val="1"/>
                <w:color w:val="auto"/>
                <w:w w:val="92"/>
              </w:rPr>
              <w:t>Year Ended September 30,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3940" w:type="dxa"/>
            <w:vAlign w:val="bottom"/>
            <w:tcBorders>
              <w:bottom w:val="single" w:sz="8" w:color="CCEEFF"/>
            </w:tcBorders>
          </w:tcPr>
          <w:p>
            <w:pPr>
              <w:spacing w:after="0"/>
              <w:rPr>
                <w:sz w:val="12"/>
                <w:szCs w:val="12"/>
                <w:color w:val="auto"/>
              </w:rPr>
            </w:pPr>
          </w:p>
        </w:tc>
        <w:tc>
          <w:tcPr>
            <w:tcW w:w="2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2020</w:t>
            </w:r>
          </w:p>
        </w:tc>
        <w:tc>
          <w:tcPr>
            <w:tcW w:w="60" w:type="dxa"/>
            <w:vAlign w:val="bottom"/>
            <w:tcBorders>
              <w:bottom w:val="single" w:sz="8" w:color="CCEEFF"/>
            </w:tcBorders>
          </w:tcPr>
          <w:p>
            <w:pPr>
              <w:spacing w:after="0"/>
              <w:rPr>
                <w:sz w:val="12"/>
                <w:szCs w:val="12"/>
                <w:color w:val="auto"/>
              </w:rPr>
            </w:pPr>
          </w:p>
        </w:tc>
      </w:tr>
      <w:tr>
        <w:trPr>
          <w:trHeight w:val="196"/>
        </w:trPr>
        <w:tc>
          <w:tcPr>
            <w:tcW w:w="3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Line item in consolidated statements of income:</w:t>
            </w:r>
          </w:p>
        </w:tc>
        <w:tc>
          <w:tcPr>
            <w:tcW w:w="2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Revenue</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(473)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834</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(9,194)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20,209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4,166</w:t>
            </w:r>
          </w:p>
        </w:tc>
        <w:tc>
          <w:tcPr>
            <w:tcW w:w="60" w:type="dxa"/>
            <w:vAlign w:val="bottom"/>
            <w:shd w:val="clear" w:color="auto" w:fill="CCEEFF"/>
          </w:tcPr>
          <w:p>
            <w:pPr>
              <w:spacing w:after="0"/>
              <w:rPr>
                <w:sz w:val="18"/>
                <w:szCs w:val="18"/>
                <w:color w:val="auto"/>
              </w:rPr>
            </w:pPr>
          </w:p>
        </w:tc>
      </w:tr>
      <w:tr>
        <w:trPr>
          <w:trHeight w:val="216"/>
        </w:trPr>
        <w:tc>
          <w:tcPr>
            <w:tcW w:w="394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(3,376)</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6,069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1,646</w:t>
            </w:r>
          </w:p>
        </w:tc>
        <w:tc>
          <w:tcPr>
            <w:tcW w:w="60" w:type="dxa"/>
            <w:vAlign w:val="bottom"/>
          </w:tcPr>
          <w:p>
            <w:pPr>
              <w:spacing w:after="0"/>
              <w:rPr>
                <w:sz w:val="18"/>
                <w:szCs w:val="18"/>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2,500</w:t>
            </w:r>
          </w:p>
        </w:tc>
        <w:tc>
          <w:tcPr>
            <w:tcW w:w="60" w:type="dxa"/>
            <w:vAlign w:val="bottom"/>
            <w:shd w:val="clear" w:color="auto" w:fill="CCEEFF"/>
          </w:tcPr>
          <w:p>
            <w:pPr>
              <w:spacing w:after="0"/>
              <w:rPr>
                <w:sz w:val="18"/>
                <w:szCs w:val="18"/>
                <w:color w:val="auto"/>
              </w:rPr>
            </w:pP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Total</w:t>
            </w:r>
          </w:p>
        </w:tc>
        <w:tc>
          <w:tcPr>
            <w:tcW w:w="2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(16,035</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32,152</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9,146</w:t>
            </w:r>
          </w:p>
        </w:tc>
        <w:tc>
          <w:tcPr>
            <w:tcW w:w="60" w:type="dxa"/>
            <w:vAlign w:val="bottom"/>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3940" w:type="dxa"/>
            <w:vAlign w:val="bottom"/>
          </w:tcPr>
          <w:p>
            <w:pPr>
              <w:spacing w:after="0"/>
              <w:rPr>
                <w:sz w:val="24"/>
                <w:szCs w:val="24"/>
                <w:color w:val="auto"/>
              </w:rPr>
            </w:pPr>
          </w:p>
        </w:tc>
        <w:tc>
          <w:tcPr>
            <w:tcW w:w="2540" w:type="dxa"/>
            <w:vAlign w:val="bottom"/>
            <w:gridSpan w:val="2"/>
          </w:tcPr>
          <w:p>
            <w:pPr>
              <w:jc w:val="right"/>
              <w:ind w:right="1627"/>
              <w:spacing w:after="0"/>
              <w:rPr>
                <w:sz w:val="20"/>
                <w:szCs w:val="20"/>
                <w:color w:val="auto"/>
              </w:rPr>
            </w:pPr>
            <w:r>
              <w:rPr>
                <w:rFonts w:ascii="Arial" w:cs="Arial" w:eastAsia="Arial" w:hAnsi="Arial"/>
                <w:sz w:val="18"/>
                <w:szCs w:val="18"/>
                <w:color w:val="auto"/>
              </w:rPr>
              <w:t>F-27</w:t>
            </w: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activity related to the changes in net unrealized gains (losses) on cash flow hedges recorded in accumulated other comprehensive (loss)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income, net of tax, is as follows:</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Year Ended September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2"/>
                <w:szCs w:val="12"/>
                <w:color w:val="auto"/>
              </w:rPr>
            </w:pPr>
          </w:p>
        </w:tc>
        <w:tc>
          <w:tcPr>
            <w:tcW w:w="880" w:type="dxa"/>
            <w:vAlign w:val="bottom"/>
            <w:gridSpan w:val="2"/>
          </w:tcPr>
          <w:p>
            <w:pPr>
              <w:jc w:val="right"/>
              <w:ind w:right="90"/>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09"/>
        </w:trPr>
        <w:tc>
          <w:tcPr>
            <w:tcW w:w="6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Net unrealized gain (loss) on cash flow hedges, net of tax, beginning of period</w:t>
            </w: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$ 13,773</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$ 18,836</w:t>
            </w:r>
          </w:p>
        </w:tc>
        <w:tc>
          <w:tcPr>
            <w:tcW w:w="5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920" w:type="dxa"/>
            <w:vAlign w:val="bottom"/>
            <w:gridSpan w:val="3"/>
          </w:tcPr>
          <w:p>
            <w:pPr>
              <w:jc w:val="right"/>
              <w:ind w:right="121"/>
              <w:spacing w:after="0"/>
              <w:rPr>
                <w:sz w:val="20"/>
                <w:szCs w:val="20"/>
                <w:color w:val="auto"/>
              </w:rPr>
            </w:pPr>
            <w:r>
              <w:rPr>
                <w:rFonts w:ascii="Arial" w:cs="Arial" w:eastAsia="Arial" w:hAnsi="Arial"/>
                <w:sz w:val="18"/>
                <w:szCs w:val="18"/>
                <w:color w:val="auto"/>
              </w:rPr>
              <w:t>(75,226)</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24,239</w:t>
            </w: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21,903</w:t>
            </w:r>
          </w:p>
        </w:tc>
        <w:tc>
          <w:tcPr>
            <w:tcW w:w="12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(losses) gains into earnings, net of tax</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14,873</w:t>
            </w:r>
          </w:p>
        </w:tc>
        <w:tc>
          <w:tcPr>
            <w:tcW w:w="26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(29,302)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(7,012)</w:t>
            </w:r>
          </w:p>
        </w:tc>
      </w:tr>
      <w:tr>
        <w:trPr>
          <w:trHeight w:val="223"/>
        </w:trPr>
        <w:tc>
          <w:tcPr>
            <w:tcW w:w="6220" w:type="dxa"/>
            <w:vAlign w:val="bottom"/>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(46,580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$ 13,773</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18,836</w:t>
            </w:r>
          </w:p>
        </w:tc>
        <w:tc>
          <w:tcPr>
            <w:tcW w:w="120" w:type="dxa"/>
            <w:vAlign w:val="bottom"/>
          </w:tcPr>
          <w:p>
            <w:pPr>
              <w:spacing w:after="0"/>
              <w:rPr>
                <w:sz w:val="19"/>
                <w:szCs w:val="19"/>
                <w:color w:val="auto"/>
              </w:rPr>
            </w:pPr>
          </w:p>
        </w:tc>
      </w:tr>
      <w:tr>
        <w:trPr>
          <w:trHeight w:val="20"/>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Net unrealized (losses) gains from cash flow hedges recognized in other comprehensive (loss) income were $(78,465), $23,720 and $26,408, or $(75,226), $24,239 and $21,903, net of taxes, during the fiscal years ended September 30, 2022, 2021 and 2020, respectively.</w:t>
      </w:r>
    </w:p>
    <w:p>
      <w:pPr>
        <w:spacing w:after="0" w:line="146"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Of the net gains related to derivatives designated as cash flow hedges and recorded in accumulated other comprehensive (loss) income as of September 30, 2022, a net loss of $32,736 will be reclassified into earnings during fiscal 2023 and will partially offset the foreign currency impact from the underlying exposures. The amount ultimately realized in earnings will likely differ due to future changes in foreign exchange rates.</w:t>
      </w:r>
    </w:p>
    <w:p>
      <w:pPr>
        <w:spacing w:after="0" w:line="14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fiscal years ended September 30, 2022, 2021 and 2020, was not material.</w:t>
      </w:r>
    </w:p>
    <w:p>
      <w:pPr>
        <w:spacing w:after="0" w:line="17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2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fiscal years ended September 30, 2022, 2021 and 2020, respectively, which partially offsets the foreign currency impact from the underlying exposure, is summarized as follows:</w:t>
      </w:r>
    </w:p>
    <w:p>
      <w:pPr>
        <w:spacing w:after="0" w:line="202" w:lineRule="exact"/>
        <w:rPr>
          <w:sz w:val="20"/>
          <w:szCs w:val="20"/>
          <w:color w:val="auto"/>
        </w:rPr>
      </w:pPr>
    </w:p>
    <w:p>
      <w:pPr>
        <w:jc w:val="center"/>
        <w:ind w:left="6260"/>
        <w:spacing w:after="0"/>
        <w:rPr>
          <w:sz w:val="20"/>
          <w:szCs w:val="20"/>
          <w:color w:val="auto"/>
        </w:rPr>
      </w:pPr>
      <w:r>
        <w:rPr>
          <w:rFonts w:ascii="Arial" w:cs="Arial" w:eastAsia="Arial" w:hAnsi="Arial"/>
          <w:sz w:val="14"/>
          <w:szCs w:val="14"/>
          <w:b w:val="1"/>
          <w:bCs w:val="1"/>
          <w:color w:val="auto"/>
        </w:rPr>
        <w:t>(Losses) Gains</w:t>
      </w:r>
    </w:p>
    <w:p>
      <w:pPr>
        <w:jc w:val="center"/>
        <w:ind w:left="6260"/>
        <w:spacing w:after="0" w:line="226" w:lineRule="auto"/>
        <w:rPr>
          <w:sz w:val="20"/>
          <w:szCs w:val="20"/>
          <w:color w:val="auto"/>
        </w:rPr>
      </w:pPr>
      <w:r>
        <w:rPr>
          <w:rFonts w:ascii="Arial" w:cs="Arial" w:eastAsia="Arial" w:hAnsi="Arial"/>
          <w:sz w:val="14"/>
          <w:szCs w:val="14"/>
          <w:b w:val="1"/>
          <w:bCs w:val="1"/>
          <w:color w:val="auto"/>
        </w:rPr>
        <w:t>Recognized in Income</w:t>
      </w:r>
    </w:p>
    <w:p>
      <w:pPr>
        <w:jc w:val="center"/>
        <w:ind w:left="6260"/>
        <w:spacing w:after="0" w:line="232" w:lineRule="auto"/>
        <w:rPr>
          <w:sz w:val="20"/>
          <w:szCs w:val="20"/>
          <w:color w:val="auto"/>
        </w:rPr>
      </w:pPr>
      <w:r>
        <w:rPr>
          <w:rFonts w:ascii="Arial" w:cs="Arial" w:eastAsia="Arial" w:hAnsi="Arial"/>
          <w:sz w:val="14"/>
          <w:szCs w:val="14"/>
          <w:b w:val="1"/>
          <w:bCs w:val="1"/>
          <w:color w:val="auto"/>
        </w:rPr>
        <w:t>Year Ended September 30,</w:t>
      </w:r>
    </w:p>
    <w:tbl>
      <w:tblPr>
        <w:tblLayout w:type="fixed"/>
        <w:tblInd w:w="1000" w:type="dxa"/>
        <w:tblCellMar>
          <w:top w:w="0" w:type="dxa"/>
          <w:left w:w="0" w:type="dxa"/>
          <w:bottom w:w="0" w:type="dxa"/>
          <w:right w:w="0" w:type="dxa"/>
        </w:tblCellMar>
      </w:tblPr>
      <w:tr>
        <w:trPr>
          <w:trHeight w:val="142"/>
        </w:trPr>
        <w:tc>
          <w:tcPr>
            <w:tcW w:w="36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196"/>
        </w:trPr>
        <w:tc>
          <w:tcPr>
            <w:tcW w:w="3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27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Cost of revenue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(8,731)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$ 4,786</w:t>
            </w:r>
          </w:p>
        </w:tc>
        <w:tc>
          <w:tcPr>
            <w:tcW w:w="26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(718)</w:t>
            </w: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(341)</w:t>
            </w:r>
          </w:p>
        </w:tc>
      </w:tr>
      <w:tr>
        <w:trPr>
          <w:trHeight w:val="216"/>
        </w:trPr>
        <w:tc>
          <w:tcPr>
            <w:tcW w:w="3660" w:type="dxa"/>
            <w:vAlign w:val="bottom"/>
          </w:tcPr>
          <w:p>
            <w:pPr>
              <w:ind w:left="360"/>
              <w:spacing w:after="0"/>
              <w:rPr>
                <w:sz w:val="20"/>
                <w:szCs w:val="20"/>
                <w:color w:val="auto"/>
              </w:rPr>
            </w:pPr>
            <w:r>
              <w:rPr>
                <w:rFonts w:ascii="Arial" w:cs="Arial" w:eastAsia="Arial" w:hAnsi="Arial"/>
                <w:sz w:val="18"/>
                <w:szCs w:val="18"/>
                <w:color w:val="auto"/>
              </w:rPr>
              <w:t>Selling, general and administrative</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(2,375)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1,301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r>
      <w:tr>
        <w:trPr>
          <w:trHeight w:val="216"/>
        </w:trPr>
        <w:tc>
          <w:tcPr>
            <w:tcW w:w="3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and other expense, net</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18"/>
                <w:szCs w:val="18"/>
                <w:color w:val="auto"/>
              </w:rPr>
            </w:pPr>
          </w:p>
        </w:tc>
      </w:tr>
      <w:tr>
        <w:trPr>
          <w:trHeight w:val="230"/>
        </w:trPr>
        <w:tc>
          <w:tcPr>
            <w:tcW w:w="3660" w:type="dxa"/>
            <w:vAlign w:val="bottom"/>
          </w:tcPr>
          <w:p>
            <w:pPr>
              <w:ind w:left="360"/>
              <w:spacing w:after="0"/>
              <w:rPr>
                <w:sz w:val="20"/>
                <w:szCs w:val="20"/>
                <w:color w:val="auto"/>
              </w:rPr>
            </w:pPr>
            <w:r>
              <w:rPr>
                <w:rFonts w:ascii="Arial" w:cs="Arial" w:eastAsia="Arial" w:hAnsi="Arial"/>
                <w:sz w:val="18"/>
                <w:szCs w:val="18"/>
                <w:color w:val="auto"/>
              </w:rPr>
              <w:t>Income taxes</w:t>
            </w:r>
          </w:p>
        </w:tc>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3,018</w:t>
            </w:r>
          </w:p>
        </w:tc>
        <w:tc>
          <w:tcPr>
            <w:tcW w:w="240" w:type="dxa"/>
            <w:vAlign w:val="bottom"/>
          </w:tcPr>
          <w:p>
            <w:pPr>
              <w:spacing w:after="0"/>
              <w:rPr>
                <w:sz w:val="19"/>
                <w:szCs w:val="19"/>
                <w:color w:val="auto"/>
              </w:rPr>
            </w:pPr>
          </w:p>
        </w:tc>
        <w:tc>
          <w:tcPr>
            <w:tcW w:w="1020" w:type="dxa"/>
            <w:vAlign w:val="bottom"/>
            <w:gridSpan w:val="3"/>
          </w:tcPr>
          <w:p>
            <w:pPr>
              <w:jc w:val="right"/>
              <w:ind w:right="220"/>
              <w:spacing w:after="0"/>
              <w:rPr>
                <w:sz w:val="20"/>
                <w:szCs w:val="20"/>
                <w:color w:val="auto"/>
              </w:rPr>
            </w:pPr>
            <w:r>
              <w:rPr>
                <w:rFonts w:ascii="Arial" w:cs="Arial" w:eastAsia="Arial" w:hAnsi="Arial"/>
                <w:sz w:val="18"/>
                <w:szCs w:val="18"/>
                <w:color w:val="auto"/>
              </w:rPr>
              <w:t>(3,125)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(679)</w:t>
            </w:r>
          </w:p>
        </w:tc>
      </w:tr>
      <w:tr>
        <w:trPr>
          <w:trHeight w:val="210"/>
        </w:trPr>
        <w:tc>
          <w:tcPr>
            <w:tcW w:w="3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7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(12,415)</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$ 5,957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(2,042)</w:t>
            </w:r>
          </w:p>
        </w:tc>
        <w:tc>
          <w:tcPr>
            <w:tcW w:w="120" w:type="dxa"/>
            <w:vAlign w:val="bottom"/>
            <w:tcBorders>
              <w:top w:val="single" w:sz="8" w:color="CCEEFF"/>
            </w:tcBorders>
            <w:shd w:val="clear" w:color="auto" w:fill="CCEEFF"/>
          </w:tcPr>
          <w:p>
            <w:pPr>
              <w:spacing w:after="0"/>
              <w:rPr>
                <w:sz w:val="18"/>
                <w:szCs w:val="18"/>
                <w:color w:val="auto"/>
              </w:rPr>
            </w:pPr>
          </w:p>
        </w:tc>
      </w:tr>
      <w:tr>
        <w:trPr>
          <w:trHeight w:val="20"/>
        </w:trPr>
        <w:tc>
          <w:tcPr>
            <w:tcW w:w="36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65"/>
        </w:trPr>
        <w:tc>
          <w:tcPr>
            <w:tcW w:w="3660" w:type="dxa"/>
            <w:vAlign w:val="bottom"/>
          </w:tcPr>
          <w:p>
            <w:pPr>
              <w:spacing w:after="0"/>
              <w:rPr>
                <w:sz w:val="24"/>
                <w:szCs w:val="24"/>
                <w:color w:val="auto"/>
              </w:rPr>
            </w:pPr>
          </w:p>
        </w:tc>
        <w:tc>
          <w:tcPr>
            <w:tcW w:w="2820" w:type="dxa"/>
            <w:vAlign w:val="bottom"/>
            <w:gridSpan w:val="2"/>
          </w:tcPr>
          <w:p>
            <w:pPr>
              <w:jc w:val="right"/>
              <w:ind w:right="1607"/>
              <w:spacing w:after="0"/>
              <w:rPr>
                <w:sz w:val="20"/>
                <w:szCs w:val="20"/>
                <w:color w:val="auto"/>
              </w:rPr>
            </w:pPr>
            <w:r>
              <w:rPr>
                <w:rFonts w:ascii="Arial" w:cs="Arial" w:eastAsia="Arial" w:hAnsi="Arial"/>
                <w:sz w:val="18"/>
                <w:szCs w:val="18"/>
                <w:color w:val="auto"/>
              </w:rPr>
              <w:t>F-28</w:t>
            </w: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 Property and Equipment,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property and equipment, net are:</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70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4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2022</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2"/>
                <w:szCs w:val="12"/>
                <w:color w:val="auto"/>
              </w:rPr>
            </w:pPr>
          </w:p>
        </w:tc>
      </w:tr>
      <w:tr>
        <w:trPr>
          <w:trHeight w:val="210"/>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Computers, related equipment and software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1,267,230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1,195,787</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Building and land(1)</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392,110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291,262</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199,972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244,858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Furniture, fixtures and other</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64,025</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55,353</w:t>
            </w: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1,923,337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1,787,260</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(1,129,050)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(1,088,492)</w:t>
            </w:r>
          </w:p>
        </w:tc>
      </w:tr>
      <w:tr>
        <w:trPr>
          <w:trHeight w:val="27"/>
        </w:trPr>
        <w:tc>
          <w:tcPr>
            <w:tcW w:w="44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794,287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698,768</w:t>
            </w:r>
          </w:p>
        </w:tc>
      </w:tr>
      <w:tr>
        <w:trPr>
          <w:trHeight w:val="20"/>
        </w:trPr>
        <w:tc>
          <w:tcPr>
            <w:tcW w:w="4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For more details, please see also Note 2.</w:t>
      </w:r>
    </w:p>
    <w:p>
      <w:pPr>
        <w:spacing w:after="0" w:line="2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Total depreciation expense for fiscal years 2022, 2021 and 2020, was $127,447, $125,014 and $117,632, respectively. Property and equipment that have been fully depreciated and are no longer in use are netted against accumulated depreciation.</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As of September 30, 2022 and 2021, the costs, net of accumulated depreciation of software assets developed for internal use were $154,731 and $165,529,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260" w:type="dxa"/>
            <w:vAlign w:val="bottom"/>
            <w:gridSpan w:val="3"/>
          </w:tcPr>
          <w:p>
            <w:pPr>
              <w:ind w:left="440"/>
              <w:spacing w:after="0"/>
              <w:rPr>
                <w:sz w:val="20"/>
                <w:szCs w:val="20"/>
                <w:color w:val="auto"/>
              </w:rPr>
            </w:pPr>
            <w:r>
              <w:rPr>
                <w:rFonts w:ascii="Arial" w:cs="Arial" w:eastAsia="Arial" w:hAnsi="Arial"/>
                <w:sz w:val="18"/>
                <w:szCs w:val="18"/>
                <w:color w:val="auto"/>
              </w:rPr>
              <w:t>The following table presents details of the Company’s total goodwill:</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1"/>
                <w:szCs w:val="21"/>
                <w:color w:val="auto"/>
              </w:rPr>
            </w:pPr>
          </w:p>
        </w:tc>
        <w:tc>
          <w:tcPr>
            <w:tcW w:w="54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2020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$ 2,578,645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Goodwill resulting from acquisitions(1)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104,151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Decrease in goodwill as a result of divestiture(2)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(61,396)</w:t>
            </w:r>
          </w:p>
        </w:tc>
        <w:tc>
          <w:tcPr>
            <w:tcW w:w="0" w:type="dxa"/>
            <w:vAlign w:val="bottom"/>
          </w:tcPr>
          <w:p>
            <w:pPr>
              <w:spacing w:after="0"/>
              <w:rPr>
                <w:sz w:val="1"/>
                <w:szCs w:val="1"/>
                <w:color w:val="auto"/>
              </w:rPr>
            </w:pPr>
          </w:p>
        </w:tc>
      </w:tr>
      <w:tr>
        <w:trPr>
          <w:trHeight w:val="230"/>
        </w:trPr>
        <w:tc>
          <w:tcPr>
            <w:tcW w:w="1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 of September 30, 2021</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$ 2,622,644</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Goodwill resulting from acquisitions(3)</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48,395</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(8,214)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500" w:type="dxa"/>
            <w:vAlign w:val="bottom"/>
            <w:vMerge w:val="restart"/>
          </w:tcPr>
          <w:p>
            <w:pPr>
              <w:spacing w:after="0"/>
              <w:rPr>
                <w:sz w:val="20"/>
                <w:szCs w:val="20"/>
                <w:color w:val="auto"/>
              </w:rPr>
            </w:pPr>
            <w:r>
              <w:rPr>
                <w:rFonts w:ascii="Arial" w:cs="Arial" w:eastAsia="Arial" w:hAnsi="Arial"/>
                <w:sz w:val="18"/>
                <w:szCs w:val="18"/>
                <w:color w:val="auto"/>
              </w:rPr>
              <w:t>As of September 30, 2022</w:t>
            </w:r>
          </w:p>
        </w:tc>
        <w:tc>
          <w:tcPr>
            <w:tcW w:w="8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500" w:type="dxa"/>
            <w:vAlign w:val="bottom"/>
            <w:vMerge w:val="continue"/>
          </w:tcPr>
          <w:p>
            <w:pPr>
              <w:spacing w:after="0"/>
              <w:rPr>
                <w:sz w:val="17"/>
                <w:szCs w:val="17"/>
                <w:color w:val="auto"/>
              </w:rPr>
            </w:pP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8"/>
              </w:rPr>
              <w:t>$ 2,662,825</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122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6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540" w:right="240" w:hanging="424"/>
        <w:spacing w:after="0" w:line="255"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Mainly relates to the acquisition of Sourced Group. In allocating the total purchase price for Sourced Group, based on estimated fair values, the Company recorded $79,863 of goodwill, $18,211 of customer relationships to be amortized over approximately seven years and $3,056 of core technology to be amortized over three years.</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Relates to the divestiture of OpenMarket completed on December 31, 2020, see also Note 3.</w:t>
      </w:r>
    </w:p>
    <w:p>
      <w:pPr>
        <w:spacing w:after="0" w:line="9" w:lineRule="exact"/>
        <w:rPr>
          <w:rFonts w:ascii="Arial" w:cs="Arial" w:eastAsia="Arial" w:hAnsi="Arial"/>
          <w:sz w:val="18"/>
          <w:szCs w:val="18"/>
          <w:color w:val="auto"/>
        </w:rPr>
      </w:pPr>
    </w:p>
    <w:p>
      <w:pPr>
        <w:ind w:left="540" w:right="340" w:hanging="424"/>
        <w:spacing w:after="0" w:line="253" w:lineRule="auto"/>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Mainly relates to the acquisitions of DevOps and Roam, see also Note 3. In allocating the total preliminary purchase price for Roam, based on estimated fair values, the Company recorded $24,607 of goodwill, $11,454 of customer relationships to be amortized over approximately five years and $2,299 of core technology to be amortized over two years. In allocating the total preliminary purchase price for DevOps, based on estimated fair values, the Company recorded $23,787 of goodwill, $2,616 of customer relationships to be amortized over approximately five years.</w:t>
      </w:r>
    </w:p>
    <w:p>
      <w:pPr>
        <w:spacing w:after="0" w:line="191"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The Company performs an annual goodwill impairment test during the fourth quarter of each fiscal year, or more frequently if impairment indicators are present. The Company operates in one operating segment, and this segment comprises its only reporting unit. Where a quantitative impairment test is necessary, in calculating the fair value of the reporting unit, the Company uses its market capitalization and a discounted cash flow methodology. There was no impairment of goodwill in fiscal years 2022, 2021 or 2020.</w:t>
      </w: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20"/>
          </w:cols>
          <w:pgMar w:left="320" w:top="486" w:right="4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details regarding the Company’s total definite-lived purchased intangible assets: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Gross</w:t>
            </w:r>
          </w:p>
        </w:tc>
        <w:tc>
          <w:tcPr>
            <w:tcW w:w="520" w:type="dxa"/>
            <w:vAlign w:val="bottom"/>
          </w:tcPr>
          <w:p>
            <w:pPr>
              <w:spacing w:after="0"/>
              <w:rPr>
                <w:sz w:val="14"/>
                <w:szCs w:val="14"/>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8"/>
              </w:rPr>
              <w:t>Amortization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2022</w:t>
            </w:r>
          </w:p>
        </w:tc>
        <w:tc>
          <w:tcPr>
            <w:tcW w:w="2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Core technology</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898,448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(837,404)</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61,044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703,824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(591,119)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112,705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640" w:type="dxa"/>
            <w:vAlign w:val="bottom"/>
          </w:tcPr>
          <w:p>
            <w:pPr>
              <w:spacing w:after="0"/>
              <w:rPr>
                <w:sz w:val="20"/>
                <w:szCs w:val="20"/>
                <w:color w:val="auto"/>
              </w:rPr>
            </w:pPr>
            <w:r>
              <w:rPr>
                <w:rFonts w:ascii="Arial" w:cs="Arial" w:eastAsia="Arial" w:hAnsi="Arial"/>
                <w:sz w:val="18"/>
                <w:szCs w:val="18"/>
                <w:color w:val="auto"/>
              </w:rPr>
              <w:t>Other</w:t>
            </w:r>
          </w:p>
        </w:tc>
        <w:tc>
          <w:tcPr>
            <w:tcW w:w="2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47,540</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(42,977)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4,563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1,649,812</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(1,471,500)</w:t>
            </w:r>
          </w:p>
        </w:tc>
        <w:tc>
          <w:tcPr>
            <w:tcW w:w="5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178,312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b w:val="1"/>
                <w:bCs w:val="1"/>
                <w:color w:val="auto"/>
              </w:rPr>
              <w:t>September 30, 2021</w:t>
            </w: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3640" w:type="dxa"/>
            <w:vAlign w:val="bottom"/>
            <w:vMerge w:val="continue"/>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896,149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(777,419)</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118,730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689,754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00"/>
              <w:spacing w:after="0"/>
              <w:rPr>
                <w:sz w:val="20"/>
                <w:szCs w:val="20"/>
                <w:color w:val="auto"/>
              </w:rPr>
            </w:pPr>
            <w:r>
              <w:rPr>
                <w:rFonts w:ascii="Arial" w:cs="Arial" w:eastAsia="Arial" w:hAnsi="Arial"/>
                <w:sz w:val="18"/>
                <w:szCs w:val="18"/>
                <w:color w:val="auto"/>
              </w:rPr>
              <w:t>(556,716)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133,038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(40,276)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0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40" w:type="dxa"/>
            <w:vAlign w:val="bottom"/>
            <w:vMerge w:val="continue"/>
          </w:tcPr>
          <w:p>
            <w:pPr>
              <w:spacing w:after="0"/>
              <w:rPr>
                <w:sz w:val="19"/>
                <w:szCs w:val="19"/>
                <w:color w:val="auto"/>
              </w:rPr>
            </w:pPr>
          </w:p>
        </w:tc>
        <w:tc>
          <w:tcPr>
            <w:tcW w:w="200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1,633,443</w:t>
            </w:r>
          </w:p>
        </w:tc>
        <w:tc>
          <w:tcPr>
            <w:tcW w:w="520" w:type="dxa"/>
            <w:vAlign w:val="bottom"/>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(1,374,411)</w:t>
            </w:r>
          </w:p>
        </w:tc>
        <w:tc>
          <w:tcPr>
            <w:tcW w:w="560" w:type="dxa"/>
            <w:vAlign w:val="bottom"/>
            <w:vMerge w:val="continue"/>
          </w:tcPr>
          <w:p>
            <w:pPr>
              <w:spacing w:after="0"/>
              <w:rPr>
                <w:sz w:val="19"/>
                <w:szCs w:val="19"/>
                <w:color w:val="auto"/>
              </w:rPr>
            </w:pPr>
          </w:p>
        </w:tc>
        <w:tc>
          <w:tcPr>
            <w:tcW w:w="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259,032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amortization expenses related to the Company’s definite-lived purchased intangible assets were $97,088, $83,816 and $80,777 for the years ended 2022, 2021 and 2020,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future amortization expense of definite-lived purchased intangible assets as of September 30, 2022 is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53,213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43,721</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2025</w:t>
            </w:r>
          </w:p>
        </w:tc>
        <w:tc>
          <w:tcPr>
            <w:tcW w:w="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39,759</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23,334</w:t>
            </w:r>
          </w:p>
        </w:tc>
        <w:tc>
          <w:tcPr>
            <w:tcW w:w="0" w:type="dxa"/>
            <w:vAlign w:val="bottom"/>
          </w:tcPr>
          <w:p>
            <w:pPr>
              <w:spacing w:after="0"/>
              <w:rPr>
                <w:sz w:val="1"/>
                <w:szCs w:val="1"/>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2027</w:t>
            </w:r>
          </w:p>
        </w:tc>
        <w:tc>
          <w:tcPr>
            <w:tcW w:w="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10,893</w:t>
            </w:r>
          </w:p>
        </w:tc>
        <w:tc>
          <w:tcPr>
            <w:tcW w:w="0" w:type="dxa"/>
            <w:vAlign w:val="bottom"/>
          </w:tcPr>
          <w:p>
            <w:pPr>
              <w:spacing w:after="0"/>
              <w:rPr>
                <w:sz w:val="1"/>
                <w:szCs w:val="1"/>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7,392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20" w:type="dxa"/>
            <w:vAlign w:val="bottom"/>
            <w:vMerge w:val="continue"/>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178,312</w:t>
            </w:r>
          </w:p>
        </w:tc>
        <w:tc>
          <w:tcPr>
            <w:tcW w:w="20" w:type="dxa"/>
            <w:vAlign w:val="bottom"/>
            <w:tcBorders>
              <w:bottom w:val="single" w:sz="8" w:color="auto"/>
            </w:tcBorders>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(benefit) for income taxes consists of the following:</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93"/>
              </w:rPr>
              <w:t>Year Ended September 30,</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2022</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102,197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$176,537</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$55,243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Deferred</w:t>
            </w:r>
          </w:p>
        </w:tc>
        <w:tc>
          <w:tcPr>
            <w:tcW w:w="2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88"/>
              <w:spacing w:after="0"/>
              <w:rPr>
                <w:sz w:val="20"/>
                <w:szCs w:val="20"/>
                <w:color w:val="auto"/>
              </w:rPr>
            </w:pPr>
            <w:r>
              <w:rPr>
                <w:rFonts w:ascii="Arial" w:cs="Arial" w:eastAsia="Arial" w:hAnsi="Arial"/>
                <w:sz w:val="18"/>
                <w:szCs w:val="18"/>
                <w:color w:val="auto"/>
              </w:rPr>
              <w:t>(3,292)</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(50,605)</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30,239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98,905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125,932</w:t>
            </w:r>
          </w:p>
        </w:tc>
        <w:tc>
          <w:tcPr>
            <w:tcW w:w="4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85,482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maintained a tax receivable balance of $56,959 and $53,925 as of September 30, 2022 and 2021, respectively, which is included in Prepaid expenses and other current assets.</w:t>
      </w:r>
    </w:p>
    <w:p>
      <w:pPr>
        <w:sectPr>
          <w:pgSz w:w="11900" w:h="16838" w:orient="portrait"/>
          <w:cols w:equalWidth="0" w:num="1">
            <w:col w:w="11040"/>
          </w:cols>
          <w:pgMar w:left="320" w:top="486" w:right="5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6"/>
          <w:szCs w:val="16"/>
          <w:color w:val="auto"/>
        </w:rPr>
        <w:t>F-30</w:t>
      </w:r>
    </w:p>
    <w:p>
      <w:pPr>
        <w:sectPr>
          <w:pgSz w:w="11900" w:h="16838" w:orient="portrait"/>
          <w:cols w:equalWidth="0" w:num="1">
            <w:col w:w="9019"/>
          </w:cols>
          <w:pgMar w:left="1440" w:top="274" w:right="1440"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Deferred income taxes are comprised of the following components: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10"/>
          </w:tcPr>
          <w:p>
            <w:pPr>
              <w:jc w:val="right"/>
              <w:ind w:right="10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168"/>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11"/>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61"/>
              <w:spacing w:after="0"/>
              <w:rPr>
                <w:sz w:val="20"/>
                <w:szCs w:val="20"/>
                <w:color w:val="auto"/>
              </w:rPr>
            </w:pPr>
            <w:r>
              <w:rPr>
                <w:rFonts w:ascii="Arial" w:cs="Arial" w:eastAsia="Arial" w:hAnsi="Arial"/>
                <w:sz w:val="18"/>
                <w:szCs w:val="18"/>
                <w:color w:val="auto"/>
              </w:rPr>
              <w:t>18,470</w:t>
            </w: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21"/>
              <w:spacing w:after="0"/>
              <w:rPr>
                <w:sz w:val="20"/>
                <w:szCs w:val="20"/>
                <w:color w:val="auto"/>
              </w:rPr>
            </w:pPr>
            <w:r>
              <w:rPr>
                <w:rFonts w:ascii="Arial" w:cs="Arial" w:eastAsia="Arial" w:hAnsi="Arial"/>
                <w:sz w:val="18"/>
                <w:szCs w:val="18"/>
                <w:color w:val="auto"/>
              </w:rPr>
              <w:t>25,282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90,445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76,020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Intangible assets, computer software and intellectual property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61"/>
              <w:spacing w:after="0"/>
              <w:rPr>
                <w:sz w:val="20"/>
                <w:szCs w:val="20"/>
                <w:color w:val="auto"/>
              </w:rPr>
            </w:pPr>
            <w:r>
              <w:rPr>
                <w:rFonts w:ascii="Arial" w:cs="Arial" w:eastAsia="Arial" w:hAnsi="Arial"/>
                <w:sz w:val="18"/>
                <w:szCs w:val="18"/>
                <w:color w:val="auto"/>
              </w:rPr>
              <w:t>64,719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1"/>
              <w:spacing w:after="0"/>
              <w:rPr>
                <w:sz w:val="20"/>
                <w:szCs w:val="20"/>
                <w:color w:val="auto"/>
              </w:rPr>
            </w:pPr>
            <w:r>
              <w:rPr>
                <w:rFonts w:ascii="Arial" w:cs="Arial" w:eastAsia="Arial" w:hAnsi="Arial"/>
                <w:sz w:val="18"/>
                <w:szCs w:val="18"/>
                <w:color w:val="auto"/>
              </w:rPr>
              <w:t>75,200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 net capital and operating loss carryforwards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w w:val="98"/>
              </w:rPr>
              <w:t>110,764</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w w:val="95"/>
              </w:rPr>
              <w:t>156,209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61"/>
              <w:spacing w:after="0"/>
              <w:rPr>
                <w:sz w:val="20"/>
                <w:szCs w:val="20"/>
                <w:color w:val="auto"/>
              </w:rPr>
            </w:pPr>
            <w:r>
              <w:rPr>
                <w:rFonts w:ascii="Arial" w:cs="Arial" w:eastAsia="Arial" w:hAnsi="Arial"/>
                <w:sz w:val="18"/>
                <w:szCs w:val="18"/>
                <w:color w:val="auto"/>
              </w:rPr>
              <w:t>44,443</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1"/>
              <w:spacing w:after="0"/>
              <w:rPr>
                <w:sz w:val="20"/>
                <w:szCs w:val="20"/>
                <w:color w:val="auto"/>
              </w:rPr>
            </w:pPr>
            <w:r>
              <w:rPr>
                <w:rFonts w:ascii="Arial" w:cs="Arial" w:eastAsia="Arial" w:hAnsi="Arial"/>
                <w:sz w:val="18"/>
                <w:szCs w:val="18"/>
                <w:color w:val="auto"/>
              </w:rPr>
              <w:t>50,780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48,171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46,372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377,012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5"/>
              </w:rPr>
              <w:t>429,863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(56,868)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(65,550)</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Total deferred tax assets, net</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320,144</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5"/>
              </w:rPr>
              <w:t>364,313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Anticipated withholdings on subsidiaries’ earnings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
              <w:spacing w:after="0"/>
              <w:rPr>
                <w:sz w:val="20"/>
                <w:szCs w:val="20"/>
                <w:color w:val="auto"/>
              </w:rPr>
            </w:pPr>
            <w:r>
              <w:rPr>
                <w:rFonts w:ascii="Arial" w:cs="Arial" w:eastAsia="Arial" w:hAnsi="Arial"/>
                <w:sz w:val="18"/>
                <w:szCs w:val="18"/>
                <w:color w:val="auto"/>
              </w:rPr>
              <w:t>(57,566)</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(84,755)</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computer software and intellectual property</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w w:val="90"/>
              </w:rPr>
              <w:t>(109,419)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8"/>
              </w:rPr>
              <w:t>(109,526)</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Lease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1"/>
              <w:spacing w:after="0"/>
              <w:rPr>
                <w:sz w:val="20"/>
                <w:szCs w:val="20"/>
                <w:color w:val="auto"/>
              </w:rPr>
            </w:pPr>
            <w:r>
              <w:rPr>
                <w:rFonts w:ascii="Arial" w:cs="Arial" w:eastAsia="Arial" w:hAnsi="Arial"/>
                <w:sz w:val="18"/>
                <w:szCs w:val="18"/>
                <w:color w:val="auto"/>
              </w:rPr>
              <w:t>(38,454)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(47,822)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(73,166)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(97,638)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8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(278,605</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(339,741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3"/>
            <w:shd w:val="clear" w:color="auto" w:fill="CCEEFF"/>
          </w:tcPr>
          <w:p>
            <w:pPr>
              <w:jc w:val="right"/>
              <w:ind w:right="61"/>
              <w:spacing w:after="0"/>
              <w:rPr>
                <w:sz w:val="20"/>
                <w:szCs w:val="20"/>
                <w:color w:val="auto"/>
              </w:rPr>
            </w:pPr>
            <w:r>
              <w:rPr>
                <w:rFonts w:ascii="Arial" w:cs="Arial" w:eastAsia="Arial" w:hAnsi="Arial"/>
                <w:sz w:val="18"/>
                <w:szCs w:val="18"/>
                <w:color w:val="auto"/>
              </w:rPr>
              <w:t>41,539</w:t>
            </w: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21"/>
              <w:spacing w:after="0"/>
              <w:rPr>
                <w:sz w:val="20"/>
                <w:szCs w:val="20"/>
                <w:color w:val="auto"/>
              </w:rPr>
            </w:pPr>
            <w:r>
              <w:rPr>
                <w:rFonts w:ascii="Arial" w:cs="Arial" w:eastAsia="Arial" w:hAnsi="Arial"/>
                <w:sz w:val="18"/>
                <w:szCs w:val="18"/>
                <w:color w:val="auto"/>
              </w:rPr>
              <w:t>24,572</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gridSpan w:val="3"/>
            <w:vMerge w:val="restart"/>
          </w:tcPr>
          <w:p>
            <w:pPr>
              <w:spacing w:after="0"/>
              <w:rPr>
                <w:sz w:val="20"/>
                <w:szCs w:val="20"/>
                <w:color w:val="auto"/>
              </w:rPr>
            </w:pPr>
            <w:r>
              <w:rPr>
                <w:rFonts w:ascii="Arial" w:cs="Arial" w:eastAsia="Arial" w:hAnsi="Arial"/>
                <w:sz w:val="18"/>
                <w:szCs w:val="18"/>
                <w:color w:val="auto"/>
              </w:rPr>
              <w:t>The effective income tax rate varied from the statutory Guernsey tax rate as follows:</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67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10"/>
          </w:tcPr>
          <w:p>
            <w:pPr>
              <w:jc w:val="right"/>
              <w:ind w:right="780"/>
              <w:spacing w:after="0"/>
              <w:rPr>
                <w:sz w:val="20"/>
                <w:szCs w:val="20"/>
                <w:color w:val="auto"/>
              </w:rPr>
            </w:pPr>
            <w:r>
              <w:rPr>
                <w:rFonts w:ascii="Arial" w:cs="Arial" w:eastAsia="Arial" w:hAnsi="Arial"/>
                <w:sz w:val="14"/>
                <w:szCs w:val="14"/>
                <w:b w:val="1"/>
                <w:bCs w:val="1"/>
                <w:color w:val="auto"/>
                <w:w w:val="97"/>
              </w:rPr>
              <w:t>Year Ended September 30,</w:t>
            </w:r>
          </w:p>
        </w:tc>
        <w:tc>
          <w:tcPr>
            <w:tcW w:w="0" w:type="dxa"/>
            <w:vAlign w:val="bottom"/>
          </w:tcPr>
          <w:p>
            <w:pPr>
              <w:spacing w:after="0"/>
              <w:rPr>
                <w:sz w:val="1"/>
                <w:szCs w:val="1"/>
                <w:color w:val="auto"/>
              </w:rPr>
            </w:pPr>
          </w:p>
        </w:tc>
      </w:tr>
      <w:tr>
        <w:trPr>
          <w:trHeight w:val="142"/>
        </w:trPr>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42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w w:val="84"/>
              </w:rPr>
              <w:t>0%</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Foreign taxes(1)</w:t>
            </w:r>
          </w:p>
        </w:tc>
        <w:tc>
          <w:tcPr>
            <w:tcW w:w="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15.3</w:t>
            </w: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14.7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980" w:type="dxa"/>
            <w:vAlign w:val="bottom"/>
            <w:gridSpan w:val="4"/>
            <w:shd w:val="clear" w:color="auto" w:fill="CCEEFF"/>
          </w:tcPr>
          <w:p>
            <w:pPr>
              <w:jc w:val="right"/>
              <w:ind w:right="348"/>
              <w:spacing w:after="0"/>
              <w:rPr>
                <w:sz w:val="20"/>
                <w:szCs w:val="20"/>
                <w:color w:val="auto"/>
              </w:rPr>
            </w:pPr>
            <w:r>
              <w:rPr>
                <w:rFonts w:ascii="Arial" w:cs="Arial" w:eastAsia="Arial" w:hAnsi="Arial"/>
                <w:sz w:val="18"/>
                <w:szCs w:val="18"/>
                <w:color w:val="auto"/>
              </w:rPr>
              <w:t>15.3%</w:t>
            </w: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15.5%</w:t>
            </w:r>
          </w:p>
        </w:tc>
        <w:tc>
          <w:tcPr>
            <w:tcW w:w="120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income before income tax expense is considered to be foreign income.</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(1) Foreign taxes for the year ended Sep 30, 2022:</w:t>
      </w:r>
    </w:p>
    <w:p>
      <w:pPr>
        <w:spacing w:after="0" w:line="117" w:lineRule="exact"/>
        <w:rPr>
          <w:sz w:val="20"/>
          <w:szCs w:val="20"/>
          <w:color w:val="auto"/>
        </w:rPr>
      </w:pPr>
    </w:p>
    <w:p>
      <w:pPr>
        <w:ind w:left="560" w:right="220" w:firstLine="423"/>
        <w:spacing w:after="0" w:line="301" w:lineRule="auto"/>
        <w:rPr>
          <w:sz w:val="20"/>
          <w:szCs w:val="20"/>
          <w:color w:val="auto"/>
        </w:rPr>
      </w:pPr>
      <w:r>
        <w:rPr>
          <w:rFonts w:ascii="Arial" w:cs="Arial" w:eastAsia="Arial" w:hAnsi="Arial"/>
          <w:sz w:val="16"/>
          <w:szCs w:val="16"/>
          <w:color w:val="auto"/>
        </w:rPr>
        <w:t>In fiscal year 2022, the Company recorded a tax benefit of $37,000 related to the release of accrued withholding taxes on unremitted earnings accumulated in Israel. The release of the accrued withholding taxes followed the Company’s funding decisions relating to the construction of its new Israeli campus; such funding decisions have also taken into consideration recent changes in Israeli law and the recent application of the Preferred Technological Enterprise regime to the company’s main Israeli operating subsidiary.</w:t>
      </w:r>
    </w:p>
    <w:p>
      <w:pPr>
        <w:spacing w:after="0" w:line="49" w:lineRule="exact"/>
        <w:rPr>
          <w:sz w:val="20"/>
          <w:szCs w:val="20"/>
          <w:color w:val="auto"/>
        </w:rPr>
      </w:pPr>
    </w:p>
    <w:p>
      <w:pPr>
        <w:ind w:left="560" w:right="320" w:firstLine="423"/>
        <w:spacing w:after="0" w:line="308" w:lineRule="auto"/>
        <w:rPr>
          <w:sz w:val="20"/>
          <w:szCs w:val="20"/>
          <w:color w:val="auto"/>
        </w:rPr>
      </w:pPr>
      <w:r>
        <w:rPr>
          <w:rFonts w:ascii="Arial" w:cs="Arial" w:eastAsia="Arial" w:hAnsi="Arial"/>
          <w:sz w:val="17"/>
          <w:szCs w:val="17"/>
          <w:color w:val="auto"/>
        </w:rPr>
        <w:t>Foreign taxes in fiscal year 2022 also included a benefit of $8,871 relating to changes in tax regulations in certain jurisdiction, and an expense of $3,193 for the estimated additional tax charge as a result of the gain from sale of a business (see also Note 3).</w:t>
      </w:r>
    </w:p>
    <w:p>
      <w:pPr>
        <w:spacing w:after="0" w:line="38" w:lineRule="exact"/>
        <w:rPr>
          <w:sz w:val="20"/>
          <w:szCs w:val="20"/>
          <w:color w:val="auto"/>
        </w:rPr>
      </w:pPr>
    </w:p>
    <w:p>
      <w:pPr>
        <w:ind w:left="560" w:firstLine="423"/>
        <w:spacing w:after="0" w:line="277" w:lineRule="auto"/>
        <w:rPr>
          <w:sz w:val="20"/>
          <w:szCs w:val="20"/>
          <w:color w:val="auto"/>
        </w:rPr>
      </w:pPr>
      <w:r>
        <w:rPr>
          <w:rFonts w:ascii="Arial" w:cs="Arial" w:eastAsia="Arial" w:hAnsi="Arial"/>
          <w:sz w:val="18"/>
          <w:szCs w:val="18"/>
          <w:color w:val="auto"/>
        </w:rPr>
        <w:t>Foreign taxes in fiscal year 2022 also included a total amount of releases, net of additions related to prior years, of gross unrecognized tax benefits of $4,757 relating to effectively settled arrangements with tax</w:t>
      </w:r>
    </w:p>
    <w:p>
      <w:pPr>
        <w:spacing w:after="0" w:line="10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0900"/>
          </w:cols>
          <w:pgMar w:left="320" w:top="486" w:right="67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right="100"/>
        <w:spacing w:after="0" w:line="277" w:lineRule="auto"/>
        <w:rPr>
          <w:sz w:val="20"/>
          <w:szCs w:val="20"/>
          <w:color w:val="auto"/>
        </w:rPr>
      </w:pPr>
      <w:r>
        <w:rPr>
          <w:rFonts w:ascii="Arial" w:cs="Arial" w:eastAsia="Arial" w:hAnsi="Arial"/>
          <w:sz w:val="18"/>
          <w:szCs w:val="18"/>
          <w:color w:val="auto"/>
        </w:rPr>
        <w:t>authorities, changes in facts and circumstances resulting in a change in measurement of certain positions and expiration of the periods set forth in statutes of limitations in certain jurisdictions.</w:t>
      </w:r>
    </w:p>
    <w:p>
      <w:pPr>
        <w:spacing w:after="0" w:line="265" w:lineRule="exact"/>
        <w:rPr>
          <w:sz w:val="20"/>
          <w:szCs w:val="20"/>
          <w:color w:val="auto"/>
        </w:rPr>
      </w:pPr>
    </w:p>
    <w:p>
      <w:pPr>
        <w:ind w:left="560" w:right="380" w:firstLine="423"/>
        <w:spacing w:after="0" w:line="342" w:lineRule="auto"/>
        <w:rPr>
          <w:sz w:val="20"/>
          <w:szCs w:val="20"/>
          <w:color w:val="auto"/>
        </w:rPr>
      </w:pPr>
      <w:r>
        <w:rPr>
          <w:rFonts w:ascii="Arial" w:cs="Arial" w:eastAsia="Arial" w:hAnsi="Arial"/>
          <w:sz w:val="16"/>
          <w:szCs w:val="16"/>
          <w:color w:val="auto"/>
        </w:rPr>
        <w:t>Foreign taxes in fiscal year 2022 also included an expense of $1,211 resulting from the creation of valuation allowances on deferred tax assets at certain of the Company’s subsidiaries, which will not likely be realized due to the Company’s projections of future taxable income.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(1) Foreign taxes for the year ended Sep 30, 2021:</w:t>
      </w:r>
    </w:p>
    <w:p>
      <w:pPr>
        <w:spacing w:after="0" w:line="117" w:lineRule="exact"/>
        <w:rPr>
          <w:sz w:val="20"/>
          <w:szCs w:val="20"/>
          <w:color w:val="auto"/>
        </w:rPr>
      </w:pPr>
    </w:p>
    <w:p>
      <w:pPr>
        <w:ind w:left="560" w:right="20" w:firstLine="423"/>
        <w:spacing w:after="0" w:line="277" w:lineRule="auto"/>
        <w:rPr>
          <w:sz w:val="20"/>
          <w:szCs w:val="20"/>
          <w:color w:val="auto"/>
        </w:rPr>
      </w:pPr>
      <w:r>
        <w:rPr>
          <w:rFonts w:ascii="Arial" w:cs="Arial" w:eastAsia="Arial" w:hAnsi="Arial"/>
          <w:sz w:val="18"/>
          <w:szCs w:val="18"/>
          <w:color w:val="auto"/>
        </w:rPr>
        <w:t>In fiscal year 2021, foreign taxes included an expense of $39,596 for the estimated additional tax charge as a result of the gain from sale of a business, please see also Note 3.</w:t>
      </w:r>
    </w:p>
    <w:p>
      <w:pPr>
        <w:spacing w:after="0" w:line="62" w:lineRule="exact"/>
        <w:rPr>
          <w:sz w:val="20"/>
          <w:szCs w:val="20"/>
          <w:color w:val="auto"/>
        </w:rPr>
      </w:pPr>
    </w:p>
    <w:p>
      <w:pPr>
        <w:ind w:left="560" w:right="440" w:firstLine="423"/>
        <w:spacing w:after="0" w:line="277" w:lineRule="auto"/>
        <w:rPr>
          <w:sz w:val="20"/>
          <w:szCs w:val="20"/>
          <w:color w:val="auto"/>
        </w:rPr>
      </w:pPr>
      <w:r>
        <w:rPr>
          <w:rFonts w:ascii="Arial" w:cs="Arial" w:eastAsia="Arial" w:hAnsi="Arial"/>
          <w:sz w:val="18"/>
          <w:szCs w:val="18"/>
          <w:color w:val="auto"/>
        </w:rPr>
        <w:t>Foreign taxes in fiscal year 2021 also included a benefit of $10,933 resulting from internal structural changes in certain jurisdictions in which the Company operates.</w:t>
      </w:r>
    </w:p>
    <w:p>
      <w:pPr>
        <w:spacing w:after="0" w:line="62" w:lineRule="exact"/>
        <w:rPr>
          <w:sz w:val="20"/>
          <w:szCs w:val="20"/>
          <w:color w:val="auto"/>
        </w:rPr>
      </w:pPr>
    </w:p>
    <w:p>
      <w:pPr>
        <w:ind w:left="560" w:right="40" w:firstLine="423"/>
        <w:spacing w:after="0" w:line="301" w:lineRule="auto"/>
        <w:rPr>
          <w:sz w:val="20"/>
          <w:szCs w:val="20"/>
          <w:color w:val="auto"/>
        </w:rPr>
      </w:pPr>
      <w:r>
        <w:rPr>
          <w:rFonts w:ascii="Arial" w:cs="Arial" w:eastAsia="Arial" w:hAnsi="Arial"/>
          <w:sz w:val="16"/>
          <w:szCs w:val="16"/>
          <w:color w:val="auto"/>
        </w:rPr>
        <w:t>Foreign taxes in fiscal year 2021 also included a total amount of releases, net of additions related to prior years, of gross unrecognized tax benefits of $7,701 relating to effectively settled arrangements with tax authorities, changes in facts and circumstances resulting in a change in measurement of certain positions and expiration of the periods set forth in statutes of limitations in certain jurisdictions. The net release was offset by decrease in tax assets and as a result the net impact on income tax expense for fiscal year 2021 was not material.</w:t>
      </w:r>
    </w:p>
    <w:p>
      <w:pPr>
        <w:spacing w:after="0" w:line="49" w:lineRule="exact"/>
        <w:rPr>
          <w:sz w:val="20"/>
          <w:szCs w:val="20"/>
          <w:color w:val="auto"/>
        </w:rPr>
      </w:pPr>
    </w:p>
    <w:p>
      <w:pPr>
        <w:ind w:left="560" w:right="100" w:firstLine="423"/>
        <w:spacing w:after="0" w:line="342" w:lineRule="auto"/>
        <w:rPr>
          <w:sz w:val="20"/>
          <w:szCs w:val="20"/>
          <w:color w:val="auto"/>
        </w:rPr>
      </w:pPr>
      <w:r>
        <w:rPr>
          <w:rFonts w:ascii="Arial" w:cs="Arial" w:eastAsia="Arial" w:hAnsi="Arial"/>
          <w:sz w:val="16"/>
          <w:szCs w:val="16"/>
          <w:color w:val="auto"/>
        </w:rPr>
        <w:t>Foreign taxes in fiscal year 2021 also included a benefit of $6,006 resulting from the release of valuation allowances on deferred tax assets at certain of the Company’s subsidiaries, which will, more likely than not, be realized due to the Company’s projections of future taxable income.</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(1) Foreign taxes for the year ended Sep 30, 2020:</w:t>
      </w:r>
    </w:p>
    <w:p>
      <w:pPr>
        <w:spacing w:after="0" w:line="117" w:lineRule="exact"/>
        <w:rPr>
          <w:sz w:val="20"/>
          <w:szCs w:val="20"/>
          <w:color w:val="auto"/>
        </w:rPr>
      </w:pPr>
    </w:p>
    <w:p>
      <w:pPr>
        <w:ind w:left="560" w:right="120" w:firstLine="423"/>
        <w:spacing w:after="0" w:line="301" w:lineRule="auto"/>
        <w:rPr>
          <w:sz w:val="20"/>
          <w:szCs w:val="20"/>
          <w:color w:val="auto"/>
        </w:rPr>
      </w:pPr>
      <w:r>
        <w:rPr>
          <w:rFonts w:ascii="Arial" w:cs="Arial" w:eastAsia="Arial" w:hAnsi="Arial"/>
          <w:sz w:val="16"/>
          <w:szCs w:val="16"/>
          <w:color w:val="auto"/>
        </w:rPr>
        <w:t>In fiscal year 2020, foreign taxes included a total amount of releases of gross unrecognized tax benefits of $47,582 relating to effectively settled arrangements with tax authorities, changes in facts and circumstances resulting in a change in measurement of certain positions and expiration of the periods set forth in statutes of limitations in certain jurisdictions. The majority of the release was offset by decrease in tax assets and increase in tax liabilities and as a result a net benefit of $14,971 was included within income tax expense for fiscal year 2020.</w:t>
      </w:r>
    </w:p>
    <w:p>
      <w:pPr>
        <w:spacing w:after="0" w:line="49" w:lineRule="exact"/>
        <w:rPr>
          <w:sz w:val="20"/>
          <w:szCs w:val="20"/>
          <w:color w:val="auto"/>
        </w:rPr>
      </w:pPr>
    </w:p>
    <w:p>
      <w:pPr>
        <w:jc w:val="both"/>
        <w:ind w:left="560" w:right="60" w:firstLine="423"/>
        <w:spacing w:after="0" w:line="342" w:lineRule="auto"/>
        <w:rPr>
          <w:sz w:val="20"/>
          <w:szCs w:val="20"/>
          <w:color w:val="auto"/>
        </w:rPr>
      </w:pPr>
      <w:r>
        <w:rPr>
          <w:rFonts w:ascii="Arial" w:cs="Arial" w:eastAsia="Arial" w:hAnsi="Arial"/>
          <w:sz w:val="16"/>
          <w:szCs w:val="16"/>
          <w:color w:val="auto"/>
        </w:rPr>
        <w:t>Foreign taxes in fiscal year 2020 also included a benefit of $15,438 resulting from the release of valuation allowances on deferred tax assets at certain of the Company’s subsidiaries, which will, more likely than not, be realized due to the Company’s projections of future taxable income.</w:t>
      </w:r>
    </w:p>
    <w:p>
      <w:pPr>
        <w:spacing w:after="0" w:line="16" w:lineRule="exact"/>
        <w:rPr>
          <w:sz w:val="20"/>
          <w:szCs w:val="20"/>
          <w:color w:val="auto"/>
        </w:rPr>
      </w:pPr>
    </w:p>
    <w:p>
      <w:pPr>
        <w:ind w:left="560" w:right="80" w:firstLine="423"/>
        <w:spacing w:after="0" w:line="259" w:lineRule="auto"/>
        <w:rPr>
          <w:sz w:val="20"/>
          <w:szCs w:val="20"/>
          <w:color w:val="auto"/>
        </w:rPr>
      </w:pPr>
      <w:r>
        <w:rPr>
          <w:rFonts w:ascii="Arial" w:cs="Arial" w:eastAsia="Arial" w:hAnsi="Arial"/>
          <w:sz w:val="18"/>
          <w:szCs w:val="18"/>
          <w:color w:val="auto"/>
        </w:rPr>
        <w:t>On March 27, 2020, the U.S. government enacted the Coronavirus Aid, Relief, and Economic Security Act (“CARES Act”) to provide certain relief as a result of the COVID-19 outbreak. Some of the key income tax-related provisions of the CARES Act include modification in the usage of net operating losses, interest deductions and payroll benefits. Furthermore, other governments have offered and may continue to offer support to companies who operate in those countries.</w:t>
      </w:r>
    </w:p>
    <w:p>
      <w:pPr>
        <w:spacing w:after="0" w:line="79" w:lineRule="exact"/>
        <w:rPr>
          <w:sz w:val="20"/>
          <w:szCs w:val="20"/>
          <w:color w:val="auto"/>
        </w:rPr>
      </w:pPr>
    </w:p>
    <w:p>
      <w:pPr>
        <w:ind w:left="560" w:right="380" w:firstLine="423"/>
        <w:spacing w:after="0" w:line="277" w:lineRule="auto"/>
        <w:rPr>
          <w:sz w:val="20"/>
          <w:szCs w:val="20"/>
          <w:color w:val="auto"/>
        </w:rPr>
      </w:pPr>
      <w:r>
        <w:rPr>
          <w:rFonts w:ascii="Arial" w:cs="Arial" w:eastAsia="Arial" w:hAnsi="Arial"/>
          <w:sz w:val="18"/>
          <w:szCs w:val="18"/>
          <w:color w:val="auto"/>
        </w:rPr>
        <w:t>Foreign taxes in fiscal year 2020 also included a tax benefit of $4,964 resulting from tax enactments related to the COVID-19 in certain jurisdictions.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As of September 30, 2022 and 2021, the Company indefinitely reinvest certain undistributed earnings of its foreign subsidiary and as a result has not recorded deferred tax liabilities in amounts of $59,000 and $28,795 respectively.</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During fiscal year 2022, the net decrease in valuation allowances was $8,682. The valuation allowances, related to the uncertainty of realizing tax benefits primarily for tax credits, net capital and operating loss carryforwards related to certain of the Company’s subsidiaries. As of September 30, 2022, the Company had tax credits, net capital and operating loss carryforwards of $516,270 of which $104,079 have expiration dates through 2042, and the remainder do not expire.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20"/>
          </w:cols>
          <w:pgMar w:left="320" w:top="486" w:right="45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During fiscal year 2021, the net decrease in valuation allowances was $3,905. The valuation allowances, related to the uncertainty of realizing tax benefits primarily for tax credits, net capital and operating loss carryforwards related to certain of the Company’s subsidiaries. As of September 30, 2022, the Company had tax credits, net capital and operating loss carryforwards of $756,414 of which $170,430 have expiration dates through 2041, and the remainder do not expire.</w:t>
      </w:r>
    </w:p>
    <w:p>
      <w:pPr>
        <w:spacing w:after="0" w:line="200" w:lineRule="exact"/>
        <w:rPr>
          <w:sz w:val="20"/>
          <w:szCs w:val="20"/>
          <w:color w:val="auto"/>
        </w:rPr>
      </w:pPr>
    </w:p>
    <w:p>
      <w:pPr>
        <w:spacing w:after="0" w:line="23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changes in the balance of the Company’s gross unrecognized tax benefits were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$195,196</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$168,186</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$169,322</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22,386</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25,662</w:t>
            </w:r>
          </w:p>
        </w:tc>
        <w:tc>
          <w:tcPr>
            <w:tcW w:w="5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23,154</w:t>
            </w:r>
          </w:p>
        </w:tc>
        <w:tc>
          <w:tcPr>
            <w:tcW w:w="12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8,359</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23,849</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23,292</w:t>
            </w:r>
          </w:p>
        </w:tc>
        <w:tc>
          <w:tcPr>
            <w:tcW w:w="12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(7,262)</w:t>
            </w:r>
          </w:p>
        </w:tc>
        <w:tc>
          <w:tcPr>
            <w:tcW w:w="1700" w:type="dxa"/>
            <w:vAlign w:val="bottom"/>
            <w:gridSpan w:val="3"/>
          </w:tcPr>
          <w:p>
            <w:pPr>
              <w:jc w:val="right"/>
              <w:ind w:right="460"/>
              <w:spacing w:after="0"/>
              <w:rPr>
                <w:sz w:val="20"/>
                <w:szCs w:val="20"/>
                <w:color w:val="auto"/>
              </w:rPr>
            </w:pPr>
            <w:r>
              <w:rPr>
                <w:rFonts w:ascii="Arial" w:cs="Arial" w:eastAsia="Arial" w:hAnsi="Arial"/>
                <w:sz w:val="18"/>
                <w:szCs w:val="18"/>
                <w:color w:val="auto"/>
              </w:rPr>
              <w:t>(7,467)</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(15,214)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 authorities(1)</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(1,344)</w:t>
            </w:r>
          </w:p>
        </w:tc>
        <w:tc>
          <w:tcPr>
            <w:tcW w:w="1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(10,245)</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(29,400)</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(4,304)</w:t>
            </w:r>
          </w:p>
        </w:tc>
        <w:tc>
          <w:tcPr>
            <w:tcW w:w="1700" w:type="dxa"/>
            <w:vAlign w:val="bottom"/>
            <w:gridSpan w:val="3"/>
          </w:tcPr>
          <w:p>
            <w:pPr>
              <w:jc w:val="right"/>
              <w:ind w:right="460"/>
              <w:spacing w:after="0"/>
              <w:rPr>
                <w:sz w:val="20"/>
                <w:szCs w:val="20"/>
                <w:color w:val="auto"/>
              </w:rPr>
            </w:pPr>
            <w:r>
              <w:rPr>
                <w:rFonts w:ascii="Arial" w:cs="Arial" w:eastAsia="Arial" w:hAnsi="Arial"/>
                <w:sz w:val="18"/>
                <w:szCs w:val="18"/>
                <w:color w:val="auto"/>
              </w:rPr>
              <w:t>(4,789)</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(2,968)</w:t>
            </w: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fiscal year</w:t>
            </w:r>
          </w:p>
        </w:tc>
        <w:tc>
          <w:tcPr>
            <w:tcW w:w="8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213,031</w:t>
            </w: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195,196</w:t>
            </w: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168,186</w:t>
            </w:r>
          </w:p>
        </w:tc>
        <w:tc>
          <w:tcPr>
            <w:tcW w:w="120" w:type="dxa"/>
            <w:vAlign w:val="bottom"/>
            <w:tcBorders>
              <w:top w:val="single" w:sz="8" w:color="CCEEFF"/>
            </w:tcBorders>
            <w:shd w:val="clear" w:color="auto" w:fill="CCEEFF"/>
          </w:tcPr>
          <w:p>
            <w:pPr>
              <w:spacing w:after="0"/>
              <w:rPr>
                <w:sz w:val="18"/>
                <w:szCs w:val="18"/>
                <w:color w:val="auto"/>
              </w:rPr>
            </w:pPr>
          </w:p>
        </w:tc>
      </w:tr>
      <w:tr>
        <w:trPr>
          <w:trHeight w:val="20"/>
        </w:trPr>
        <w:tc>
          <w:tcPr>
            <w:tcW w:w="5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540" w:hanging="424"/>
        <w:spacing w:after="0" w:line="27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changes in the years ended September 30, 2021 and 2020 were $10,245 and $29,400 respectively, the majority of which were offset by income tax payments or changes in Tax receivables, Tax payables and deferred tax assets.</w:t>
      </w:r>
    </w:p>
    <w:p>
      <w:pPr>
        <w:spacing w:after="0" w:line="170"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total amount of unrecognized tax benefits, which includes interest and penalties, was $213,031 as of September 30, 2022, and $195,196 as of September 30, 2021, all of which would affect the effective tax rate if realized.</w:t>
      </w:r>
    </w:p>
    <w:p>
      <w:pPr>
        <w:spacing w:after="0" w:line="17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Company recognizes interest and penalties related to unrecognized tax benefits in the provision for income taxes. As of September 30, 2022, the Company had accrued $35,471 in income taxes payable for interest and penalties relating to unrecognized tax benefits, of which $10,460 was recognized in the statements of income in fiscal year 2022, net of interest and penalty reversals. As of September 30, 2021, the Company had accrued $25,011 in income taxes payable for interest and penalties relating to unrecognized tax benefits. Total amount of interest and penalty releases, net that was recognized in the statements of income in fiscal year 2021 was $9,199.</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Company is currently under tax audit in several jurisdictions for the tax years 2007 and onwards. Timing of the resolution of audits is highly uncertain and therefore, as of September 30, 2022, the Company cannot estimate the change in unrecognized tax benefits resulting from these audits within the next 12 months.</w:t>
      </w:r>
    </w:p>
    <w:p>
      <w:pPr>
        <w:spacing w:after="0" w:line="21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It is reasonably possible that the amount of unrecognized tax benefits may decrease by up to $2,636 during fiscal year 2023 as a result of lapse of statutes of limitations in jurisdictions in which the Company operates.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Repurchase of Shares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the Company’s Board of Directors can adopt share repurchase plans authorizing the repurchase of the Company’s outstanding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ordinary shares. On May 12, 2021, the Company’s Board of Directors adopted a share repurchase plan for the repurchase of up to an additional</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$1,000,000 of the Company’s outstanding ordinary shares with no expiration date. The May 2021 plan permits the Company to purchase our ordinary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in the open market or through privately negotiated transactions at times and prices that the Company considers appropriate. In the year ended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September 30, 2022, the Company repurchased 6,479 ordinary shares at an average price of $78.47 per share (excluding broker and transaction fees). 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September 30, 2022, the Company had remaining authority to repurchase up to $490,109 of its outstanding ordinary shares under the May 2021 plan.</w:t>
      </w:r>
    </w:p>
    <w:p>
      <w:pPr>
        <w:spacing w:after="0" w:line="15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20"/>
          </w:cols>
          <w:pgMar w:left="320" w:top="486" w:right="45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 Financing Arrangements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December 2011, the Company entered into the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In March 2020, the Company drew an aggregate of $300,000 under the Revolving Credit Facility and repaid it in full in June 2020 in connection with the issuance of our Senior Notes. As of September 30, 2022, the Company was in compliance with the financial covenants and had no outstanding borrowings under the Revolving Credit Facility.</w:t>
      </w:r>
    </w:p>
    <w:p>
      <w:pPr>
        <w:spacing w:after="0" w:line="192"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 addition, unassociated with the Revolving Credit Facility discussed above, in the second quarter of fiscal year 2020, the Company entered into a $50,000 short-term loan and repaid it in full in June 2020 in connection with the issuance of our Senior Notes. In May 2020, the Company entered into an additional $100,000 one year loan which was repaid in full in May 2021.</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total interest expense recognized in connection with the Senior Notes for the year ended September 30, 2022 was $17,052. The accrued interest on the Senior Notes is included in accrued expenses and other current liabilities and was $4,805 as of September 30, 2022. As of September 30, 2022, the noncurrent outstanding principal portion was $650,000.</w:t>
      </w:r>
    </w:p>
    <w:p>
      <w:pPr>
        <w:spacing w:after="0" w:line="184"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The total estimated fair value of the Senior Notes as of September 30, 2022 was $516,620. The fair value was determined based on the closing trading price of Senior Notes as of September 30, 2022 and is deemed a Level 2 liability within the fair value measurement framework.</w:t>
      </w:r>
    </w:p>
    <w:p>
      <w:pPr>
        <w:spacing w:after="0" w:line="146"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As of September 30, 2022, the Company had additional uncommitted lines of credit available for general corporate and other specific purposes and had outstanding letters of credit and bank guarantees from various banks totaling $77,924. These were supported by a combination of the uncommitted lines of credit that the Company maintains with various banks.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 Accrued Expenses and Other Current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8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2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$208,230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$ 206,905</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88,174</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125,612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34,204</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34,717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Dividends payable(1)</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47,735</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44,956</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instruments(2)</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44,522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3,281</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189,791</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196,832</w:t>
            </w:r>
          </w:p>
        </w:tc>
      </w:tr>
      <w:tr>
        <w:trPr>
          <w:trHeight w:val="27"/>
        </w:trPr>
        <w:tc>
          <w:tcPr>
            <w:tcW w:w="4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18"/>
                <w:szCs w:val="18"/>
                <w:color w:val="auto"/>
              </w:rPr>
            </w:pP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612,656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$ 612,303</w:t>
            </w:r>
          </w:p>
        </w:tc>
      </w:tr>
      <w:tr>
        <w:trPr>
          <w:trHeight w:val="20"/>
        </w:trPr>
        <w:tc>
          <w:tcPr>
            <w:tcW w:w="4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520" w:hanging="424"/>
        <w:spacing w:after="0" w:line="277" w:lineRule="auto"/>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amounts payable as a result of the August 3, 2022 and the August 4, 2021 dividend declarations, please see Note 19 to the consolidated financial statements.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20"/>
          </w:cols>
          <w:pgMar w:left="320" w:top="486" w:right="45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77" w:lineRule="auto"/>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Includes derivatives that are designated as hedging instruments and derivatives that are not designated as hedging instruments, please see Note 7 to the consolidated financial statements.</w:t>
      </w:r>
    </w:p>
    <w:p>
      <w:pPr>
        <w:spacing w:after="0" w:line="3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 Interest and other expense,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and other expense, net, consists of the following:</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800" w:type="dxa"/>
            <w:vAlign w:val="bottom"/>
            <w:gridSpan w:val="7"/>
          </w:tcPr>
          <w:p>
            <w:pPr>
              <w:ind w:left="52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41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0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2022</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(7,821)</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(4,822)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(4,233)</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Interest expense(1)</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16,911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21,275</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10,427</w:t>
            </w:r>
          </w:p>
        </w:tc>
        <w:tc>
          <w:tcPr>
            <w:tcW w:w="12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loss(2)</w:t>
            </w: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16,720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2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net</w:t>
            </w:r>
          </w:p>
        </w:tc>
        <w:tc>
          <w:tcPr>
            <w:tcW w:w="2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581</w:t>
            </w:r>
          </w:p>
        </w:tc>
        <w:tc>
          <w:tcPr>
            <w:tcW w:w="4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(6,766)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8"/>
                <w:szCs w:val="18"/>
                <w:color w:val="auto"/>
              </w:rPr>
            </w:pPr>
          </w:p>
        </w:tc>
      </w:tr>
      <w:tr>
        <w:trPr>
          <w:trHeight w:val="27"/>
        </w:trPr>
        <w:tc>
          <w:tcPr>
            <w:tcW w:w="41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14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10,797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11,436</w:t>
            </w:r>
          </w:p>
        </w:tc>
        <w:tc>
          <w:tcPr>
            <w:tcW w:w="120" w:type="dxa"/>
            <w:vAlign w:val="bottom"/>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For further details, please see Note 12 to the consolidated financial statements.</w:t>
      </w:r>
    </w:p>
    <w:p>
      <w:pPr>
        <w:spacing w:after="0" w:line="23" w:lineRule="exact"/>
        <w:rPr>
          <w:rFonts w:ascii="Arial" w:cs="Arial" w:eastAsia="Arial" w:hAnsi="Arial"/>
          <w:sz w:val="18"/>
          <w:szCs w:val="18"/>
          <w:color w:val="auto"/>
        </w:rPr>
      </w:pPr>
    </w:p>
    <w:p>
      <w:pPr>
        <w:jc w:val="both"/>
        <w:ind w:left="540" w:right="580" w:hanging="424"/>
        <w:spacing w:after="0" w:line="255"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Foreign exchange loss increase in fiscal year 2022 is primarily attributable to volatility of certain currencies’ exchange rates for which hedging the exposure through derivatives financial instruments was not cost effective as well as to the cost of executing our hedging policy through derivatives financial instruments.</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 Leases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discussed in Note 2, the operating lease expense is recorded on a straight-line basis over the lease term.</w:t>
      </w:r>
    </w:p>
    <w:p>
      <w:pPr>
        <w:spacing w:after="0" w:line="2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Lease costs were as follows</w:t>
      </w:r>
      <w:r>
        <w:rPr>
          <w:rFonts w:ascii="Arial" w:cs="Arial" w:eastAsia="Arial" w:hAnsi="Arial"/>
          <w:sz w:val="18"/>
          <w:szCs w:val="18"/>
          <w:b w:val="1"/>
          <w:bCs w:val="1"/>
          <w:color w:val="auto"/>
        </w:rPr>
        <w:t>:</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Year Ended September 30,</w:t>
            </w: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r>
      <w:tr>
        <w:trPr>
          <w:trHeight w:val="169"/>
        </w:trPr>
        <w:tc>
          <w:tcPr>
            <w:tcW w:w="4620" w:type="dxa"/>
            <w:vAlign w:val="bottom"/>
            <w:shd w:val="clear" w:color="auto" w:fill="CCEEFF"/>
          </w:tcPr>
          <w:p>
            <w:pPr>
              <w:spacing w:after="0" w:line="169" w:lineRule="exact"/>
              <w:rPr>
                <w:sz w:val="20"/>
                <w:szCs w:val="20"/>
                <w:color w:val="auto"/>
              </w:rPr>
            </w:pPr>
            <w:r>
              <w:rPr>
                <w:rFonts w:ascii="Arial" w:cs="Arial" w:eastAsia="Arial" w:hAnsi="Arial"/>
                <w:sz w:val="18"/>
                <w:szCs w:val="18"/>
                <w:color w:val="auto"/>
              </w:rPr>
              <w:t>Total net lease cost(1)</w:t>
            </w:r>
          </w:p>
        </w:tc>
        <w:tc>
          <w:tcPr>
            <w:tcW w:w="86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w w:val="98"/>
              </w:rPr>
              <w:t>$  107,883</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97,169</w:t>
            </w: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27"/>
              <w:spacing w:after="0" w:line="169" w:lineRule="exact"/>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69" w:lineRule="exact"/>
              <w:rPr>
                <w:sz w:val="20"/>
                <w:szCs w:val="20"/>
                <w:color w:val="auto"/>
              </w:rPr>
            </w:pPr>
            <w:r>
              <w:rPr>
                <w:rFonts w:ascii="Arial" w:cs="Arial" w:eastAsia="Arial" w:hAnsi="Arial"/>
                <w:sz w:val="18"/>
                <w:szCs w:val="18"/>
                <w:color w:val="auto"/>
              </w:rPr>
              <w:t>91,025</w:t>
            </w:r>
          </w:p>
        </w:tc>
        <w:tc>
          <w:tcPr>
            <w:tcW w:w="40" w:type="dxa"/>
            <w:vAlign w:val="bottom"/>
            <w:shd w:val="clear" w:color="auto" w:fill="CCEEF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240030</wp:posOffset>
            </wp:positionV>
            <wp:extent cx="77152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98"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Variable lease cost is immaterial.</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Supplemental information related to operating lease transactions was as follows:</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5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Year Ended September 30,</w:t>
            </w:r>
          </w:p>
        </w:tc>
      </w:tr>
      <w:tr>
        <w:trPr>
          <w:trHeight w:val="142"/>
        </w:trPr>
        <w:tc>
          <w:tcPr>
            <w:tcW w:w="58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2"/>
                <w:szCs w:val="12"/>
                <w:color w:val="auto"/>
              </w:rPr>
            </w:pPr>
          </w:p>
        </w:tc>
      </w:tr>
      <w:tr>
        <w:trPr>
          <w:trHeight w:val="210"/>
        </w:trPr>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 liability payments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79,495</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79,028</w:t>
            </w:r>
          </w:p>
        </w:tc>
        <w:tc>
          <w:tcPr>
            <w:tcW w:w="40" w:type="dxa"/>
            <w:vAlign w:val="bottom"/>
            <w:shd w:val="clear" w:color="auto" w:fill="CCEEFF"/>
          </w:tcPr>
          <w:p>
            <w:pPr>
              <w:spacing w:after="0"/>
              <w:rPr>
                <w:sz w:val="18"/>
                <w:szCs w:val="18"/>
                <w:color w:val="auto"/>
              </w:rPr>
            </w:pP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Lease assets obtained in exchange for liabilities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tcPr>
          <w:p>
            <w:pPr>
              <w:jc w:val="right"/>
              <w:ind w:right="760"/>
              <w:spacing w:after="0"/>
              <w:rPr>
                <w:sz w:val="20"/>
                <w:szCs w:val="20"/>
                <w:color w:val="auto"/>
              </w:rPr>
            </w:pPr>
            <w:r>
              <w:rPr>
                <w:rFonts w:ascii="Arial" w:cs="Arial" w:eastAsia="Arial" w:hAnsi="Arial"/>
                <w:sz w:val="18"/>
                <w:szCs w:val="18"/>
                <w:color w:val="auto"/>
              </w:rPr>
              <w:t>15,115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14,580</w:t>
            </w:r>
          </w:p>
        </w:tc>
      </w:tr>
      <w:tr>
        <w:trPr>
          <w:trHeight w:val="377"/>
        </w:trPr>
        <w:tc>
          <w:tcPr>
            <w:tcW w:w="58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right="160"/>
              <w:spacing w:after="0"/>
              <w:rPr>
                <w:sz w:val="20"/>
                <w:szCs w:val="20"/>
                <w:color w:val="auto"/>
              </w:rPr>
            </w:pPr>
            <w:r>
              <w:rPr>
                <w:rFonts w:ascii="Arial" w:cs="Arial" w:eastAsia="Arial" w:hAnsi="Arial"/>
                <w:sz w:val="14"/>
                <w:szCs w:val="14"/>
                <w:b w:val="1"/>
                <w:bCs w:val="1"/>
                <w:color w:val="auto"/>
                <w:w w:val="90"/>
              </w:rPr>
              <w:t>As of September 30,</w:t>
            </w:r>
          </w:p>
        </w:tc>
      </w:tr>
      <w:tr>
        <w:trPr>
          <w:trHeight w:val="142"/>
        </w:trPr>
        <w:tc>
          <w:tcPr>
            <w:tcW w:w="582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0"/>
              <w:spacing w:after="0" w:line="142"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4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auto"/>
            </w:tcBorders>
          </w:tcPr>
          <w:p>
            <w:pPr>
              <w:spacing w:after="0"/>
              <w:rPr>
                <w:sz w:val="12"/>
                <w:szCs w:val="12"/>
                <w:color w:val="auto"/>
              </w:rPr>
            </w:pPr>
          </w:p>
        </w:tc>
      </w:tr>
      <w:tr>
        <w:trPr>
          <w:trHeight w:val="210"/>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 — Operating leases</w:t>
            </w:r>
          </w:p>
        </w:tc>
        <w:tc>
          <w:tcPr>
            <w:tcW w:w="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5.9 Years</w:t>
            </w:r>
          </w:p>
        </w:tc>
        <w:tc>
          <w:tcPr>
            <w:tcW w:w="9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6.4 Years</w:t>
            </w:r>
          </w:p>
        </w:tc>
      </w:tr>
      <w:tr>
        <w:trPr>
          <w:trHeight w:val="230"/>
        </w:trPr>
        <w:tc>
          <w:tcPr>
            <w:tcW w:w="5840" w:type="dxa"/>
            <w:vAlign w:val="bottom"/>
            <w:gridSpan w:val="2"/>
          </w:tcPr>
          <w:p>
            <w:pPr>
              <w:spacing w:after="0"/>
              <w:rPr>
                <w:sz w:val="20"/>
                <w:szCs w:val="20"/>
                <w:color w:val="auto"/>
              </w:rPr>
            </w:pPr>
            <w:r>
              <w:rPr>
                <w:rFonts w:ascii="Arial" w:cs="Arial" w:eastAsia="Arial" w:hAnsi="Arial"/>
                <w:sz w:val="18"/>
                <w:szCs w:val="18"/>
                <w:color w:val="auto"/>
              </w:rPr>
              <w:t>Weighted average discount rate — Operating leases</w:t>
            </w:r>
          </w:p>
        </w:tc>
        <w:tc>
          <w:tcPr>
            <w:tcW w:w="140" w:type="dxa"/>
            <w:vAlign w:val="bottom"/>
          </w:tcPr>
          <w:p>
            <w:pPr>
              <w:spacing w:after="0"/>
              <w:rPr>
                <w:sz w:val="20"/>
                <w:szCs w:val="20"/>
                <w:color w:val="auto"/>
              </w:rPr>
            </w:pPr>
          </w:p>
        </w:tc>
        <w:tc>
          <w:tcPr>
            <w:tcW w:w="560" w:type="dxa"/>
            <w:vAlign w:val="bottom"/>
          </w:tcPr>
          <w:p>
            <w:pPr>
              <w:jc w:val="right"/>
              <w:ind w:right="60"/>
              <w:spacing w:after="0"/>
              <w:rPr>
                <w:sz w:val="20"/>
                <w:szCs w:val="20"/>
                <w:color w:val="auto"/>
              </w:rPr>
            </w:pPr>
            <w:r>
              <w:rPr>
                <w:rFonts w:ascii="Arial" w:cs="Arial" w:eastAsia="Arial" w:hAnsi="Arial"/>
                <w:sz w:val="18"/>
                <w:szCs w:val="18"/>
                <w:color w:val="auto"/>
                <w:w w:val="97"/>
              </w:rPr>
              <w:t>3.5%</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ind w:right="76"/>
              <w:spacing w:after="0"/>
              <w:rPr>
                <w:sz w:val="20"/>
                <w:szCs w:val="20"/>
                <w:color w:val="auto"/>
              </w:rPr>
            </w:pPr>
            <w:r>
              <w:rPr>
                <w:rFonts w:ascii="Arial" w:cs="Arial" w:eastAsia="Arial" w:hAnsi="Arial"/>
                <w:sz w:val="18"/>
                <w:szCs w:val="18"/>
                <w:color w:val="auto"/>
              </w:rPr>
              <w:t>3.7%</w:t>
            </w:r>
          </w:p>
        </w:tc>
        <w:tc>
          <w:tcPr>
            <w:tcW w:w="40" w:type="dxa"/>
            <w:vAlign w:val="bottom"/>
          </w:tcPr>
          <w:p>
            <w:pPr>
              <w:spacing w:after="0"/>
              <w:rPr>
                <w:sz w:val="20"/>
                <w:szCs w:val="20"/>
                <w:color w:val="auto"/>
              </w:rPr>
            </w:pPr>
          </w:p>
        </w:tc>
      </w:tr>
      <w:tr>
        <w:trPr>
          <w:trHeight w:val="350"/>
        </w:trPr>
        <w:tc>
          <w:tcPr>
            <w:tcW w:w="5840" w:type="dxa"/>
            <w:vAlign w:val="bottom"/>
            <w:gridSpan w:val="2"/>
          </w:tcPr>
          <w:p>
            <w:pPr>
              <w:ind w:left="4020"/>
              <w:spacing w:after="0"/>
              <w:rPr>
                <w:sz w:val="20"/>
                <w:szCs w:val="20"/>
                <w:color w:val="auto"/>
              </w:rPr>
            </w:pPr>
            <w:r>
              <w:rPr>
                <w:rFonts w:ascii="Arial" w:cs="Arial" w:eastAsia="Arial" w:hAnsi="Arial"/>
                <w:sz w:val="18"/>
                <w:szCs w:val="18"/>
                <w:color w:val="auto"/>
              </w:rPr>
              <w:t>F-35</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maturity analysis presents future undiscounted cash outflows for operating leases as of September 30, 2022:</w:t>
      </w:r>
    </w:p>
    <w:p>
      <w:pPr>
        <w:spacing w:after="0" w:line="21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For the year ended September 30,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2023</w:t>
            </w:r>
          </w:p>
        </w:tc>
        <w:tc>
          <w:tcPr>
            <w:tcW w:w="4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49,433</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2024</w:t>
            </w: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37,062</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4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30,863</w:t>
            </w:r>
          </w:p>
        </w:tc>
      </w:tr>
      <w:tr>
        <w:trPr>
          <w:trHeight w:val="216"/>
        </w:trPr>
        <w:tc>
          <w:tcPr>
            <w:tcW w:w="2080" w:type="dxa"/>
            <w:vAlign w:val="bottom"/>
          </w:tcPr>
          <w:p>
            <w:pPr>
              <w:spacing w:after="0"/>
              <w:rPr>
                <w:sz w:val="20"/>
                <w:szCs w:val="20"/>
                <w:color w:val="auto"/>
              </w:rPr>
            </w:pPr>
            <w:r>
              <w:rPr>
                <w:rFonts w:ascii="Arial" w:cs="Arial" w:eastAsia="Arial" w:hAnsi="Arial"/>
                <w:sz w:val="18"/>
                <w:szCs w:val="18"/>
                <w:color w:val="auto"/>
              </w:rPr>
              <w:t>2026</w:t>
            </w:r>
          </w:p>
        </w:tc>
        <w:tc>
          <w:tcPr>
            <w:tcW w:w="4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24,909</w:t>
            </w:r>
          </w:p>
        </w:tc>
      </w:tr>
      <w:tr>
        <w:trPr>
          <w:trHeight w:val="216"/>
        </w:trPr>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4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17,872</w:t>
            </w: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47,403</w:t>
            </w:r>
          </w:p>
        </w:tc>
      </w:tr>
      <w:tr>
        <w:trPr>
          <w:trHeight w:val="210"/>
        </w:trPr>
        <w:tc>
          <w:tcPr>
            <w:tcW w:w="61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207,542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618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(25,828)</w:t>
            </w:r>
          </w:p>
        </w:tc>
      </w:tr>
      <w:tr>
        <w:trPr>
          <w:trHeight w:val="210"/>
        </w:trPr>
        <w:tc>
          <w:tcPr>
            <w:tcW w:w="61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5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181,714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08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2022 and September 30, 2021, the Company had no material finance leases.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—Contingencies and Commitments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Company is involved in various legal claims and proceedings arising in the normal course of its business. The Company accrues for a loss contingency when it determines that it is probable,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While the Company has achieved positive results in many of the procedures, a number of the procedures are still ongoing. The Company is unable to reasonably estimate the ultimate outcome of the above dispute.</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Guarantor’s Accounting and Disclosure Requirements for Guarantees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the ordinary course of its business, the Company provides certain customers with financial performance guarantees which, in certain cases, are backed by lines of credit. The Company is only liable for the amounts of those guarantees in the event of the Company’s nonperformance, which would permit the customer to exercise the guarantee.</w:t>
      </w:r>
    </w:p>
    <w:p>
      <w:pPr>
        <w:spacing w:after="0" w:line="184"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The Company generally offers its products with a limited warranty. The Company’s policy is to accrue for warranty costs, if needed, based on historical trends in product failure. Based on the Company’s experience, only minimal warranty charges have been incurred after revenue was fully recognized and, as a result, the Company did not accrue any amounts for product warranty liability during fiscal years 2022, 2021 and 2020.</w:t>
      </w:r>
    </w:p>
    <w:p>
      <w:pPr>
        <w:spacing w:after="0" w:line="14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generally indemnifies its customers against claims made by third parties arising from the use of the Company’s software and certain other matters. To date, the Company has incurred and recorded immaterial costs as a result of such obligations in its consolidated financial statements.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 Employee Benefits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Company accrues severance pay mainly for the employees of its Israeli operations in accordance with Israeli law and certain employment procedures on the basis of the latest monthly salary paid to these employees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86" w:right="45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and the length of time that they have worked for the Israeli operations. The severance pay liability amounted to $298,099 and $298,044 as of September 30, 2022 and 2021, respectively, and is included as accrued employee costs in other noncurrent liabilities. This liability is partially funded by amounts on deposit with insurance companies that totaled $217,591 and $233,749 as of September 30, 2022 and 2021, respectively, and are included in other noncurrent assets. The accrued severance expenses were $52,768, $35,015 and $33,354 for fiscal years 2022, 2021 and 2020, respectively.</w:t>
      </w:r>
    </w:p>
    <w:p>
      <w:pPr>
        <w:spacing w:after="0" w:line="157"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The Company sponsors defined contribution plans covering certain employees around the world. The plans primarily provide for Company matching contributions based upon a percentage of the employees’ contributions. The Company’s contributions in fiscal years 2022, 2021 and 2020 under such plans were not material compared to total operating expenses.</w:t>
      </w:r>
    </w:p>
    <w:p>
      <w:pPr>
        <w:spacing w:after="0" w:line="18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maintains non-contributory defined benefit plans that provide for pension, other retirement and post-employment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fair value of the employee benefit plans’ assets is based on market values. The plan assets are valued at market value for the purpose of calculating the expected return on plan assets and the amortization of experienced gains and losses. The Company recognized the funded status of such plans in the consolidated balance sheets. The pension and other benefits costs related to the non-contributory defined benefit plans were immaterial in fiscal years 2022, 2021 and 2020.</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 Stock Option and Incentive Plan</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restricted stock units and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performance-based conditions and stock options have a term of ten years. Also, in accordance with the Equity Incentive Plan, options were issued at or above the market price at the time of the grant.</w:t>
      </w:r>
    </w:p>
    <w:p>
      <w:pPr>
        <w:spacing w:after="0" w:line="173" w:lineRule="exact"/>
        <w:rPr>
          <w:sz w:val="20"/>
          <w:szCs w:val="20"/>
          <w:color w:val="auto"/>
        </w:rPr>
      </w:pPr>
    </w:p>
    <w:p>
      <w:pPr>
        <w:ind w:left="120" w:right="160" w:firstLine="440"/>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fiscal year ended September 30, 2022:</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2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1"/>
              </w:rPr>
              <w:t>Number of</w:t>
            </w:r>
          </w:p>
        </w:tc>
        <w:tc>
          <w:tcPr>
            <w:tcW w:w="48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5500" w:type="dxa"/>
            <w:vAlign w:val="bottom"/>
          </w:tcPr>
          <w:p>
            <w:pPr>
              <w:spacing w:after="0"/>
              <w:rPr>
                <w:sz w:val="12"/>
                <w:szCs w:val="12"/>
                <w:color w:val="auto"/>
              </w:rPr>
            </w:pPr>
          </w:p>
        </w:tc>
        <w:tc>
          <w:tcPr>
            <w:tcW w:w="122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rPr>
              <w:t>Share</w:t>
            </w:r>
          </w:p>
        </w:tc>
        <w:tc>
          <w:tcPr>
            <w:tcW w:w="48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Options</w:t>
            </w:r>
          </w:p>
        </w:tc>
        <w:tc>
          <w:tcPr>
            <w:tcW w:w="560" w:type="dxa"/>
            <w:vAlign w:val="bottom"/>
            <w:gridSpan w:val="2"/>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1"/>
              </w:rPr>
              <w:t>Exercise Price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2021</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3,988</w:t>
            </w: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Granted</w:t>
            </w:r>
          </w:p>
        </w:tc>
        <w:tc>
          <w:tcPr>
            <w:tcW w:w="122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(1,431)</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57.93</w:t>
            </w:r>
          </w:p>
        </w:tc>
        <w:tc>
          <w:tcPr>
            <w:tcW w:w="0" w:type="dxa"/>
            <w:vAlign w:val="bottom"/>
          </w:tcPr>
          <w:p>
            <w:pPr>
              <w:spacing w:after="0"/>
              <w:rPr>
                <w:sz w:val="1"/>
                <w:szCs w:val="1"/>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Forfeited</w:t>
            </w:r>
          </w:p>
        </w:tc>
        <w:tc>
          <w:tcPr>
            <w:tcW w:w="1220" w:type="dxa"/>
            <w:vAlign w:val="bottom"/>
            <w:gridSpan w:val="3"/>
          </w:tcPr>
          <w:p>
            <w:pPr>
              <w:jc w:val="right"/>
              <w:ind w:right="500"/>
              <w:spacing w:after="0"/>
              <w:rPr>
                <w:sz w:val="20"/>
                <w:szCs w:val="20"/>
                <w:color w:val="auto"/>
              </w:rPr>
            </w:pPr>
            <w:r>
              <w:rPr>
                <w:rFonts w:ascii="Arial" w:cs="Arial" w:eastAsia="Arial" w:hAnsi="Arial"/>
                <w:sz w:val="18"/>
                <w:szCs w:val="18"/>
                <w:color w:val="auto"/>
              </w:rPr>
              <w:t>(116)</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64.15</w:t>
            </w:r>
          </w:p>
        </w:tc>
        <w:tc>
          <w:tcPr>
            <w:tcW w:w="0" w:type="dxa"/>
            <w:vAlign w:val="bottom"/>
          </w:tcPr>
          <w:p>
            <w:pPr>
              <w:spacing w:after="0"/>
              <w:rPr>
                <w:sz w:val="1"/>
                <w:szCs w:val="1"/>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2022(1)</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62.66</w:t>
            </w:r>
          </w:p>
        </w:tc>
        <w:tc>
          <w:tcPr>
            <w:tcW w:w="0" w:type="dxa"/>
            <w:vAlign w:val="bottom"/>
          </w:tcPr>
          <w:p>
            <w:pPr>
              <w:spacing w:after="0"/>
              <w:rPr>
                <w:sz w:val="1"/>
                <w:szCs w:val="1"/>
                <w:color w:val="auto"/>
              </w:rPr>
            </w:pPr>
          </w:p>
        </w:tc>
      </w:tr>
      <w:tr>
        <w:trPr>
          <w:trHeight w:val="20"/>
        </w:trPr>
        <w:tc>
          <w:tcPr>
            <w:tcW w:w="5500" w:type="dxa"/>
            <w:vAlign w:val="bottom"/>
            <w:vMerge w:val="restart"/>
          </w:tcPr>
          <w:p>
            <w:pPr>
              <w:spacing w:after="0"/>
              <w:rPr>
                <w:sz w:val="20"/>
                <w:szCs w:val="20"/>
                <w:color w:val="auto"/>
              </w:rPr>
            </w:pPr>
            <w:r>
              <w:rPr>
                <w:rFonts w:ascii="Arial" w:cs="Arial" w:eastAsia="Arial" w:hAnsi="Arial"/>
                <w:sz w:val="18"/>
                <w:szCs w:val="18"/>
                <w:color w:val="auto"/>
              </w:rPr>
              <w:t>Exercisable as of September 30, 2022(1)</w:t>
            </w:r>
          </w:p>
        </w:tc>
        <w:tc>
          <w:tcPr>
            <w:tcW w:w="68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gridSpan w:val="2"/>
            <w:vMerge w:val="restart"/>
          </w:tcPr>
          <w:p>
            <w:pPr>
              <w:ind w:left="48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61.17</w:t>
            </w:r>
          </w:p>
        </w:tc>
        <w:tc>
          <w:tcPr>
            <w:tcW w:w="0" w:type="dxa"/>
            <w:vAlign w:val="bottom"/>
          </w:tcPr>
          <w:p>
            <w:pPr>
              <w:spacing w:after="0" w:line="20" w:lineRule="exact"/>
              <w:rPr>
                <w:sz w:val="1"/>
                <w:szCs w:val="1"/>
                <w:color w:val="auto"/>
              </w:rPr>
            </w:pPr>
          </w:p>
        </w:tc>
      </w:tr>
      <w:tr>
        <w:trPr>
          <w:trHeight w:val="210"/>
        </w:trPr>
        <w:tc>
          <w:tcPr>
            <w:tcW w:w="5500" w:type="dxa"/>
            <w:vAlign w:val="bottom"/>
            <w:vMerge w:val="continue"/>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20" w:type="dxa"/>
            <w:vAlign w:val="bottom"/>
            <w:tcBorders>
              <w:bottom w:val="single" w:sz="8" w:color="auto"/>
            </w:tcBorders>
          </w:tcPr>
          <w:p>
            <w:pPr>
              <w:spacing w:after="0"/>
              <w:rPr>
                <w:sz w:val="18"/>
                <w:szCs w:val="18"/>
                <w:color w:val="auto"/>
              </w:rPr>
            </w:pPr>
          </w:p>
        </w:tc>
        <w:tc>
          <w:tcPr>
            <w:tcW w:w="5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82" w:lineRule="exact"/>
        <w:rPr>
          <w:sz w:val="20"/>
          <w:szCs w:val="20"/>
          <w:color w:val="auto"/>
        </w:rPr>
      </w:pPr>
    </w:p>
    <w:p>
      <w:pPr>
        <w:ind w:left="540" w:right="520" w:hanging="424"/>
        <w:spacing w:after="0" w:line="277"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As of September 30, 2022, the weighted average remaining contractual life of outstanding and exercisable options was 5.85 and 5.31 years, respectively.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86" w:right="47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tables summarize information relating to awards of restricted stock and restricted stock units, as well as changes during the fiscal year ended September 30, 2022:</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Restricted stock:</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w w:val="91"/>
              </w:rPr>
              <w:t>Number of</w:t>
            </w:r>
          </w:p>
        </w:tc>
        <w:tc>
          <w:tcPr>
            <w:tcW w:w="6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3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2021</w:t>
            </w:r>
          </w:p>
        </w:tc>
        <w:tc>
          <w:tcPr>
            <w:tcW w:w="1400" w:type="dxa"/>
            <w:vAlign w:val="bottom"/>
            <w:gridSpan w:val="4"/>
            <w:shd w:val="clear" w:color="auto" w:fill="CCEEFF"/>
          </w:tcPr>
          <w:p>
            <w:pPr>
              <w:jc w:val="right"/>
              <w:ind w:right="640"/>
              <w:spacing w:after="0"/>
              <w:rPr>
                <w:sz w:val="20"/>
                <w:szCs w:val="20"/>
                <w:color w:val="auto"/>
              </w:rPr>
            </w:pPr>
            <w:r>
              <w:rPr>
                <w:rFonts w:ascii="Arial" w:cs="Arial" w:eastAsia="Arial" w:hAnsi="Arial"/>
                <w:sz w:val="18"/>
                <w:szCs w:val="18"/>
                <w:color w:val="auto"/>
              </w:rPr>
              <w:t>1,366</w:t>
            </w: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66.57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gridSpan w:val="4"/>
          </w:tcPr>
          <w:p>
            <w:pPr>
              <w:jc w:val="right"/>
              <w:ind w:right="640"/>
              <w:spacing w:after="0"/>
              <w:rPr>
                <w:sz w:val="20"/>
                <w:szCs w:val="20"/>
                <w:color w:val="auto"/>
              </w:rPr>
            </w:pPr>
            <w:r>
              <w:rPr>
                <w:rFonts w:ascii="Arial" w:cs="Arial" w:eastAsia="Arial" w:hAnsi="Arial"/>
                <w:sz w:val="18"/>
                <w:szCs w:val="18"/>
                <w:color w:val="auto"/>
              </w:rPr>
              <w:t>1,080</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73.71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gridSpan w:val="4"/>
            <w:shd w:val="clear" w:color="auto" w:fill="CCEEFF"/>
          </w:tcPr>
          <w:p>
            <w:pPr>
              <w:jc w:val="right"/>
              <w:ind w:right="580"/>
              <w:spacing w:after="0"/>
              <w:rPr>
                <w:sz w:val="20"/>
                <w:szCs w:val="20"/>
                <w:color w:val="auto"/>
              </w:rPr>
            </w:pPr>
            <w:r>
              <w:rPr>
                <w:rFonts w:ascii="Arial" w:cs="Arial" w:eastAsia="Arial" w:hAnsi="Arial"/>
                <w:sz w:val="18"/>
                <w:szCs w:val="18"/>
                <w:color w:val="auto"/>
              </w:rPr>
              <w:t>(539)</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Forfeited</w:t>
            </w:r>
          </w:p>
        </w:tc>
        <w:tc>
          <w:tcPr>
            <w:tcW w:w="80" w:type="dxa"/>
            <w:vAlign w:val="bottom"/>
          </w:tcPr>
          <w:p>
            <w:pPr>
              <w:spacing w:after="0"/>
              <w:rPr>
                <w:sz w:val="19"/>
                <w:szCs w:val="19"/>
                <w:color w:val="auto"/>
              </w:rPr>
            </w:pPr>
          </w:p>
        </w:tc>
        <w:tc>
          <w:tcPr>
            <w:tcW w:w="1320" w:type="dxa"/>
            <w:vAlign w:val="bottom"/>
            <w:gridSpan w:val="3"/>
          </w:tcPr>
          <w:p>
            <w:pPr>
              <w:jc w:val="right"/>
              <w:ind w:right="580"/>
              <w:spacing w:after="0"/>
              <w:rPr>
                <w:sz w:val="20"/>
                <w:szCs w:val="20"/>
                <w:color w:val="auto"/>
              </w:rPr>
            </w:pPr>
            <w:r>
              <w:rPr>
                <w:rFonts w:ascii="Arial" w:cs="Arial" w:eastAsia="Arial" w:hAnsi="Arial"/>
                <w:sz w:val="18"/>
                <w:szCs w:val="18"/>
                <w:color w:val="auto"/>
              </w:rPr>
              <w:t>(133)</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70.59</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2022</w:t>
            </w:r>
          </w:p>
        </w:tc>
        <w:tc>
          <w:tcPr>
            <w:tcW w:w="8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70.83</w:t>
            </w: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color w:val="auto"/>
              </w:rPr>
              <w:t>Restricted stock units:</w:t>
            </w:r>
          </w:p>
        </w:tc>
        <w:tc>
          <w:tcPr>
            <w:tcW w:w="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5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1400" w:type="dxa"/>
            <w:vAlign w:val="bottom"/>
            <w:gridSpan w:val="4"/>
            <w:vMerge w:val="restart"/>
          </w:tcPr>
          <w:p>
            <w:pPr>
              <w:jc w:val="right"/>
              <w:ind w:right="720"/>
              <w:spacing w:after="0"/>
              <w:rPr>
                <w:sz w:val="20"/>
                <w:szCs w:val="20"/>
                <w:color w:val="auto"/>
              </w:rPr>
            </w:pPr>
            <w:r>
              <w:rPr>
                <w:rFonts w:ascii="Arial" w:cs="Arial" w:eastAsia="Arial" w:hAnsi="Arial"/>
                <w:sz w:val="14"/>
                <w:szCs w:val="14"/>
                <w:b w:val="1"/>
                <w:bCs w:val="1"/>
                <w:color w:val="auto"/>
                <w:w w:val="94"/>
              </w:rPr>
              <w:t>Number of</w:t>
            </w:r>
          </w:p>
        </w:tc>
        <w:tc>
          <w:tcPr>
            <w:tcW w:w="600" w:type="dxa"/>
            <w:vAlign w:val="bottom"/>
          </w:tcPr>
          <w:p>
            <w:pPr>
              <w:spacing w:after="0"/>
              <w:rPr>
                <w:sz w:val="24"/>
                <w:szCs w:val="2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13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Stock Units</w:t>
            </w:r>
          </w:p>
        </w:tc>
        <w:tc>
          <w:tcPr>
            <w:tcW w:w="680" w:type="dxa"/>
            <w:vAlign w:val="bottom"/>
            <w:gridSpan w:val="2"/>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October 1, 2021</w:t>
            </w: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221</w:t>
            </w: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69.35</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Granted</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325</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72.31</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400" w:type="dxa"/>
            <w:vAlign w:val="bottom"/>
            <w:gridSpan w:val="4"/>
            <w:shd w:val="clear" w:color="auto" w:fill="CCEEFF"/>
          </w:tcPr>
          <w:p>
            <w:pPr>
              <w:jc w:val="right"/>
              <w:ind w:right="620"/>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68.83</w:t>
            </w:r>
          </w:p>
        </w:tc>
        <w:tc>
          <w:tcPr>
            <w:tcW w:w="0" w:type="dxa"/>
            <w:vAlign w:val="bottom"/>
          </w:tcPr>
          <w:p>
            <w:pPr>
              <w:spacing w:after="0"/>
              <w:rPr>
                <w:sz w:val="1"/>
                <w:szCs w:val="1"/>
                <w:color w:val="auto"/>
              </w:rPr>
            </w:pPr>
          </w:p>
        </w:tc>
      </w:tr>
      <w:tr>
        <w:trPr>
          <w:trHeight w:val="223"/>
        </w:trPr>
        <w:tc>
          <w:tcPr>
            <w:tcW w:w="13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Forfeited</w:t>
            </w:r>
          </w:p>
        </w:tc>
        <w:tc>
          <w:tcPr>
            <w:tcW w:w="1400" w:type="dxa"/>
            <w:vAlign w:val="bottom"/>
            <w:gridSpan w:val="4"/>
          </w:tcPr>
          <w:p>
            <w:pPr>
              <w:jc w:val="right"/>
              <w:ind w:right="620"/>
              <w:spacing w:after="0"/>
              <w:rPr>
                <w:sz w:val="20"/>
                <w:szCs w:val="20"/>
                <w:color w:val="auto"/>
              </w:rPr>
            </w:pPr>
            <w:r>
              <w:rPr>
                <w:rFonts w:ascii="Arial" w:cs="Arial" w:eastAsia="Arial" w:hAnsi="Arial"/>
                <w:sz w:val="18"/>
                <w:szCs w:val="18"/>
                <w:color w:val="auto"/>
              </w:rPr>
              <w:t>(24)</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71.26</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2022</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71.50</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total intrinsic value of options exercised during fiscal years 2022, 2021 and 2020 was $33,096, $27,023 and $31,220, respectively.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value of restricted stock vested during fiscal years 2022, 2021 and 2020 was $40,615, $25,400 and $25,520,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value of restricted stock units vested during fiscal years 2022, 2021 and 2020 was $5,891, $3,282 and $3,207,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aggregate intrinsic value of outstanding and exercisable stock options as of September 30, 2022 was $40,985 and $29,208, respectively.</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Employee equity-based compensation pre-tax expense for the years ended September 30, 2022, 2021 and 2020 was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6"/>
          </w:tcPr>
          <w:p>
            <w:pPr>
              <w:ind w:left="48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2022</w:t>
            </w: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$32,096</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$22,691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$ 20,005</w:t>
            </w:r>
          </w:p>
        </w:tc>
        <w:tc>
          <w:tcPr>
            <w:tcW w:w="8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5,631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3,058</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34,080</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19,371</w:t>
            </w:r>
          </w:p>
        </w:tc>
        <w:tc>
          <w:tcPr>
            <w:tcW w:w="8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71,807</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54,249</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$ 42,434</w:t>
            </w: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As of September 30, 2022, there was $65,513 of unrecognized compensation expense related to unvested stock options, unvested restricted stock awards and unvested restricted stock units which is expected to be recognized over a weighted average period of approximately one year, based on the vesting periods of the grants.</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000"/>
          </w:cols>
          <w:pgMar w:left="320" w:top="486" w:right="57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fair value of options granted was estimated on the date of grant using the Black-Scholes pricing model with the assumptions noted in the following table (all in weighted averages for options granted during the year):</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6"/>
          </w:tcPr>
          <w:p>
            <w:pPr>
              <w:ind w:left="380"/>
              <w:spacing w:after="0"/>
              <w:rPr>
                <w:sz w:val="20"/>
                <w:szCs w:val="20"/>
                <w:color w:val="auto"/>
              </w:rPr>
            </w:pPr>
            <w:r>
              <w:rPr>
                <w:rFonts w:ascii="Arial" w:cs="Arial" w:eastAsia="Arial" w:hAnsi="Arial"/>
                <w:sz w:val="14"/>
                <w:szCs w:val="14"/>
                <w:b w:val="1"/>
                <w:bCs w:val="1"/>
                <w:color w:val="auto"/>
              </w:rPr>
              <w:t>Year Ended September 30*,</w:t>
            </w:r>
          </w:p>
        </w:tc>
      </w:tr>
      <w:tr>
        <w:trPr>
          <w:trHeight w:val="142"/>
        </w:trPr>
        <w:tc>
          <w:tcPr>
            <w:tcW w:w="38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rate(1)</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0.30%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3"/>
              </w:rPr>
              <w:t>1.41%</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Expected life of stock options(2)</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4.50</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rPr>
              <w:t>4.50</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21.3%</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3"/>
              </w:rPr>
              <w:t>17.3%</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2.22%</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ind w:left="360"/>
              <w:spacing w:after="0"/>
              <w:rPr>
                <w:sz w:val="20"/>
                <w:szCs w:val="20"/>
                <w:color w:val="auto"/>
              </w:rPr>
            </w:pPr>
            <w:r>
              <w:rPr>
                <w:rFonts w:ascii="Arial" w:cs="Arial" w:eastAsia="Arial" w:hAnsi="Arial"/>
                <w:sz w:val="18"/>
                <w:szCs w:val="18"/>
                <w:color w:val="auto"/>
                <w:w w:val="93"/>
              </w:rPr>
              <w:t>1.75%</w:t>
            </w: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7.82</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8.85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There were no options grants during fiscal year 2022.</w:t>
      </w:r>
    </w:p>
    <w:p>
      <w:pPr>
        <w:spacing w:after="0" w:line="23"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Expected volatility is based on blended volatility.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 — Dividends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Company’s Board of Directors declared the following dividends during the fiscal years ended September 30, 2022, 2021 and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00" w:type="dxa"/>
            <w:vAlign w:val="bottom"/>
            <w:vMerge w:val="restart"/>
          </w:tcPr>
          <w:p>
            <w:pPr>
              <w:ind w:left="1620"/>
              <w:spacing w:after="0"/>
              <w:rPr>
                <w:sz w:val="20"/>
                <w:szCs w:val="20"/>
                <w:color w:val="auto"/>
              </w:rPr>
            </w:pPr>
            <w:r>
              <w:rPr>
                <w:rFonts w:ascii="Arial" w:cs="Arial" w:eastAsia="Arial" w:hAnsi="Arial"/>
                <w:sz w:val="14"/>
                <w:szCs w:val="14"/>
                <w:b w:val="1"/>
                <w:bCs w:val="1"/>
                <w:color w:val="auto"/>
              </w:rPr>
              <w:t>Declaration Date</w:t>
            </w:r>
          </w:p>
        </w:tc>
        <w:tc>
          <w:tcPr>
            <w:tcW w:w="1120" w:type="dxa"/>
            <w:vAlign w:val="bottom"/>
          </w:tcPr>
          <w:p>
            <w:pPr>
              <w:spacing w:after="0"/>
              <w:rPr>
                <w:sz w:val="14"/>
                <w:szCs w:val="14"/>
                <w:color w:val="auto"/>
              </w:rPr>
            </w:pPr>
          </w:p>
        </w:tc>
        <w:tc>
          <w:tcPr>
            <w:tcW w:w="1200" w:type="dxa"/>
            <w:vAlign w:val="bottom"/>
          </w:tcPr>
          <w:p>
            <w:pPr>
              <w:jc w:val="right"/>
              <w:ind w:right="251"/>
              <w:spacing w:after="0"/>
              <w:rPr>
                <w:sz w:val="20"/>
                <w:szCs w:val="20"/>
                <w:color w:val="auto"/>
              </w:rPr>
            </w:pPr>
            <w:r>
              <w:rPr>
                <w:rFonts w:ascii="Arial" w:cs="Arial" w:eastAsia="Arial" w:hAnsi="Arial"/>
                <w:sz w:val="14"/>
                <w:szCs w:val="14"/>
                <w:b w:val="1"/>
                <w:bCs w:val="1"/>
                <w:color w:val="auto"/>
                <w:w w:val="89"/>
              </w:rPr>
              <w:t>Dividends Per</w:t>
            </w:r>
          </w:p>
        </w:tc>
        <w:tc>
          <w:tcPr>
            <w:tcW w:w="19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Record Date</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Amount</w:t>
            </w:r>
          </w:p>
        </w:tc>
        <w:tc>
          <w:tcPr>
            <w:tcW w:w="162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3700" w:type="dxa"/>
            <w:vAlign w:val="bottom"/>
            <w:tcBorders>
              <w:bottom w:val="single" w:sz="8" w:color="auto"/>
            </w:tcBorders>
            <w:vMerge w:val="continue"/>
          </w:tcPr>
          <w:p>
            <w:pPr>
              <w:spacing w:after="0"/>
              <w:rPr>
                <w:sz w:val="14"/>
                <w:szCs w:val="14"/>
                <w:color w:val="auto"/>
              </w:rPr>
            </w:pPr>
          </w:p>
        </w:tc>
        <w:tc>
          <w:tcPr>
            <w:tcW w:w="2320" w:type="dxa"/>
            <w:vAlign w:val="bottom"/>
            <w:tcBorders>
              <w:bottom w:val="single" w:sz="8" w:color="auto"/>
            </w:tcBorders>
            <w:gridSpan w:val="2"/>
          </w:tcPr>
          <w:p>
            <w:pPr>
              <w:jc w:val="right"/>
              <w:ind w:right="191"/>
              <w:spacing w:after="0"/>
              <w:rPr>
                <w:sz w:val="20"/>
                <w:szCs w:val="20"/>
                <w:color w:val="auto"/>
              </w:rPr>
            </w:pPr>
            <w:r>
              <w:rPr>
                <w:rFonts w:ascii="Arial" w:cs="Arial" w:eastAsia="Arial" w:hAnsi="Arial"/>
                <w:sz w:val="14"/>
                <w:szCs w:val="14"/>
                <w:b w:val="1"/>
                <w:bCs w:val="1"/>
                <w:color w:val="auto"/>
              </w:rPr>
              <w:t>Ordinary Share</w:t>
            </w:r>
          </w:p>
        </w:tc>
        <w:tc>
          <w:tcPr>
            <w:tcW w:w="1980" w:type="dxa"/>
            <w:vAlign w:val="bottom"/>
            <w:tcBorders>
              <w:bottom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August 3,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0.395</w:t>
            </w:r>
          </w:p>
        </w:tc>
        <w:tc>
          <w:tcPr>
            <w:tcW w:w="1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September 30, 2022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$47,735</w:t>
            </w:r>
          </w:p>
        </w:tc>
        <w:tc>
          <w:tcPr>
            <w:tcW w:w="1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October 28, 2022</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May 11, 2022</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0.395</w:t>
            </w:r>
          </w:p>
        </w:tc>
        <w:tc>
          <w:tcPr>
            <w:tcW w:w="1980" w:type="dxa"/>
            <w:vAlign w:val="bottom"/>
          </w:tcPr>
          <w:p>
            <w:pPr>
              <w:ind w:left="240"/>
              <w:spacing w:after="0"/>
              <w:rPr>
                <w:sz w:val="20"/>
                <w:szCs w:val="20"/>
                <w:color w:val="auto"/>
              </w:rPr>
            </w:pPr>
            <w:r>
              <w:rPr>
                <w:rFonts w:ascii="Arial" w:cs="Arial" w:eastAsia="Arial" w:hAnsi="Arial"/>
                <w:sz w:val="18"/>
                <w:szCs w:val="18"/>
                <w:color w:val="auto"/>
              </w:rPr>
              <w:t>June 30, 2022</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$48,180</w:t>
            </w:r>
          </w:p>
        </w:tc>
        <w:tc>
          <w:tcPr>
            <w:tcW w:w="1620" w:type="dxa"/>
            <w:vAlign w:val="bottom"/>
          </w:tcPr>
          <w:p>
            <w:pPr>
              <w:ind w:left="240"/>
              <w:spacing w:after="0"/>
              <w:rPr>
                <w:sz w:val="20"/>
                <w:szCs w:val="20"/>
                <w:color w:val="auto"/>
              </w:rPr>
            </w:pPr>
            <w:r>
              <w:rPr>
                <w:rFonts w:ascii="Arial" w:cs="Arial" w:eastAsia="Arial" w:hAnsi="Arial"/>
                <w:sz w:val="18"/>
                <w:szCs w:val="18"/>
                <w:color w:val="auto"/>
              </w:rPr>
              <w:t>July 29, 2022</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February 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0.395</w:t>
            </w:r>
          </w:p>
        </w:tc>
        <w:tc>
          <w:tcPr>
            <w:tcW w:w="1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31, 2022</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$48,527</w:t>
            </w:r>
          </w:p>
        </w:tc>
        <w:tc>
          <w:tcPr>
            <w:tcW w:w="1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April 29, 2022</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2, 2021</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0.36</w:t>
            </w:r>
          </w:p>
        </w:tc>
        <w:tc>
          <w:tcPr>
            <w:tcW w:w="1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December 31, 2021</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$44,410</w:t>
            </w:r>
          </w:p>
        </w:tc>
        <w:tc>
          <w:tcPr>
            <w:tcW w:w="16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7"/>
              </w:rPr>
              <w:t>January 28, 2022</w:t>
            </w:r>
          </w:p>
        </w:tc>
        <w:tc>
          <w:tcPr>
            <w:tcW w:w="0" w:type="dxa"/>
            <w:vAlign w:val="bottom"/>
          </w:tcPr>
          <w:p>
            <w:pPr>
              <w:spacing w:after="0"/>
              <w:rPr>
                <w:sz w:val="1"/>
                <w:szCs w:val="1"/>
                <w:color w:val="auto"/>
              </w:rPr>
            </w:pPr>
          </w:p>
        </w:tc>
      </w:tr>
      <w:tr>
        <w:trPr>
          <w:trHeight w:val="209"/>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August 4,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0.36</w:t>
            </w:r>
          </w:p>
        </w:tc>
        <w:tc>
          <w:tcPr>
            <w:tcW w:w="1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September 30, 2021</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$44,956</w:t>
            </w:r>
          </w:p>
        </w:tc>
        <w:tc>
          <w:tcPr>
            <w:tcW w:w="1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October 29, 2021</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May 12, 2021</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0.36</w:t>
            </w:r>
          </w:p>
        </w:tc>
        <w:tc>
          <w:tcPr>
            <w:tcW w:w="1980" w:type="dxa"/>
            <w:vAlign w:val="bottom"/>
          </w:tcPr>
          <w:p>
            <w:pPr>
              <w:ind w:left="240"/>
              <w:spacing w:after="0"/>
              <w:rPr>
                <w:sz w:val="20"/>
                <w:szCs w:val="20"/>
                <w:color w:val="auto"/>
              </w:rPr>
            </w:pPr>
            <w:r>
              <w:rPr>
                <w:rFonts w:ascii="Arial" w:cs="Arial" w:eastAsia="Arial" w:hAnsi="Arial"/>
                <w:sz w:val="18"/>
                <w:szCs w:val="18"/>
                <w:color w:val="auto"/>
              </w:rPr>
              <w:t>June 30, 2021</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$45,580</w:t>
            </w:r>
          </w:p>
        </w:tc>
        <w:tc>
          <w:tcPr>
            <w:tcW w:w="1620" w:type="dxa"/>
            <w:vAlign w:val="bottom"/>
          </w:tcPr>
          <w:p>
            <w:pPr>
              <w:ind w:left="240"/>
              <w:spacing w:after="0"/>
              <w:rPr>
                <w:sz w:val="20"/>
                <w:szCs w:val="20"/>
                <w:color w:val="auto"/>
              </w:rPr>
            </w:pPr>
            <w:r>
              <w:rPr>
                <w:rFonts w:ascii="Arial" w:cs="Arial" w:eastAsia="Arial" w:hAnsi="Arial"/>
                <w:sz w:val="18"/>
                <w:szCs w:val="18"/>
                <w:color w:val="auto"/>
              </w:rPr>
              <w:t>July 23, 2021</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February 2,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0.36</w:t>
            </w:r>
          </w:p>
        </w:tc>
        <w:tc>
          <w:tcPr>
            <w:tcW w:w="1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31, 2021</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$45,958</w:t>
            </w:r>
          </w:p>
        </w:tc>
        <w:tc>
          <w:tcPr>
            <w:tcW w:w="1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April 23, 2021</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10, 2020</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0.3275</w:t>
            </w:r>
          </w:p>
        </w:tc>
        <w:tc>
          <w:tcPr>
            <w:tcW w:w="1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December 31, 2020</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$42,850</w:t>
            </w:r>
          </w:p>
        </w:tc>
        <w:tc>
          <w:tcPr>
            <w:tcW w:w="16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7"/>
              </w:rPr>
              <w:t>January 22, 2021</w:t>
            </w:r>
          </w:p>
        </w:tc>
        <w:tc>
          <w:tcPr>
            <w:tcW w:w="0" w:type="dxa"/>
            <w:vAlign w:val="bottom"/>
          </w:tcPr>
          <w:p>
            <w:pPr>
              <w:spacing w:after="0"/>
              <w:rPr>
                <w:sz w:val="1"/>
                <w:szCs w:val="1"/>
                <w:color w:val="auto"/>
              </w:rPr>
            </w:pP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August 5,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0.3275</w:t>
            </w:r>
          </w:p>
        </w:tc>
        <w:tc>
          <w:tcPr>
            <w:tcW w:w="1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September 30, 2020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$43,084</w:t>
            </w:r>
          </w:p>
        </w:tc>
        <w:tc>
          <w:tcPr>
            <w:tcW w:w="16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7"/>
              </w:rPr>
              <w:t>October 23, 2020</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May 7, 2020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1"/>
              <w:spacing w:after="0"/>
              <w:rPr>
                <w:sz w:val="20"/>
                <w:szCs w:val="20"/>
                <w:color w:val="auto"/>
              </w:rPr>
            </w:pPr>
            <w:r>
              <w:rPr>
                <w:rFonts w:ascii="Arial" w:cs="Arial" w:eastAsia="Arial" w:hAnsi="Arial"/>
                <w:sz w:val="18"/>
                <w:szCs w:val="18"/>
                <w:color w:val="auto"/>
              </w:rPr>
              <w:t>0.3275</w:t>
            </w:r>
          </w:p>
        </w:tc>
        <w:tc>
          <w:tcPr>
            <w:tcW w:w="1980" w:type="dxa"/>
            <w:vAlign w:val="bottom"/>
          </w:tcPr>
          <w:p>
            <w:pPr>
              <w:ind w:left="240"/>
              <w:spacing w:after="0"/>
              <w:rPr>
                <w:sz w:val="20"/>
                <w:szCs w:val="20"/>
                <w:color w:val="auto"/>
              </w:rPr>
            </w:pPr>
            <w:r>
              <w:rPr>
                <w:rFonts w:ascii="Arial" w:cs="Arial" w:eastAsia="Arial" w:hAnsi="Arial"/>
                <w:sz w:val="18"/>
                <w:szCs w:val="18"/>
                <w:color w:val="auto"/>
              </w:rPr>
              <w:t>June 30, 2020</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$43,568</w:t>
            </w:r>
          </w:p>
        </w:tc>
        <w:tc>
          <w:tcPr>
            <w:tcW w:w="1620" w:type="dxa"/>
            <w:vAlign w:val="bottom"/>
          </w:tcPr>
          <w:p>
            <w:pPr>
              <w:ind w:left="240"/>
              <w:spacing w:after="0"/>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February 4,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0.3275</w:t>
            </w:r>
          </w:p>
        </w:tc>
        <w:tc>
          <w:tcPr>
            <w:tcW w:w="1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March 31, 2020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$43,723</w:t>
            </w:r>
          </w:p>
        </w:tc>
        <w:tc>
          <w:tcPr>
            <w:tcW w:w="16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April 24, 2020</w:t>
            </w:r>
          </w:p>
        </w:tc>
        <w:tc>
          <w:tcPr>
            <w:tcW w:w="0" w:type="dxa"/>
            <w:vAlign w:val="bottom"/>
          </w:tcPr>
          <w:p>
            <w:pPr>
              <w:spacing w:after="0"/>
              <w:rPr>
                <w:sz w:val="1"/>
                <w:szCs w:val="1"/>
                <w:color w:val="auto"/>
              </w:rPr>
            </w:pPr>
          </w:p>
        </w:tc>
      </w:tr>
      <w:tr>
        <w:trPr>
          <w:trHeight w:val="216"/>
        </w:trPr>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12, 2019</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0.285</w:t>
            </w:r>
          </w:p>
        </w:tc>
        <w:tc>
          <w:tcPr>
            <w:tcW w:w="198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December 31, 2019</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$38,357</w:t>
            </w:r>
          </w:p>
        </w:tc>
        <w:tc>
          <w:tcPr>
            <w:tcW w:w="16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w w:val="97"/>
              </w:rPr>
              <w:t>January 24, 2020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amounts payable as a result of the August 3, 2022, August 4, 2021 and August 5, 2020 declarations were included in accrued expenses and other current liabilities as of September 30, 2022, 2021 and 2020, respectively.</w:t>
      </w:r>
    </w:p>
    <w:p>
      <w:pPr>
        <w:spacing w:after="0" w:line="170" w:lineRule="exact"/>
        <w:rPr>
          <w:sz w:val="20"/>
          <w:szCs w:val="20"/>
          <w:color w:val="auto"/>
        </w:rPr>
      </w:pPr>
    </w:p>
    <w:p>
      <w:pPr>
        <w:ind w:left="120" w:right="180" w:firstLine="440"/>
        <w:spacing w:after="0" w:line="308" w:lineRule="auto"/>
        <w:rPr>
          <w:sz w:val="20"/>
          <w:szCs w:val="20"/>
          <w:color w:val="auto"/>
        </w:rPr>
      </w:pPr>
      <w:r>
        <w:rPr>
          <w:rFonts w:ascii="Arial" w:cs="Arial" w:eastAsia="Arial" w:hAnsi="Arial"/>
          <w:sz w:val="17"/>
          <w:szCs w:val="17"/>
          <w:color w:val="auto"/>
        </w:rPr>
        <w:t>On November 8, 2022, the Company’s Board of Directors approved quarterly dividend payment of $0.395 per share, and set December 30, 2022 as the record date for determining the shareholders entitled to receive the dividend, which is payable on January 27, 2023.</w:t>
      </w:r>
    </w:p>
    <w:p>
      <w:pPr>
        <w:spacing w:after="0" w:line="146" w:lineRule="exact"/>
        <w:rPr>
          <w:sz w:val="20"/>
          <w:szCs w:val="20"/>
          <w:color w:val="auto"/>
        </w:rPr>
      </w:pPr>
    </w:p>
    <w:p>
      <w:pPr>
        <w:ind w:left="120" w:right="460" w:firstLine="440"/>
        <w:spacing w:after="0" w:line="308" w:lineRule="auto"/>
        <w:rPr>
          <w:sz w:val="20"/>
          <w:szCs w:val="20"/>
          <w:color w:val="auto"/>
        </w:rPr>
      </w:pPr>
      <w:r>
        <w:rPr>
          <w:rFonts w:ascii="Arial" w:cs="Arial" w:eastAsia="Arial" w:hAnsi="Arial"/>
          <w:sz w:val="17"/>
          <w:szCs w:val="17"/>
          <w:color w:val="auto"/>
        </w:rPr>
        <w:t>On November 8, 2022, the Company’s Board of Directors also approved, subject to shareholder approval at the January 2023 annual general meeting of shareholders, an increase in the quarterly cash dividend to $0.435 per share, anticipated to be paid in April 2023.</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40"/>
          </w:cols>
          <w:pgMar w:left="320" w:top="486" w:right="4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20 — Earnings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549,501</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688,374</w:t>
            </w:r>
          </w:p>
        </w:tc>
        <w:tc>
          <w:tcPr>
            <w:tcW w:w="5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497,840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Net income and dividends attributable to participating restricted stock</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(7,880)</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(7,052)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(3,663)</w:t>
            </w: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541,621</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681,322</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494,177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Undistributed income allocated to participating restricted stock</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tcPr>
          <w:p>
            <w:pPr>
              <w:ind w:left="360"/>
              <w:spacing w:after="0"/>
              <w:rPr>
                <w:sz w:val="20"/>
                <w:szCs w:val="20"/>
                <w:color w:val="auto"/>
              </w:rPr>
            </w:pPr>
            <w:r>
              <w:rPr>
                <w:rFonts w:ascii="Arial" w:cs="Arial" w:eastAsia="Arial" w:hAnsi="Arial"/>
                <w:sz w:val="18"/>
                <w:szCs w:val="18"/>
                <w:color w:val="auto"/>
              </w:rPr>
              <w:t>Undistributed income reallocated to participating restricted stock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(5,124)</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(5,167)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(2,406)</w:t>
            </w:r>
          </w:p>
        </w:tc>
        <w:tc>
          <w:tcPr>
            <w:tcW w:w="0" w:type="dxa"/>
            <w:vAlign w:val="bottom"/>
          </w:tcPr>
          <w:p>
            <w:pPr>
              <w:spacing w:after="0"/>
              <w:rPr>
                <w:sz w:val="1"/>
                <w:szCs w:val="1"/>
                <w:color w:val="auto"/>
              </w:rPr>
            </w:pPr>
          </w:p>
        </w:tc>
      </w:tr>
      <w:tr>
        <w:trPr>
          <w:trHeight w:val="27"/>
        </w:trPr>
        <w:tc>
          <w:tcPr>
            <w:tcW w:w="5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541,656</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681,354</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494,188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122,812</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128,495</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133,590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60" w:type="dxa"/>
            <w:vAlign w:val="bottom"/>
          </w:tcPr>
          <w:p>
            <w:pPr>
              <w:ind w:left="360"/>
              <w:spacing w:after="0"/>
              <w:rPr>
                <w:sz w:val="20"/>
                <w:szCs w:val="20"/>
                <w:color w:val="auto"/>
              </w:rPr>
            </w:pPr>
            <w:r>
              <w:rPr>
                <w:rFonts w:ascii="Arial" w:cs="Arial" w:eastAsia="Arial" w:hAnsi="Arial"/>
                <w:sz w:val="18"/>
                <w:szCs w:val="18"/>
                <w:color w:val="auto"/>
              </w:rPr>
              <w:t>Weighted average number of participating restricted stock</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(1,761)</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(1,316)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121,051</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127,179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132,607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and restricted stock units granted</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838</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121,889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127,968</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133,249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3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the fiscal years ended September 30, 2022, 2021 and 2020, 42, 858 and 2,634 shares, respectively, on a weighted average basis, were attributable to antidilutive outstanding stock options and restricted stock units. Shares attributable to antidilutive outstanding stock options and restricted stock units were not included in the calculation of diluted earnings per share.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21 — Segment Information and Sales to Significant Customers</w:t>
      </w:r>
    </w:p>
    <w:p>
      <w:pPr>
        <w:spacing w:after="0" w:line="121" w:lineRule="exact"/>
        <w:rPr>
          <w:sz w:val="20"/>
          <w:szCs w:val="20"/>
          <w:color w:val="auto"/>
        </w:rPr>
      </w:pPr>
    </w:p>
    <w:p>
      <w:pPr>
        <w:ind w:left="120" w:right="820" w:firstLine="440"/>
        <w:spacing w:after="0" w:line="277" w:lineRule="auto"/>
        <w:rPr>
          <w:sz w:val="20"/>
          <w:szCs w:val="20"/>
          <w:color w:val="auto"/>
        </w:rPr>
      </w:pPr>
      <w:r>
        <w:rPr>
          <w:rFonts w:ascii="Arial" w:cs="Arial" w:eastAsia="Arial" w:hAnsi="Arial"/>
          <w:sz w:val="18"/>
          <w:szCs w:val="18"/>
          <w:color w:val="auto"/>
        </w:rPr>
        <w:t>The Company and its subsidiaries operate in one operating segment, providing software products and services for the communications, entertainment and media industry service providers.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is a summary of revenue and long-lived assets by geographic area. Revenue is attributed to geographic region based on the location of the customers.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5"/>
              </w:rPr>
              <w:t>Year Ended September 30,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60" w:type="dxa"/>
            <w:vAlign w:val="bottom"/>
          </w:tcPr>
          <w:p>
            <w:pPr>
              <w:jc w:val="right"/>
              <w:ind w:right="199"/>
              <w:spacing w:after="0" w:line="142" w:lineRule="exact"/>
              <w:rPr>
                <w:sz w:val="20"/>
                <w:szCs w:val="20"/>
                <w:color w:val="auto"/>
              </w:rPr>
            </w:pPr>
            <w:r>
              <w:rPr>
                <w:rFonts w:ascii="Arial" w:cs="Arial" w:eastAsia="Arial" w:hAnsi="Arial"/>
                <w:sz w:val="14"/>
                <w:szCs w:val="14"/>
                <w:b w:val="1"/>
                <w:bCs w:val="1"/>
                <w:color w:val="auto"/>
              </w:rPr>
              <w:t>2022</w:t>
            </w:r>
          </w:p>
        </w:tc>
        <w:tc>
          <w:tcPr>
            <w:tcW w:w="1380" w:type="dxa"/>
            <w:vAlign w:val="bottom"/>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6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Revenue</w:t>
            </w:r>
          </w:p>
        </w:tc>
        <w:tc>
          <w:tcPr>
            <w:tcW w:w="2940" w:type="dxa"/>
            <w:vAlign w:val="bottom"/>
            <w:tcBorders>
              <w:top w:val="single" w:sz="8" w:color="CCEEFF"/>
              <w:bottom w:val="single" w:sz="8" w:color="CCEEFF"/>
            </w:tcBorders>
            <w:shd w:val="clear" w:color="auto" w:fill="CCEEFF"/>
          </w:tcPr>
          <w:p>
            <w:pPr>
              <w:spacing w:after="0"/>
              <w:rPr>
                <w:sz w:val="15"/>
                <w:szCs w:val="15"/>
                <w:color w:val="auto"/>
              </w:rPr>
            </w:pPr>
          </w:p>
        </w:tc>
        <w:tc>
          <w:tcPr>
            <w:tcW w:w="194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520" w:type="dxa"/>
            <w:vAlign w:val="bottom"/>
            <w:tcBorders>
              <w:top w:val="single" w:sz="8" w:color="CCEEFF"/>
              <w:bottom w:val="single" w:sz="8" w:color="CCEEFF"/>
            </w:tcBorders>
            <w:shd w:val="clear" w:color="auto" w:fill="CCEEFF"/>
          </w:tcPr>
          <w:p>
            <w:pPr>
              <w:spacing w:after="0"/>
              <w:rPr>
                <w:sz w:val="15"/>
                <w:szCs w:val="15"/>
                <w:color w:val="auto"/>
              </w:rPr>
            </w:pPr>
          </w:p>
        </w:tc>
        <w:tc>
          <w:tcPr>
            <w:tcW w:w="860" w:type="dxa"/>
            <w:vAlign w:val="bottom"/>
            <w:tcBorders>
              <w:top w:val="single" w:sz="8" w:color="auto"/>
              <w:bottom w:val="single" w:sz="8" w:color="CCEEFF"/>
            </w:tcBorders>
            <w:shd w:val="clear" w:color="auto" w:fill="CCEEFF"/>
          </w:tcPr>
          <w:p>
            <w:pPr>
              <w:spacing w:after="0"/>
              <w:rPr>
                <w:sz w:val="15"/>
                <w:szCs w:val="15"/>
                <w:color w:val="auto"/>
              </w:rPr>
            </w:pPr>
          </w:p>
        </w:tc>
        <w:tc>
          <w:tcPr>
            <w:tcW w:w="460" w:type="dxa"/>
            <w:vAlign w:val="bottom"/>
            <w:tcBorders>
              <w:top w:val="single" w:sz="8" w:color="CCEEFF"/>
              <w:bottom w:val="single" w:sz="8" w:color="CCEEFF"/>
            </w:tcBorders>
            <w:shd w:val="clear" w:color="auto" w:fill="CCEEFF"/>
          </w:tcPr>
          <w:p>
            <w:pPr>
              <w:spacing w:after="0"/>
              <w:rPr>
                <w:sz w:val="15"/>
                <w:szCs w:val="15"/>
                <w:color w:val="auto"/>
              </w:rPr>
            </w:pP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North America (mainly United States)</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$ 3,100,038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$ 2,791,472</w:t>
            </w:r>
          </w:p>
        </w:tc>
        <w:tc>
          <w:tcPr>
            <w:tcW w:w="46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2,720,911</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Europe</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582,192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622,780</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613,751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gridSpan w:val="2"/>
          </w:tcPr>
          <w:p>
            <w:pPr>
              <w:spacing w:after="0"/>
              <w:rPr>
                <w:sz w:val="20"/>
                <w:szCs w:val="20"/>
                <w:color w:val="auto"/>
              </w:rPr>
            </w:pPr>
            <w:r>
              <w:rPr>
                <w:rFonts w:ascii="Arial" w:cs="Arial" w:eastAsia="Arial" w:hAnsi="Arial"/>
                <w:sz w:val="18"/>
                <w:szCs w:val="18"/>
                <w:color w:val="auto"/>
              </w:rPr>
              <w:t>Rest of the world</w:t>
            </w:r>
          </w:p>
        </w:tc>
        <w:tc>
          <w:tcPr>
            <w:tcW w:w="19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894,467</w:t>
            </w:r>
          </w:p>
        </w:tc>
        <w:tc>
          <w:tcPr>
            <w:tcW w:w="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874,388</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834,377</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$ 4,576,697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$ 4,288,640</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4,169,039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800" w:type="dxa"/>
            <w:vAlign w:val="bottom"/>
            <w:gridSpan w:val="2"/>
          </w:tcPr>
          <w:p>
            <w:pPr>
              <w:jc w:val="right"/>
              <w:ind w:right="1519"/>
              <w:spacing w:after="0"/>
              <w:rPr>
                <w:sz w:val="20"/>
                <w:szCs w:val="20"/>
                <w:color w:val="auto"/>
              </w:rPr>
            </w:pPr>
            <w:r>
              <w:rPr>
                <w:rFonts w:ascii="Arial" w:cs="Arial" w:eastAsia="Arial" w:hAnsi="Arial"/>
                <w:sz w:val="18"/>
                <w:szCs w:val="18"/>
                <w:color w:val="auto"/>
              </w:rPr>
              <w:t>F-40</w:t>
            </w: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00"/>
          </w:cols>
          <w:pgMar w:left="320" w:top="486" w:right="47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156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44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Long-lived Assets(1)</w:t>
            </w:r>
          </w:p>
        </w:tc>
        <w:tc>
          <w:tcPr>
            <w:tcW w:w="2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Europe</w:t>
            </w:r>
          </w:p>
        </w:tc>
        <w:tc>
          <w:tcPr>
            <w:tcW w:w="488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gridSpan w:val="3"/>
          </w:tcPr>
          <w:p>
            <w:pPr>
              <w:jc w:val="right"/>
              <w:ind w:right="20"/>
              <w:spacing w:after="0"/>
              <w:rPr>
                <w:sz w:val="20"/>
                <w:szCs w:val="20"/>
                <w:color w:val="auto"/>
              </w:rPr>
            </w:pPr>
            <w:r>
              <w:rPr>
                <w:rFonts w:ascii="Arial" w:cs="Arial" w:eastAsia="Arial" w:hAnsi="Arial"/>
                <w:sz w:val="18"/>
                <w:szCs w:val="18"/>
                <w:color w:val="auto"/>
                <w:w w:val="87"/>
              </w:rPr>
              <w:t>$153,021</w:t>
            </w:r>
          </w:p>
        </w:tc>
        <w:tc>
          <w:tcPr>
            <w:tcW w:w="2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$ 182,746</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88,049</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94,149</w:t>
            </w:r>
          </w:p>
        </w:tc>
        <w:tc>
          <w:tcPr>
            <w:tcW w:w="0" w:type="dxa"/>
            <w:vAlign w:val="bottom"/>
          </w:tcPr>
          <w:p>
            <w:pPr>
              <w:spacing w:after="0"/>
              <w:rPr>
                <w:sz w:val="1"/>
                <w:szCs w:val="1"/>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Rest of the world:</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Israel(2)</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490,694</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358,329</w:t>
            </w:r>
          </w:p>
        </w:tc>
        <w:tc>
          <w:tcPr>
            <w:tcW w:w="0" w:type="dxa"/>
            <w:vAlign w:val="bottom"/>
          </w:tcPr>
          <w:p>
            <w:pPr>
              <w:spacing w:after="0"/>
              <w:rPr>
                <w:sz w:val="1"/>
                <w:szCs w:val="1"/>
                <w:color w:val="auto"/>
              </w:rPr>
            </w:pPr>
          </w:p>
        </w:tc>
      </w:tr>
      <w:tr>
        <w:trPr>
          <w:trHeight w:val="216"/>
        </w:trPr>
        <w:tc>
          <w:tcPr>
            <w:tcW w:w="6440" w:type="dxa"/>
            <w:vAlign w:val="bottom"/>
            <w:gridSpan w:val="2"/>
          </w:tcPr>
          <w:p>
            <w:pPr>
              <w:ind w:left="360"/>
              <w:spacing w:after="0"/>
              <w:rPr>
                <w:sz w:val="20"/>
                <w:szCs w:val="20"/>
                <w:color w:val="auto"/>
              </w:rPr>
            </w:pPr>
            <w:r>
              <w:rPr>
                <w:rFonts w:ascii="Arial" w:cs="Arial" w:eastAsia="Arial" w:hAnsi="Arial"/>
                <w:sz w:val="18"/>
                <w:szCs w:val="18"/>
                <w:color w:val="auto"/>
              </w:rPr>
              <w:t>India</w:t>
            </w:r>
          </w:p>
        </w:tc>
        <w:tc>
          <w:tcPr>
            <w:tcW w:w="920" w:type="dxa"/>
            <w:vAlign w:val="bottom"/>
            <w:gridSpan w:val="4"/>
          </w:tcPr>
          <w:p>
            <w:pPr>
              <w:ind w:left="200"/>
              <w:spacing w:after="0"/>
              <w:rPr>
                <w:sz w:val="20"/>
                <w:szCs w:val="20"/>
                <w:color w:val="auto"/>
              </w:rPr>
            </w:pPr>
            <w:r>
              <w:rPr>
                <w:rFonts w:ascii="Arial" w:cs="Arial" w:eastAsia="Arial" w:hAnsi="Arial"/>
                <w:sz w:val="18"/>
                <w:szCs w:val="18"/>
                <w:color w:val="auto"/>
              </w:rPr>
              <w:t>49,487</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48,326</w:t>
            </w:r>
          </w:p>
        </w:tc>
        <w:tc>
          <w:tcPr>
            <w:tcW w:w="0" w:type="dxa"/>
            <w:vAlign w:val="bottom"/>
          </w:tcPr>
          <w:p>
            <w:pPr>
              <w:spacing w:after="0"/>
              <w:rPr>
                <w:sz w:val="1"/>
                <w:szCs w:val="1"/>
                <w:color w:val="auto"/>
              </w:rPr>
            </w:pPr>
          </w:p>
        </w:tc>
      </w:tr>
      <w:tr>
        <w:trPr>
          <w:trHeight w:val="216"/>
        </w:trPr>
        <w:tc>
          <w:tcPr>
            <w:tcW w:w="64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Others</w:t>
            </w:r>
          </w:p>
        </w:tc>
        <w:tc>
          <w:tcPr>
            <w:tcW w:w="920" w:type="dxa"/>
            <w:vAlign w:val="bottom"/>
            <w:gridSpan w:val="4"/>
            <w:shd w:val="clear" w:color="auto" w:fill="CCEEFF"/>
          </w:tcPr>
          <w:p>
            <w:pPr>
              <w:ind w:left="200"/>
              <w:spacing w:after="0"/>
              <w:rPr>
                <w:sz w:val="20"/>
                <w:szCs w:val="20"/>
                <w:color w:val="auto"/>
              </w:rPr>
            </w:pPr>
            <w:r>
              <w:rPr>
                <w:rFonts w:ascii="Arial" w:cs="Arial" w:eastAsia="Arial" w:hAnsi="Arial"/>
                <w:sz w:val="18"/>
                <w:szCs w:val="18"/>
                <w:color w:val="auto"/>
              </w:rPr>
              <w:t>13,036</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15,218</w:t>
            </w:r>
          </w:p>
        </w:tc>
        <w:tc>
          <w:tcPr>
            <w:tcW w:w="0" w:type="dxa"/>
            <w:vAlign w:val="bottom"/>
          </w:tcPr>
          <w:p>
            <w:pPr>
              <w:spacing w:after="0"/>
              <w:rPr>
                <w:sz w:val="1"/>
                <w:szCs w:val="1"/>
                <w:color w:val="auto"/>
              </w:rPr>
            </w:pPr>
          </w:p>
        </w:tc>
      </w:tr>
      <w:tr>
        <w:trPr>
          <w:trHeight w:val="20"/>
        </w:trPr>
        <w:tc>
          <w:tcPr>
            <w:tcW w:w="644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40" w:type="dxa"/>
            <w:vAlign w:val="bottom"/>
            <w:gridSpan w:val="2"/>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794,287</w:t>
            </w: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$ 698,768</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Property and equipment, net.</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For more details, please see also Note 2.</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 by nature of activities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ind w:left="140"/>
              <w:spacing w:after="0"/>
              <w:rPr>
                <w:sz w:val="20"/>
                <w:szCs w:val="20"/>
                <w:color w:val="auto"/>
              </w:rPr>
            </w:pPr>
            <w:r>
              <w:rPr>
                <w:rFonts w:ascii="Arial" w:cs="Arial" w:eastAsia="Arial" w:hAnsi="Arial"/>
                <w:sz w:val="14"/>
                <w:szCs w:val="14"/>
                <w:b w:val="1"/>
                <w:bCs w:val="1"/>
                <w:color w:val="auto"/>
                <w:w w:val="95"/>
              </w:rPr>
              <w:t>Year Ended September 30,</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2022</w:t>
            </w:r>
          </w:p>
        </w:tc>
        <w:tc>
          <w:tcPr>
            <w:tcW w:w="520" w:type="dxa"/>
            <w:vAlign w:val="bottom"/>
          </w:tcPr>
          <w:p>
            <w:pPr>
              <w:spacing w:after="0"/>
              <w:rPr>
                <w:sz w:val="12"/>
                <w:szCs w:val="12"/>
                <w:color w:val="auto"/>
              </w:rPr>
            </w:pPr>
          </w:p>
        </w:tc>
        <w:tc>
          <w:tcPr>
            <w:tcW w:w="860" w:type="dxa"/>
            <w:vAlign w:val="bottom"/>
            <w:tcBorders>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2021</w:t>
            </w: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Managed services arrangements</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$ 2,755,486</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$ 2,546,330</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2,398,691</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Others</w:t>
            </w:r>
          </w:p>
        </w:tc>
        <w:tc>
          <w:tcPr>
            <w:tcW w:w="16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1,821,211</w:t>
            </w:r>
          </w:p>
        </w:tc>
        <w:tc>
          <w:tcPr>
            <w:tcW w:w="5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1,742,310</w:t>
            </w:r>
          </w:p>
        </w:tc>
        <w:tc>
          <w:tcPr>
            <w:tcW w:w="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1,770,348</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$ 4,576,697</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$ 4,288,640</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4,169,039</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Sales to Significant Customers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summarizes the percentage of sales to significant customer groups which accounted for at least ten percent of its total revenue in each of fiscal years 2022, 2021 and 2020.</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040" w:type="dxa"/>
            <w:vAlign w:val="bottom"/>
            <w:tcBorders>
              <w:bottom w:val="single" w:sz="8" w:color="auto"/>
            </w:tcBorders>
            <w:gridSpan w:val="4"/>
          </w:tcPr>
          <w:p>
            <w:pPr>
              <w:jc w:val="center"/>
              <w:ind w:left="319"/>
              <w:spacing w:after="0"/>
              <w:rPr>
                <w:sz w:val="20"/>
                <w:szCs w:val="20"/>
                <w:color w:val="auto"/>
              </w:rPr>
            </w:pPr>
            <w:r>
              <w:rPr>
                <w:rFonts w:ascii="Arial" w:cs="Arial" w:eastAsia="Arial" w:hAnsi="Arial"/>
                <w:sz w:val="14"/>
                <w:szCs w:val="14"/>
                <w:b w:val="1"/>
                <w:bCs w:val="1"/>
                <w:color w:val="auto"/>
                <w:w w:val="92"/>
              </w:rPr>
              <w:t>Year Ended September 30,</w:t>
            </w:r>
          </w:p>
        </w:tc>
        <w:tc>
          <w:tcPr>
            <w:tcW w:w="4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59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Revenue</w:t>
            </w:r>
          </w:p>
        </w:tc>
        <w:tc>
          <w:tcPr>
            <w:tcW w:w="59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right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Arial" w:cs="Arial" w:eastAsia="Arial" w:hAnsi="Arial"/>
                <w:sz w:val="18"/>
                <w:szCs w:val="18"/>
                <w:color w:val="auto"/>
              </w:rPr>
              <w:t>Customer 1</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26.8%</w:t>
            </w:r>
          </w:p>
        </w:tc>
        <w:tc>
          <w:tcPr>
            <w:tcW w:w="1060" w:type="dxa"/>
            <w:vAlign w:val="bottom"/>
            <w:gridSpan w:val="2"/>
          </w:tcPr>
          <w:p>
            <w:pPr>
              <w:jc w:val="right"/>
              <w:ind w:right="480"/>
              <w:spacing w:after="0"/>
              <w:rPr>
                <w:sz w:val="20"/>
                <w:szCs w:val="20"/>
                <w:color w:val="auto"/>
              </w:rPr>
            </w:pPr>
            <w:r>
              <w:rPr>
                <w:rFonts w:ascii="Arial" w:cs="Arial" w:eastAsia="Arial" w:hAnsi="Arial"/>
                <w:sz w:val="18"/>
                <w:szCs w:val="18"/>
                <w:color w:val="auto"/>
              </w:rPr>
              <w:t>25.0%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59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2(*)</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w:t>
            </w:r>
          </w:p>
        </w:tc>
        <w:tc>
          <w:tcPr>
            <w:tcW w:w="1060" w:type="dxa"/>
            <w:vAlign w:val="bottom"/>
            <w:tcBorders>
              <w:right w:val="single" w:sz="8" w:color="CCEEFF"/>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19.1%</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  Starting April 1, 2020, following the merger of two significant customers, their respective revenue was consolidated and comprise Customer 2.</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22 — Selected Quarterly Results of Operations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details of the unaudited quarterly results of operations for the three months ended:</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44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Fourth Quarter</w:t>
            </w:r>
          </w:p>
        </w:tc>
        <w:tc>
          <w:tcPr>
            <w:tcW w:w="32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Third Quarter</w:t>
            </w:r>
          </w:p>
        </w:tc>
        <w:tc>
          <w:tcPr>
            <w:tcW w:w="32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Second Quarter</w:t>
            </w:r>
          </w:p>
        </w:tc>
        <w:tc>
          <w:tcPr>
            <w:tcW w:w="3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First Quarter</w:t>
            </w:r>
          </w:p>
        </w:tc>
      </w:tr>
      <w:tr>
        <w:trPr>
          <w:trHeight w:val="196"/>
        </w:trPr>
        <w:tc>
          <w:tcPr>
            <w:tcW w:w="4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2022</w:t>
            </w: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Revenue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1,166,504</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1,160,290</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1,145,271</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$ 1,104,632</w:t>
            </w: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171,686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169,314</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163,651</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160,146</w:t>
            </w: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128,936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128,466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158,497</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133,602</w:t>
            </w: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1.29</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1.07</w:t>
            </w: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1.05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1.04</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1.28</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1.07</w:t>
            </w: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Revenue</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1,087,309</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1,066,254</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1,048,734</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$ 1,086,343</w:t>
            </w: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154,330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154,919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149,244</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140,200</w:t>
            </w:r>
          </w:p>
        </w:tc>
      </w:tr>
      <w:tr>
        <w:trPr>
          <w:trHeight w:val="216"/>
        </w:trPr>
        <w:tc>
          <w:tcPr>
            <w:tcW w:w="44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123,525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146,150</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119,067</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299,632</w:t>
            </w:r>
          </w:p>
        </w:tc>
      </w:tr>
      <w:tr>
        <w:trPr>
          <w:trHeight w:val="216"/>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0.92</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r>
      <w:tr>
        <w:trPr>
          <w:trHeight w:val="230"/>
        </w:trPr>
        <w:tc>
          <w:tcPr>
            <w:tcW w:w="446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0.97</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1.14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0.91</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2.28</w:t>
            </w:r>
          </w:p>
        </w:tc>
      </w:tr>
      <w:tr>
        <w:trPr>
          <w:trHeight w:val="350"/>
        </w:trPr>
        <w:tc>
          <w:tcPr>
            <w:tcW w:w="4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F-41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80"/>
          </w:cols>
          <w:pgMar w:left="320" w:top="486" w:right="49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Financial Statement Schedule</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vMerge w:val="restart"/>
          </w:tcPr>
          <w:p>
            <w:pPr>
              <w:jc w:val="center"/>
              <w:ind w:right="1160"/>
              <w:spacing w:after="0"/>
              <w:rPr>
                <w:sz w:val="20"/>
                <w:szCs w:val="20"/>
                <w:color w:val="auto"/>
              </w:rPr>
            </w:pPr>
            <w:r>
              <w:rPr>
                <w:rFonts w:ascii="Arial" w:cs="Arial" w:eastAsia="Arial" w:hAnsi="Arial"/>
                <w:sz w:val="14"/>
                <w:szCs w:val="14"/>
                <w:b w:val="1"/>
                <w:bCs w:val="1"/>
                <w:color w:val="auto"/>
                <w:w w:val="87"/>
              </w:rPr>
              <w:t>Accounts</w:t>
            </w:r>
          </w:p>
        </w:tc>
        <w:tc>
          <w:tcPr>
            <w:tcW w:w="100" w:type="dxa"/>
            <w:vAlign w:val="bottom"/>
          </w:tcPr>
          <w:p>
            <w:pPr>
              <w:spacing w:after="0"/>
              <w:rPr>
                <w:sz w:val="14"/>
                <w:szCs w:val="14"/>
                <w:color w:val="auto"/>
              </w:rPr>
            </w:pPr>
          </w:p>
        </w:tc>
        <w:tc>
          <w:tcPr>
            <w:tcW w:w="1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Valuation</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Allowances on</w:t>
            </w:r>
          </w:p>
        </w:tc>
        <w:tc>
          <w:tcPr>
            <w:tcW w:w="0" w:type="dxa"/>
            <w:vAlign w:val="bottom"/>
          </w:tcPr>
          <w:p>
            <w:pPr>
              <w:spacing w:after="0"/>
              <w:rPr>
                <w:sz w:val="1"/>
                <w:szCs w:val="1"/>
                <w:color w:val="auto"/>
              </w:rPr>
            </w:pPr>
          </w:p>
        </w:tc>
      </w:tr>
      <w:tr>
        <w:trPr>
          <w:trHeight w:val="148"/>
        </w:trPr>
        <w:tc>
          <w:tcPr>
            <w:tcW w:w="3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Receivable</w:t>
            </w:r>
          </w:p>
        </w:tc>
        <w:tc>
          <w:tcPr>
            <w:tcW w:w="120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Net Deferred</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0"/>
              </w:rPr>
              <w:t>Allowances</w:t>
            </w:r>
          </w:p>
        </w:tc>
        <w:tc>
          <w:tcPr>
            <w:tcW w:w="10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6"/>
              </w:rPr>
              <w:t>Tax Assets</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36,121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85,533</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Charged to costs and expenses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1060"/>
              <w:spacing w:after="0"/>
              <w:rPr>
                <w:sz w:val="20"/>
                <w:szCs w:val="20"/>
                <w:color w:val="auto"/>
              </w:rPr>
            </w:pPr>
            <w:r>
              <w:rPr>
                <w:rFonts w:ascii="Arial" w:cs="Arial" w:eastAsia="Arial" w:hAnsi="Arial"/>
                <w:sz w:val="18"/>
                <w:szCs w:val="18"/>
                <w:color w:val="auto"/>
              </w:rPr>
              <w:t>18,465</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8,521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Charged to other accounts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1,005(1)</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Deductions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780"/>
              <w:spacing w:after="0"/>
              <w:rPr>
                <w:sz w:val="20"/>
                <w:szCs w:val="20"/>
                <w:color w:val="auto"/>
              </w:rPr>
            </w:pPr>
            <w:r>
              <w:rPr>
                <w:rFonts w:ascii="Arial" w:cs="Arial" w:eastAsia="Arial" w:hAnsi="Arial"/>
                <w:sz w:val="18"/>
                <w:szCs w:val="18"/>
                <w:color w:val="auto"/>
              </w:rPr>
              <w:t>(27,644)(3)</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(25,604)(2)</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2020</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23,419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69,455</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Charged to costs and expenses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1060"/>
              <w:spacing w:after="0"/>
              <w:rPr>
                <w:sz w:val="20"/>
                <w:szCs w:val="20"/>
                <w:color w:val="auto"/>
              </w:rPr>
            </w:pPr>
            <w:r>
              <w:rPr>
                <w:rFonts w:ascii="Arial" w:cs="Arial" w:eastAsia="Arial" w:hAnsi="Arial"/>
                <w:sz w:val="18"/>
                <w:szCs w:val="18"/>
                <w:color w:val="auto"/>
              </w:rPr>
              <w:t>10,345</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6,382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Charged to other accounts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3,720(1)</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Deductions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780"/>
              <w:spacing w:after="0"/>
              <w:rPr>
                <w:sz w:val="20"/>
                <w:szCs w:val="20"/>
                <w:color w:val="auto"/>
              </w:rPr>
            </w:pPr>
            <w:r>
              <w:rPr>
                <w:rFonts w:ascii="Arial" w:cs="Arial" w:eastAsia="Arial" w:hAnsi="Arial"/>
                <w:sz w:val="18"/>
                <w:szCs w:val="18"/>
                <w:color w:val="auto"/>
              </w:rPr>
              <w:t>(13,855)(5)</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(14,007)(4)</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2021</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20,065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65,550</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Charged to costs and expenses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1060"/>
              <w:spacing w:after="0"/>
              <w:rPr>
                <w:sz w:val="20"/>
                <w:szCs w:val="20"/>
                <w:color w:val="auto"/>
              </w:rPr>
            </w:pPr>
            <w:r>
              <w:rPr>
                <w:rFonts w:ascii="Arial" w:cs="Arial" w:eastAsia="Arial" w:hAnsi="Arial"/>
                <w:sz w:val="18"/>
                <w:szCs w:val="18"/>
                <w:color w:val="auto"/>
              </w:rPr>
              <w:t>8,263</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3,840</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Charged to other accounts</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584(1)</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Deductions</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780"/>
              <w:spacing w:after="0"/>
              <w:rPr>
                <w:sz w:val="20"/>
                <w:szCs w:val="20"/>
                <w:color w:val="auto"/>
              </w:rPr>
            </w:pPr>
            <w:r>
              <w:rPr>
                <w:rFonts w:ascii="Arial" w:cs="Arial" w:eastAsia="Arial" w:hAnsi="Arial"/>
                <w:sz w:val="18"/>
                <w:szCs w:val="18"/>
                <w:color w:val="auto"/>
              </w:rPr>
              <w:t>(11,277)(7)</w:t>
            </w:r>
          </w:p>
        </w:tc>
        <w:tc>
          <w:tcPr>
            <w:tcW w:w="10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(13,106)(6)</w:t>
            </w: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2022</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16,627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56,868</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Includes valuation allowances on deferred tax assets incurred in connection with an acquisition.</w:t>
      </w:r>
    </w:p>
    <w:p>
      <w:pPr>
        <w:spacing w:after="0" w:line="23" w:lineRule="exact"/>
        <w:rPr>
          <w:rFonts w:ascii="Arial" w:cs="Arial" w:eastAsia="Arial" w:hAnsi="Arial"/>
          <w:sz w:val="18"/>
          <w:szCs w:val="18"/>
          <w:color w:val="auto"/>
        </w:rPr>
      </w:pPr>
    </w:p>
    <w:p>
      <w:pPr>
        <w:ind w:left="54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$2,283 of valuation allowances on deferred tax assets were written off against the related deferred tax assets, and the remaining deductions in the valuation allowances on net deferred tax assets were released to earnings.</w:t>
      </w:r>
    </w:p>
    <w:p>
      <w:pPr>
        <w:ind w:left="540" w:right="38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$4,969 of accounts receivable allowances were written off against the related accounts receivables, $7,089 were written off against deferred revenue and the remaining deductions in the accounts receivable allowances were released to earnings.</w:t>
      </w:r>
    </w:p>
    <w:p>
      <w:pPr>
        <w:ind w:left="54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$1,557 of valuation allowances on deferred tax assets were written off against the related deferred tax assets, and the remaining deductions in the valuation allowances on net deferred tax assets were released to earnings.</w:t>
      </w:r>
    </w:p>
    <w:p>
      <w:pPr>
        <w:ind w:left="540" w:right="2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$8,486 of accounts receivable allowances were written off against the related accounts receivables, and the remaining deductions in the accounts receivable allowances were released to earnings.</w:t>
      </w:r>
    </w:p>
    <w:p>
      <w:pPr>
        <w:ind w:left="540" w:hanging="424"/>
        <w:spacing w:after="0" w:line="25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$4,684 of valuation allowances on deferred tax assets were written off against the related deferred tax assets, and the remaining deductions in the valuation allowances on net deferred tax assets were released to earnings.</w:t>
      </w:r>
    </w:p>
    <w:p>
      <w:pPr>
        <w:ind w:left="540" w:right="700" w:hanging="424"/>
        <w:spacing w:after="0" w:line="260" w:lineRule="auto"/>
        <w:tabs>
          <w:tab w:leader="none" w:pos="5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$6,361 of accounts receivable allowances were written off against the related accounts receivables, and the remaining deductions in the accounts receivable allowances were released to earnings.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0980"/>
          </w:cols>
          <w:pgMar w:left="320" w:top="486" w:right="59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rights of each applicable class of securities registered under Section 12 of the Securities Exchange Act of 1934</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is a summary of the rights of ordinary shares of Amdocs Limited. All references to all references to “Amdocs,” “we,” “our,” “us” and the “Company” refer to Amdocs Limited. Our Ordinary shares have a nominal value of £0.01. As of September 30, 2022, our ordinary shares are the only class of securities of the company that are registered under Section 12 of the Securities Exchange Act of 1934 (the “Exchange Act”), as amended. Our ordinary shares are listed on the Nasdaq Global Select Market under the symbol “DOX.” We are incorporated as a public company with limited liability under the laws of the Island of Guernsey.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and Class of Securities (Item 9.A.5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“Item 10. Additional information – Memorandum and Articles of Incorporation.” of the Form 20-F.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 (Item 9.A.3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or Qualifications (Item 9.A.6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(Item 9.A.7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the Shares (Item 10.B.3 of Form 20-F)</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“Item 10. Additional information – Memorandum and Articles of Incorporation – Ordinary Shares and Non-Voting Ordinary Shares” of the Form 20-F.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Amendments (Item 10.B.4 of Form 20-F)</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See “Item 10. Additional information – Memorandum and Articles of Incorporation – Ordinary Shares and Non-Voting Ordinary Shares” of the Form 20-F.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Rights to Own Shares (Item 10.B.6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Affecting Any Change of Control (Item 10.B.7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Threshold (Item 10.B.8 of Form 20-F)</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Exchange Act, as amended (other than a foreign private issuer, such as Amdocs Limited), disclose such ownership. In addition, holders of more than 5% of a registered equity security of a company (including a foreign private issuer) must disclose such ownership.</w:t>
      </w:r>
    </w:p>
    <w:p>
      <w:pPr>
        <w:sectPr>
          <w:pgSz w:w="11900" w:h="16838" w:orient="portrait"/>
          <w:cols w:equalWidth="0" w:num="1">
            <w:col w:w="11020"/>
          </w:cols>
          <w:pgMar w:left="440" w:top="121"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Differences Between the Law of Different Jurisdictions (Item 10.B.9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“Item 10. Additional information – Memorandum and Articles of Incorporation” of the Form 20-F.</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 (Item 10.B.10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“Item 10. Additional information – Memorandum and Articles of Incorporation” of the Form 20-F.</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(Item 12.A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and Rights (Item 12.B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Securities (Item 12.C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 (Items 12.D.1 and 12.D.2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019"/>
          </w:cols>
          <w:pgMar w:left="440" w:top="270"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4.a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Restated and Amended Master Services and Software License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AT&amp;T Agreement No. 53258.A.005</w:t>
      </w:r>
    </w:p>
    <w:p>
      <w:pPr>
        <w:spacing w:after="0" w:line="207"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(I) NOT MATERIAL AND (II) IS THE TYPE THAT THE REGISTRANT TREATS AS PRIVATE OR CONFIDENTIAL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Restated and Amended Master Services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Software License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 53258.C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Amdocs Development Limited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Proprietary and 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Agreement and information contained therein is not for use or disclosure outside of AT&amp;T, its Affiliates, and third party representatives, and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Supplier except under written agreement by the contracting parties.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5" w:right="4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6520" w:type="dxa"/>
            <w:vAlign w:val="bottom"/>
          </w:tcPr>
          <w:p>
            <w:pPr>
              <w:jc w:val="right"/>
              <w:spacing w:after="0"/>
              <w:rPr>
                <w:sz w:val="20"/>
                <w:szCs w:val="20"/>
                <w:color w:val="auto"/>
              </w:rPr>
            </w:pPr>
            <w:r>
              <w:rPr>
                <w:rFonts w:ascii="Arial" w:cs="Arial" w:eastAsia="Arial" w:hAnsi="Arial"/>
                <w:sz w:val="18"/>
                <w:szCs w:val="18"/>
                <w:color w:val="auto"/>
              </w:rPr>
              <w:t>AT&amp;T Agreement No. 53258.A.005</w:t>
            </w:r>
          </w:p>
        </w:tc>
      </w:tr>
      <w:tr>
        <w:trPr>
          <w:trHeight w:val="364"/>
        </w:trPr>
        <w:tc>
          <w:tcPr>
            <w:tcW w:w="3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6520" w:type="dxa"/>
            <w:vAlign w:val="bottom"/>
          </w:tcPr>
          <w:p>
            <w:pPr>
              <w:jc w:val="right"/>
              <w:ind w:right="4790"/>
              <w:spacing w:after="0"/>
              <w:rPr>
                <w:sz w:val="20"/>
                <w:szCs w:val="20"/>
                <w:color w:val="auto"/>
              </w:rPr>
            </w:pPr>
            <w:r>
              <w:rPr>
                <w:rFonts w:ascii="Arial" w:cs="Arial" w:eastAsia="Arial" w:hAnsi="Arial"/>
                <w:sz w:val="18"/>
                <w:szCs w:val="18"/>
                <w:color w:val="auto"/>
              </w:rPr>
              <w:t>Table of Contents</w:t>
            </w:r>
          </w:p>
        </w:tc>
      </w:tr>
      <w:tr>
        <w:trPr>
          <w:trHeight w:val="445"/>
        </w:trPr>
        <w:tc>
          <w:tcPr>
            <w:tcW w:w="360" w:type="dxa"/>
            <w:vAlign w:val="bottom"/>
          </w:tcPr>
          <w:p>
            <w:pPr>
              <w:spacing w:after="0"/>
              <w:rPr>
                <w:sz w:val="20"/>
                <w:szCs w:val="20"/>
                <w:color w:val="auto"/>
              </w:rPr>
            </w:pPr>
            <w:r>
              <w:rPr>
                <w:rFonts w:ascii="Arial" w:cs="Arial" w:eastAsia="Arial" w:hAnsi="Arial"/>
                <w:sz w:val="18"/>
                <w:szCs w:val="18"/>
                <w:color w:val="auto"/>
              </w:rPr>
              <w:t>1.0</w:t>
            </w:r>
          </w:p>
        </w:tc>
        <w:tc>
          <w:tcPr>
            <w:tcW w:w="4140" w:type="dxa"/>
            <w:vAlign w:val="bottom"/>
          </w:tcPr>
          <w:p>
            <w:pPr>
              <w:ind w:left="60"/>
              <w:spacing w:after="0"/>
              <w:rPr>
                <w:sz w:val="20"/>
                <w:szCs w:val="20"/>
                <w:color w:val="auto"/>
              </w:rPr>
            </w:pPr>
            <w:r>
              <w:rPr>
                <w:rFonts w:ascii="Arial" w:cs="Arial" w:eastAsia="Arial" w:hAnsi="Arial"/>
                <w:sz w:val="18"/>
                <w:szCs w:val="18"/>
                <w:color w:val="auto"/>
              </w:rPr>
              <w:t>PREAMBLE</w:t>
            </w:r>
          </w:p>
        </w:tc>
        <w:tc>
          <w:tcPr>
            <w:tcW w:w="6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2.0</w:t>
            </w:r>
          </w:p>
        </w:tc>
        <w:tc>
          <w:tcPr>
            <w:tcW w:w="414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6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2.1</w:t>
            </w:r>
          </w:p>
        </w:tc>
        <w:tc>
          <w:tcPr>
            <w:tcW w:w="4140" w:type="dxa"/>
            <w:vAlign w:val="bottom"/>
          </w:tcPr>
          <w:p>
            <w:pPr>
              <w:ind w:left="60"/>
              <w:spacing w:after="0"/>
              <w:rPr>
                <w:sz w:val="20"/>
                <w:szCs w:val="20"/>
                <w:color w:val="auto"/>
              </w:rPr>
            </w:pPr>
            <w:r>
              <w:rPr>
                <w:rFonts w:ascii="Arial" w:cs="Arial" w:eastAsia="Arial" w:hAnsi="Arial"/>
                <w:sz w:val="18"/>
                <w:szCs w:val="18"/>
                <w:color w:val="auto"/>
              </w:rPr>
              <w:t>Accept or Acceptance</w:t>
            </w:r>
          </w:p>
        </w:tc>
        <w:tc>
          <w:tcPr>
            <w:tcW w:w="6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2.2</w:t>
            </w:r>
          </w:p>
        </w:tc>
        <w:tc>
          <w:tcPr>
            <w:tcW w:w="4140" w:type="dxa"/>
            <w:vAlign w:val="bottom"/>
          </w:tcPr>
          <w:p>
            <w:pPr>
              <w:ind w:left="60"/>
              <w:spacing w:after="0"/>
              <w:rPr>
                <w:sz w:val="20"/>
                <w:szCs w:val="20"/>
                <w:color w:val="auto"/>
              </w:rPr>
            </w:pPr>
            <w:r>
              <w:rPr>
                <w:rFonts w:ascii="Arial" w:cs="Arial" w:eastAsia="Arial" w:hAnsi="Arial"/>
                <w:sz w:val="18"/>
                <w:szCs w:val="18"/>
                <w:color w:val="auto"/>
              </w:rPr>
              <w:t>Acceptance Date</w:t>
            </w:r>
          </w:p>
        </w:tc>
        <w:tc>
          <w:tcPr>
            <w:tcW w:w="6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2.3</w:t>
            </w:r>
          </w:p>
        </w:tc>
        <w:tc>
          <w:tcPr>
            <w:tcW w:w="4140" w:type="dxa"/>
            <w:vAlign w:val="bottom"/>
          </w:tcPr>
          <w:p>
            <w:pPr>
              <w:ind w:left="60"/>
              <w:spacing w:after="0"/>
              <w:rPr>
                <w:sz w:val="20"/>
                <w:szCs w:val="20"/>
                <w:color w:val="auto"/>
              </w:rPr>
            </w:pPr>
            <w:r>
              <w:rPr>
                <w:rFonts w:ascii="Arial" w:cs="Arial" w:eastAsia="Arial" w:hAnsi="Arial"/>
                <w:sz w:val="18"/>
                <w:szCs w:val="18"/>
                <w:color w:val="auto"/>
              </w:rPr>
              <w:t>Acceptance Letter</w:t>
            </w:r>
          </w:p>
        </w:tc>
        <w:tc>
          <w:tcPr>
            <w:tcW w:w="6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2.4</w:t>
            </w:r>
          </w:p>
        </w:tc>
        <w:tc>
          <w:tcPr>
            <w:tcW w:w="4140" w:type="dxa"/>
            <w:vAlign w:val="bottom"/>
          </w:tcPr>
          <w:p>
            <w:pPr>
              <w:ind w:left="60"/>
              <w:spacing w:after="0"/>
              <w:rPr>
                <w:sz w:val="20"/>
                <w:szCs w:val="20"/>
                <w:color w:val="auto"/>
              </w:rPr>
            </w:pPr>
            <w:r>
              <w:rPr>
                <w:rFonts w:ascii="Arial" w:cs="Arial" w:eastAsia="Arial" w:hAnsi="Arial"/>
                <w:sz w:val="18"/>
                <w:szCs w:val="18"/>
                <w:color w:val="auto"/>
              </w:rPr>
              <w:t>Acceptance Test Period or Trial Period</w:t>
            </w:r>
          </w:p>
        </w:tc>
        <w:tc>
          <w:tcPr>
            <w:tcW w:w="6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2.5</w:t>
            </w:r>
          </w:p>
        </w:tc>
        <w:tc>
          <w:tcPr>
            <w:tcW w:w="4140" w:type="dxa"/>
            <w:vAlign w:val="bottom"/>
          </w:tcPr>
          <w:p>
            <w:pPr>
              <w:ind w:left="60"/>
              <w:spacing w:after="0"/>
              <w:rPr>
                <w:sz w:val="20"/>
                <w:szCs w:val="20"/>
                <w:color w:val="auto"/>
              </w:rPr>
            </w:pPr>
            <w:r>
              <w:rPr>
                <w:rFonts w:ascii="Arial" w:cs="Arial" w:eastAsia="Arial" w:hAnsi="Arial"/>
                <w:sz w:val="18"/>
                <w:szCs w:val="18"/>
                <w:color w:val="auto"/>
              </w:rPr>
              <w:t>Acceptance Tests</w:t>
            </w:r>
          </w:p>
        </w:tc>
        <w:tc>
          <w:tcPr>
            <w:tcW w:w="6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2.6</w:t>
            </w:r>
          </w:p>
        </w:tc>
        <w:tc>
          <w:tcPr>
            <w:tcW w:w="4140" w:type="dxa"/>
            <w:vAlign w:val="bottom"/>
          </w:tcPr>
          <w:p>
            <w:pPr>
              <w:ind w:left="60"/>
              <w:spacing w:after="0"/>
              <w:rPr>
                <w:sz w:val="20"/>
                <w:szCs w:val="20"/>
                <w:color w:val="auto"/>
              </w:rPr>
            </w:pPr>
            <w:r>
              <w:rPr>
                <w:rFonts w:ascii="Arial" w:cs="Arial" w:eastAsia="Arial" w:hAnsi="Arial"/>
                <w:sz w:val="18"/>
                <w:szCs w:val="18"/>
                <w:color w:val="auto"/>
              </w:rPr>
              <w:t>Affiliate</w:t>
            </w:r>
          </w:p>
        </w:tc>
        <w:tc>
          <w:tcPr>
            <w:tcW w:w="6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2.7</w:t>
            </w:r>
          </w:p>
        </w:tc>
        <w:tc>
          <w:tcPr>
            <w:tcW w:w="4140" w:type="dxa"/>
            <w:vAlign w:val="bottom"/>
          </w:tcPr>
          <w:p>
            <w:pPr>
              <w:ind w:left="60"/>
              <w:spacing w:after="0"/>
              <w:rPr>
                <w:sz w:val="20"/>
                <w:szCs w:val="20"/>
                <w:color w:val="auto"/>
              </w:rPr>
            </w:pPr>
            <w:r>
              <w:rPr>
                <w:rFonts w:ascii="Arial" w:cs="Arial" w:eastAsia="Arial" w:hAnsi="Arial"/>
                <w:sz w:val="18"/>
                <w:szCs w:val="18"/>
                <w:color w:val="auto"/>
              </w:rPr>
              <w:t>Agreement</w:t>
            </w:r>
          </w:p>
        </w:tc>
        <w:tc>
          <w:tcPr>
            <w:tcW w:w="6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2.8</w:t>
            </w:r>
          </w:p>
        </w:tc>
        <w:tc>
          <w:tcPr>
            <w:tcW w:w="4140" w:type="dxa"/>
            <w:vAlign w:val="bottom"/>
          </w:tcPr>
          <w:p>
            <w:pPr>
              <w:ind w:left="60"/>
              <w:spacing w:after="0"/>
              <w:rPr>
                <w:sz w:val="20"/>
                <w:szCs w:val="20"/>
                <w:color w:val="auto"/>
              </w:rPr>
            </w:pPr>
            <w:r>
              <w:rPr>
                <w:rFonts w:ascii="Arial" w:cs="Arial" w:eastAsia="Arial" w:hAnsi="Arial"/>
                <w:sz w:val="18"/>
                <w:szCs w:val="18"/>
                <w:color w:val="auto"/>
              </w:rPr>
              <w:t>AT&amp;T Data</w:t>
            </w:r>
          </w:p>
        </w:tc>
        <w:tc>
          <w:tcPr>
            <w:tcW w:w="6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2.9</w:t>
            </w:r>
          </w:p>
        </w:tc>
        <w:tc>
          <w:tcPr>
            <w:tcW w:w="4140" w:type="dxa"/>
            <w:vAlign w:val="bottom"/>
          </w:tcPr>
          <w:p>
            <w:pPr>
              <w:ind w:left="60"/>
              <w:spacing w:after="0"/>
              <w:rPr>
                <w:sz w:val="20"/>
                <w:szCs w:val="20"/>
                <w:color w:val="auto"/>
              </w:rPr>
            </w:pPr>
            <w:r>
              <w:rPr>
                <w:rFonts w:ascii="Arial" w:cs="Arial" w:eastAsia="Arial" w:hAnsi="Arial"/>
                <w:sz w:val="18"/>
                <w:szCs w:val="18"/>
                <w:color w:val="auto"/>
              </w:rPr>
              <w:t>AT&amp;T Derived Data or AT&amp;T Derived Information</w:t>
            </w:r>
          </w:p>
        </w:tc>
        <w:tc>
          <w:tcPr>
            <w:tcW w:w="6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2.10</w:t>
            </w:r>
          </w:p>
        </w:tc>
        <w:tc>
          <w:tcPr>
            <w:tcW w:w="4140" w:type="dxa"/>
            <w:vAlign w:val="bottom"/>
          </w:tcPr>
          <w:p>
            <w:pPr>
              <w:ind w:left="60"/>
              <w:spacing w:after="0"/>
              <w:rPr>
                <w:sz w:val="20"/>
                <w:szCs w:val="20"/>
                <w:color w:val="auto"/>
              </w:rPr>
            </w:pPr>
            <w:r>
              <w:rPr>
                <w:rFonts w:ascii="Arial" w:cs="Arial" w:eastAsia="Arial" w:hAnsi="Arial"/>
                <w:sz w:val="18"/>
                <w:szCs w:val="18"/>
                <w:color w:val="auto"/>
              </w:rPr>
              <w:t>Call Center Work</w:t>
            </w:r>
          </w:p>
        </w:tc>
        <w:tc>
          <w:tcPr>
            <w:tcW w:w="6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2.11</w:t>
            </w:r>
          </w:p>
        </w:tc>
        <w:tc>
          <w:tcPr>
            <w:tcW w:w="4140" w:type="dxa"/>
            <w:vAlign w:val="bottom"/>
          </w:tcPr>
          <w:p>
            <w:pPr>
              <w:ind w:left="60"/>
              <w:spacing w:after="0"/>
              <w:rPr>
                <w:sz w:val="20"/>
                <w:szCs w:val="20"/>
                <w:color w:val="auto"/>
              </w:rPr>
            </w:pPr>
            <w:r>
              <w:rPr>
                <w:rFonts w:ascii="Arial" w:cs="Arial" w:eastAsia="Arial" w:hAnsi="Arial"/>
                <w:sz w:val="18"/>
                <w:szCs w:val="18"/>
                <w:color w:val="auto"/>
              </w:rPr>
              <w:t>Computer Program</w:t>
            </w:r>
          </w:p>
        </w:tc>
        <w:tc>
          <w:tcPr>
            <w:tcW w:w="6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2.12</w:t>
            </w:r>
          </w:p>
        </w:tc>
        <w:tc>
          <w:tcPr>
            <w:tcW w:w="4140" w:type="dxa"/>
            <w:vAlign w:val="bottom"/>
          </w:tcPr>
          <w:p>
            <w:pPr>
              <w:ind w:left="60"/>
              <w:spacing w:after="0"/>
              <w:rPr>
                <w:sz w:val="20"/>
                <w:szCs w:val="20"/>
                <w:color w:val="auto"/>
              </w:rPr>
            </w:pPr>
            <w:r>
              <w:rPr>
                <w:rFonts w:ascii="Arial" w:cs="Arial" w:eastAsia="Arial" w:hAnsi="Arial"/>
                <w:sz w:val="18"/>
                <w:szCs w:val="18"/>
                <w:color w:val="auto"/>
              </w:rPr>
              <w:t>Concurrent Users</w:t>
            </w:r>
          </w:p>
        </w:tc>
        <w:tc>
          <w:tcPr>
            <w:tcW w:w="6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2.13</w:t>
            </w:r>
          </w:p>
        </w:tc>
        <w:tc>
          <w:tcPr>
            <w:tcW w:w="4140" w:type="dxa"/>
            <w:vAlign w:val="bottom"/>
          </w:tcPr>
          <w:p>
            <w:pPr>
              <w:ind w:left="60"/>
              <w:spacing w:after="0"/>
              <w:rPr>
                <w:sz w:val="20"/>
                <w:szCs w:val="20"/>
                <w:color w:val="auto"/>
              </w:rPr>
            </w:pPr>
            <w:r>
              <w:rPr>
                <w:rFonts w:ascii="Arial" w:cs="Arial" w:eastAsia="Arial" w:hAnsi="Arial"/>
                <w:sz w:val="18"/>
                <w:szCs w:val="18"/>
                <w:color w:val="auto"/>
              </w:rPr>
              <w:t>Critical Performance Milestone</w:t>
            </w:r>
          </w:p>
        </w:tc>
        <w:tc>
          <w:tcPr>
            <w:tcW w:w="6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2.14</w:t>
            </w:r>
          </w:p>
        </w:tc>
        <w:tc>
          <w:tcPr>
            <w:tcW w:w="4140" w:type="dxa"/>
            <w:vAlign w:val="bottom"/>
          </w:tcPr>
          <w:p>
            <w:pPr>
              <w:ind w:left="60"/>
              <w:spacing w:after="0"/>
              <w:rPr>
                <w:sz w:val="20"/>
                <w:szCs w:val="20"/>
                <w:color w:val="auto"/>
              </w:rPr>
            </w:pPr>
            <w:r>
              <w:rPr>
                <w:rFonts w:ascii="Arial" w:cs="Arial" w:eastAsia="Arial" w:hAnsi="Arial"/>
                <w:sz w:val="18"/>
                <w:szCs w:val="18"/>
                <w:color w:val="auto"/>
              </w:rPr>
              <w:t>Custom Software</w:t>
            </w:r>
          </w:p>
        </w:tc>
        <w:tc>
          <w:tcPr>
            <w:tcW w:w="6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2.15</w:t>
            </w:r>
          </w:p>
        </w:tc>
        <w:tc>
          <w:tcPr>
            <w:tcW w:w="4140" w:type="dxa"/>
            <w:vAlign w:val="bottom"/>
          </w:tcPr>
          <w:p>
            <w:pPr>
              <w:ind w:left="60"/>
              <w:spacing w:after="0"/>
              <w:rPr>
                <w:sz w:val="20"/>
                <w:szCs w:val="20"/>
                <w:color w:val="auto"/>
              </w:rPr>
            </w:pPr>
            <w:r>
              <w:rPr>
                <w:rFonts w:ascii="Arial" w:cs="Arial" w:eastAsia="Arial" w:hAnsi="Arial"/>
                <w:sz w:val="18"/>
                <w:szCs w:val="18"/>
                <w:color w:val="auto"/>
              </w:rPr>
              <w:t>Customer Information</w:t>
            </w:r>
          </w:p>
        </w:tc>
        <w:tc>
          <w:tcPr>
            <w:tcW w:w="6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2.16</w:t>
            </w:r>
          </w:p>
        </w:tc>
        <w:tc>
          <w:tcPr>
            <w:tcW w:w="4140" w:type="dxa"/>
            <w:vAlign w:val="bottom"/>
          </w:tcPr>
          <w:p>
            <w:pPr>
              <w:ind w:left="60"/>
              <w:spacing w:after="0"/>
              <w:rPr>
                <w:sz w:val="20"/>
                <w:szCs w:val="20"/>
                <w:color w:val="auto"/>
              </w:rPr>
            </w:pPr>
            <w:r>
              <w:rPr>
                <w:rFonts w:ascii="Arial" w:cs="Arial" w:eastAsia="Arial" w:hAnsi="Arial"/>
                <w:sz w:val="18"/>
                <w:szCs w:val="18"/>
                <w:color w:val="auto"/>
              </w:rPr>
              <w:t>Delivery</w:t>
            </w:r>
          </w:p>
        </w:tc>
        <w:tc>
          <w:tcPr>
            <w:tcW w:w="6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2.17</w:t>
            </w:r>
          </w:p>
        </w:tc>
        <w:tc>
          <w:tcPr>
            <w:tcW w:w="4140" w:type="dxa"/>
            <w:vAlign w:val="bottom"/>
          </w:tcPr>
          <w:p>
            <w:pPr>
              <w:ind w:left="60"/>
              <w:spacing w:after="0"/>
              <w:rPr>
                <w:sz w:val="20"/>
                <w:szCs w:val="20"/>
                <w:color w:val="auto"/>
              </w:rPr>
            </w:pPr>
            <w:r>
              <w:rPr>
                <w:rFonts w:ascii="Arial" w:cs="Arial" w:eastAsia="Arial" w:hAnsi="Arial"/>
                <w:sz w:val="18"/>
                <w:szCs w:val="18"/>
                <w:color w:val="auto"/>
              </w:rPr>
              <w:t>Delivery Date</w:t>
            </w:r>
          </w:p>
        </w:tc>
        <w:tc>
          <w:tcPr>
            <w:tcW w:w="6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2.18</w:t>
            </w:r>
          </w:p>
        </w:tc>
        <w:tc>
          <w:tcPr>
            <w:tcW w:w="4140" w:type="dxa"/>
            <w:vAlign w:val="bottom"/>
          </w:tcPr>
          <w:p>
            <w:pPr>
              <w:ind w:left="60"/>
              <w:spacing w:after="0"/>
              <w:rPr>
                <w:sz w:val="20"/>
                <w:szCs w:val="20"/>
                <w:color w:val="auto"/>
              </w:rPr>
            </w:pPr>
            <w:r>
              <w:rPr>
                <w:rFonts w:ascii="Arial" w:cs="Arial" w:eastAsia="Arial" w:hAnsi="Arial"/>
                <w:sz w:val="18"/>
                <w:szCs w:val="18"/>
                <w:color w:val="auto"/>
              </w:rPr>
              <w:t>Design Materials</w:t>
            </w:r>
          </w:p>
        </w:tc>
        <w:tc>
          <w:tcPr>
            <w:tcW w:w="6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2.19</w:t>
            </w:r>
          </w:p>
        </w:tc>
        <w:tc>
          <w:tcPr>
            <w:tcW w:w="4140" w:type="dxa"/>
            <w:vAlign w:val="bottom"/>
          </w:tcPr>
          <w:p>
            <w:pPr>
              <w:ind w:left="60"/>
              <w:spacing w:after="0"/>
              <w:rPr>
                <w:sz w:val="20"/>
                <w:szCs w:val="20"/>
                <w:color w:val="auto"/>
              </w:rPr>
            </w:pPr>
            <w:r>
              <w:rPr>
                <w:rFonts w:ascii="Arial" w:cs="Arial" w:eastAsia="Arial" w:hAnsi="Arial"/>
                <w:sz w:val="18"/>
                <w:szCs w:val="18"/>
                <w:color w:val="auto"/>
              </w:rPr>
              <w:t>Designated Site</w:t>
            </w:r>
          </w:p>
        </w:tc>
        <w:tc>
          <w:tcPr>
            <w:tcW w:w="6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2.20</w:t>
            </w:r>
          </w:p>
        </w:tc>
        <w:tc>
          <w:tcPr>
            <w:tcW w:w="4140" w:type="dxa"/>
            <w:vAlign w:val="bottom"/>
          </w:tcPr>
          <w:p>
            <w:pPr>
              <w:ind w:left="60"/>
              <w:spacing w:after="0"/>
              <w:rPr>
                <w:sz w:val="20"/>
                <w:szCs w:val="20"/>
                <w:color w:val="auto"/>
              </w:rPr>
            </w:pPr>
            <w:r>
              <w:rPr>
                <w:rFonts w:ascii="Arial" w:cs="Arial" w:eastAsia="Arial" w:hAnsi="Arial"/>
                <w:sz w:val="18"/>
                <w:szCs w:val="18"/>
                <w:color w:val="auto"/>
              </w:rPr>
              <w:t>Designated System</w:t>
            </w:r>
          </w:p>
        </w:tc>
        <w:tc>
          <w:tcPr>
            <w:tcW w:w="6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2.21</w:t>
            </w:r>
          </w:p>
        </w:tc>
        <w:tc>
          <w:tcPr>
            <w:tcW w:w="4140" w:type="dxa"/>
            <w:vAlign w:val="bottom"/>
          </w:tcPr>
          <w:p>
            <w:pPr>
              <w:ind w:left="60"/>
              <w:spacing w:after="0"/>
              <w:rPr>
                <w:sz w:val="20"/>
                <w:szCs w:val="20"/>
                <w:color w:val="auto"/>
              </w:rPr>
            </w:pPr>
            <w:r>
              <w:rPr>
                <w:rFonts w:ascii="Arial" w:cs="Arial" w:eastAsia="Arial" w:hAnsi="Arial"/>
                <w:sz w:val="18"/>
                <w:szCs w:val="18"/>
                <w:color w:val="auto"/>
              </w:rPr>
              <w:t>Documentation or Program Material</w:t>
            </w:r>
          </w:p>
        </w:tc>
        <w:tc>
          <w:tcPr>
            <w:tcW w:w="6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2.22</w:t>
            </w:r>
          </w:p>
        </w:tc>
        <w:tc>
          <w:tcPr>
            <w:tcW w:w="4140" w:type="dxa"/>
            <w:vAlign w:val="bottom"/>
          </w:tcPr>
          <w:p>
            <w:pPr>
              <w:ind w:left="60"/>
              <w:spacing w:after="0"/>
              <w:rPr>
                <w:sz w:val="20"/>
                <w:szCs w:val="20"/>
                <w:color w:val="auto"/>
              </w:rPr>
            </w:pPr>
            <w:r>
              <w:rPr>
                <w:rFonts w:ascii="Arial" w:cs="Arial" w:eastAsia="Arial" w:hAnsi="Arial"/>
                <w:sz w:val="18"/>
                <w:szCs w:val="18"/>
                <w:color w:val="auto"/>
              </w:rPr>
              <w:t>Enhancement</w:t>
            </w:r>
          </w:p>
        </w:tc>
        <w:tc>
          <w:tcPr>
            <w:tcW w:w="6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2.23</w:t>
            </w:r>
          </w:p>
        </w:tc>
        <w:tc>
          <w:tcPr>
            <w:tcW w:w="4140" w:type="dxa"/>
            <w:vAlign w:val="bottom"/>
          </w:tcPr>
          <w:p>
            <w:pPr>
              <w:ind w:left="60"/>
              <w:spacing w:after="0"/>
              <w:rPr>
                <w:sz w:val="20"/>
                <w:szCs w:val="20"/>
                <w:color w:val="auto"/>
              </w:rPr>
            </w:pPr>
            <w:r>
              <w:rPr>
                <w:rFonts w:ascii="Arial" w:cs="Arial" w:eastAsia="Arial" w:hAnsi="Arial"/>
                <w:sz w:val="18"/>
                <w:szCs w:val="18"/>
                <w:color w:val="auto"/>
              </w:rPr>
              <w:t>Enterprise License</w:t>
            </w:r>
          </w:p>
        </w:tc>
        <w:tc>
          <w:tcPr>
            <w:tcW w:w="6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2.24</w:t>
            </w:r>
          </w:p>
        </w:tc>
        <w:tc>
          <w:tcPr>
            <w:tcW w:w="4140" w:type="dxa"/>
            <w:vAlign w:val="bottom"/>
          </w:tcPr>
          <w:p>
            <w:pPr>
              <w:ind w:left="60"/>
              <w:spacing w:after="0"/>
              <w:rPr>
                <w:sz w:val="20"/>
                <w:szCs w:val="20"/>
                <w:color w:val="auto"/>
              </w:rPr>
            </w:pPr>
            <w:r>
              <w:rPr>
                <w:rFonts w:ascii="Arial" w:cs="Arial" w:eastAsia="Arial" w:hAnsi="Arial"/>
                <w:sz w:val="18"/>
                <w:szCs w:val="18"/>
                <w:color w:val="auto"/>
              </w:rPr>
              <w:t>Equipment</w:t>
            </w:r>
          </w:p>
        </w:tc>
        <w:tc>
          <w:tcPr>
            <w:tcW w:w="6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2.25</w:t>
            </w:r>
          </w:p>
        </w:tc>
        <w:tc>
          <w:tcPr>
            <w:tcW w:w="4140" w:type="dxa"/>
            <w:vAlign w:val="bottom"/>
          </w:tcPr>
          <w:p>
            <w:pPr>
              <w:ind w:left="60"/>
              <w:spacing w:after="0"/>
              <w:rPr>
                <w:sz w:val="20"/>
                <w:szCs w:val="20"/>
                <w:color w:val="auto"/>
              </w:rPr>
            </w:pPr>
            <w:r>
              <w:rPr>
                <w:rFonts w:ascii="Arial" w:cs="Arial" w:eastAsia="Arial" w:hAnsi="Arial"/>
                <w:sz w:val="18"/>
                <w:szCs w:val="18"/>
                <w:color w:val="auto"/>
              </w:rPr>
              <w:t>Error or Defect</w:t>
            </w:r>
          </w:p>
        </w:tc>
        <w:tc>
          <w:tcPr>
            <w:tcW w:w="6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2.26</w:t>
            </w:r>
          </w:p>
        </w:tc>
        <w:tc>
          <w:tcPr>
            <w:tcW w:w="4140" w:type="dxa"/>
            <w:vAlign w:val="bottom"/>
          </w:tcPr>
          <w:p>
            <w:pPr>
              <w:ind w:left="60"/>
              <w:spacing w:after="0"/>
              <w:rPr>
                <w:sz w:val="20"/>
                <w:szCs w:val="20"/>
                <w:color w:val="auto"/>
              </w:rPr>
            </w:pPr>
            <w:r>
              <w:rPr>
                <w:rFonts w:ascii="Arial" w:cs="Arial" w:eastAsia="Arial" w:hAnsi="Arial"/>
                <w:sz w:val="18"/>
                <w:szCs w:val="18"/>
                <w:color w:val="auto"/>
              </w:rPr>
              <w:t>Functionality</w:t>
            </w:r>
          </w:p>
        </w:tc>
        <w:tc>
          <w:tcPr>
            <w:tcW w:w="6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2.27</w:t>
            </w:r>
          </w:p>
        </w:tc>
        <w:tc>
          <w:tcPr>
            <w:tcW w:w="4140" w:type="dxa"/>
            <w:vAlign w:val="bottom"/>
          </w:tcPr>
          <w:p>
            <w:pPr>
              <w:ind w:left="60"/>
              <w:spacing w:after="0"/>
              <w:rPr>
                <w:sz w:val="20"/>
                <w:szCs w:val="20"/>
                <w:color w:val="auto"/>
              </w:rPr>
            </w:pPr>
            <w:r>
              <w:rPr>
                <w:rFonts w:ascii="Arial" w:cs="Arial" w:eastAsia="Arial" w:hAnsi="Arial"/>
                <w:sz w:val="18"/>
                <w:szCs w:val="18"/>
                <w:color w:val="auto"/>
              </w:rPr>
              <w:t>Harmful Code</w:t>
            </w:r>
          </w:p>
        </w:tc>
        <w:tc>
          <w:tcPr>
            <w:tcW w:w="6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2.28</w:t>
            </w:r>
          </w:p>
        </w:tc>
        <w:tc>
          <w:tcPr>
            <w:tcW w:w="4140" w:type="dxa"/>
            <w:vAlign w:val="bottom"/>
          </w:tcPr>
          <w:p>
            <w:pPr>
              <w:ind w:left="60"/>
              <w:spacing w:after="0"/>
              <w:rPr>
                <w:sz w:val="20"/>
                <w:szCs w:val="20"/>
                <w:color w:val="auto"/>
              </w:rPr>
            </w:pPr>
            <w:r>
              <w:rPr>
                <w:rFonts w:ascii="Arial" w:cs="Arial" w:eastAsia="Arial" w:hAnsi="Arial"/>
                <w:sz w:val="18"/>
                <w:szCs w:val="18"/>
                <w:color w:val="auto"/>
              </w:rPr>
              <w:t>Incident</w:t>
            </w:r>
          </w:p>
        </w:tc>
        <w:tc>
          <w:tcPr>
            <w:tcW w:w="6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2.29</w:t>
            </w:r>
          </w:p>
        </w:tc>
        <w:tc>
          <w:tcPr>
            <w:tcW w:w="4140" w:type="dxa"/>
            <w:vAlign w:val="bottom"/>
          </w:tcPr>
          <w:p>
            <w:pPr>
              <w:ind w:left="60"/>
              <w:spacing w:after="0"/>
              <w:rPr>
                <w:sz w:val="20"/>
                <w:szCs w:val="20"/>
                <w:color w:val="auto"/>
              </w:rPr>
            </w:pPr>
            <w:r>
              <w:rPr>
                <w:rFonts w:ascii="Arial" w:cs="Arial" w:eastAsia="Arial" w:hAnsi="Arial"/>
                <w:sz w:val="18"/>
                <w:szCs w:val="18"/>
                <w:color w:val="auto"/>
              </w:rPr>
              <w:t>Information</w:t>
            </w:r>
          </w:p>
        </w:tc>
        <w:tc>
          <w:tcPr>
            <w:tcW w:w="6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2.30</w:t>
            </w:r>
          </w:p>
        </w:tc>
        <w:tc>
          <w:tcPr>
            <w:tcW w:w="4140" w:type="dxa"/>
            <w:vAlign w:val="bottom"/>
          </w:tcPr>
          <w:p>
            <w:pPr>
              <w:ind w:left="60"/>
              <w:spacing w:after="0"/>
              <w:rPr>
                <w:sz w:val="20"/>
                <w:szCs w:val="20"/>
                <w:color w:val="auto"/>
              </w:rPr>
            </w:pPr>
            <w:r>
              <w:rPr>
                <w:rFonts w:ascii="Arial" w:cs="Arial" w:eastAsia="Arial" w:hAnsi="Arial"/>
                <w:sz w:val="18"/>
                <w:szCs w:val="18"/>
                <w:color w:val="auto"/>
              </w:rPr>
              <w:t>Intellectual Property Rights</w:t>
            </w:r>
          </w:p>
        </w:tc>
        <w:tc>
          <w:tcPr>
            <w:tcW w:w="6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2.31</w:t>
            </w:r>
          </w:p>
        </w:tc>
        <w:tc>
          <w:tcPr>
            <w:tcW w:w="4140" w:type="dxa"/>
            <w:vAlign w:val="bottom"/>
          </w:tcPr>
          <w:p>
            <w:pPr>
              <w:ind w:left="60"/>
              <w:spacing w:after="0"/>
              <w:rPr>
                <w:sz w:val="20"/>
                <w:szCs w:val="20"/>
                <w:color w:val="auto"/>
              </w:rPr>
            </w:pPr>
            <w:r>
              <w:rPr>
                <w:rFonts w:ascii="Arial" w:cs="Arial" w:eastAsia="Arial" w:hAnsi="Arial"/>
                <w:sz w:val="18"/>
                <w:szCs w:val="18"/>
                <w:color w:val="auto"/>
              </w:rPr>
              <w:t>Laws</w:t>
            </w:r>
          </w:p>
        </w:tc>
        <w:tc>
          <w:tcPr>
            <w:tcW w:w="6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2.32</w:t>
            </w:r>
          </w:p>
        </w:tc>
        <w:tc>
          <w:tcPr>
            <w:tcW w:w="4140" w:type="dxa"/>
            <w:vAlign w:val="bottom"/>
          </w:tcPr>
          <w:p>
            <w:pPr>
              <w:ind w:left="60"/>
              <w:spacing w:after="0"/>
              <w:rPr>
                <w:sz w:val="20"/>
                <w:szCs w:val="20"/>
                <w:color w:val="auto"/>
              </w:rPr>
            </w:pPr>
            <w:r>
              <w:rPr>
                <w:rFonts w:ascii="Arial" w:cs="Arial" w:eastAsia="Arial" w:hAnsi="Arial"/>
                <w:sz w:val="18"/>
                <w:szCs w:val="18"/>
                <w:color w:val="auto"/>
              </w:rPr>
              <w:t>License Order</w:t>
            </w:r>
          </w:p>
        </w:tc>
        <w:tc>
          <w:tcPr>
            <w:tcW w:w="6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2.33</w:t>
            </w:r>
          </w:p>
        </w:tc>
        <w:tc>
          <w:tcPr>
            <w:tcW w:w="4140" w:type="dxa"/>
            <w:vAlign w:val="bottom"/>
          </w:tcPr>
          <w:p>
            <w:pPr>
              <w:ind w:left="60"/>
              <w:spacing w:after="0"/>
              <w:rPr>
                <w:sz w:val="20"/>
                <w:szCs w:val="20"/>
                <w:color w:val="auto"/>
              </w:rPr>
            </w:pPr>
            <w:r>
              <w:rPr>
                <w:rFonts w:ascii="Arial" w:cs="Arial" w:eastAsia="Arial" w:hAnsi="Arial"/>
                <w:sz w:val="18"/>
                <w:szCs w:val="18"/>
                <w:color w:val="auto"/>
              </w:rPr>
              <w:t>Maintenance</w:t>
            </w:r>
          </w:p>
        </w:tc>
        <w:tc>
          <w:tcPr>
            <w:tcW w:w="6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2.34</w:t>
            </w:r>
          </w:p>
        </w:tc>
        <w:tc>
          <w:tcPr>
            <w:tcW w:w="4140" w:type="dxa"/>
            <w:vAlign w:val="bottom"/>
          </w:tcPr>
          <w:p>
            <w:pPr>
              <w:ind w:left="60"/>
              <w:spacing w:after="0"/>
              <w:rPr>
                <w:sz w:val="20"/>
                <w:szCs w:val="20"/>
                <w:color w:val="auto"/>
              </w:rPr>
            </w:pPr>
            <w:r>
              <w:rPr>
                <w:rFonts w:ascii="Arial" w:cs="Arial" w:eastAsia="Arial" w:hAnsi="Arial"/>
                <w:sz w:val="18"/>
                <w:szCs w:val="18"/>
                <w:color w:val="auto"/>
              </w:rPr>
              <w:t>Maintenance Fee</w:t>
            </w:r>
          </w:p>
        </w:tc>
        <w:tc>
          <w:tcPr>
            <w:tcW w:w="6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2.35</w:t>
            </w:r>
          </w:p>
        </w:tc>
        <w:tc>
          <w:tcPr>
            <w:tcW w:w="4140" w:type="dxa"/>
            <w:vAlign w:val="bottom"/>
          </w:tcPr>
          <w:p>
            <w:pPr>
              <w:ind w:left="60"/>
              <w:spacing w:after="0"/>
              <w:rPr>
                <w:sz w:val="20"/>
                <w:szCs w:val="20"/>
                <w:color w:val="auto"/>
              </w:rPr>
            </w:pPr>
            <w:r>
              <w:rPr>
                <w:rFonts w:ascii="Arial" w:cs="Arial" w:eastAsia="Arial" w:hAnsi="Arial"/>
                <w:sz w:val="18"/>
                <w:szCs w:val="18"/>
                <w:color w:val="auto"/>
              </w:rPr>
              <w:t>Maintenance Order</w:t>
            </w:r>
          </w:p>
        </w:tc>
        <w:tc>
          <w:tcPr>
            <w:tcW w:w="6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2.36</w:t>
            </w:r>
          </w:p>
        </w:tc>
        <w:tc>
          <w:tcPr>
            <w:tcW w:w="4140" w:type="dxa"/>
            <w:vAlign w:val="bottom"/>
          </w:tcPr>
          <w:p>
            <w:pPr>
              <w:ind w:left="60"/>
              <w:spacing w:after="0"/>
              <w:rPr>
                <w:sz w:val="20"/>
                <w:szCs w:val="20"/>
                <w:color w:val="auto"/>
              </w:rPr>
            </w:pPr>
            <w:r>
              <w:rPr>
                <w:rFonts w:ascii="Arial" w:cs="Arial" w:eastAsia="Arial" w:hAnsi="Arial"/>
                <w:sz w:val="18"/>
                <w:szCs w:val="18"/>
                <w:color w:val="auto"/>
              </w:rPr>
              <w:t>Major Release</w:t>
            </w:r>
          </w:p>
        </w:tc>
        <w:tc>
          <w:tcPr>
            <w:tcW w:w="6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2.37</w:t>
            </w:r>
          </w:p>
        </w:tc>
        <w:tc>
          <w:tcPr>
            <w:tcW w:w="4140" w:type="dxa"/>
            <w:vAlign w:val="bottom"/>
          </w:tcPr>
          <w:p>
            <w:pPr>
              <w:ind w:left="60"/>
              <w:spacing w:after="0"/>
              <w:rPr>
                <w:sz w:val="20"/>
                <w:szCs w:val="20"/>
                <w:color w:val="auto"/>
              </w:rPr>
            </w:pPr>
            <w:r>
              <w:rPr>
                <w:rFonts w:ascii="Arial" w:cs="Arial" w:eastAsia="Arial" w:hAnsi="Arial"/>
                <w:sz w:val="18"/>
                <w:szCs w:val="18"/>
                <w:color w:val="auto"/>
              </w:rPr>
              <w:t>Material</w:t>
            </w:r>
          </w:p>
        </w:tc>
        <w:tc>
          <w:tcPr>
            <w:tcW w:w="6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2.38</w:t>
            </w:r>
          </w:p>
        </w:tc>
        <w:tc>
          <w:tcPr>
            <w:tcW w:w="4140" w:type="dxa"/>
            <w:vAlign w:val="bottom"/>
          </w:tcPr>
          <w:p>
            <w:pPr>
              <w:ind w:left="60"/>
              <w:spacing w:after="0"/>
              <w:rPr>
                <w:sz w:val="20"/>
                <w:szCs w:val="20"/>
                <w:color w:val="auto"/>
              </w:rPr>
            </w:pPr>
            <w:r>
              <w:rPr>
                <w:rFonts w:ascii="Arial" w:cs="Arial" w:eastAsia="Arial" w:hAnsi="Arial"/>
                <w:sz w:val="18"/>
                <w:szCs w:val="18"/>
                <w:color w:val="auto"/>
              </w:rPr>
              <w:t>Minor Release</w:t>
            </w:r>
          </w:p>
        </w:tc>
        <w:tc>
          <w:tcPr>
            <w:tcW w:w="6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2.39</w:t>
            </w:r>
          </w:p>
        </w:tc>
        <w:tc>
          <w:tcPr>
            <w:tcW w:w="4140" w:type="dxa"/>
            <w:vAlign w:val="bottom"/>
          </w:tcPr>
          <w:p>
            <w:pPr>
              <w:ind w:left="60"/>
              <w:spacing w:after="0"/>
              <w:rPr>
                <w:sz w:val="20"/>
                <w:szCs w:val="20"/>
                <w:color w:val="auto"/>
              </w:rPr>
            </w:pPr>
            <w:r>
              <w:rPr>
                <w:rFonts w:ascii="Arial" w:cs="Arial" w:eastAsia="Arial" w:hAnsi="Arial"/>
                <w:sz w:val="18"/>
                <w:szCs w:val="18"/>
                <w:color w:val="auto"/>
              </w:rPr>
              <w:t>Modification and Modify</w:t>
            </w:r>
          </w:p>
        </w:tc>
        <w:tc>
          <w:tcPr>
            <w:tcW w:w="6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2.40</w:t>
            </w:r>
          </w:p>
        </w:tc>
        <w:tc>
          <w:tcPr>
            <w:tcW w:w="4140" w:type="dxa"/>
            <w:vAlign w:val="bottom"/>
          </w:tcPr>
          <w:p>
            <w:pPr>
              <w:ind w:left="60"/>
              <w:spacing w:after="0"/>
              <w:rPr>
                <w:sz w:val="20"/>
                <w:szCs w:val="20"/>
                <w:color w:val="auto"/>
              </w:rPr>
            </w:pPr>
            <w:r>
              <w:rPr>
                <w:rFonts w:ascii="Arial" w:cs="Arial" w:eastAsia="Arial" w:hAnsi="Arial"/>
                <w:sz w:val="18"/>
                <w:szCs w:val="18"/>
                <w:color w:val="auto"/>
              </w:rPr>
              <w:t>Named Users</w:t>
            </w:r>
          </w:p>
        </w:tc>
        <w:tc>
          <w:tcPr>
            <w:tcW w:w="6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2.41</w:t>
            </w:r>
          </w:p>
        </w:tc>
        <w:tc>
          <w:tcPr>
            <w:tcW w:w="4140" w:type="dxa"/>
            <w:vAlign w:val="bottom"/>
          </w:tcPr>
          <w:p>
            <w:pPr>
              <w:ind w:left="60"/>
              <w:spacing w:after="0"/>
              <w:rPr>
                <w:sz w:val="20"/>
                <w:szCs w:val="20"/>
                <w:color w:val="auto"/>
              </w:rPr>
            </w:pPr>
            <w:r>
              <w:rPr>
                <w:rFonts w:ascii="Arial" w:cs="Arial" w:eastAsia="Arial" w:hAnsi="Arial"/>
                <w:sz w:val="18"/>
                <w:szCs w:val="18"/>
                <w:color w:val="auto"/>
              </w:rPr>
              <w:t>New Release</w:t>
            </w:r>
          </w:p>
        </w:tc>
        <w:tc>
          <w:tcPr>
            <w:tcW w:w="6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2.42</w:t>
            </w:r>
          </w:p>
        </w:tc>
        <w:tc>
          <w:tcPr>
            <w:tcW w:w="4140" w:type="dxa"/>
            <w:vAlign w:val="bottom"/>
          </w:tcPr>
          <w:p>
            <w:pPr>
              <w:ind w:left="60"/>
              <w:spacing w:after="0"/>
              <w:rPr>
                <w:sz w:val="20"/>
                <w:szCs w:val="20"/>
                <w:color w:val="auto"/>
              </w:rPr>
            </w:pPr>
            <w:r>
              <w:rPr>
                <w:rFonts w:ascii="Arial" w:cs="Arial" w:eastAsia="Arial" w:hAnsi="Arial"/>
                <w:sz w:val="18"/>
                <w:szCs w:val="18"/>
                <w:color w:val="auto"/>
              </w:rPr>
              <w:t>OnGoing Support</w:t>
            </w:r>
          </w:p>
        </w:tc>
        <w:tc>
          <w:tcPr>
            <w:tcW w:w="65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2 of 206</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420" w:type="dxa"/>
            <w:vAlign w:val="bottom"/>
          </w:tcPr>
          <w:p>
            <w:pPr>
              <w:jc w:val="right"/>
              <w:spacing w:after="0"/>
              <w:rPr>
                <w:sz w:val="20"/>
                <w:szCs w:val="20"/>
                <w:color w:val="auto"/>
              </w:rPr>
            </w:pPr>
            <w:r>
              <w:rPr>
                <w:rFonts w:ascii="Arial" w:cs="Arial" w:eastAsia="Arial" w:hAnsi="Arial"/>
                <w:sz w:val="18"/>
                <w:szCs w:val="18"/>
                <w:color w:val="auto"/>
              </w:rPr>
              <w:t>AT&amp;T Agreement No. 53258.A.005</w:t>
            </w:r>
          </w:p>
        </w:tc>
      </w:tr>
      <w:tr>
        <w:trPr>
          <w:trHeight w:val="350"/>
        </w:trPr>
        <w:tc>
          <w:tcPr>
            <w:tcW w:w="360" w:type="dxa"/>
            <w:vAlign w:val="bottom"/>
          </w:tcPr>
          <w:p>
            <w:pPr>
              <w:spacing w:after="0"/>
              <w:rPr>
                <w:sz w:val="20"/>
                <w:szCs w:val="20"/>
                <w:color w:val="auto"/>
              </w:rPr>
            </w:pPr>
            <w:r>
              <w:rPr>
                <w:rFonts w:ascii="Arial" w:cs="Arial" w:eastAsia="Arial" w:hAnsi="Arial"/>
                <w:sz w:val="18"/>
                <w:szCs w:val="18"/>
                <w:color w:val="auto"/>
                <w:w w:val="96"/>
              </w:rPr>
              <w:t>2.43</w:t>
            </w:r>
          </w:p>
        </w:tc>
        <w:tc>
          <w:tcPr>
            <w:tcW w:w="5240" w:type="dxa"/>
            <w:vAlign w:val="bottom"/>
          </w:tcPr>
          <w:p>
            <w:pPr>
              <w:ind w:left="60"/>
              <w:spacing w:after="0"/>
              <w:rPr>
                <w:sz w:val="20"/>
                <w:szCs w:val="20"/>
                <w:color w:val="auto"/>
              </w:rPr>
            </w:pPr>
            <w:r>
              <w:rPr>
                <w:rFonts w:ascii="Arial" w:cs="Arial" w:eastAsia="Arial" w:hAnsi="Arial"/>
                <w:sz w:val="18"/>
                <w:szCs w:val="18"/>
                <w:color w:val="auto"/>
              </w:rPr>
              <w:t>Order</w:t>
            </w:r>
          </w:p>
        </w:tc>
        <w:tc>
          <w:tcPr>
            <w:tcW w:w="5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2.44</w:t>
            </w:r>
          </w:p>
        </w:tc>
        <w:tc>
          <w:tcPr>
            <w:tcW w:w="5240" w:type="dxa"/>
            <w:vAlign w:val="bottom"/>
          </w:tcPr>
          <w:p>
            <w:pPr>
              <w:ind w:left="60"/>
              <w:spacing w:after="0"/>
              <w:rPr>
                <w:sz w:val="20"/>
                <w:szCs w:val="20"/>
                <w:color w:val="auto"/>
              </w:rPr>
            </w:pPr>
            <w:r>
              <w:rPr>
                <w:rFonts w:ascii="Arial" w:cs="Arial" w:eastAsia="Arial" w:hAnsi="Arial"/>
                <w:sz w:val="18"/>
                <w:szCs w:val="18"/>
                <w:color w:val="auto"/>
              </w:rPr>
              <w:t>Permitted Third Parties</w:t>
            </w:r>
          </w:p>
        </w:tc>
        <w:tc>
          <w:tcPr>
            <w:tcW w:w="5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2.45</w:t>
            </w:r>
          </w:p>
        </w:tc>
        <w:tc>
          <w:tcPr>
            <w:tcW w:w="5240" w:type="dxa"/>
            <w:vAlign w:val="bottom"/>
          </w:tcPr>
          <w:p>
            <w:pPr>
              <w:ind w:left="60"/>
              <w:spacing w:after="0"/>
              <w:rPr>
                <w:sz w:val="20"/>
                <w:szCs w:val="20"/>
                <w:color w:val="auto"/>
              </w:rPr>
            </w:pPr>
            <w:r>
              <w:rPr>
                <w:rFonts w:ascii="Arial" w:cs="Arial" w:eastAsia="Arial" w:hAnsi="Arial"/>
                <w:sz w:val="18"/>
                <w:szCs w:val="18"/>
                <w:color w:val="auto"/>
              </w:rPr>
              <w:t>Production Support</w:t>
            </w:r>
          </w:p>
        </w:tc>
        <w:tc>
          <w:tcPr>
            <w:tcW w:w="5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2.46</w:t>
            </w:r>
          </w:p>
        </w:tc>
        <w:tc>
          <w:tcPr>
            <w:tcW w:w="5240" w:type="dxa"/>
            <w:vAlign w:val="bottom"/>
          </w:tcPr>
          <w:p>
            <w:pPr>
              <w:ind w:left="60"/>
              <w:spacing w:after="0"/>
              <w:rPr>
                <w:sz w:val="20"/>
                <w:szCs w:val="20"/>
                <w:color w:val="auto"/>
              </w:rPr>
            </w:pPr>
            <w:r>
              <w:rPr>
                <w:rFonts w:ascii="Arial" w:cs="Arial" w:eastAsia="Arial" w:hAnsi="Arial"/>
                <w:sz w:val="18"/>
                <w:szCs w:val="18"/>
                <w:color w:val="auto"/>
              </w:rPr>
              <w:t>Project</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2.47</w:t>
            </w:r>
          </w:p>
        </w:tc>
        <w:tc>
          <w:tcPr>
            <w:tcW w:w="5240" w:type="dxa"/>
            <w:vAlign w:val="bottom"/>
          </w:tcPr>
          <w:p>
            <w:pPr>
              <w:ind w:left="60"/>
              <w:spacing w:after="0"/>
              <w:rPr>
                <w:sz w:val="20"/>
                <w:szCs w:val="20"/>
                <w:color w:val="auto"/>
              </w:rPr>
            </w:pPr>
            <w:r>
              <w:rPr>
                <w:rFonts w:ascii="Arial" w:cs="Arial" w:eastAsia="Arial" w:hAnsi="Arial"/>
                <w:sz w:val="18"/>
                <w:szCs w:val="18"/>
                <w:color w:val="auto"/>
              </w:rPr>
              <w:t>Project Manager</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2.48</w:t>
            </w:r>
          </w:p>
        </w:tc>
        <w:tc>
          <w:tcPr>
            <w:tcW w:w="5240" w:type="dxa"/>
            <w:vAlign w:val="bottom"/>
          </w:tcPr>
          <w:p>
            <w:pPr>
              <w:ind w:left="60"/>
              <w:spacing w:after="0"/>
              <w:rPr>
                <w:sz w:val="20"/>
                <w:szCs w:val="20"/>
                <w:color w:val="auto"/>
              </w:rPr>
            </w:pPr>
            <w:r>
              <w:rPr>
                <w:rFonts w:ascii="Arial" w:cs="Arial" w:eastAsia="Arial" w:hAnsi="Arial"/>
                <w:sz w:val="18"/>
                <w:szCs w:val="18"/>
                <w:color w:val="auto"/>
              </w:rPr>
              <w:t>Published Specifications</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2.49</w:t>
            </w:r>
          </w:p>
        </w:tc>
        <w:tc>
          <w:tcPr>
            <w:tcW w:w="5240" w:type="dxa"/>
            <w:vAlign w:val="bottom"/>
          </w:tcPr>
          <w:p>
            <w:pPr>
              <w:ind w:left="60"/>
              <w:spacing w:after="0"/>
              <w:rPr>
                <w:sz w:val="20"/>
                <w:szCs w:val="20"/>
                <w:color w:val="auto"/>
              </w:rPr>
            </w:pPr>
            <w:r>
              <w:rPr>
                <w:rFonts w:ascii="Arial" w:cs="Arial" w:eastAsia="Arial" w:hAnsi="Arial"/>
                <w:sz w:val="18"/>
                <w:szCs w:val="18"/>
                <w:color w:val="auto"/>
              </w:rPr>
              <w:t>Resolution</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2.50</w:t>
            </w:r>
          </w:p>
        </w:tc>
        <w:tc>
          <w:tcPr>
            <w:tcW w:w="5240" w:type="dxa"/>
            <w:vAlign w:val="bottom"/>
          </w:tcPr>
          <w:p>
            <w:pPr>
              <w:ind w:left="60"/>
              <w:spacing w:after="0"/>
              <w:rPr>
                <w:sz w:val="20"/>
                <w:szCs w:val="20"/>
                <w:color w:val="auto"/>
              </w:rPr>
            </w:pPr>
            <w:r>
              <w:rPr>
                <w:rFonts w:ascii="Arial" w:cs="Arial" w:eastAsia="Arial" w:hAnsi="Arial"/>
                <w:sz w:val="18"/>
                <w:szCs w:val="18"/>
                <w:color w:val="auto"/>
              </w:rPr>
              <w:t>Restoral</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2.51</w:t>
            </w:r>
          </w:p>
        </w:tc>
        <w:tc>
          <w:tcPr>
            <w:tcW w:w="5240" w:type="dxa"/>
            <w:vAlign w:val="bottom"/>
          </w:tcPr>
          <w:p>
            <w:pPr>
              <w:ind w:left="60"/>
              <w:spacing w:after="0"/>
              <w:rPr>
                <w:sz w:val="20"/>
                <w:szCs w:val="20"/>
                <w:color w:val="auto"/>
              </w:rPr>
            </w:pPr>
            <w:r>
              <w:rPr>
                <w:rFonts w:ascii="Arial" w:cs="Arial" w:eastAsia="Arial" w:hAnsi="Arial"/>
                <w:sz w:val="18"/>
                <w:szCs w:val="18"/>
                <w:color w:val="auto"/>
              </w:rPr>
              <w:t>Revision</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2.52</w:t>
            </w:r>
          </w:p>
        </w:tc>
        <w:tc>
          <w:tcPr>
            <w:tcW w:w="5240" w:type="dxa"/>
            <w:vAlign w:val="bottom"/>
          </w:tcPr>
          <w:p>
            <w:pPr>
              <w:ind w:left="60"/>
              <w:spacing w:after="0"/>
              <w:rPr>
                <w:sz w:val="20"/>
                <w:szCs w:val="20"/>
                <w:color w:val="auto"/>
              </w:rPr>
            </w:pPr>
            <w:r>
              <w:rPr>
                <w:rFonts w:ascii="Arial" w:cs="Arial" w:eastAsia="Arial" w:hAnsi="Arial"/>
                <w:sz w:val="18"/>
                <w:szCs w:val="18"/>
                <w:color w:val="auto"/>
              </w:rPr>
              <w:t>Services</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2.53</w:t>
            </w:r>
          </w:p>
        </w:tc>
        <w:tc>
          <w:tcPr>
            <w:tcW w:w="5240" w:type="dxa"/>
            <w:vAlign w:val="bottom"/>
          </w:tcPr>
          <w:p>
            <w:pPr>
              <w:ind w:left="60"/>
              <w:spacing w:after="0"/>
              <w:rPr>
                <w:sz w:val="20"/>
                <w:szCs w:val="20"/>
                <w:color w:val="auto"/>
              </w:rPr>
            </w:pPr>
            <w:r>
              <w:rPr>
                <w:rFonts w:ascii="Arial" w:cs="Arial" w:eastAsia="Arial" w:hAnsi="Arial"/>
                <w:sz w:val="18"/>
                <w:szCs w:val="18"/>
                <w:color w:val="auto"/>
              </w:rPr>
              <w:t>Services Order</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2.54</w:t>
            </w:r>
          </w:p>
        </w:tc>
        <w:tc>
          <w:tcPr>
            <w:tcW w:w="5240" w:type="dxa"/>
            <w:vAlign w:val="bottom"/>
          </w:tcPr>
          <w:p>
            <w:pPr>
              <w:ind w:left="60"/>
              <w:spacing w:after="0"/>
              <w:rPr>
                <w:sz w:val="20"/>
                <w:szCs w:val="20"/>
                <w:color w:val="auto"/>
              </w:rPr>
            </w:pPr>
            <w:r>
              <w:rPr>
                <w:rFonts w:ascii="Arial" w:cs="Arial" w:eastAsia="Arial" w:hAnsi="Arial"/>
                <w:sz w:val="18"/>
                <w:szCs w:val="18"/>
                <w:color w:val="auto"/>
              </w:rPr>
              <w:t>Severity Level</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2.55</w:t>
            </w:r>
          </w:p>
        </w:tc>
        <w:tc>
          <w:tcPr>
            <w:tcW w:w="5240" w:type="dxa"/>
            <w:vAlign w:val="bottom"/>
          </w:tcPr>
          <w:p>
            <w:pPr>
              <w:ind w:left="60"/>
              <w:spacing w:after="0"/>
              <w:rPr>
                <w:sz w:val="20"/>
                <w:szCs w:val="20"/>
                <w:color w:val="auto"/>
              </w:rPr>
            </w:pPr>
            <w:r>
              <w:rPr>
                <w:rFonts w:ascii="Arial" w:cs="Arial" w:eastAsia="Arial" w:hAnsi="Arial"/>
                <w:sz w:val="18"/>
                <w:szCs w:val="18"/>
                <w:color w:val="auto"/>
              </w:rPr>
              <w:t>Software</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2.56</w:t>
            </w:r>
          </w:p>
        </w:tc>
        <w:tc>
          <w:tcPr>
            <w:tcW w:w="5240" w:type="dxa"/>
            <w:vAlign w:val="bottom"/>
          </w:tcPr>
          <w:p>
            <w:pPr>
              <w:ind w:left="60"/>
              <w:spacing w:after="0"/>
              <w:rPr>
                <w:sz w:val="20"/>
                <w:szCs w:val="20"/>
                <w:color w:val="auto"/>
              </w:rPr>
            </w:pPr>
            <w:r>
              <w:rPr>
                <w:rFonts w:ascii="Arial" w:cs="Arial" w:eastAsia="Arial" w:hAnsi="Arial"/>
                <w:sz w:val="18"/>
                <w:szCs w:val="18"/>
                <w:color w:val="auto"/>
              </w:rPr>
              <w:t>Specifications</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2.57</w:t>
            </w:r>
          </w:p>
        </w:tc>
        <w:tc>
          <w:tcPr>
            <w:tcW w:w="5240" w:type="dxa"/>
            <w:vAlign w:val="bottom"/>
          </w:tcPr>
          <w:p>
            <w:pPr>
              <w:ind w:left="60"/>
              <w:spacing w:after="0"/>
              <w:rPr>
                <w:sz w:val="20"/>
                <w:szCs w:val="20"/>
                <w:color w:val="auto"/>
              </w:rPr>
            </w:pPr>
            <w:r>
              <w:rPr>
                <w:rFonts w:ascii="Arial" w:cs="Arial" w:eastAsia="Arial" w:hAnsi="Arial"/>
                <w:sz w:val="18"/>
                <w:szCs w:val="18"/>
                <w:color w:val="auto"/>
              </w:rPr>
              <w:t>Standard Software</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2.58</w:t>
            </w:r>
          </w:p>
        </w:tc>
        <w:tc>
          <w:tcPr>
            <w:tcW w:w="5240" w:type="dxa"/>
            <w:vAlign w:val="bottom"/>
          </w:tcPr>
          <w:p>
            <w:pPr>
              <w:ind w:left="60"/>
              <w:spacing w:after="0"/>
              <w:rPr>
                <w:sz w:val="20"/>
                <w:szCs w:val="20"/>
                <w:color w:val="auto"/>
              </w:rPr>
            </w:pPr>
            <w:r>
              <w:rPr>
                <w:rFonts w:ascii="Arial" w:cs="Arial" w:eastAsia="Arial" w:hAnsi="Arial"/>
                <w:sz w:val="18"/>
                <w:szCs w:val="18"/>
                <w:color w:val="auto"/>
              </w:rPr>
              <w:t>Subcontractor</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2.59</w:t>
            </w:r>
          </w:p>
        </w:tc>
        <w:tc>
          <w:tcPr>
            <w:tcW w:w="5240" w:type="dxa"/>
            <w:vAlign w:val="bottom"/>
          </w:tcPr>
          <w:p>
            <w:pPr>
              <w:ind w:left="60"/>
              <w:spacing w:after="0"/>
              <w:rPr>
                <w:sz w:val="20"/>
                <w:szCs w:val="20"/>
                <w:color w:val="auto"/>
              </w:rPr>
            </w:pPr>
            <w:r>
              <w:rPr>
                <w:rFonts w:ascii="Arial" w:cs="Arial" w:eastAsia="Arial" w:hAnsi="Arial"/>
                <w:sz w:val="18"/>
                <w:szCs w:val="18"/>
                <w:color w:val="auto"/>
              </w:rPr>
              <w:t>System</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2.60</w:t>
            </w:r>
          </w:p>
        </w:tc>
        <w:tc>
          <w:tcPr>
            <w:tcW w:w="5240" w:type="dxa"/>
            <w:vAlign w:val="bottom"/>
          </w:tcPr>
          <w:p>
            <w:pPr>
              <w:ind w:left="60"/>
              <w:spacing w:after="0"/>
              <w:rPr>
                <w:sz w:val="20"/>
                <w:szCs w:val="20"/>
                <w:color w:val="auto"/>
              </w:rPr>
            </w:pPr>
            <w:r>
              <w:rPr>
                <w:rFonts w:ascii="Arial" w:cs="Arial" w:eastAsia="Arial" w:hAnsi="Arial"/>
                <w:sz w:val="18"/>
                <w:szCs w:val="18"/>
                <w:color w:val="auto"/>
              </w:rPr>
              <w:t>Third-Party Software</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2.61</w:t>
            </w:r>
          </w:p>
        </w:tc>
        <w:tc>
          <w:tcPr>
            <w:tcW w:w="5240" w:type="dxa"/>
            <w:vAlign w:val="bottom"/>
          </w:tcPr>
          <w:p>
            <w:pPr>
              <w:ind w:left="60"/>
              <w:spacing w:after="0"/>
              <w:rPr>
                <w:sz w:val="20"/>
                <w:szCs w:val="20"/>
                <w:color w:val="auto"/>
              </w:rPr>
            </w:pPr>
            <w:r>
              <w:rPr>
                <w:rFonts w:ascii="Arial" w:cs="Arial" w:eastAsia="Arial" w:hAnsi="Arial"/>
                <w:sz w:val="18"/>
                <w:szCs w:val="18"/>
                <w:color w:val="auto"/>
              </w:rPr>
              <w:t>Update</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2.62</w:t>
            </w:r>
          </w:p>
        </w:tc>
        <w:tc>
          <w:tcPr>
            <w:tcW w:w="5240" w:type="dxa"/>
            <w:vAlign w:val="bottom"/>
          </w:tcPr>
          <w:p>
            <w:pPr>
              <w:ind w:left="60"/>
              <w:spacing w:after="0"/>
              <w:rPr>
                <w:sz w:val="20"/>
                <w:szCs w:val="20"/>
                <w:color w:val="auto"/>
              </w:rPr>
            </w:pPr>
            <w:r>
              <w:rPr>
                <w:rFonts w:ascii="Arial" w:cs="Arial" w:eastAsia="Arial" w:hAnsi="Arial"/>
                <w:sz w:val="18"/>
                <w:szCs w:val="18"/>
                <w:color w:val="auto"/>
              </w:rPr>
              <w:t>Users</w:t>
            </w:r>
          </w:p>
        </w:tc>
        <w:tc>
          <w:tcPr>
            <w:tcW w:w="5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2.63</w:t>
            </w:r>
          </w:p>
        </w:tc>
        <w:tc>
          <w:tcPr>
            <w:tcW w:w="5240" w:type="dxa"/>
            <w:vAlign w:val="bottom"/>
          </w:tcPr>
          <w:p>
            <w:pPr>
              <w:ind w:left="60"/>
              <w:spacing w:after="0"/>
              <w:rPr>
                <w:sz w:val="20"/>
                <w:szCs w:val="20"/>
                <w:color w:val="auto"/>
              </w:rPr>
            </w:pPr>
            <w:r>
              <w:rPr>
                <w:rFonts w:ascii="Arial" w:cs="Arial" w:eastAsia="Arial" w:hAnsi="Arial"/>
                <w:sz w:val="18"/>
                <w:szCs w:val="18"/>
                <w:color w:val="auto"/>
              </w:rPr>
              <w:t>Vulnerability</w:t>
            </w:r>
          </w:p>
        </w:tc>
        <w:tc>
          <w:tcPr>
            <w:tcW w:w="5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2.64</w:t>
            </w:r>
          </w:p>
        </w:tc>
        <w:tc>
          <w:tcPr>
            <w:tcW w:w="5240" w:type="dxa"/>
            <w:vAlign w:val="bottom"/>
          </w:tcPr>
          <w:p>
            <w:pPr>
              <w:ind w:left="60"/>
              <w:spacing w:after="0"/>
              <w:rPr>
                <w:sz w:val="20"/>
                <w:szCs w:val="20"/>
                <w:color w:val="auto"/>
              </w:rPr>
            </w:pPr>
            <w:r>
              <w:rPr>
                <w:rFonts w:ascii="Arial" w:cs="Arial" w:eastAsia="Arial" w:hAnsi="Arial"/>
                <w:sz w:val="18"/>
                <w:szCs w:val="18"/>
                <w:color w:val="auto"/>
              </w:rPr>
              <w:t>Warranty Period</w:t>
            </w:r>
          </w:p>
        </w:tc>
        <w:tc>
          <w:tcPr>
            <w:tcW w:w="5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2.65</w:t>
            </w:r>
          </w:p>
        </w:tc>
        <w:tc>
          <w:tcPr>
            <w:tcW w:w="5240" w:type="dxa"/>
            <w:vAlign w:val="bottom"/>
          </w:tcPr>
          <w:p>
            <w:pPr>
              <w:ind w:left="60"/>
              <w:spacing w:after="0"/>
              <w:rPr>
                <w:sz w:val="20"/>
                <w:szCs w:val="20"/>
                <w:color w:val="auto"/>
              </w:rPr>
            </w:pPr>
            <w:r>
              <w:rPr>
                <w:rFonts w:ascii="Arial" w:cs="Arial" w:eastAsia="Arial" w:hAnsi="Arial"/>
                <w:sz w:val="18"/>
                <w:szCs w:val="18"/>
                <w:color w:val="auto"/>
              </w:rPr>
              <w:t>Work</w:t>
            </w:r>
          </w:p>
        </w:tc>
        <w:tc>
          <w:tcPr>
            <w:tcW w:w="5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3.0</w:t>
            </w:r>
          </w:p>
        </w:tc>
        <w:tc>
          <w:tcPr>
            <w:tcW w:w="5240" w:type="dxa"/>
            <w:vAlign w:val="bottom"/>
          </w:tcPr>
          <w:p>
            <w:pPr>
              <w:ind w:left="60"/>
              <w:spacing w:after="0"/>
              <w:rPr>
                <w:sz w:val="20"/>
                <w:szCs w:val="20"/>
                <w:color w:val="auto"/>
              </w:rPr>
            </w:pPr>
            <w:r>
              <w:rPr>
                <w:rFonts w:ascii="Arial" w:cs="Arial" w:eastAsia="Arial" w:hAnsi="Arial"/>
                <w:sz w:val="18"/>
                <w:szCs w:val="18"/>
                <w:color w:val="auto"/>
              </w:rPr>
              <w:t>GENERAL TERMS</w:t>
            </w:r>
          </w:p>
        </w:tc>
        <w:tc>
          <w:tcPr>
            <w:tcW w:w="5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3.1</w:t>
            </w:r>
          </w:p>
        </w:tc>
        <w:tc>
          <w:tcPr>
            <w:tcW w:w="5240" w:type="dxa"/>
            <w:vAlign w:val="bottom"/>
          </w:tcPr>
          <w:p>
            <w:pPr>
              <w:ind w:left="60"/>
              <w:spacing w:after="0"/>
              <w:rPr>
                <w:sz w:val="20"/>
                <w:szCs w:val="20"/>
                <w:color w:val="auto"/>
              </w:rPr>
            </w:pPr>
            <w:r>
              <w:rPr>
                <w:rFonts w:ascii="Arial" w:cs="Arial" w:eastAsia="Arial" w:hAnsi="Arial"/>
                <w:sz w:val="18"/>
                <w:szCs w:val="18"/>
                <w:color w:val="auto"/>
              </w:rPr>
              <w:t>AT&amp;T Affiliate</w:t>
            </w:r>
          </w:p>
        </w:tc>
        <w:tc>
          <w:tcPr>
            <w:tcW w:w="5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3.2</w:t>
            </w:r>
          </w:p>
        </w:tc>
        <w:tc>
          <w:tcPr>
            <w:tcW w:w="524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5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3.3</w:t>
            </w:r>
          </w:p>
        </w:tc>
        <w:tc>
          <w:tcPr>
            <w:tcW w:w="5240" w:type="dxa"/>
            <w:vAlign w:val="bottom"/>
          </w:tcPr>
          <w:p>
            <w:pPr>
              <w:ind w:left="60"/>
              <w:spacing w:after="0"/>
              <w:rPr>
                <w:sz w:val="20"/>
                <w:szCs w:val="20"/>
                <w:color w:val="auto"/>
              </w:rPr>
            </w:pPr>
            <w:r>
              <w:rPr>
                <w:rFonts w:ascii="Arial" w:cs="Arial" w:eastAsia="Arial" w:hAnsi="Arial"/>
                <w:sz w:val="18"/>
                <w:szCs w:val="18"/>
                <w:color w:val="auto"/>
              </w:rPr>
              <w:t>Anticorruption Laws</w:t>
            </w:r>
          </w:p>
        </w:tc>
        <w:tc>
          <w:tcPr>
            <w:tcW w:w="5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3.4</w:t>
            </w:r>
          </w:p>
        </w:tc>
        <w:tc>
          <w:tcPr>
            <w:tcW w:w="5240" w:type="dxa"/>
            <w:vAlign w:val="bottom"/>
          </w:tcPr>
          <w:p>
            <w:pPr>
              <w:ind w:left="60"/>
              <w:spacing w:after="0"/>
              <w:rPr>
                <w:sz w:val="20"/>
                <w:szCs w:val="20"/>
                <w:color w:val="auto"/>
              </w:rPr>
            </w:pPr>
            <w:r>
              <w:rPr>
                <w:rFonts w:ascii="Arial" w:cs="Arial" w:eastAsia="Arial" w:hAnsi="Arial"/>
                <w:sz w:val="18"/>
                <w:szCs w:val="18"/>
                <w:color w:val="auto"/>
              </w:rPr>
              <w:t>Assignment and Delegation</w:t>
            </w:r>
          </w:p>
        </w:tc>
        <w:tc>
          <w:tcPr>
            <w:tcW w:w="5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3.5</w:t>
            </w:r>
          </w:p>
        </w:tc>
        <w:tc>
          <w:tcPr>
            <w:tcW w:w="5240" w:type="dxa"/>
            <w:vAlign w:val="bottom"/>
          </w:tcPr>
          <w:p>
            <w:pPr>
              <w:ind w:left="60"/>
              <w:spacing w:after="0"/>
              <w:rPr>
                <w:sz w:val="20"/>
                <w:szCs w:val="20"/>
                <w:color w:val="auto"/>
              </w:rPr>
            </w:pPr>
            <w:r>
              <w:rPr>
                <w:rFonts w:ascii="Arial" w:cs="Arial" w:eastAsia="Arial" w:hAnsi="Arial"/>
                <w:sz w:val="18"/>
                <w:szCs w:val="18"/>
                <w:color w:val="auto"/>
              </w:rPr>
              <w:t>Compliance with Laws</w:t>
            </w:r>
          </w:p>
        </w:tc>
        <w:tc>
          <w:tcPr>
            <w:tcW w:w="5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3.6</w:t>
            </w:r>
          </w:p>
        </w:tc>
        <w:tc>
          <w:tcPr>
            <w:tcW w:w="5240" w:type="dxa"/>
            <w:vAlign w:val="bottom"/>
          </w:tcPr>
          <w:p>
            <w:pPr>
              <w:ind w:left="60"/>
              <w:spacing w:after="0"/>
              <w:rPr>
                <w:sz w:val="20"/>
                <w:szCs w:val="20"/>
                <w:color w:val="auto"/>
              </w:rPr>
            </w:pPr>
            <w:r>
              <w:rPr>
                <w:rFonts w:ascii="Arial" w:cs="Arial" w:eastAsia="Arial" w:hAnsi="Arial"/>
                <w:sz w:val="18"/>
                <w:szCs w:val="18"/>
                <w:color w:val="auto"/>
              </w:rPr>
              <w:t>Construction and Interpretation</w:t>
            </w:r>
          </w:p>
        </w:tc>
        <w:tc>
          <w:tcPr>
            <w:tcW w:w="5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3.7</w:t>
            </w:r>
          </w:p>
        </w:tc>
        <w:tc>
          <w:tcPr>
            <w:tcW w:w="5240" w:type="dxa"/>
            <w:vAlign w:val="bottom"/>
          </w:tcPr>
          <w:p>
            <w:pPr>
              <w:ind w:left="60"/>
              <w:spacing w:after="0"/>
              <w:rPr>
                <w:sz w:val="20"/>
                <w:szCs w:val="20"/>
                <w:color w:val="auto"/>
              </w:rPr>
            </w:pPr>
            <w:r>
              <w:rPr>
                <w:rFonts w:ascii="Arial" w:cs="Arial" w:eastAsia="Arial" w:hAnsi="Arial"/>
                <w:sz w:val="18"/>
                <w:szCs w:val="18"/>
                <w:color w:val="auto"/>
              </w:rPr>
              <w:t>Cumulative Remedies</w:t>
            </w:r>
          </w:p>
        </w:tc>
        <w:tc>
          <w:tcPr>
            <w:tcW w:w="5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3.8</w:t>
            </w:r>
          </w:p>
        </w:tc>
        <w:tc>
          <w:tcPr>
            <w:tcW w:w="5240" w:type="dxa"/>
            <w:vAlign w:val="bottom"/>
          </w:tcPr>
          <w:p>
            <w:pPr>
              <w:ind w:left="60"/>
              <w:spacing w:after="0"/>
              <w:rPr>
                <w:sz w:val="20"/>
                <w:szCs w:val="20"/>
                <w:color w:val="auto"/>
              </w:rPr>
            </w:pPr>
            <w:r>
              <w:rPr>
                <w:rFonts w:ascii="Arial" w:cs="Arial" w:eastAsia="Arial" w:hAnsi="Arial"/>
                <w:sz w:val="18"/>
                <w:szCs w:val="18"/>
                <w:color w:val="auto"/>
              </w:rPr>
              <w:t>Special Software Terms</w:t>
            </w:r>
          </w:p>
        </w:tc>
        <w:tc>
          <w:tcPr>
            <w:tcW w:w="5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3.9</w:t>
            </w:r>
          </w:p>
        </w:tc>
        <w:tc>
          <w:tcPr>
            <w:tcW w:w="5240" w:type="dxa"/>
            <w:vAlign w:val="bottom"/>
          </w:tcPr>
          <w:p>
            <w:pPr>
              <w:ind w:left="60"/>
              <w:spacing w:after="0"/>
              <w:rPr>
                <w:sz w:val="20"/>
                <w:szCs w:val="20"/>
                <w:color w:val="auto"/>
              </w:rPr>
            </w:pPr>
            <w:r>
              <w:rPr>
                <w:rFonts w:ascii="Arial" w:cs="Arial" w:eastAsia="Arial" w:hAnsi="Arial"/>
                <w:sz w:val="18"/>
                <w:szCs w:val="18"/>
                <w:color w:val="auto"/>
              </w:rPr>
              <w:t>Acceptance or Rejection</w:t>
            </w:r>
          </w:p>
        </w:tc>
        <w:tc>
          <w:tcPr>
            <w:tcW w:w="5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3.10</w:t>
            </w:r>
          </w:p>
        </w:tc>
        <w:tc>
          <w:tcPr>
            <w:tcW w:w="5240" w:type="dxa"/>
            <w:vAlign w:val="bottom"/>
          </w:tcPr>
          <w:p>
            <w:pPr>
              <w:ind w:left="60"/>
              <w:spacing w:after="0"/>
              <w:rPr>
                <w:sz w:val="20"/>
                <w:szCs w:val="20"/>
                <w:color w:val="auto"/>
              </w:rPr>
            </w:pPr>
            <w:r>
              <w:rPr>
                <w:rFonts w:ascii="Arial" w:cs="Arial" w:eastAsia="Arial" w:hAnsi="Arial"/>
                <w:sz w:val="18"/>
                <w:szCs w:val="18"/>
                <w:color w:val="auto"/>
              </w:rPr>
              <w:t>Technology Standards</w:t>
            </w:r>
          </w:p>
        </w:tc>
        <w:tc>
          <w:tcPr>
            <w:tcW w:w="5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3.11</w:t>
            </w:r>
          </w:p>
        </w:tc>
        <w:tc>
          <w:tcPr>
            <w:tcW w:w="524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5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3.12</w:t>
            </w:r>
          </w:p>
        </w:tc>
        <w:tc>
          <w:tcPr>
            <w:tcW w:w="5240" w:type="dxa"/>
            <w:vAlign w:val="bottom"/>
          </w:tcPr>
          <w:p>
            <w:pPr>
              <w:ind w:left="60"/>
              <w:spacing w:after="0"/>
              <w:rPr>
                <w:sz w:val="20"/>
                <w:szCs w:val="20"/>
                <w:color w:val="auto"/>
              </w:rPr>
            </w:pPr>
            <w:r>
              <w:rPr>
                <w:rFonts w:ascii="Arial" w:cs="Arial" w:eastAsia="Arial" w:hAnsi="Arial"/>
                <w:sz w:val="18"/>
                <w:szCs w:val="18"/>
                <w:color w:val="auto"/>
              </w:rPr>
              <w:t>Force Majeure</w:t>
            </w:r>
          </w:p>
        </w:tc>
        <w:tc>
          <w:tcPr>
            <w:tcW w:w="5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3.13</w:t>
            </w:r>
          </w:p>
        </w:tc>
        <w:tc>
          <w:tcPr>
            <w:tcW w:w="52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5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3.14</w:t>
            </w:r>
          </w:p>
        </w:tc>
        <w:tc>
          <w:tcPr>
            <w:tcW w:w="5240" w:type="dxa"/>
            <w:vAlign w:val="bottom"/>
          </w:tcPr>
          <w:p>
            <w:pPr>
              <w:ind w:left="60"/>
              <w:spacing w:after="0"/>
              <w:rPr>
                <w:sz w:val="20"/>
                <w:szCs w:val="20"/>
                <w:color w:val="auto"/>
              </w:rPr>
            </w:pPr>
            <w:r>
              <w:rPr>
                <w:rFonts w:ascii="Arial" w:cs="Arial" w:eastAsia="Arial" w:hAnsi="Arial"/>
                <w:sz w:val="18"/>
                <w:szCs w:val="18"/>
                <w:color w:val="auto"/>
              </w:rPr>
              <w:t>Government Contract Provisions</w:t>
            </w:r>
          </w:p>
        </w:tc>
        <w:tc>
          <w:tcPr>
            <w:tcW w:w="5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3.15</w:t>
            </w:r>
          </w:p>
        </w:tc>
        <w:tc>
          <w:tcPr>
            <w:tcW w:w="5240" w:type="dxa"/>
            <w:vAlign w:val="bottom"/>
          </w:tcPr>
          <w:p>
            <w:pPr>
              <w:ind w:left="60"/>
              <w:spacing w:after="0"/>
              <w:rPr>
                <w:sz w:val="20"/>
                <w:szCs w:val="20"/>
                <w:color w:val="auto"/>
              </w:rPr>
            </w:pPr>
            <w:r>
              <w:rPr>
                <w:rFonts w:ascii="Arial" w:cs="Arial" w:eastAsia="Arial" w:hAnsi="Arial"/>
                <w:sz w:val="18"/>
                <w:szCs w:val="18"/>
                <w:color w:val="auto"/>
              </w:rPr>
              <w:t>Indemnity</w:t>
            </w:r>
          </w:p>
        </w:tc>
        <w:tc>
          <w:tcPr>
            <w:tcW w:w="5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3.16</w:t>
            </w:r>
          </w:p>
        </w:tc>
        <w:tc>
          <w:tcPr>
            <w:tcW w:w="5240" w:type="dxa"/>
            <w:vAlign w:val="bottom"/>
          </w:tcPr>
          <w:p>
            <w:pPr>
              <w:ind w:left="60"/>
              <w:spacing w:after="0"/>
              <w:rPr>
                <w:sz w:val="20"/>
                <w:szCs w:val="20"/>
                <w:color w:val="auto"/>
              </w:rPr>
            </w:pPr>
            <w:r>
              <w:rPr>
                <w:rFonts w:ascii="Arial" w:cs="Arial" w:eastAsia="Arial" w:hAnsi="Arial"/>
                <w:sz w:val="18"/>
                <w:szCs w:val="18"/>
                <w:color w:val="auto"/>
              </w:rPr>
              <w:t>Information</w:t>
            </w:r>
          </w:p>
        </w:tc>
        <w:tc>
          <w:tcPr>
            <w:tcW w:w="5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3.18</w:t>
            </w:r>
          </w:p>
        </w:tc>
        <w:tc>
          <w:tcPr>
            <w:tcW w:w="5240" w:type="dxa"/>
            <w:vAlign w:val="bottom"/>
          </w:tcPr>
          <w:p>
            <w:pPr>
              <w:ind w:left="60"/>
              <w:spacing w:after="0"/>
              <w:rPr>
                <w:sz w:val="20"/>
                <w:szCs w:val="20"/>
                <w:color w:val="auto"/>
              </w:rPr>
            </w:pPr>
            <w:r>
              <w:rPr>
                <w:rFonts w:ascii="Arial" w:cs="Arial" w:eastAsia="Arial" w:hAnsi="Arial"/>
                <w:sz w:val="18"/>
                <w:szCs w:val="18"/>
                <w:color w:val="auto"/>
              </w:rPr>
              <w:t>Insurance</w:t>
            </w:r>
          </w:p>
        </w:tc>
        <w:tc>
          <w:tcPr>
            <w:tcW w:w="5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3.19</w:t>
            </w:r>
          </w:p>
        </w:tc>
        <w:tc>
          <w:tcPr>
            <w:tcW w:w="5240" w:type="dxa"/>
            <w:vAlign w:val="bottom"/>
          </w:tcPr>
          <w:p>
            <w:pPr>
              <w:ind w:left="60"/>
              <w:spacing w:after="0"/>
              <w:rPr>
                <w:sz w:val="20"/>
                <w:szCs w:val="20"/>
                <w:color w:val="auto"/>
              </w:rPr>
            </w:pPr>
            <w:r>
              <w:rPr>
                <w:rFonts w:ascii="Arial" w:cs="Arial" w:eastAsia="Arial" w:hAnsi="Arial"/>
                <w:sz w:val="18"/>
                <w:szCs w:val="18"/>
                <w:color w:val="auto"/>
              </w:rPr>
              <w:t>Invoicing and Payment</w:t>
            </w:r>
          </w:p>
        </w:tc>
        <w:tc>
          <w:tcPr>
            <w:tcW w:w="5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3.20</w:t>
            </w:r>
          </w:p>
        </w:tc>
        <w:tc>
          <w:tcPr>
            <w:tcW w:w="5240" w:type="dxa"/>
            <w:vAlign w:val="bottom"/>
          </w:tcPr>
          <w:p>
            <w:pPr>
              <w:ind w:left="60"/>
              <w:spacing w:after="0"/>
              <w:rPr>
                <w:sz w:val="20"/>
                <w:szCs w:val="20"/>
                <w:color w:val="auto"/>
              </w:rPr>
            </w:pPr>
            <w:r>
              <w:rPr>
                <w:rFonts w:ascii="Arial" w:cs="Arial" w:eastAsia="Arial" w:hAnsi="Arial"/>
                <w:sz w:val="18"/>
                <w:szCs w:val="18"/>
                <w:color w:val="auto"/>
              </w:rPr>
              <w:t>Labor Disputes</w:t>
            </w:r>
          </w:p>
        </w:tc>
        <w:tc>
          <w:tcPr>
            <w:tcW w:w="5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3.21</w:t>
            </w:r>
          </w:p>
        </w:tc>
        <w:tc>
          <w:tcPr>
            <w:tcW w:w="5240" w:type="dxa"/>
            <w:vAlign w:val="bottom"/>
          </w:tcPr>
          <w:p>
            <w:pPr>
              <w:ind w:left="60"/>
              <w:spacing w:after="0"/>
              <w:rPr>
                <w:sz w:val="20"/>
                <w:szCs w:val="20"/>
                <w:color w:val="auto"/>
              </w:rPr>
            </w:pPr>
            <w:r>
              <w:rPr>
                <w:rFonts w:ascii="Arial" w:cs="Arial" w:eastAsia="Arial" w:hAnsi="Arial"/>
                <w:sz w:val="18"/>
                <w:szCs w:val="18"/>
                <w:color w:val="auto"/>
              </w:rPr>
              <w:t>Limitation of Damages</w:t>
            </w:r>
          </w:p>
        </w:tc>
        <w:tc>
          <w:tcPr>
            <w:tcW w:w="5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3.22</w:t>
            </w:r>
          </w:p>
        </w:tc>
        <w:tc>
          <w:tcPr>
            <w:tcW w:w="5240" w:type="dxa"/>
            <w:vAlign w:val="bottom"/>
          </w:tcPr>
          <w:p>
            <w:pPr>
              <w:ind w:left="60"/>
              <w:spacing w:after="0"/>
              <w:rPr>
                <w:sz w:val="20"/>
                <w:szCs w:val="20"/>
                <w:color w:val="auto"/>
              </w:rPr>
            </w:pPr>
            <w:r>
              <w:rPr>
                <w:rFonts w:ascii="Arial" w:cs="Arial" w:eastAsia="Arial" w:hAnsi="Arial"/>
                <w:sz w:val="18"/>
                <w:szCs w:val="18"/>
                <w:color w:val="auto"/>
              </w:rPr>
              <w:t>Non-Exclusive Market</w:t>
            </w:r>
          </w:p>
        </w:tc>
        <w:tc>
          <w:tcPr>
            <w:tcW w:w="5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w w:val="96"/>
              </w:rPr>
              <w:t>3.23</w:t>
            </w:r>
          </w:p>
        </w:tc>
        <w:tc>
          <w:tcPr>
            <w:tcW w:w="5240" w:type="dxa"/>
            <w:vAlign w:val="bottom"/>
          </w:tcPr>
          <w:p>
            <w:pPr>
              <w:ind w:left="60"/>
              <w:spacing w:after="0"/>
              <w:rPr>
                <w:sz w:val="20"/>
                <w:szCs w:val="20"/>
                <w:color w:val="auto"/>
              </w:rPr>
            </w:pPr>
            <w:r>
              <w:rPr>
                <w:rFonts w:ascii="Arial" w:cs="Arial" w:eastAsia="Arial" w:hAnsi="Arial"/>
                <w:sz w:val="18"/>
                <w:szCs w:val="18"/>
                <w:color w:val="auto"/>
              </w:rPr>
              <w:t>Notices</w:t>
            </w:r>
          </w:p>
        </w:tc>
        <w:tc>
          <w:tcPr>
            <w:tcW w:w="542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3 of 206</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3600" w:type="dxa"/>
            <w:vAlign w:val="bottom"/>
          </w:tcPr>
          <w:p>
            <w:pPr>
              <w:jc w:val="right"/>
              <w:spacing w:after="0"/>
              <w:rPr>
                <w:sz w:val="20"/>
                <w:szCs w:val="20"/>
                <w:color w:val="auto"/>
              </w:rPr>
            </w:pPr>
            <w:r>
              <w:rPr>
                <w:rFonts w:ascii="Arial" w:cs="Arial" w:eastAsia="Arial" w:hAnsi="Arial"/>
                <w:sz w:val="18"/>
                <w:szCs w:val="18"/>
                <w:color w:val="auto"/>
              </w:rPr>
              <w:t>AT&amp;T Agreement No. 53258.A.005</w:t>
            </w:r>
          </w:p>
        </w:tc>
      </w:tr>
      <w:tr>
        <w:trPr>
          <w:trHeight w:val="350"/>
        </w:trPr>
        <w:tc>
          <w:tcPr>
            <w:tcW w:w="360" w:type="dxa"/>
            <w:vAlign w:val="bottom"/>
          </w:tcPr>
          <w:p>
            <w:pPr>
              <w:spacing w:after="0"/>
              <w:rPr>
                <w:sz w:val="20"/>
                <w:szCs w:val="20"/>
                <w:color w:val="auto"/>
              </w:rPr>
            </w:pPr>
            <w:r>
              <w:rPr>
                <w:rFonts w:ascii="Arial" w:cs="Arial" w:eastAsia="Arial" w:hAnsi="Arial"/>
                <w:sz w:val="18"/>
                <w:szCs w:val="18"/>
                <w:color w:val="auto"/>
                <w:w w:val="96"/>
              </w:rPr>
              <w:t>3.24</w:t>
            </w:r>
          </w:p>
        </w:tc>
        <w:tc>
          <w:tcPr>
            <w:tcW w:w="7060" w:type="dxa"/>
            <w:vAlign w:val="bottom"/>
          </w:tcPr>
          <w:p>
            <w:pPr>
              <w:ind w:left="60"/>
              <w:spacing w:after="0"/>
              <w:rPr>
                <w:sz w:val="20"/>
                <w:szCs w:val="20"/>
                <w:color w:val="auto"/>
              </w:rPr>
            </w:pPr>
            <w:r>
              <w:rPr>
                <w:rFonts w:ascii="Arial" w:cs="Arial" w:eastAsia="Arial" w:hAnsi="Arial"/>
                <w:sz w:val="18"/>
                <w:szCs w:val="18"/>
                <w:color w:val="auto"/>
              </w:rPr>
              <w:t>Offshore Work Permitted Under Specific Conditions</w:t>
            </w:r>
          </w:p>
        </w:tc>
        <w:tc>
          <w:tcPr>
            <w:tcW w:w="3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3.25</w:t>
            </w:r>
          </w:p>
        </w:tc>
        <w:tc>
          <w:tcPr>
            <w:tcW w:w="7060" w:type="dxa"/>
            <w:vAlign w:val="bottom"/>
          </w:tcPr>
          <w:p>
            <w:pPr>
              <w:ind w:left="60"/>
              <w:spacing w:after="0"/>
              <w:rPr>
                <w:sz w:val="20"/>
                <w:szCs w:val="20"/>
                <w:color w:val="auto"/>
              </w:rPr>
            </w:pPr>
            <w:r>
              <w:rPr>
                <w:rFonts w:ascii="Arial" w:cs="Arial" w:eastAsia="Arial" w:hAnsi="Arial"/>
                <w:sz w:val="18"/>
                <w:szCs w:val="18"/>
                <w:color w:val="auto"/>
              </w:rPr>
              <w:t>Order of Precedence</w:t>
            </w:r>
          </w:p>
        </w:tc>
        <w:tc>
          <w:tcPr>
            <w:tcW w:w="3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3.26</w:t>
            </w:r>
          </w:p>
        </w:tc>
        <w:tc>
          <w:tcPr>
            <w:tcW w:w="7060" w:type="dxa"/>
            <w:vAlign w:val="bottom"/>
          </w:tcPr>
          <w:p>
            <w:pPr>
              <w:ind w:left="60"/>
              <w:spacing w:after="0"/>
              <w:rPr>
                <w:sz w:val="20"/>
                <w:szCs w:val="20"/>
                <w:color w:val="auto"/>
              </w:rPr>
            </w:pPr>
            <w:r>
              <w:rPr>
                <w:rFonts w:ascii="Arial" w:cs="Arial" w:eastAsia="Arial" w:hAnsi="Arial"/>
                <w:sz w:val="18"/>
                <w:szCs w:val="18"/>
                <w:color w:val="auto"/>
              </w:rPr>
              <w:t>Orders</w:t>
            </w:r>
          </w:p>
        </w:tc>
        <w:tc>
          <w:tcPr>
            <w:tcW w:w="3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3.27</w:t>
            </w:r>
          </w:p>
        </w:tc>
        <w:tc>
          <w:tcPr>
            <w:tcW w:w="7060" w:type="dxa"/>
            <w:vAlign w:val="bottom"/>
          </w:tcPr>
          <w:p>
            <w:pPr>
              <w:ind w:left="60"/>
              <w:spacing w:after="0"/>
              <w:rPr>
                <w:sz w:val="20"/>
                <w:szCs w:val="20"/>
                <w:color w:val="auto"/>
              </w:rPr>
            </w:pPr>
            <w:r>
              <w:rPr>
                <w:rFonts w:ascii="Arial" w:cs="Arial" w:eastAsia="Arial" w:hAnsi="Arial"/>
                <w:sz w:val="18"/>
                <w:szCs w:val="18"/>
                <w:color w:val="auto"/>
              </w:rPr>
              <w:t>Ownership of Paid-For Development, Use and Reservation of Rights</w:t>
            </w:r>
          </w:p>
        </w:tc>
        <w:tc>
          <w:tcPr>
            <w:tcW w:w="3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3.28</w:t>
            </w:r>
          </w:p>
        </w:tc>
        <w:tc>
          <w:tcPr>
            <w:tcW w:w="7060" w:type="dxa"/>
            <w:vAlign w:val="bottom"/>
          </w:tcPr>
          <w:p>
            <w:pPr>
              <w:ind w:left="60"/>
              <w:spacing w:after="0"/>
              <w:rPr>
                <w:sz w:val="20"/>
                <w:szCs w:val="20"/>
                <w:color w:val="auto"/>
              </w:rPr>
            </w:pPr>
            <w:r>
              <w:rPr>
                <w:rFonts w:ascii="Arial" w:cs="Arial" w:eastAsia="Arial" w:hAnsi="Arial"/>
                <w:sz w:val="18"/>
                <w:szCs w:val="18"/>
                <w:color w:val="auto"/>
              </w:rPr>
              <w:t>Prices</w:t>
            </w:r>
          </w:p>
        </w:tc>
        <w:tc>
          <w:tcPr>
            <w:tcW w:w="3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3.29</w:t>
            </w:r>
          </w:p>
        </w:tc>
        <w:tc>
          <w:tcPr>
            <w:tcW w:w="7060" w:type="dxa"/>
            <w:vAlign w:val="bottom"/>
          </w:tcPr>
          <w:p>
            <w:pPr>
              <w:ind w:left="60"/>
              <w:spacing w:after="0"/>
              <w:rPr>
                <w:sz w:val="20"/>
                <w:szCs w:val="20"/>
                <w:color w:val="auto"/>
              </w:rPr>
            </w:pPr>
            <w:r>
              <w:rPr>
                <w:rFonts w:ascii="Arial" w:cs="Arial" w:eastAsia="Arial" w:hAnsi="Arial"/>
                <w:sz w:val="18"/>
                <w:szCs w:val="18"/>
                <w:color w:val="auto"/>
              </w:rPr>
              <w:t>Publicity</w:t>
            </w:r>
          </w:p>
        </w:tc>
        <w:tc>
          <w:tcPr>
            <w:tcW w:w="3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3.30</w:t>
            </w:r>
          </w:p>
        </w:tc>
        <w:tc>
          <w:tcPr>
            <w:tcW w:w="7060" w:type="dxa"/>
            <w:vAlign w:val="bottom"/>
          </w:tcPr>
          <w:p>
            <w:pPr>
              <w:ind w:left="60"/>
              <w:spacing w:after="0"/>
              <w:rPr>
                <w:sz w:val="20"/>
                <w:szCs w:val="20"/>
                <w:color w:val="auto"/>
              </w:rPr>
            </w:pPr>
            <w:r>
              <w:rPr>
                <w:rFonts w:ascii="Arial" w:cs="Arial" w:eastAsia="Arial" w:hAnsi="Arial"/>
                <w:sz w:val="18"/>
                <w:szCs w:val="18"/>
                <w:color w:val="auto"/>
              </w:rPr>
              <w:t>Quality Assurance</w:t>
            </w:r>
          </w:p>
        </w:tc>
        <w:tc>
          <w:tcPr>
            <w:tcW w:w="3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3.31</w:t>
            </w:r>
          </w:p>
        </w:tc>
        <w:tc>
          <w:tcPr>
            <w:tcW w:w="7060" w:type="dxa"/>
            <w:vAlign w:val="bottom"/>
          </w:tcPr>
          <w:p>
            <w:pPr>
              <w:ind w:left="60"/>
              <w:spacing w:after="0"/>
              <w:rPr>
                <w:sz w:val="20"/>
                <w:szCs w:val="20"/>
                <w:color w:val="auto"/>
              </w:rPr>
            </w:pPr>
            <w:r>
              <w:rPr>
                <w:rFonts w:ascii="Arial" w:cs="Arial" w:eastAsia="Arial" w:hAnsi="Arial"/>
                <w:sz w:val="18"/>
                <w:szCs w:val="18"/>
                <w:color w:val="auto"/>
              </w:rPr>
              <w:t>Records and Audits</w:t>
            </w:r>
          </w:p>
        </w:tc>
        <w:tc>
          <w:tcPr>
            <w:tcW w:w="3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3.32</w:t>
            </w:r>
          </w:p>
        </w:tc>
        <w:tc>
          <w:tcPr>
            <w:tcW w:w="70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6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3.33</w:t>
            </w:r>
          </w:p>
        </w:tc>
        <w:tc>
          <w:tcPr>
            <w:tcW w:w="7060" w:type="dxa"/>
            <w:vAlign w:val="bottom"/>
          </w:tcPr>
          <w:p>
            <w:pPr>
              <w:ind w:left="60"/>
              <w:spacing w:after="0"/>
              <w:rPr>
                <w:sz w:val="20"/>
                <w:szCs w:val="20"/>
                <w:color w:val="auto"/>
              </w:rPr>
            </w:pPr>
            <w:r>
              <w:rPr>
                <w:rFonts w:ascii="Arial" w:cs="Arial" w:eastAsia="Arial" w:hAnsi="Arial"/>
                <w:sz w:val="18"/>
                <w:szCs w:val="18"/>
                <w:color w:val="auto"/>
              </w:rPr>
              <w:t>Supplier Citizenship and Sustainability</w:t>
            </w:r>
          </w:p>
        </w:tc>
        <w:tc>
          <w:tcPr>
            <w:tcW w:w="36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3.34</w:t>
            </w:r>
          </w:p>
        </w:tc>
        <w:tc>
          <w:tcPr>
            <w:tcW w:w="7060" w:type="dxa"/>
            <w:vAlign w:val="bottom"/>
          </w:tcPr>
          <w:p>
            <w:pPr>
              <w:ind w:left="60"/>
              <w:spacing w:after="0"/>
              <w:rPr>
                <w:sz w:val="20"/>
                <w:szCs w:val="20"/>
                <w:color w:val="auto"/>
              </w:rPr>
            </w:pPr>
            <w:r>
              <w:rPr>
                <w:rFonts w:ascii="Arial" w:cs="Arial" w:eastAsia="Arial" w:hAnsi="Arial"/>
                <w:sz w:val="18"/>
                <w:szCs w:val="18"/>
                <w:color w:val="auto"/>
              </w:rPr>
              <w:t>Survival of Obligations</w:t>
            </w:r>
          </w:p>
        </w:tc>
        <w:tc>
          <w:tcPr>
            <w:tcW w:w="3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3.35</w:t>
            </w:r>
          </w:p>
        </w:tc>
        <w:tc>
          <w:tcPr>
            <w:tcW w:w="7060" w:type="dxa"/>
            <w:vAlign w:val="bottom"/>
          </w:tcPr>
          <w:p>
            <w:pPr>
              <w:ind w:left="60"/>
              <w:spacing w:after="0"/>
              <w:rPr>
                <w:sz w:val="20"/>
                <w:szCs w:val="20"/>
                <w:color w:val="auto"/>
              </w:rPr>
            </w:pPr>
            <w:r>
              <w:rPr>
                <w:rFonts w:ascii="Arial" w:cs="Arial" w:eastAsia="Arial" w:hAnsi="Arial"/>
                <w:sz w:val="18"/>
                <w:szCs w:val="18"/>
                <w:color w:val="auto"/>
              </w:rPr>
              <w:t>Taxes</w:t>
            </w:r>
          </w:p>
        </w:tc>
        <w:tc>
          <w:tcPr>
            <w:tcW w:w="3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3.36</w:t>
            </w:r>
          </w:p>
        </w:tc>
        <w:tc>
          <w:tcPr>
            <w:tcW w:w="706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36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3.37</w:t>
            </w:r>
          </w:p>
        </w:tc>
        <w:tc>
          <w:tcPr>
            <w:tcW w:w="7060" w:type="dxa"/>
            <w:vAlign w:val="bottom"/>
          </w:tcPr>
          <w:p>
            <w:pPr>
              <w:ind w:left="60"/>
              <w:spacing w:after="0"/>
              <w:rPr>
                <w:sz w:val="20"/>
                <w:szCs w:val="20"/>
                <w:color w:val="auto"/>
              </w:rPr>
            </w:pPr>
            <w:r>
              <w:rPr>
                <w:rFonts w:ascii="Arial" w:cs="Arial" w:eastAsia="Arial" w:hAnsi="Arial"/>
                <w:sz w:val="18"/>
                <w:szCs w:val="18"/>
                <w:color w:val="auto"/>
              </w:rPr>
              <w:t>Third Party Administrative Services</w:t>
            </w:r>
          </w:p>
        </w:tc>
        <w:tc>
          <w:tcPr>
            <w:tcW w:w="3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3.38</w:t>
            </w:r>
          </w:p>
        </w:tc>
        <w:tc>
          <w:tcPr>
            <w:tcW w:w="7060" w:type="dxa"/>
            <w:vAlign w:val="bottom"/>
          </w:tcPr>
          <w:p>
            <w:pPr>
              <w:ind w:left="60"/>
              <w:spacing w:after="0"/>
              <w:rPr>
                <w:sz w:val="20"/>
                <w:szCs w:val="20"/>
                <w:color w:val="auto"/>
              </w:rPr>
            </w:pPr>
            <w:r>
              <w:rPr>
                <w:rFonts w:ascii="Arial" w:cs="Arial" w:eastAsia="Arial" w:hAnsi="Arial"/>
                <w:sz w:val="18"/>
                <w:szCs w:val="18"/>
                <w:color w:val="auto"/>
              </w:rPr>
              <w:t>Ownership of AT&amp;T Data and AT&amp;T Derived Data</w:t>
            </w:r>
          </w:p>
        </w:tc>
        <w:tc>
          <w:tcPr>
            <w:tcW w:w="3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3.39</w:t>
            </w:r>
          </w:p>
        </w:tc>
        <w:tc>
          <w:tcPr>
            <w:tcW w:w="7060" w:type="dxa"/>
            <w:vAlign w:val="bottom"/>
          </w:tcPr>
          <w:p>
            <w:pPr>
              <w:ind w:left="60"/>
              <w:spacing w:after="0"/>
              <w:rPr>
                <w:sz w:val="20"/>
                <w:szCs w:val="20"/>
                <w:color w:val="auto"/>
              </w:rPr>
            </w:pPr>
            <w:r>
              <w:rPr>
                <w:rFonts w:ascii="Arial" w:cs="Arial" w:eastAsia="Arial" w:hAnsi="Arial"/>
                <w:sz w:val="18"/>
                <w:szCs w:val="18"/>
                <w:color w:val="auto"/>
              </w:rPr>
              <w:t>Third Party Beneficiaries</w:t>
            </w:r>
          </w:p>
        </w:tc>
        <w:tc>
          <w:tcPr>
            <w:tcW w:w="36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3.40</w:t>
            </w:r>
          </w:p>
        </w:tc>
        <w:tc>
          <w:tcPr>
            <w:tcW w:w="7060" w:type="dxa"/>
            <w:vAlign w:val="bottom"/>
          </w:tcPr>
          <w:p>
            <w:pPr>
              <w:ind w:left="60"/>
              <w:spacing w:after="0"/>
              <w:rPr>
                <w:sz w:val="20"/>
                <w:szCs w:val="20"/>
                <w:color w:val="auto"/>
              </w:rPr>
            </w:pPr>
            <w:r>
              <w:rPr>
                <w:rFonts w:ascii="Arial" w:cs="Arial" w:eastAsia="Arial" w:hAnsi="Arial"/>
                <w:sz w:val="18"/>
                <w:szCs w:val="18"/>
                <w:color w:val="auto"/>
              </w:rPr>
              <w:t>Risk of Loss</w:t>
            </w:r>
          </w:p>
        </w:tc>
        <w:tc>
          <w:tcPr>
            <w:tcW w:w="3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3.41</w:t>
            </w:r>
          </w:p>
        </w:tc>
        <w:tc>
          <w:tcPr>
            <w:tcW w:w="7060" w:type="dxa"/>
            <w:vAlign w:val="bottom"/>
          </w:tcPr>
          <w:p>
            <w:pPr>
              <w:ind w:left="60"/>
              <w:spacing w:after="0"/>
              <w:rPr>
                <w:sz w:val="20"/>
                <w:szCs w:val="20"/>
                <w:color w:val="auto"/>
              </w:rPr>
            </w:pPr>
            <w:r>
              <w:rPr>
                <w:rFonts w:ascii="Arial" w:cs="Arial" w:eastAsia="Arial" w:hAnsi="Arial"/>
                <w:sz w:val="18"/>
                <w:szCs w:val="18"/>
                <w:color w:val="auto"/>
              </w:rPr>
              <w:t>Transaction Costs</w:t>
            </w:r>
          </w:p>
        </w:tc>
        <w:tc>
          <w:tcPr>
            <w:tcW w:w="3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3.42</w:t>
            </w:r>
          </w:p>
        </w:tc>
        <w:tc>
          <w:tcPr>
            <w:tcW w:w="7060" w:type="dxa"/>
            <w:vAlign w:val="bottom"/>
          </w:tcPr>
          <w:p>
            <w:pPr>
              <w:ind w:left="60"/>
              <w:spacing w:after="0"/>
              <w:rPr>
                <w:sz w:val="20"/>
                <w:szCs w:val="20"/>
                <w:color w:val="auto"/>
              </w:rPr>
            </w:pPr>
            <w:r>
              <w:rPr>
                <w:rFonts w:ascii="Arial" w:cs="Arial" w:eastAsia="Arial" w:hAnsi="Arial"/>
                <w:sz w:val="18"/>
                <w:szCs w:val="18"/>
                <w:color w:val="auto"/>
              </w:rPr>
              <w:t>Utilization of Minority, Women, and Disabled Veteran Owned Business Enterprises</w:t>
            </w:r>
          </w:p>
        </w:tc>
        <w:tc>
          <w:tcPr>
            <w:tcW w:w="3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3.43</w:t>
            </w:r>
          </w:p>
        </w:tc>
        <w:tc>
          <w:tcPr>
            <w:tcW w:w="7060" w:type="dxa"/>
            <w:vAlign w:val="bottom"/>
          </w:tcPr>
          <w:p>
            <w:pPr>
              <w:ind w:left="60"/>
              <w:spacing w:after="0"/>
              <w:rPr>
                <w:sz w:val="20"/>
                <w:szCs w:val="20"/>
                <w:color w:val="auto"/>
              </w:rPr>
            </w:pPr>
            <w:r>
              <w:rPr>
                <w:rFonts w:ascii="Arial" w:cs="Arial" w:eastAsia="Arial" w:hAnsi="Arial"/>
                <w:sz w:val="18"/>
                <w:szCs w:val="18"/>
                <w:color w:val="auto"/>
              </w:rPr>
              <w:t>Warranty</w:t>
            </w:r>
          </w:p>
        </w:tc>
        <w:tc>
          <w:tcPr>
            <w:tcW w:w="3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3.44</w:t>
            </w:r>
          </w:p>
        </w:tc>
        <w:tc>
          <w:tcPr>
            <w:tcW w:w="7060" w:type="dxa"/>
            <w:vAlign w:val="bottom"/>
          </w:tcPr>
          <w:p>
            <w:pPr>
              <w:ind w:left="60"/>
              <w:spacing w:after="0"/>
              <w:rPr>
                <w:sz w:val="20"/>
                <w:szCs w:val="20"/>
                <w:color w:val="auto"/>
              </w:rPr>
            </w:pPr>
            <w:r>
              <w:rPr>
                <w:rFonts w:ascii="Arial" w:cs="Arial" w:eastAsia="Arial" w:hAnsi="Arial"/>
                <w:sz w:val="18"/>
                <w:szCs w:val="18"/>
                <w:color w:val="auto"/>
              </w:rPr>
              <w:t>Work Done By Others</w:t>
            </w:r>
          </w:p>
        </w:tc>
        <w:tc>
          <w:tcPr>
            <w:tcW w:w="36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3.45</w:t>
            </w:r>
          </w:p>
        </w:tc>
        <w:tc>
          <w:tcPr>
            <w:tcW w:w="7060" w:type="dxa"/>
            <w:vAlign w:val="bottom"/>
          </w:tcPr>
          <w:p>
            <w:pPr>
              <w:ind w:left="60"/>
              <w:spacing w:after="0"/>
              <w:rPr>
                <w:sz w:val="20"/>
                <w:szCs w:val="20"/>
                <w:color w:val="auto"/>
              </w:rPr>
            </w:pPr>
            <w:r>
              <w:rPr>
                <w:rFonts w:ascii="Arial" w:cs="Arial" w:eastAsia="Arial" w:hAnsi="Arial"/>
                <w:sz w:val="18"/>
                <w:szCs w:val="18"/>
                <w:color w:val="auto"/>
              </w:rPr>
              <w:t>Supplier’s Compliance with Industry Standards</w:t>
            </w:r>
          </w:p>
        </w:tc>
        <w:tc>
          <w:tcPr>
            <w:tcW w:w="3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4.0</w:t>
            </w:r>
          </w:p>
        </w:tc>
        <w:tc>
          <w:tcPr>
            <w:tcW w:w="7060" w:type="dxa"/>
            <w:vAlign w:val="bottom"/>
          </w:tcPr>
          <w:p>
            <w:pPr>
              <w:ind w:left="60"/>
              <w:spacing w:after="0"/>
              <w:rPr>
                <w:sz w:val="20"/>
                <w:szCs w:val="20"/>
                <w:color w:val="auto"/>
              </w:rPr>
            </w:pPr>
            <w:r>
              <w:rPr>
                <w:rFonts w:ascii="Arial" w:cs="Arial" w:eastAsia="Arial" w:hAnsi="Arial"/>
                <w:sz w:val="18"/>
                <w:szCs w:val="18"/>
                <w:color w:val="auto"/>
              </w:rPr>
              <w:t>SPECIAL TERMS</w:t>
            </w:r>
          </w:p>
        </w:tc>
        <w:tc>
          <w:tcPr>
            <w:tcW w:w="3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4.1</w:t>
            </w:r>
          </w:p>
        </w:tc>
        <w:tc>
          <w:tcPr>
            <w:tcW w:w="7060" w:type="dxa"/>
            <w:vAlign w:val="bottom"/>
          </w:tcPr>
          <w:p>
            <w:pPr>
              <w:ind w:left="60"/>
              <w:spacing w:after="0"/>
              <w:rPr>
                <w:sz w:val="20"/>
                <w:szCs w:val="20"/>
                <w:color w:val="auto"/>
              </w:rPr>
            </w:pPr>
            <w:r>
              <w:rPr>
                <w:rFonts w:ascii="Arial" w:cs="Arial" w:eastAsia="Arial" w:hAnsi="Arial"/>
                <w:sz w:val="18"/>
                <w:szCs w:val="18"/>
                <w:color w:val="auto"/>
              </w:rPr>
              <w:t>Access to AT&amp;T Premises and Non-Public Information Systems</w:t>
            </w:r>
          </w:p>
        </w:tc>
        <w:tc>
          <w:tcPr>
            <w:tcW w:w="3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4.2</w:t>
            </w:r>
          </w:p>
        </w:tc>
        <w:tc>
          <w:tcPr>
            <w:tcW w:w="7060" w:type="dxa"/>
            <w:vAlign w:val="bottom"/>
          </w:tcPr>
          <w:p>
            <w:pPr>
              <w:ind w:left="60"/>
              <w:spacing w:after="0"/>
              <w:rPr>
                <w:sz w:val="20"/>
                <w:szCs w:val="20"/>
                <w:color w:val="auto"/>
              </w:rPr>
            </w:pPr>
            <w:r>
              <w:rPr>
                <w:rFonts w:ascii="Arial" w:cs="Arial" w:eastAsia="Arial" w:hAnsi="Arial"/>
                <w:sz w:val="18"/>
                <w:szCs w:val="18"/>
                <w:color w:val="auto"/>
              </w:rPr>
              <w:t>Background Checks/Drug Screening</w:t>
            </w:r>
          </w:p>
        </w:tc>
        <w:tc>
          <w:tcPr>
            <w:tcW w:w="36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4.3</w:t>
            </w:r>
          </w:p>
        </w:tc>
        <w:tc>
          <w:tcPr>
            <w:tcW w:w="7060" w:type="dxa"/>
            <w:vAlign w:val="bottom"/>
          </w:tcPr>
          <w:p>
            <w:pPr>
              <w:ind w:left="60"/>
              <w:spacing w:after="0"/>
              <w:rPr>
                <w:sz w:val="20"/>
                <w:szCs w:val="20"/>
                <w:color w:val="auto"/>
              </w:rPr>
            </w:pPr>
            <w:r>
              <w:rPr>
                <w:rFonts w:ascii="Arial" w:cs="Arial" w:eastAsia="Arial" w:hAnsi="Arial"/>
                <w:sz w:val="18"/>
                <w:szCs w:val="18"/>
                <w:color w:val="auto"/>
              </w:rPr>
              <w:t>Change Control</w:t>
            </w:r>
          </w:p>
        </w:tc>
        <w:tc>
          <w:tcPr>
            <w:tcW w:w="3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4.4</w:t>
            </w:r>
          </w:p>
        </w:tc>
        <w:tc>
          <w:tcPr>
            <w:tcW w:w="7060" w:type="dxa"/>
            <w:vAlign w:val="bottom"/>
          </w:tcPr>
          <w:p>
            <w:pPr>
              <w:ind w:left="60"/>
              <w:spacing w:after="0"/>
              <w:rPr>
                <w:sz w:val="20"/>
                <w:szCs w:val="20"/>
                <w:color w:val="auto"/>
              </w:rPr>
            </w:pPr>
            <w:r>
              <w:rPr>
                <w:rFonts w:ascii="Arial" w:cs="Arial" w:eastAsia="Arial" w:hAnsi="Arial"/>
                <w:sz w:val="18"/>
                <w:szCs w:val="18"/>
                <w:color w:val="auto"/>
              </w:rPr>
              <w:t>Customer Information</w:t>
            </w:r>
          </w:p>
        </w:tc>
        <w:tc>
          <w:tcPr>
            <w:tcW w:w="3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4.5</w:t>
            </w:r>
          </w:p>
        </w:tc>
        <w:tc>
          <w:tcPr>
            <w:tcW w:w="706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36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4.6</w:t>
            </w:r>
          </w:p>
        </w:tc>
        <w:tc>
          <w:tcPr>
            <w:tcW w:w="7060" w:type="dxa"/>
            <w:vAlign w:val="bottom"/>
          </w:tcPr>
          <w:p>
            <w:pPr>
              <w:ind w:left="60"/>
              <w:spacing w:after="0"/>
              <w:rPr>
                <w:sz w:val="20"/>
                <w:szCs w:val="20"/>
                <w:color w:val="auto"/>
              </w:rPr>
            </w:pPr>
            <w:r>
              <w:rPr>
                <w:rFonts w:ascii="Arial" w:cs="Arial" w:eastAsia="Arial" w:hAnsi="Arial"/>
                <w:sz w:val="18"/>
                <w:szCs w:val="18"/>
                <w:color w:val="auto"/>
              </w:rPr>
              <w:t>Electronic Data Interchange (EDI)</w:t>
            </w:r>
          </w:p>
        </w:tc>
        <w:tc>
          <w:tcPr>
            <w:tcW w:w="36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4.7</w:t>
            </w:r>
          </w:p>
        </w:tc>
        <w:tc>
          <w:tcPr>
            <w:tcW w:w="7060" w:type="dxa"/>
            <w:vAlign w:val="bottom"/>
          </w:tcPr>
          <w:p>
            <w:pPr>
              <w:ind w:left="60"/>
              <w:spacing w:after="0"/>
              <w:rPr>
                <w:sz w:val="20"/>
                <w:szCs w:val="20"/>
                <w:color w:val="auto"/>
              </w:rPr>
            </w:pPr>
            <w:r>
              <w:rPr>
                <w:rFonts w:ascii="Arial" w:cs="Arial" w:eastAsia="Arial" w:hAnsi="Arial"/>
                <w:sz w:val="18"/>
                <w:szCs w:val="18"/>
                <w:color w:val="auto"/>
              </w:rPr>
              <w:t>Entry on AT&amp;T Property</w:t>
            </w:r>
          </w:p>
        </w:tc>
        <w:tc>
          <w:tcPr>
            <w:tcW w:w="36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4.8</w:t>
            </w:r>
          </w:p>
        </w:tc>
        <w:tc>
          <w:tcPr>
            <w:tcW w:w="7060" w:type="dxa"/>
            <w:vAlign w:val="bottom"/>
          </w:tcPr>
          <w:p>
            <w:pPr>
              <w:ind w:left="60"/>
              <w:spacing w:after="0"/>
              <w:rPr>
                <w:sz w:val="20"/>
                <w:szCs w:val="20"/>
                <w:color w:val="auto"/>
              </w:rPr>
            </w:pPr>
            <w:r>
              <w:rPr>
                <w:rFonts w:ascii="Arial" w:cs="Arial" w:eastAsia="Arial" w:hAnsi="Arial"/>
                <w:sz w:val="18"/>
                <w:szCs w:val="18"/>
                <w:color w:val="auto"/>
              </w:rPr>
              <w:t>Error Severity Level Description And Resolution Plan</w:t>
            </w:r>
          </w:p>
        </w:tc>
        <w:tc>
          <w:tcPr>
            <w:tcW w:w="36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4.9</w:t>
            </w:r>
          </w:p>
        </w:tc>
        <w:tc>
          <w:tcPr>
            <w:tcW w:w="7060" w:type="dxa"/>
            <w:vAlign w:val="bottom"/>
          </w:tcPr>
          <w:p>
            <w:pPr>
              <w:ind w:left="60"/>
              <w:spacing w:after="0"/>
              <w:rPr>
                <w:sz w:val="20"/>
                <w:szCs w:val="20"/>
                <w:color w:val="auto"/>
              </w:rPr>
            </w:pPr>
            <w:r>
              <w:rPr>
                <w:rFonts w:ascii="Arial" w:cs="Arial" w:eastAsia="Arial" w:hAnsi="Arial"/>
                <w:sz w:val="18"/>
                <w:szCs w:val="18"/>
                <w:color w:val="auto"/>
              </w:rPr>
              <w:t>Liquidated Damages for Delay in Delivery</w:t>
            </w:r>
          </w:p>
        </w:tc>
        <w:tc>
          <w:tcPr>
            <w:tcW w:w="36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4.10</w:t>
            </w:r>
          </w:p>
        </w:tc>
        <w:tc>
          <w:tcPr>
            <w:tcW w:w="7060" w:type="dxa"/>
            <w:vAlign w:val="bottom"/>
          </w:tcPr>
          <w:p>
            <w:pPr>
              <w:ind w:left="60"/>
              <w:spacing w:after="0"/>
              <w:rPr>
                <w:sz w:val="20"/>
                <w:szCs w:val="20"/>
                <w:color w:val="auto"/>
              </w:rPr>
            </w:pPr>
            <w:r>
              <w:rPr>
                <w:rFonts w:ascii="Arial" w:cs="Arial" w:eastAsia="Arial" w:hAnsi="Arial"/>
                <w:sz w:val="18"/>
                <w:szCs w:val="18"/>
                <w:color w:val="auto"/>
              </w:rPr>
              <w:t>Independent Contractor</w:t>
            </w:r>
          </w:p>
        </w:tc>
        <w:tc>
          <w:tcPr>
            <w:tcW w:w="3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4.11</w:t>
            </w:r>
          </w:p>
        </w:tc>
        <w:tc>
          <w:tcPr>
            <w:tcW w:w="7060" w:type="dxa"/>
            <w:vAlign w:val="bottom"/>
          </w:tcPr>
          <w:p>
            <w:pPr>
              <w:ind w:left="60"/>
              <w:spacing w:after="0"/>
              <w:rPr>
                <w:sz w:val="20"/>
                <w:szCs w:val="20"/>
                <w:color w:val="auto"/>
              </w:rPr>
            </w:pPr>
            <w:r>
              <w:rPr>
                <w:rFonts w:ascii="Arial" w:cs="Arial" w:eastAsia="Arial" w:hAnsi="Arial"/>
                <w:sz w:val="18"/>
                <w:szCs w:val="18"/>
                <w:color w:val="auto"/>
              </w:rPr>
              <w:t>Payment Card Industry Data Security Standards (PCI-DSS)</w:t>
            </w:r>
          </w:p>
        </w:tc>
        <w:tc>
          <w:tcPr>
            <w:tcW w:w="3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4.12</w:t>
            </w:r>
          </w:p>
        </w:tc>
        <w:tc>
          <w:tcPr>
            <w:tcW w:w="7060" w:type="dxa"/>
            <w:vAlign w:val="bottom"/>
          </w:tcPr>
          <w:p>
            <w:pPr>
              <w:ind w:left="60"/>
              <w:spacing w:after="0"/>
              <w:rPr>
                <w:sz w:val="20"/>
                <w:szCs w:val="20"/>
                <w:color w:val="auto"/>
              </w:rPr>
            </w:pPr>
            <w:r>
              <w:rPr>
                <w:rFonts w:ascii="Arial" w:cs="Arial" w:eastAsia="Arial" w:hAnsi="Arial"/>
                <w:sz w:val="18"/>
                <w:szCs w:val="18"/>
                <w:color w:val="auto"/>
              </w:rPr>
              <w:t>Previous Services for AT&amp;T</w:t>
            </w:r>
          </w:p>
        </w:tc>
        <w:tc>
          <w:tcPr>
            <w:tcW w:w="3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4.13</w:t>
            </w:r>
          </w:p>
        </w:tc>
        <w:tc>
          <w:tcPr>
            <w:tcW w:w="7060" w:type="dxa"/>
            <w:vAlign w:val="bottom"/>
          </w:tcPr>
          <w:p>
            <w:pPr>
              <w:ind w:left="60"/>
              <w:spacing w:after="0"/>
              <w:rPr>
                <w:sz w:val="20"/>
                <w:szCs w:val="20"/>
                <w:color w:val="auto"/>
              </w:rPr>
            </w:pPr>
            <w:r>
              <w:rPr>
                <w:rFonts w:ascii="Arial" w:cs="Arial" w:eastAsia="Arial" w:hAnsi="Arial"/>
                <w:sz w:val="18"/>
                <w:szCs w:val="18"/>
                <w:color w:val="auto"/>
              </w:rPr>
              <w:t>Affordable Care Act</w:t>
            </w:r>
          </w:p>
        </w:tc>
        <w:tc>
          <w:tcPr>
            <w:tcW w:w="3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w w:val="96"/>
              </w:rPr>
              <w:t>4.14</w:t>
            </w:r>
          </w:p>
        </w:tc>
        <w:tc>
          <w:tcPr>
            <w:tcW w:w="7060" w:type="dxa"/>
            <w:vAlign w:val="bottom"/>
          </w:tcPr>
          <w:p>
            <w:pPr>
              <w:ind w:left="60"/>
              <w:spacing w:after="0"/>
              <w:rPr>
                <w:sz w:val="20"/>
                <w:szCs w:val="20"/>
                <w:color w:val="auto"/>
              </w:rPr>
            </w:pPr>
            <w:r>
              <w:rPr>
                <w:rFonts w:ascii="Arial" w:cs="Arial" w:eastAsia="Arial" w:hAnsi="Arial"/>
                <w:sz w:val="18"/>
                <w:szCs w:val="18"/>
                <w:color w:val="auto"/>
              </w:rPr>
              <w:t>Supplier’s Audited Financial Statements</w:t>
            </w:r>
          </w:p>
        </w:tc>
        <w:tc>
          <w:tcPr>
            <w:tcW w:w="3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5.0</w:t>
            </w:r>
          </w:p>
        </w:tc>
        <w:tc>
          <w:tcPr>
            <w:tcW w:w="7060" w:type="dxa"/>
            <w:vAlign w:val="bottom"/>
          </w:tcPr>
          <w:p>
            <w:pPr>
              <w:ind w:left="60"/>
              <w:spacing w:after="0"/>
              <w:rPr>
                <w:sz w:val="20"/>
                <w:szCs w:val="20"/>
                <w:color w:val="auto"/>
              </w:rPr>
            </w:pPr>
            <w:r>
              <w:rPr>
                <w:rFonts w:ascii="Arial" w:cs="Arial" w:eastAsia="Arial" w:hAnsi="Arial"/>
                <w:sz w:val="18"/>
                <w:szCs w:val="18"/>
                <w:color w:val="auto"/>
              </w:rPr>
              <w:t>SPECIAL SOFTWARE TERMS</w:t>
            </w:r>
          </w:p>
        </w:tc>
        <w:tc>
          <w:tcPr>
            <w:tcW w:w="3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5.1</w:t>
            </w:r>
          </w:p>
        </w:tc>
        <w:tc>
          <w:tcPr>
            <w:tcW w:w="7060" w:type="dxa"/>
            <w:vAlign w:val="bottom"/>
          </w:tcPr>
          <w:p>
            <w:pPr>
              <w:ind w:left="60"/>
              <w:spacing w:after="0"/>
              <w:rPr>
                <w:sz w:val="20"/>
                <w:szCs w:val="20"/>
                <w:color w:val="auto"/>
              </w:rPr>
            </w:pPr>
            <w:r>
              <w:rPr>
                <w:rFonts w:ascii="Arial" w:cs="Arial" w:eastAsia="Arial" w:hAnsi="Arial"/>
                <w:sz w:val="18"/>
                <w:szCs w:val="18"/>
                <w:color w:val="auto"/>
              </w:rPr>
              <w:t>Modifications</w:t>
            </w:r>
          </w:p>
        </w:tc>
        <w:tc>
          <w:tcPr>
            <w:tcW w:w="3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5.2</w:t>
            </w:r>
          </w:p>
        </w:tc>
        <w:tc>
          <w:tcPr>
            <w:tcW w:w="7060" w:type="dxa"/>
            <w:vAlign w:val="bottom"/>
          </w:tcPr>
          <w:p>
            <w:pPr>
              <w:ind w:left="60"/>
              <w:spacing w:after="0"/>
              <w:rPr>
                <w:sz w:val="20"/>
                <w:szCs w:val="20"/>
                <w:color w:val="auto"/>
              </w:rPr>
            </w:pPr>
            <w:r>
              <w:rPr>
                <w:rFonts w:ascii="Arial" w:cs="Arial" w:eastAsia="Arial" w:hAnsi="Arial"/>
                <w:sz w:val="18"/>
                <w:szCs w:val="18"/>
                <w:color w:val="auto"/>
              </w:rPr>
              <w:t>Program Material</w:t>
            </w:r>
          </w:p>
        </w:tc>
        <w:tc>
          <w:tcPr>
            <w:tcW w:w="3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6.0</w:t>
            </w:r>
          </w:p>
        </w:tc>
        <w:tc>
          <w:tcPr>
            <w:tcW w:w="7060" w:type="dxa"/>
            <w:vAlign w:val="bottom"/>
          </w:tcPr>
          <w:p>
            <w:pPr>
              <w:ind w:left="60"/>
              <w:spacing w:after="0"/>
              <w:rPr>
                <w:sz w:val="20"/>
                <w:szCs w:val="20"/>
                <w:color w:val="auto"/>
              </w:rPr>
            </w:pPr>
            <w:r>
              <w:rPr>
                <w:rFonts w:ascii="Arial" w:cs="Arial" w:eastAsia="Arial" w:hAnsi="Arial"/>
                <w:sz w:val="18"/>
                <w:szCs w:val="18"/>
                <w:color w:val="auto"/>
              </w:rPr>
              <w:t>MISCELLANEOUS PROVISIONS</w:t>
            </w:r>
          </w:p>
        </w:tc>
        <w:tc>
          <w:tcPr>
            <w:tcW w:w="3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6.1</w:t>
            </w:r>
          </w:p>
        </w:tc>
        <w:tc>
          <w:tcPr>
            <w:tcW w:w="7060" w:type="dxa"/>
            <w:vAlign w:val="bottom"/>
          </w:tcPr>
          <w:p>
            <w:pPr>
              <w:ind w:left="60"/>
              <w:spacing w:after="0"/>
              <w:rPr>
                <w:sz w:val="20"/>
                <w:szCs w:val="20"/>
                <w:color w:val="auto"/>
              </w:rPr>
            </w:pPr>
            <w:r>
              <w:rPr>
                <w:rFonts w:ascii="Arial" w:cs="Arial" w:eastAsia="Arial" w:hAnsi="Arial"/>
                <w:sz w:val="18"/>
                <w:szCs w:val="18"/>
                <w:color w:val="auto"/>
              </w:rPr>
              <w:t>Allowable Expenses</w:t>
            </w:r>
          </w:p>
        </w:tc>
        <w:tc>
          <w:tcPr>
            <w:tcW w:w="3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6.2</w:t>
            </w:r>
          </w:p>
        </w:tc>
        <w:tc>
          <w:tcPr>
            <w:tcW w:w="7060" w:type="dxa"/>
            <w:vAlign w:val="bottom"/>
          </w:tcPr>
          <w:p>
            <w:pPr>
              <w:ind w:left="60"/>
              <w:spacing w:after="0"/>
              <w:rPr>
                <w:sz w:val="20"/>
                <w:szCs w:val="20"/>
                <w:color w:val="auto"/>
              </w:rPr>
            </w:pPr>
            <w:r>
              <w:rPr>
                <w:rFonts w:ascii="Arial" w:cs="Arial" w:eastAsia="Arial" w:hAnsi="Arial"/>
                <w:sz w:val="18"/>
                <w:szCs w:val="18"/>
                <w:color w:val="auto"/>
              </w:rPr>
              <w:t>Reporting</w:t>
            </w:r>
          </w:p>
        </w:tc>
        <w:tc>
          <w:tcPr>
            <w:tcW w:w="3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6.3</w:t>
            </w:r>
          </w:p>
        </w:tc>
        <w:tc>
          <w:tcPr>
            <w:tcW w:w="7060" w:type="dxa"/>
            <w:vAlign w:val="bottom"/>
          </w:tcPr>
          <w:p>
            <w:pPr>
              <w:ind w:left="60"/>
              <w:spacing w:after="0"/>
              <w:rPr>
                <w:sz w:val="20"/>
                <w:szCs w:val="20"/>
                <w:color w:val="auto"/>
              </w:rPr>
            </w:pPr>
            <w:r>
              <w:rPr>
                <w:rFonts w:ascii="Arial" w:cs="Arial" w:eastAsia="Arial" w:hAnsi="Arial"/>
                <w:sz w:val="18"/>
                <w:szCs w:val="18"/>
                <w:color w:val="auto"/>
              </w:rPr>
              <w:t>Disaster Recovery and Business Continuity Plan:</w:t>
            </w:r>
          </w:p>
        </w:tc>
        <w:tc>
          <w:tcPr>
            <w:tcW w:w="3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6.4</w:t>
            </w:r>
          </w:p>
        </w:tc>
        <w:tc>
          <w:tcPr>
            <w:tcW w:w="7060" w:type="dxa"/>
            <w:vAlign w:val="bottom"/>
          </w:tcPr>
          <w:p>
            <w:pPr>
              <w:ind w:left="60"/>
              <w:spacing w:after="0"/>
              <w:rPr>
                <w:sz w:val="20"/>
                <w:szCs w:val="20"/>
                <w:color w:val="auto"/>
              </w:rPr>
            </w:pPr>
            <w:r>
              <w:rPr>
                <w:rFonts w:ascii="Arial" w:cs="Arial" w:eastAsia="Arial" w:hAnsi="Arial"/>
                <w:sz w:val="18"/>
                <w:szCs w:val="18"/>
                <w:color w:val="auto"/>
              </w:rPr>
              <w:t>Clauses Applicable to Call Center Work</w:t>
            </w:r>
          </w:p>
        </w:tc>
        <w:tc>
          <w:tcPr>
            <w:tcW w:w="3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7.0</w:t>
            </w:r>
          </w:p>
        </w:tc>
        <w:tc>
          <w:tcPr>
            <w:tcW w:w="7060" w:type="dxa"/>
            <w:vAlign w:val="bottom"/>
          </w:tcPr>
          <w:p>
            <w:pPr>
              <w:ind w:left="60"/>
              <w:spacing w:after="0"/>
              <w:rPr>
                <w:sz w:val="20"/>
                <w:szCs w:val="20"/>
                <w:color w:val="auto"/>
              </w:rPr>
            </w:pPr>
            <w:r>
              <w:rPr>
                <w:rFonts w:ascii="Arial" w:cs="Arial" w:eastAsia="Arial" w:hAnsi="Arial"/>
                <w:sz w:val="18"/>
                <w:szCs w:val="18"/>
                <w:color w:val="auto"/>
              </w:rPr>
              <w:t>RELATIONSHIP MANAGEMENT</w:t>
            </w:r>
          </w:p>
        </w:tc>
        <w:tc>
          <w:tcPr>
            <w:tcW w:w="360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4 of 206</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p>
        </w:tc>
        <w:tc>
          <w:tcPr>
            <w:tcW w:w="10740" w:type="dxa"/>
            <w:vAlign w:val="bottom"/>
            <w:gridSpan w:val="2"/>
          </w:tcPr>
          <w:p>
            <w:pPr>
              <w:jc w:val="right"/>
              <w:spacing w:after="0"/>
              <w:rPr>
                <w:sz w:val="20"/>
                <w:szCs w:val="20"/>
                <w:color w:val="auto"/>
              </w:rPr>
            </w:pPr>
            <w:r>
              <w:rPr>
                <w:rFonts w:ascii="Arial" w:cs="Arial" w:eastAsia="Arial" w:hAnsi="Arial"/>
                <w:sz w:val="18"/>
                <w:szCs w:val="18"/>
                <w:color w:val="auto"/>
              </w:rPr>
              <w:t>AT&amp;T Agreement No. 53258.A.005</w:t>
            </w:r>
          </w:p>
        </w:tc>
      </w:tr>
      <w:tr>
        <w:trPr>
          <w:trHeight w:val="350"/>
        </w:trPr>
        <w:tc>
          <w:tcPr>
            <w:tcW w:w="280" w:type="dxa"/>
            <w:vAlign w:val="bottom"/>
          </w:tcPr>
          <w:p>
            <w:pPr>
              <w:spacing w:after="0"/>
              <w:rPr>
                <w:sz w:val="20"/>
                <w:szCs w:val="20"/>
                <w:color w:val="auto"/>
              </w:rPr>
            </w:pPr>
            <w:r>
              <w:rPr>
                <w:rFonts w:ascii="Arial" w:cs="Arial" w:eastAsia="Arial" w:hAnsi="Arial"/>
                <w:sz w:val="18"/>
                <w:szCs w:val="18"/>
                <w:color w:val="auto"/>
              </w:rPr>
              <w:t>7.1</w:t>
            </w:r>
          </w:p>
        </w:tc>
        <w:tc>
          <w:tcPr>
            <w:tcW w:w="9900" w:type="dxa"/>
            <w:vAlign w:val="bottom"/>
          </w:tcPr>
          <w:p>
            <w:pPr>
              <w:ind w:left="40"/>
              <w:spacing w:after="0"/>
              <w:rPr>
                <w:sz w:val="20"/>
                <w:szCs w:val="20"/>
                <w:color w:val="auto"/>
              </w:rPr>
            </w:pPr>
            <w:r>
              <w:rPr>
                <w:rFonts w:ascii="Arial" w:cs="Arial" w:eastAsia="Arial" w:hAnsi="Arial"/>
                <w:sz w:val="18"/>
                <w:szCs w:val="18"/>
                <w:color w:val="auto"/>
              </w:rPr>
              <w:t>Relationship Management</w:t>
            </w:r>
          </w:p>
        </w:tc>
        <w:tc>
          <w:tcPr>
            <w:tcW w:w="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7.2</w:t>
            </w:r>
          </w:p>
        </w:tc>
        <w:tc>
          <w:tcPr>
            <w:tcW w:w="9900" w:type="dxa"/>
            <w:vAlign w:val="bottom"/>
          </w:tcPr>
          <w:p>
            <w:pPr>
              <w:ind w:left="40"/>
              <w:spacing w:after="0"/>
              <w:rPr>
                <w:sz w:val="20"/>
                <w:szCs w:val="20"/>
                <w:color w:val="auto"/>
              </w:rPr>
            </w:pPr>
            <w:r>
              <w:rPr>
                <w:rFonts w:ascii="Arial" w:cs="Arial" w:eastAsia="Arial" w:hAnsi="Arial"/>
                <w:sz w:val="18"/>
                <w:szCs w:val="18"/>
                <w:color w:val="auto"/>
              </w:rPr>
              <w:t>Proposed Projects</w:t>
            </w:r>
          </w:p>
        </w:tc>
        <w:tc>
          <w:tcPr>
            <w:tcW w:w="84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7.3</w:t>
            </w:r>
          </w:p>
        </w:tc>
        <w:tc>
          <w:tcPr>
            <w:tcW w:w="9900" w:type="dxa"/>
            <w:vAlign w:val="bottom"/>
          </w:tcPr>
          <w:p>
            <w:pPr>
              <w:ind w:left="40"/>
              <w:spacing w:after="0"/>
              <w:rPr>
                <w:sz w:val="20"/>
                <w:szCs w:val="20"/>
                <w:color w:val="auto"/>
              </w:rPr>
            </w:pPr>
            <w:r>
              <w:rPr>
                <w:rFonts w:ascii="Arial" w:cs="Arial" w:eastAsia="Arial" w:hAnsi="Arial"/>
                <w:sz w:val="18"/>
                <w:szCs w:val="18"/>
                <w:color w:val="auto"/>
              </w:rPr>
              <w:t>Project Management</w:t>
            </w:r>
          </w:p>
        </w:tc>
        <w:tc>
          <w:tcPr>
            <w:tcW w:w="84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7.4</w:t>
            </w:r>
          </w:p>
        </w:tc>
        <w:tc>
          <w:tcPr>
            <w:tcW w:w="9900" w:type="dxa"/>
            <w:vAlign w:val="bottom"/>
          </w:tcPr>
          <w:p>
            <w:pPr>
              <w:ind w:left="40"/>
              <w:spacing w:after="0"/>
              <w:rPr>
                <w:sz w:val="20"/>
                <w:szCs w:val="20"/>
                <w:color w:val="auto"/>
              </w:rPr>
            </w:pPr>
            <w:r>
              <w:rPr>
                <w:rFonts w:ascii="Arial" w:cs="Arial" w:eastAsia="Arial" w:hAnsi="Arial"/>
                <w:sz w:val="18"/>
                <w:szCs w:val="18"/>
                <w:color w:val="auto"/>
              </w:rPr>
              <w:t>Hardware and Third Party Software Considerations</w:t>
            </w:r>
          </w:p>
        </w:tc>
        <w:tc>
          <w:tcPr>
            <w:tcW w:w="84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8.0</w:t>
            </w:r>
          </w:p>
        </w:tc>
        <w:tc>
          <w:tcPr>
            <w:tcW w:w="9900" w:type="dxa"/>
            <w:vAlign w:val="bottom"/>
          </w:tcPr>
          <w:p>
            <w:pPr>
              <w:ind w:left="40"/>
              <w:spacing w:after="0"/>
              <w:rPr>
                <w:sz w:val="20"/>
                <w:szCs w:val="20"/>
                <w:color w:val="auto"/>
              </w:rPr>
            </w:pPr>
            <w:r>
              <w:rPr>
                <w:rFonts w:ascii="Arial" w:cs="Arial" w:eastAsia="Arial" w:hAnsi="Arial"/>
                <w:sz w:val="18"/>
                <w:szCs w:val="18"/>
                <w:color w:val="auto"/>
              </w:rPr>
              <w:t>Standard Software License</w:t>
            </w: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8.1</w:t>
            </w:r>
          </w:p>
        </w:tc>
        <w:tc>
          <w:tcPr>
            <w:tcW w:w="9900" w:type="dxa"/>
            <w:vAlign w:val="bottom"/>
          </w:tcPr>
          <w:p>
            <w:pPr>
              <w:ind w:left="40"/>
              <w:spacing w:after="0"/>
              <w:rPr>
                <w:sz w:val="20"/>
                <w:szCs w:val="20"/>
                <w:color w:val="auto"/>
              </w:rPr>
            </w:pPr>
            <w:r>
              <w:rPr>
                <w:rFonts w:ascii="Arial" w:cs="Arial" w:eastAsia="Arial" w:hAnsi="Arial"/>
                <w:sz w:val="18"/>
                <w:szCs w:val="18"/>
                <w:color w:val="auto"/>
              </w:rPr>
              <w:t>License Grant</w:t>
            </w: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8.2</w:t>
            </w:r>
          </w:p>
        </w:tc>
        <w:tc>
          <w:tcPr>
            <w:tcW w:w="9900" w:type="dxa"/>
            <w:vAlign w:val="bottom"/>
          </w:tcPr>
          <w:p>
            <w:pPr>
              <w:ind w:left="40"/>
              <w:spacing w:after="0"/>
              <w:rPr>
                <w:sz w:val="20"/>
                <w:szCs w:val="20"/>
                <w:color w:val="auto"/>
              </w:rPr>
            </w:pPr>
            <w:r>
              <w:rPr>
                <w:rFonts w:ascii="Arial" w:cs="Arial" w:eastAsia="Arial" w:hAnsi="Arial"/>
                <w:sz w:val="18"/>
                <w:szCs w:val="18"/>
                <w:color w:val="auto"/>
              </w:rPr>
              <w:t>License Fee</w:t>
            </w:r>
          </w:p>
        </w:tc>
        <w:tc>
          <w:tcPr>
            <w:tcW w:w="8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8.3</w:t>
            </w:r>
          </w:p>
        </w:tc>
        <w:tc>
          <w:tcPr>
            <w:tcW w:w="9900" w:type="dxa"/>
            <w:vAlign w:val="bottom"/>
          </w:tcPr>
          <w:p>
            <w:pPr>
              <w:ind w:left="40"/>
              <w:spacing w:after="0"/>
              <w:rPr>
                <w:sz w:val="20"/>
                <w:szCs w:val="20"/>
                <w:color w:val="auto"/>
              </w:rPr>
            </w:pPr>
            <w:r>
              <w:rPr>
                <w:rFonts w:ascii="Arial" w:cs="Arial" w:eastAsia="Arial" w:hAnsi="Arial"/>
                <w:sz w:val="18"/>
                <w:szCs w:val="18"/>
                <w:color w:val="auto"/>
              </w:rPr>
              <w:t>Limitations on Use</w:t>
            </w: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8.4</w:t>
            </w:r>
          </w:p>
        </w:tc>
        <w:tc>
          <w:tcPr>
            <w:tcW w:w="9900" w:type="dxa"/>
            <w:vAlign w:val="bottom"/>
          </w:tcPr>
          <w:p>
            <w:pPr>
              <w:ind w:left="40"/>
              <w:spacing w:after="0"/>
              <w:rPr>
                <w:sz w:val="20"/>
                <w:szCs w:val="20"/>
                <w:color w:val="auto"/>
              </w:rPr>
            </w:pPr>
            <w:r>
              <w:rPr>
                <w:rFonts w:ascii="Arial" w:cs="Arial" w:eastAsia="Arial" w:hAnsi="Arial"/>
                <w:sz w:val="18"/>
                <w:szCs w:val="18"/>
                <w:color w:val="auto"/>
              </w:rPr>
              <w:t>Modification</w:t>
            </w:r>
          </w:p>
        </w:tc>
        <w:tc>
          <w:tcPr>
            <w:tcW w:w="84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8.5</w:t>
            </w:r>
          </w:p>
        </w:tc>
        <w:tc>
          <w:tcPr>
            <w:tcW w:w="9900" w:type="dxa"/>
            <w:vAlign w:val="bottom"/>
          </w:tcPr>
          <w:p>
            <w:pPr>
              <w:ind w:left="40"/>
              <w:spacing w:after="0"/>
              <w:rPr>
                <w:sz w:val="20"/>
                <w:szCs w:val="20"/>
                <w:color w:val="auto"/>
              </w:rPr>
            </w:pPr>
            <w:r>
              <w:rPr>
                <w:rFonts w:ascii="Arial" w:cs="Arial" w:eastAsia="Arial" w:hAnsi="Arial"/>
                <w:sz w:val="18"/>
                <w:szCs w:val="18"/>
                <w:color w:val="auto"/>
              </w:rPr>
              <w:t>Source Code Availability</w:t>
            </w: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8.6</w:t>
            </w:r>
          </w:p>
        </w:tc>
        <w:tc>
          <w:tcPr>
            <w:tcW w:w="9900" w:type="dxa"/>
            <w:vAlign w:val="bottom"/>
          </w:tcPr>
          <w:p>
            <w:pPr>
              <w:ind w:left="40"/>
              <w:spacing w:after="0"/>
              <w:rPr>
                <w:sz w:val="20"/>
                <w:szCs w:val="20"/>
                <w:color w:val="auto"/>
              </w:rPr>
            </w:pPr>
            <w:r>
              <w:rPr>
                <w:rFonts w:ascii="Arial" w:cs="Arial" w:eastAsia="Arial" w:hAnsi="Arial"/>
                <w:sz w:val="18"/>
                <w:szCs w:val="18"/>
                <w:color w:val="auto"/>
              </w:rPr>
              <w:t>Title</w:t>
            </w:r>
          </w:p>
        </w:tc>
        <w:tc>
          <w:tcPr>
            <w:tcW w:w="84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280" w:type="dxa"/>
            <w:vAlign w:val="bottom"/>
          </w:tcPr>
          <w:p>
            <w:pPr>
              <w:spacing w:after="0"/>
              <w:rPr>
                <w:sz w:val="20"/>
                <w:szCs w:val="20"/>
                <w:color w:val="auto"/>
              </w:rPr>
            </w:pPr>
            <w:r>
              <w:rPr>
                <w:rFonts w:ascii="Arial" w:cs="Arial" w:eastAsia="Arial" w:hAnsi="Arial"/>
                <w:sz w:val="18"/>
                <w:szCs w:val="18"/>
                <w:color w:val="auto"/>
              </w:rPr>
              <w:t>9.0</w:t>
            </w:r>
          </w:p>
        </w:tc>
        <w:tc>
          <w:tcPr>
            <w:tcW w:w="9900" w:type="dxa"/>
            <w:vAlign w:val="bottom"/>
          </w:tcPr>
          <w:p>
            <w:pPr>
              <w:ind w:left="40"/>
              <w:spacing w:after="0"/>
              <w:rPr>
                <w:sz w:val="20"/>
                <w:szCs w:val="20"/>
                <w:color w:val="auto"/>
              </w:rPr>
            </w:pPr>
            <w:r>
              <w:rPr>
                <w:rFonts w:ascii="Arial" w:cs="Arial" w:eastAsia="Arial" w:hAnsi="Arial"/>
                <w:sz w:val="18"/>
                <w:szCs w:val="18"/>
                <w:color w:val="auto"/>
              </w:rPr>
              <w:t>Execution of Agreement</w:t>
            </w: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280" w:type="dxa"/>
            <w:vAlign w:val="bottom"/>
          </w:tcPr>
          <w:p>
            <w:pPr>
              <w:spacing w:after="0"/>
              <w:rPr>
                <w:sz w:val="20"/>
                <w:szCs w:val="20"/>
                <w:color w:val="auto"/>
              </w:rPr>
            </w:pPr>
            <w:r>
              <w:rPr>
                <w:rFonts w:ascii="Arial" w:cs="Arial" w:eastAsia="Arial" w:hAnsi="Arial"/>
                <w:sz w:val="18"/>
                <w:szCs w:val="18"/>
                <w:color w:val="auto"/>
              </w:rPr>
              <w:t>9.1</w:t>
            </w:r>
          </w:p>
        </w:tc>
        <w:tc>
          <w:tcPr>
            <w:tcW w:w="9900" w:type="dxa"/>
            <w:vAlign w:val="bottom"/>
          </w:tcPr>
          <w:p>
            <w:pPr>
              <w:ind w:left="40"/>
              <w:spacing w:after="0"/>
              <w:rPr>
                <w:sz w:val="20"/>
                <w:szCs w:val="20"/>
                <w:color w:val="auto"/>
              </w:rPr>
            </w:pPr>
            <w:r>
              <w:rPr>
                <w:rFonts w:ascii="Arial" w:cs="Arial" w:eastAsia="Arial" w:hAnsi="Arial"/>
                <w:sz w:val="18"/>
                <w:szCs w:val="18"/>
                <w:color w:val="auto"/>
              </w:rPr>
              <w:t>Transmission of Original Signatures and Executing Multiple Counterparts</w:t>
            </w:r>
          </w:p>
        </w:tc>
        <w:tc>
          <w:tcPr>
            <w:tcW w:w="8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445"/>
        </w:trPr>
        <w:tc>
          <w:tcPr>
            <w:tcW w:w="10180" w:type="dxa"/>
            <w:vAlign w:val="bottom"/>
            <w:gridSpan w:val="2"/>
          </w:tcPr>
          <w:p>
            <w:pPr>
              <w:spacing w:after="0"/>
              <w:rPr>
                <w:sz w:val="20"/>
                <w:szCs w:val="20"/>
                <w:color w:val="auto"/>
              </w:rPr>
            </w:pPr>
            <w:r>
              <w:rPr>
                <w:rFonts w:ascii="Arial" w:cs="Arial" w:eastAsia="Arial" w:hAnsi="Arial"/>
                <w:sz w:val="18"/>
                <w:szCs w:val="18"/>
                <w:color w:val="auto"/>
              </w:rPr>
              <w:t>APPENDICES</w:t>
            </w: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A – Supplier’s Price(s)</w:t>
            </w:r>
          </w:p>
        </w:tc>
        <w:tc>
          <w:tcPr>
            <w:tcW w:w="8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B – Forms of Order</w:t>
            </w: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B, Exhibit 1 – For Orders Requiring Signature</w:t>
            </w:r>
          </w:p>
        </w:tc>
        <w:tc>
          <w:tcPr>
            <w:tcW w:w="84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B, Exhibit 2 – For Use When Issuing A Purchase Order</w:t>
            </w:r>
          </w:p>
        </w:tc>
        <w:tc>
          <w:tcPr>
            <w:tcW w:w="8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B, Exhibit 3 – For License Orders for Standard Software</w:t>
            </w:r>
          </w:p>
        </w:tc>
        <w:tc>
          <w:tcPr>
            <w:tcW w:w="8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C – Offshore Locations</w:t>
            </w:r>
          </w:p>
        </w:tc>
        <w:tc>
          <w:tcPr>
            <w:tcW w:w="8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D – Security and Offshore Requirements</w:t>
            </w:r>
          </w:p>
        </w:tc>
        <w:tc>
          <w:tcPr>
            <w:tcW w:w="8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E – Prime Supplier MBE/WBE/DVBE Participation Plan and Results</w:t>
            </w:r>
          </w:p>
        </w:tc>
        <w:tc>
          <w:tcPr>
            <w:tcW w:w="840" w:type="dxa"/>
            <w:vAlign w:val="bottom"/>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E, Exhibit 1 – Prime Supplier MBE/WBE/DVBE Participation Plan</w:t>
            </w:r>
          </w:p>
        </w:tc>
        <w:tc>
          <w:tcPr>
            <w:tcW w:w="84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E, Exhibit 2 – MBE/WBE/DVBE Results Report</w:t>
            </w:r>
          </w:p>
        </w:tc>
        <w:tc>
          <w:tcPr>
            <w:tcW w:w="84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F – Acceptance Letter</w:t>
            </w:r>
          </w:p>
        </w:tc>
        <w:tc>
          <w:tcPr>
            <w:tcW w:w="840" w:type="dxa"/>
            <w:vAlign w:val="bottom"/>
          </w:tcPr>
          <w:p>
            <w:pPr>
              <w:jc w:val="right"/>
              <w:spacing w:after="0"/>
              <w:rPr>
                <w:sz w:val="20"/>
                <w:szCs w:val="20"/>
                <w:color w:val="auto"/>
              </w:rPr>
            </w:pPr>
            <w:r>
              <w:rPr>
                <w:rFonts w:ascii="Arial" w:cs="Arial" w:eastAsia="Arial" w:hAnsi="Arial"/>
                <w:sz w:val="18"/>
                <w:szCs w:val="18"/>
                <w:color w:val="auto"/>
              </w:rPr>
              <w:t>158</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G – Agreement Regarding Non-Employment Status with AT&amp;T</w:t>
            </w:r>
          </w:p>
        </w:tc>
        <w:tc>
          <w:tcPr>
            <w:tcW w:w="84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H – Vendor Expense Policy</w:t>
            </w:r>
          </w:p>
        </w:tc>
        <w:tc>
          <w:tcPr>
            <w:tcW w:w="840" w:type="dxa"/>
            <w:vAlign w:val="bottom"/>
          </w:tcPr>
          <w:p>
            <w:pPr>
              <w:jc w:val="right"/>
              <w:spacing w:after="0"/>
              <w:rPr>
                <w:sz w:val="20"/>
                <w:szCs w:val="20"/>
                <w:color w:val="auto"/>
              </w:rPr>
            </w:pPr>
            <w:r>
              <w:rPr>
                <w:rFonts w:ascii="Arial" w:cs="Arial" w:eastAsia="Arial" w:hAnsi="Arial"/>
                <w:sz w:val="18"/>
                <w:szCs w:val="18"/>
                <w:color w:val="auto"/>
              </w:rPr>
              <w:t>161</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I – Non-Disclosure Agreements</w:t>
            </w:r>
          </w:p>
        </w:tc>
        <w:tc>
          <w:tcPr>
            <w:tcW w:w="84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w w:val="96"/>
              </w:rPr>
              <w:t>Appendix I, Exhibit 1 – Non-Disclosure Agreement between Amdocs and External Auditors, Other Vendors, or Consultants for AT&amp;T</w:t>
            </w:r>
          </w:p>
        </w:tc>
        <w:tc>
          <w:tcPr>
            <w:tcW w:w="8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I, Exhibit 2 – Non-Disclosure between a Vendor, Consultant, Or Third Party to AT&amp;T and AT&amp;T</w:t>
            </w:r>
          </w:p>
        </w:tc>
        <w:tc>
          <w:tcPr>
            <w:tcW w:w="84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J – Disaster Recovery Plan (“DRP”) and Business Continuity Plan (“BCP”)</w:t>
            </w:r>
          </w:p>
        </w:tc>
        <w:tc>
          <w:tcPr>
            <w:tcW w:w="840" w:type="dxa"/>
            <w:vAlign w:val="bottom"/>
          </w:tcPr>
          <w:p>
            <w:pPr>
              <w:jc w:val="right"/>
              <w:spacing w:after="0"/>
              <w:rPr>
                <w:sz w:val="20"/>
                <w:szCs w:val="20"/>
                <w:color w:val="auto"/>
              </w:rPr>
            </w:pPr>
            <w:r>
              <w:rPr>
                <w:rFonts w:ascii="Arial" w:cs="Arial" w:eastAsia="Arial" w:hAnsi="Arial"/>
                <w:sz w:val="18"/>
                <w:szCs w:val="18"/>
                <w:color w:val="auto"/>
              </w:rPr>
              <w:t>179</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K – EU Data Privacy and GDPR Data Processing Obligations</w:t>
            </w: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L – Standard Contractual Clauses (Processors)</w:t>
            </w:r>
          </w:p>
        </w:tc>
        <w:tc>
          <w:tcPr>
            <w:tcW w:w="84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M – Escrow Agreement</w:t>
            </w:r>
          </w:p>
        </w:tc>
        <w:tc>
          <w:tcPr>
            <w:tcW w:w="840" w:type="dxa"/>
            <w:vAlign w:val="bottom"/>
          </w:tcPr>
          <w:p>
            <w:pPr>
              <w:jc w:val="right"/>
              <w:spacing w:after="0"/>
              <w:rPr>
                <w:sz w:val="20"/>
                <w:szCs w:val="20"/>
                <w:color w:val="auto"/>
              </w:rPr>
            </w:pPr>
            <w:r>
              <w:rPr>
                <w:rFonts w:ascii="Arial" w:cs="Arial" w:eastAsia="Arial" w:hAnsi="Arial"/>
                <w:sz w:val="18"/>
                <w:szCs w:val="18"/>
                <w:color w:val="auto"/>
              </w:rPr>
              <w:t>198</w:t>
            </w:r>
          </w:p>
        </w:tc>
      </w:tr>
      <w:tr>
        <w:trPr>
          <w:trHeight w:val="216"/>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O – California Consumer Privacy Act Requirements</w:t>
            </w:r>
          </w:p>
        </w:tc>
        <w:tc>
          <w:tcPr>
            <w:tcW w:w="84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230"/>
        </w:trPr>
        <w:tc>
          <w:tcPr>
            <w:tcW w:w="10180" w:type="dxa"/>
            <w:vAlign w:val="bottom"/>
            <w:gridSpan w:val="2"/>
          </w:tcPr>
          <w:p>
            <w:pPr>
              <w:spacing w:after="0"/>
              <w:rPr>
                <w:sz w:val="20"/>
                <w:szCs w:val="20"/>
                <w:color w:val="auto"/>
              </w:rPr>
            </w:pPr>
            <w:r>
              <w:rPr>
                <w:rFonts w:ascii="Arial" w:cs="Arial" w:eastAsia="Arial" w:hAnsi="Arial"/>
                <w:sz w:val="18"/>
                <w:szCs w:val="18"/>
                <w:color w:val="auto"/>
              </w:rPr>
              <w:t>Appendix N – Legacy Software Maintenance</w:t>
            </w:r>
          </w:p>
        </w:tc>
        <w:tc>
          <w:tcPr>
            <w:tcW w:w="840" w:type="dxa"/>
            <w:vAlign w:val="bottom"/>
          </w:tcPr>
          <w:p>
            <w:pPr>
              <w:jc w:val="right"/>
              <w:spacing w:after="0"/>
              <w:rPr>
                <w:sz w:val="20"/>
                <w:szCs w:val="20"/>
                <w:color w:val="auto"/>
              </w:rPr>
            </w:pPr>
            <w:r>
              <w:rPr>
                <w:rFonts w:ascii="Arial" w:cs="Arial" w:eastAsia="Arial" w:hAnsi="Arial"/>
                <w:sz w:val="18"/>
                <w:szCs w:val="18"/>
                <w:color w:val="auto"/>
              </w:rPr>
              <w:t>201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5 of 206</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7"/>
          <w:szCs w:val="17"/>
          <w:color w:val="auto"/>
        </w:rPr>
        <w:t>PREAMBLE</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Preamble</w:t>
      </w:r>
    </w:p>
    <w:p>
      <w:pPr>
        <w:spacing w:after="0" w:line="117" w:lineRule="exact"/>
        <w:rPr>
          <w:sz w:val="20"/>
          <w:szCs w:val="20"/>
          <w:color w:val="auto"/>
        </w:rPr>
      </w:pPr>
    </w:p>
    <w:p>
      <w:pPr>
        <w:ind w:left="440" w:right="120"/>
        <w:spacing w:after="0" w:line="263" w:lineRule="auto"/>
        <w:rPr>
          <w:sz w:val="20"/>
          <w:szCs w:val="20"/>
          <w:color w:val="auto"/>
        </w:rPr>
      </w:pPr>
      <w:r>
        <w:rPr>
          <w:rFonts w:ascii="Arial" w:cs="Arial" w:eastAsia="Arial" w:hAnsi="Arial"/>
          <w:sz w:val="18"/>
          <w:szCs w:val="18"/>
          <w:color w:val="auto"/>
        </w:rPr>
        <w:t>This Restated and Amended Master Services and Software License Agreement (the “Agreement”) is between Amdocs Development Limited, a Cyprus corporation (hereinafter referred to as “Supplier”), and AT&amp;T Services, Inc., a Delaware corporation (hereinafter referred to as “AT&amp;T”), each of which may be referred to in the singular as a “Party” or in the plural as the “Parties.”</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Scope of Agreement:</w:t>
      </w:r>
    </w:p>
    <w:p>
      <w:pPr>
        <w:spacing w:after="0" w:line="117" w:lineRule="exact"/>
        <w:rPr>
          <w:sz w:val="20"/>
          <w:szCs w:val="20"/>
          <w:color w:val="auto"/>
        </w:rPr>
      </w:pPr>
    </w:p>
    <w:p>
      <w:pPr>
        <w:ind w:left="440" w:right="120"/>
        <w:spacing w:after="0" w:line="273" w:lineRule="auto"/>
        <w:rPr>
          <w:sz w:val="20"/>
          <w:szCs w:val="20"/>
          <w:color w:val="auto"/>
        </w:rPr>
      </w:pPr>
      <w:r>
        <w:rPr>
          <w:rFonts w:ascii="Arial" w:cs="Arial" w:eastAsia="Arial" w:hAnsi="Arial"/>
          <w:sz w:val="17"/>
          <w:szCs w:val="17"/>
          <w:color w:val="auto"/>
        </w:rPr>
        <w:t>Supplier shall provide to AT&amp;T the Material and Services and license to AT&amp;T the Standard Software, subject to the terms and conditions of this Agreement and pursuant to and in conformance with Orders submitted by Supplier or AT&amp;T. Such Orders, once fully executed by the Parties, shall be deemed to incorporate the provisions of this Agreement (including the Appendices and Exhibits attached hereto) as though fully set forth therein. The Parties agree that any [***] except to the extent that the terms and conditions of the existing Maintenance Orders set forth in Appendix N – Legacy Software Maintenance conflict with the terms and conditions of this Agreement, in which case the terms and conditions of the existing Maintenance Orders set forth in Appendix N – Legacy Software Maintenance shall control.</w:t>
      </w:r>
    </w:p>
    <w:p>
      <w:pPr>
        <w:spacing w:after="0" w:line="8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Term of Agreement</w:t>
      </w:r>
    </w:p>
    <w:p>
      <w:pPr>
        <w:spacing w:after="0" w:line="117" w:lineRule="exact"/>
        <w:rPr>
          <w:sz w:val="20"/>
          <w:szCs w:val="20"/>
          <w:color w:val="auto"/>
        </w:rPr>
      </w:pPr>
    </w:p>
    <w:p>
      <w:pPr>
        <w:ind w:left="440" w:right="80"/>
        <w:spacing w:after="0" w:line="279" w:lineRule="auto"/>
        <w:rPr>
          <w:sz w:val="20"/>
          <w:szCs w:val="20"/>
          <w:color w:val="auto"/>
        </w:rPr>
      </w:pPr>
      <w:r>
        <w:rPr>
          <w:rFonts w:ascii="Arial" w:cs="Arial" w:eastAsia="Arial" w:hAnsi="Arial"/>
          <w:sz w:val="17"/>
          <w:szCs w:val="17"/>
          <w:color w:val="auto"/>
        </w:rPr>
        <w:t>After all Parties have signed, this Agreement shall be effective on the last date signed by a Party (“Effective Date”), and shall continue until October 15, 2022 (“Expiration Date”) (the time period between Effective Date through Expiration Date shall be referred to as the “Initial Term”), unless earlier terminated as set forth herein. The Parties may extend the term by executing an amendment to this Agreement (each such extension, a “Renewal Period”). The Initial Term and any Renewal Period(s) shall together be referred to as the “Term of Agreement”.</w:t>
      </w:r>
    </w:p>
    <w:p>
      <w:pPr>
        <w:spacing w:after="0" w:line="63" w:lineRule="exact"/>
        <w:rPr>
          <w:sz w:val="20"/>
          <w:szCs w:val="20"/>
          <w:color w:val="auto"/>
        </w:rPr>
      </w:pPr>
    </w:p>
    <w:p>
      <w:pPr>
        <w:ind w:left="440" w:right="140"/>
        <w:spacing w:after="0" w:line="263" w:lineRule="auto"/>
        <w:rPr>
          <w:sz w:val="20"/>
          <w:szCs w:val="20"/>
          <w:color w:val="auto"/>
        </w:rPr>
      </w:pPr>
      <w:r>
        <w:rPr>
          <w:rFonts w:ascii="Arial" w:cs="Arial" w:eastAsia="Arial" w:hAnsi="Arial"/>
          <w:sz w:val="18"/>
          <w:szCs w:val="18"/>
          <w:color w:val="auto"/>
        </w:rPr>
        <w:t>Any Order in effect on the date when this Agreement expires or is terminated will continue in effect until such Order either (i) expires by its own terms or (ii) is separately terminated, prior to its own scheduled expiration, as provided in this Agreement. The terms and conditions of this Agreement shall continue to apply to such Order as if this Agreement were still in effect.</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7"/>
          <w:szCs w:val="17"/>
          <w:color w:val="auto"/>
        </w:rPr>
        <w:t>DEFINITIONS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Accept or Acceptance</w:t>
      </w:r>
    </w:p>
    <w:p>
      <w:pPr>
        <w:spacing w:after="0" w:line="117"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“Accept” or “Acceptance” means AT&amp;T’s acceptance of the Material or Services ordered by AT&amp;T and provided by Supplier as specified in the applicable Order. AT&amp;T’s Acceptance shall occur no earlier than as specified in Section 3.9.</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Acceptance Date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“Acceptance Date” means the date on which AT&amp;T Accepts Material or Services.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Acceptance Letter</w:t>
      </w:r>
    </w:p>
    <w:p>
      <w:pPr>
        <w:spacing w:after="0" w:line="117"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“Acceptance Letter” means a document signed by AT&amp;T substantially in the form of Appendix F indicating its Acceptance of the Material and/or Services.</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Acceptance Test Period or Trial Period</w:t>
      </w:r>
    </w:p>
    <w:p>
      <w:pPr>
        <w:spacing w:after="0" w:line="117" w:lineRule="exact"/>
        <w:rPr>
          <w:sz w:val="20"/>
          <w:szCs w:val="20"/>
          <w:color w:val="auto"/>
        </w:rPr>
      </w:pPr>
    </w:p>
    <w:p>
      <w:pPr>
        <w:ind w:left="440" w:right="280"/>
        <w:spacing w:after="0" w:line="277" w:lineRule="auto"/>
        <w:rPr>
          <w:sz w:val="20"/>
          <w:szCs w:val="20"/>
          <w:color w:val="auto"/>
        </w:rPr>
      </w:pPr>
      <w:r>
        <w:rPr>
          <w:rFonts w:ascii="Arial" w:cs="Arial" w:eastAsia="Arial" w:hAnsi="Arial"/>
          <w:sz w:val="18"/>
          <w:szCs w:val="18"/>
          <w:color w:val="auto"/>
        </w:rPr>
        <w:t>“Acceptance Test Period” or “Trial Period” means the length of time specified in an Order, or, if not so specified, a period of no less than [***] days and no more than [***] working days, during which the Acceptance Tests are performed.</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5"/>
          <w:szCs w:val="15"/>
          <w:color w:val="auto"/>
        </w:rPr>
        <w:t>Acceptance Tests</w:t>
      </w:r>
    </w:p>
    <w:p>
      <w:pPr>
        <w:spacing w:after="0" w:line="117" w:lineRule="exact"/>
        <w:rPr>
          <w:sz w:val="20"/>
          <w:szCs w:val="20"/>
          <w:color w:val="auto"/>
        </w:rPr>
      </w:pPr>
    </w:p>
    <w:p>
      <w:pPr>
        <w:jc w:val="both"/>
        <w:ind w:left="440" w:right="440"/>
        <w:spacing w:after="0" w:line="279" w:lineRule="auto"/>
        <w:rPr>
          <w:sz w:val="20"/>
          <w:szCs w:val="20"/>
          <w:color w:val="auto"/>
        </w:rPr>
      </w:pPr>
      <w:r>
        <w:rPr>
          <w:rFonts w:ascii="Arial" w:cs="Arial" w:eastAsia="Arial" w:hAnsi="Arial"/>
          <w:sz w:val="17"/>
          <w:szCs w:val="17"/>
          <w:color w:val="auto"/>
        </w:rPr>
        <w:t>“Acceptance Tests” means the performance and reliability demonstrations and tests that must be successfully completed by the Material and Services during the Trial Period. These tests include: (i) AT&amp;T’s routine business test transactions, (ii) tests, demonstrations, or transactions presented or performed by Supplier, and (iii) any other tests, demonstrations or transactions included or referenced in the applicable Order or Specifications, all to determine whether the Material or Services meet the Specifications.</w:t>
      </w:r>
    </w:p>
    <w:p>
      <w:pPr>
        <w:spacing w:after="0" w:line="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2.6</w:t>
        <w:tab/>
        <w:t>Affiliate</w:t>
      </w:r>
    </w:p>
    <w:p>
      <w:pPr>
        <w:spacing w:after="0" w:line="117" w:lineRule="exact"/>
        <w:rPr>
          <w:sz w:val="20"/>
          <w:szCs w:val="20"/>
          <w:color w:val="auto"/>
        </w:rPr>
      </w:pPr>
    </w:p>
    <w:p>
      <w:pPr>
        <w:ind w:left="440" w:right="40"/>
        <w:spacing w:after="0" w:line="285" w:lineRule="auto"/>
        <w:rPr>
          <w:sz w:val="20"/>
          <w:szCs w:val="20"/>
          <w:color w:val="auto"/>
        </w:rPr>
      </w:pPr>
      <w:r>
        <w:rPr>
          <w:rFonts w:ascii="Arial" w:cs="Arial" w:eastAsia="Arial" w:hAnsi="Arial"/>
          <w:sz w:val="16"/>
          <w:szCs w:val="16"/>
          <w:color w:val="auto"/>
        </w:rPr>
        <w:t>“Affiliate” means (i) with respect to AT&amp;T, a business association that has legal capacity to contract on its own behalf, to sue in its own name, and to be sued, if and only if either (a) such business association owns, directly or indirectly, a majority interest in AT&amp;T (its “parent company”), (b) a majority interest in such business association is owned, either directly or indirectly, by AT&amp;T or its parent company, or (c) such business association is a certain rural local telephone company that is a party to that certain Joint Operating Agreement dated as of September 28, 2000, pursuant to which AT&amp;T Mobility LLC and such telephone company jointly conduct their respective wireless operations within MTA 006; and</w:t>
      </w:r>
    </w:p>
    <w:p>
      <w:pPr>
        <w:spacing w:after="0" w:line="2" w:lineRule="exact"/>
        <w:rPr>
          <w:sz w:val="20"/>
          <w:szCs w:val="20"/>
          <w:color w:val="auto"/>
        </w:rPr>
      </w:pPr>
    </w:p>
    <w:p>
      <w:pPr>
        <w:ind w:left="440" w:right="160" w:hanging="4"/>
        <w:spacing w:after="0" w:line="255" w:lineRule="auto"/>
        <w:tabs>
          <w:tab w:leader="none" w:pos="705" w:val="left"/>
        </w:tabs>
        <w:numPr>
          <w:ilvl w:val="0"/>
          <w:numId w:val="64"/>
        </w:numPr>
        <w:rPr>
          <w:rFonts w:ascii="Arial" w:cs="Arial" w:eastAsia="Arial" w:hAnsi="Arial"/>
          <w:sz w:val="18"/>
          <w:szCs w:val="18"/>
          <w:color w:val="auto"/>
        </w:rPr>
      </w:pPr>
      <w:r>
        <w:rPr>
          <w:rFonts w:ascii="Arial" w:cs="Arial" w:eastAsia="Arial" w:hAnsi="Arial"/>
          <w:sz w:val="18"/>
          <w:szCs w:val="18"/>
          <w:color w:val="auto"/>
        </w:rPr>
        <w:t>with respect to Supplier, any business association that has legal capacity to contract on its own behalf, to sue in its own name, and to be sued, if and only if that business association controls, is controlled by, or is under common control with Supplier, where “control” means the direct or indirect holding of 50% or more of the equity and/or voting rights.</w:t>
      </w:r>
    </w:p>
    <w:p>
      <w:pPr>
        <w:spacing w:after="0" w:line="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Agreement</w:t>
      </w:r>
    </w:p>
    <w:p>
      <w:pPr>
        <w:spacing w:after="0" w:line="117" w:lineRule="exact"/>
        <w:rPr>
          <w:sz w:val="20"/>
          <w:szCs w:val="20"/>
          <w:color w:val="auto"/>
        </w:rPr>
      </w:pPr>
    </w:p>
    <w:p>
      <w:pPr>
        <w:ind w:left="440" w:right="200"/>
        <w:spacing w:after="0" w:line="263" w:lineRule="auto"/>
        <w:rPr>
          <w:sz w:val="20"/>
          <w:szCs w:val="20"/>
          <w:color w:val="auto"/>
        </w:rPr>
      </w:pPr>
      <w:r>
        <w:rPr>
          <w:rFonts w:ascii="Arial" w:cs="Arial" w:eastAsia="Arial" w:hAnsi="Arial"/>
          <w:sz w:val="18"/>
          <w:szCs w:val="18"/>
          <w:color w:val="auto"/>
        </w:rPr>
        <w:t>“Agreement” means the written agreement between the Parties as set forth in this document and the attached appendices and shall include the terms of such other documents as are incorporated by express reference in this document and the attached appendices, as well as any Orders that may be issued pursuant to this Agreement.</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7"/>
          <w:szCs w:val="17"/>
          <w:color w:val="auto"/>
        </w:rPr>
        <w:t>AT&amp;T Data</w:t>
      </w:r>
    </w:p>
    <w:p>
      <w:pPr>
        <w:spacing w:after="0" w:line="117" w:lineRule="exact"/>
        <w:rPr>
          <w:sz w:val="20"/>
          <w:szCs w:val="20"/>
          <w:color w:val="auto"/>
        </w:rPr>
      </w:pPr>
    </w:p>
    <w:p>
      <w:pPr>
        <w:jc w:val="both"/>
        <w:ind w:left="440" w:right="160"/>
        <w:spacing w:after="0" w:line="263" w:lineRule="auto"/>
        <w:rPr>
          <w:sz w:val="20"/>
          <w:szCs w:val="20"/>
          <w:color w:val="auto"/>
        </w:rPr>
      </w:pPr>
      <w:r>
        <w:rPr>
          <w:rFonts w:ascii="Arial" w:cs="Arial" w:eastAsia="Arial" w:hAnsi="Arial"/>
          <w:sz w:val="18"/>
          <w:szCs w:val="18"/>
          <w:color w:val="auto"/>
        </w:rPr>
        <w:t>“AT&amp;T Data” means any data or information (i) of AT&amp;T or its customers that is disclosed or provided to Supplier by, or otherwise obtained by Supplier from, AT&amp;T or its customers, including Customer Information and customer proprietary network information (as that term is defined in Section 222 of the Communications Act of 1934, as amended, 47 U.S.C. §222), as well as data</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0" w:name="page131"/>
    <w:bookmarkEnd w:id="130"/>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440" w:right="40"/>
        <w:spacing w:after="0" w:line="291" w:lineRule="auto"/>
        <w:rPr>
          <w:sz w:val="20"/>
          <w:szCs w:val="20"/>
          <w:color w:val="auto"/>
        </w:rPr>
      </w:pPr>
      <w:r>
        <w:rPr>
          <w:rFonts w:ascii="Arial" w:cs="Arial" w:eastAsia="Arial" w:hAnsi="Arial"/>
          <w:sz w:val="16"/>
          <w:szCs w:val="16"/>
          <w:color w:val="auto"/>
        </w:rPr>
        <w:t>and information with respect to the businesses, customers, operations, networks, systems, facilities, products, rates, regulatory compliance, competitors, consumer markets, assets, expenditures, mergers, acquisitions, divestitures, billings, collections, revenues and finances of AT&amp;T; and</w:t>
      </w:r>
    </w:p>
    <w:p>
      <w:pPr>
        <w:ind w:left="440" w:right="20" w:hanging="4"/>
        <w:spacing w:after="0" w:line="252" w:lineRule="auto"/>
        <w:tabs>
          <w:tab w:leader="none" w:pos="705"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not supplied by AT&amp;T or its customers, but created, generated, collected or harvested by Supplier either (a) in furtherance of this Agreement or an Order hereunder or (b) as a result of Supplier having access to AT&amp;T infrastructure, systems, data, hardware, software or processes (for example, through data processing input and output, service level measurements, or ascertainment of network and system information). Notwithstanding the foregoing, the Parties agree that “AT&amp;T Data” shall not be deemed to include material or software (I) created or owned by Amdocs prior to execution of this Agreement, (II) provided under license from third parties by Amdocs prior to execution of this Agreement, (III) created by Amdocs or third parties after execution of this Agreement for a client other than AT&amp;T or (IV) that Supplier owns in accordance with this Agreement or as agreed by the Parties in an Order.</w:t>
      </w:r>
    </w:p>
    <w:p>
      <w:pPr>
        <w:spacing w:after="0" w:line="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color w:val="auto"/>
        </w:rPr>
        <w:t>AT&amp;T Derived Data or AT&amp;T Derived Information</w:t>
      </w:r>
    </w:p>
    <w:p>
      <w:pPr>
        <w:spacing w:after="0" w:line="117" w:lineRule="exact"/>
        <w:rPr>
          <w:sz w:val="20"/>
          <w:szCs w:val="20"/>
          <w:color w:val="auto"/>
        </w:rPr>
      </w:pPr>
    </w:p>
    <w:p>
      <w:pPr>
        <w:ind w:left="440" w:right="160"/>
        <w:spacing w:after="0" w:line="275" w:lineRule="auto"/>
        <w:rPr>
          <w:sz w:val="20"/>
          <w:szCs w:val="20"/>
          <w:color w:val="auto"/>
        </w:rPr>
      </w:pPr>
      <w:r>
        <w:rPr>
          <w:rFonts w:ascii="Arial" w:cs="Arial" w:eastAsia="Arial" w:hAnsi="Arial"/>
          <w:sz w:val="17"/>
          <w:szCs w:val="17"/>
          <w:color w:val="auto"/>
        </w:rPr>
        <w:t>“AT&amp;T Derived Data” or “AT&amp;T Derived Information” means any data or information that is a result of or modification of, adaption, revision, translation, abridgement, condensation, compilation, evaluation, expansion, or any other recasting or processing of the AT&amp;T Data, for example, as a result of Supplier’s observation, analysis, or visualization of AT&amp;T Data arising out of the performance of Supplier’s obligations. Notwithstanding the foregoing, the Parties agree that “AT&amp;T Derived Data” shall not be deemed to include Supplier’s material or software that does not constitute AT&amp;T Data as set forth in Section 2.8, “AT&amp;T Data,” above, and [***]</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2.10  Call Center Work</w:t>
      </w:r>
    </w:p>
    <w:p>
      <w:pPr>
        <w:spacing w:after="0" w:line="117" w:lineRule="exact"/>
        <w:rPr>
          <w:sz w:val="20"/>
          <w:szCs w:val="20"/>
          <w:color w:val="auto"/>
        </w:rPr>
      </w:pPr>
    </w:p>
    <w:p>
      <w:pPr>
        <w:ind w:left="440" w:right="500"/>
        <w:spacing w:after="0" w:line="277" w:lineRule="auto"/>
        <w:rPr>
          <w:sz w:val="20"/>
          <w:szCs w:val="20"/>
          <w:color w:val="auto"/>
        </w:rPr>
      </w:pPr>
      <w:r>
        <w:rPr>
          <w:rFonts w:ascii="Arial" w:cs="Arial" w:eastAsia="Arial" w:hAnsi="Arial"/>
          <w:sz w:val="18"/>
          <w:szCs w:val="18"/>
          <w:color w:val="auto"/>
        </w:rPr>
        <w:t>“Call Center Work” means work centralized in a physical place where telephone calls are handled by Supplier, usually with some amount of computer automation, as agreed by the Parties in an Order.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2.11  Computer Program</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“Computer Program” means a set of instructions or code intended to cause a computer to produce certain results.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2.12  Concurrent Users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“Concurrent Users” means different Users who are accessing and using a Computer Program at the same time.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2.13  Critical Performance Milestone</w:t>
      </w:r>
    </w:p>
    <w:p>
      <w:pPr>
        <w:spacing w:after="0" w:line="117" w:lineRule="exact"/>
        <w:rPr>
          <w:sz w:val="20"/>
          <w:szCs w:val="20"/>
          <w:color w:val="auto"/>
        </w:rPr>
      </w:pPr>
    </w:p>
    <w:p>
      <w:pPr>
        <w:jc w:val="both"/>
        <w:ind w:left="440" w:right="180"/>
        <w:spacing w:after="0" w:line="286" w:lineRule="auto"/>
        <w:rPr>
          <w:sz w:val="20"/>
          <w:szCs w:val="20"/>
          <w:color w:val="auto"/>
        </w:rPr>
      </w:pPr>
      <w:r>
        <w:rPr>
          <w:rFonts w:ascii="Arial" w:cs="Arial" w:eastAsia="Arial" w:hAnsi="Arial"/>
          <w:sz w:val="17"/>
          <w:szCs w:val="17"/>
          <w:color w:val="auto"/>
        </w:rPr>
        <w:t>“Critical Performance Milestone” means a date certain or the end of a stipulated interval of time for the Delivery of an item of Program Material or Software or the completion of performance of a Service, the timely completion or delivery of which is considered to be critical to the success for the Project and which is expressly referred to in an Order as a “Critical Performance Milestone”.</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2.14  Custom Software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“Custom Software” means any and all Software, excluding Standard Software, to the extent it constitutes Paid-For Development.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2.15  Customer Information</w:t>
      </w:r>
    </w:p>
    <w:p>
      <w:pPr>
        <w:spacing w:after="0" w:line="117" w:lineRule="exact"/>
        <w:rPr>
          <w:sz w:val="20"/>
          <w:szCs w:val="20"/>
          <w:color w:val="auto"/>
        </w:rPr>
      </w:pPr>
    </w:p>
    <w:p>
      <w:pPr>
        <w:ind w:left="440" w:right="20"/>
        <w:spacing w:after="0" w:line="272" w:lineRule="auto"/>
        <w:rPr>
          <w:sz w:val="20"/>
          <w:szCs w:val="20"/>
          <w:color w:val="auto"/>
        </w:rPr>
      </w:pPr>
      <w:r>
        <w:rPr>
          <w:rFonts w:ascii="Arial" w:cs="Arial" w:eastAsia="Arial" w:hAnsi="Arial"/>
          <w:sz w:val="17"/>
          <w:szCs w:val="17"/>
          <w:color w:val="auto"/>
        </w:rPr>
        <w:t>“Customer Information” includes, but is not limited to, customer name, address, and phone number, any customer or employee personal information, credit card and credit-related information, health or financial information, authentication credentials, information concerning a customer’s calling patterns, unlisted customer numbers, any other information associated with a customer or with persons in the household of a customer, and any information available to AT&amp;T and/or its suppliers by virtue of AT&amp;T’s relationship with its customers as a provider of telecommunications, Internet, information or other services, including the quantity, technical configuration, location, type, destination, and amount of use of telecommunications or other services subscribed to, and information contained on the telephone bills of AT&amp;T’s customers pertaining to telephone exchange service, telephone toll service or other services received by a customer of AT&amp;T.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2.16  Delivery</w:t>
      </w:r>
    </w:p>
    <w:p>
      <w:pPr>
        <w:spacing w:after="0" w:line="117" w:lineRule="exact"/>
        <w:rPr>
          <w:sz w:val="20"/>
          <w:szCs w:val="20"/>
          <w:color w:val="auto"/>
        </w:rPr>
      </w:pPr>
    </w:p>
    <w:p>
      <w:pPr>
        <w:ind w:left="440" w:right="120"/>
        <w:spacing w:after="0" w:line="257" w:lineRule="auto"/>
        <w:rPr>
          <w:sz w:val="20"/>
          <w:szCs w:val="20"/>
          <w:color w:val="auto"/>
        </w:rPr>
      </w:pPr>
      <w:r>
        <w:rPr>
          <w:rFonts w:ascii="Arial" w:cs="Arial" w:eastAsia="Arial" w:hAnsi="Arial"/>
          <w:sz w:val="18"/>
          <w:szCs w:val="18"/>
          <w:color w:val="auto"/>
        </w:rPr>
        <w:t>“Deliver” or “Delivery” means Supplier’s obligation to provide Material and/or Services that [***] conform to the Specifications. Delivery occurs: (i) with respect to tangible Material, upon AT&amp;T’s possession of the Material, if Supplier is not required to provide additional Services in connection with the Delivery, such as installation, (ii) with respect to Software upon AT&amp;T’s receipt of electronic transmission or receipt by AT&amp;T of the media upon which the Software resides, or (iii) for Services or Material for which Services are to be provided, upon completing the provision of Services with respect to an applicable Milestone or scope of Delivery.</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2.17  Delivery Date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“Delivery Date” means the date on which Supplier is scheduled to complete its Delivery as established in an Order.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2.18  Design Materials</w:t>
      </w:r>
    </w:p>
    <w:p>
      <w:pPr>
        <w:spacing w:after="0" w:line="117" w:lineRule="exact"/>
        <w:rPr>
          <w:sz w:val="20"/>
          <w:szCs w:val="20"/>
          <w:color w:val="auto"/>
        </w:rPr>
      </w:pPr>
    </w:p>
    <w:p>
      <w:pPr>
        <w:jc w:val="both"/>
        <w:ind w:left="440" w:right="20"/>
        <w:spacing w:after="0" w:line="263" w:lineRule="auto"/>
        <w:rPr>
          <w:sz w:val="20"/>
          <w:szCs w:val="20"/>
          <w:color w:val="auto"/>
        </w:rPr>
      </w:pPr>
      <w:r>
        <w:rPr>
          <w:rFonts w:ascii="Arial" w:cs="Arial" w:eastAsia="Arial" w:hAnsi="Arial"/>
          <w:sz w:val="18"/>
          <w:szCs w:val="18"/>
          <w:color w:val="auto"/>
        </w:rPr>
        <w:t>“Design Materials” includes the source code statements for a Computer Program; all requirements documents, record layouts, outlines, flowcharts, and other materials intended for use in the preparation of the source code statements; and all comments included in the source code statements as a reference to other materials.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2.19  Designated Site</w:t>
      </w:r>
    </w:p>
    <w:p>
      <w:pPr>
        <w:spacing w:after="0" w:line="117"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“Designated Site” means AT&amp;T’s building or complex of buildings within which AT&amp;T is authorized to use the Standard Software as may be specified in a License Order.</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2" w:name="page133"/>
    <w:bookmarkEnd w:id="132"/>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2.20  Designated System</w:t>
      </w:r>
    </w:p>
    <w:p>
      <w:pPr>
        <w:spacing w:after="0" w:line="117"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“Designated System” means a particular computer system designated by type, serial number(s) and location that may be set forth in the applicable License Order.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2.21  Documentation or Program Material</w:t>
      </w:r>
    </w:p>
    <w:p>
      <w:pPr>
        <w:spacing w:after="0" w:line="117" w:lineRule="exact"/>
        <w:rPr>
          <w:sz w:val="20"/>
          <w:szCs w:val="20"/>
          <w:color w:val="auto"/>
        </w:rPr>
      </w:pPr>
    </w:p>
    <w:p>
      <w:pPr>
        <w:ind w:left="440" w:right="100"/>
        <w:spacing w:after="0" w:line="259" w:lineRule="auto"/>
        <w:rPr>
          <w:sz w:val="20"/>
          <w:szCs w:val="20"/>
          <w:color w:val="auto"/>
        </w:rPr>
      </w:pPr>
      <w:r>
        <w:rPr>
          <w:rFonts w:ascii="Arial" w:cs="Arial" w:eastAsia="Arial" w:hAnsi="Arial"/>
          <w:sz w:val="18"/>
          <w:szCs w:val="18"/>
          <w:color w:val="auto"/>
        </w:rPr>
        <w:t>“Documentation” or “Program Material” includes user instructions and system manuals, training Material in machine readable or printed form, Supplier’s written Specifications, Material associated with Custom Software, flow charts, data file listings, and input and output formats provided by Supplier under the applicable Services Order. If the applicable Order so provides, Program Material will also include the source code for the Standard Software.</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2.22  Enhancement</w:t>
      </w:r>
    </w:p>
    <w:p>
      <w:pPr>
        <w:spacing w:after="0" w:line="117"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“Enhancement” means a Modification made to include additional Functionality in the Standard Software. An Enhancement may otherwise be referred to as an improvement or an upgrade.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2.23  Enterprise License</w:t>
      </w:r>
    </w:p>
    <w:p>
      <w:pPr>
        <w:spacing w:after="0" w:line="117"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“Enterprise License” means a license to use Standard Software as set forth in Section 8.1, where the limitations in Sections 8.3(b) through 8.3(f) do not apply; for Enterprise Licenses, there shall be no additional charges for non-production copies.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2.24  Equipment</w:t>
      </w:r>
    </w:p>
    <w:p>
      <w:pPr>
        <w:spacing w:after="0" w:line="117" w:lineRule="exact"/>
        <w:rPr>
          <w:sz w:val="20"/>
          <w:szCs w:val="20"/>
          <w:color w:val="auto"/>
        </w:rPr>
      </w:pPr>
    </w:p>
    <w:p>
      <w:pPr>
        <w:ind w:left="440" w:right="180"/>
        <w:spacing w:after="0" w:line="277" w:lineRule="auto"/>
        <w:rPr>
          <w:sz w:val="20"/>
          <w:szCs w:val="20"/>
          <w:color w:val="auto"/>
        </w:rPr>
      </w:pPr>
      <w:r>
        <w:rPr>
          <w:rFonts w:ascii="Arial" w:cs="Arial" w:eastAsia="Arial" w:hAnsi="Arial"/>
          <w:sz w:val="18"/>
          <w:szCs w:val="18"/>
          <w:color w:val="auto"/>
        </w:rPr>
        <w:t>“Equipment” means all tangible products and equipment used to operate the Software and/or all tangible products and equipment provided by or on behalf of Supplier.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2.25  Error or Defect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“Error” or “Defect” shall mean defects found in Software which causes the Software not to function in compliance with the Specifications.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2.26  Functionality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“Functionality” means a particular result or set of results that a Computer Program is intended to cause a computer to produce.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2.27  Harmful Code</w:t>
      </w:r>
    </w:p>
    <w:p>
      <w:pPr>
        <w:spacing w:after="0" w:line="117" w:lineRule="exact"/>
        <w:rPr>
          <w:sz w:val="20"/>
          <w:szCs w:val="20"/>
          <w:color w:val="auto"/>
        </w:rPr>
      </w:pPr>
    </w:p>
    <w:p>
      <w:pPr>
        <w:ind w:left="440" w:right="140"/>
        <w:spacing w:after="0" w:line="290" w:lineRule="auto"/>
        <w:rPr>
          <w:sz w:val="20"/>
          <w:szCs w:val="20"/>
          <w:color w:val="auto"/>
        </w:rPr>
      </w:pPr>
      <w:r>
        <w:rPr>
          <w:rFonts w:ascii="Arial" w:cs="Arial" w:eastAsia="Arial" w:hAnsi="Arial"/>
          <w:sz w:val="16"/>
          <w:szCs w:val="16"/>
          <w:color w:val="auto"/>
        </w:rPr>
        <w:t>“Harmful Code” includes any and all instructions designed to prevent a computer from producing intended results or to cause a computer to produce unintended results, including, but not limited to the following: instructions designed to halt or disrupt the operation of a Computer Program at an arbitrary time (“time bombs”) or upon the execution of an arbitrarily designated instruction (“logic bombs”); instructions designed to cause the computer to duplicate these instructions and retransmit those instructions to others, with or without additional disabling effects or instructions designed to cause the computer to maliciously erase its own data files (“viruses/worms”); instructions designed to override security features and facilitate access to the computer by unauthorized users (“back doors,” “trap doors,” and “undocumented passwords”) or to place the operation of the computer under the control of unauthorized remote users (“Trojan horses”). Harmful Code shall not include any key locks or capacity limits on the operation of a Computer Program or Software to the extent licensed by AT&amp;T with those restrictions.</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2.28  Incident</w:t>
      </w:r>
    </w:p>
    <w:p>
      <w:pPr>
        <w:spacing w:after="0" w:line="117" w:lineRule="exact"/>
        <w:rPr>
          <w:sz w:val="20"/>
          <w:szCs w:val="20"/>
          <w:color w:val="auto"/>
        </w:rPr>
      </w:pPr>
    </w:p>
    <w:p>
      <w:pPr>
        <w:ind w:left="440" w:right="20"/>
        <w:spacing w:after="0" w:line="296" w:lineRule="auto"/>
        <w:rPr>
          <w:sz w:val="20"/>
          <w:szCs w:val="20"/>
          <w:color w:val="auto"/>
        </w:rPr>
      </w:pPr>
      <w:r>
        <w:rPr>
          <w:rFonts w:ascii="Arial" w:cs="Arial" w:eastAsia="Arial" w:hAnsi="Arial"/>
          <w:sz w:val="16"/>
          <w:szCs w:val="16"/>
          <w:color w:val="auto"/>
        </w:rPr>
        <w:t>“Incident” shall be applicable only to Orders for Call Center Work and means a suspected or actual attack upon, intrusion upon, unauthorized access to, loss of, or other security breach involving Information Resources. In such case Supplier is required to promptly [***] notify AT&amp;T Asset Protection by telephone at 800-807-4205 from within the US and at 1-908-658-0380 from elsewhere whenever there is a suspected or actual attack upon, intrusion upon, unauthorized access to, loss of, or any other breach of In-Scope Information. This notification is in addition to and not in replacement of those notification requirements contained within the AT&amp;T Supplier Information Security Requirements (SISR).</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Examples of Incidents to report to AT&amp;T include but are not limited to the following:</w:t>
      </w:r>
    </w:p>
    <w:p>
      <w:pPr>
        <w:spacing w:after="0" w:line="131" w:lineRule="exact"/>
        <w:rPr>
          <w:sz w:val="20"/>
          <w:szCs w:val="20"/>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Suspected improper or fraudulent use of customer or employee information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Theft or loss of sensitive customer or employee information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Accidental or intentional disclosure of sensitive customer information to a third party, such as: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Customer call records, billing information, or other CPNI</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Customer financial account, banking or credit information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Customer Social Security Number or date of birth</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Accidental or intentional disclosure of sensitive employee information to a third party , such as: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Employee Social Security Number, date of birth, or financial account information,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Employee medical information or health-related records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6"/>
        </w:numPr>
        <w:rPr>
          <w:rFonts w:ascii="Arial" w:cs="Arial" w:eastAsia="Arial" w:hAnsi="Arial"/>
          <w:sz w:val="18"/>
          <w:szCs w:val="18"/>
          <w:color w:val="auto"/>
        </w:rPr>
      </w:pPr>
      <w:r>
        <w:rPr>
          <w:rFonts w:ascii="Arial" w:cs="Arial" w:eastAsia="Arial" w:hAnsi="Arial"/>
          <w:sz w:val="18"/>
          <w:szCs w:val="18"/>
          <w:color w:val="auto"/>
        </w:rPr>
        <w:t>Employee human resources records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Improper storage, disposal, or retention of confidential AT&amp;T customer or employee files or records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security breach, as that term is commonly defined</w:t>
      </w:r>
    </w:p>
    <w:p>
      <w:pPr>
        <w:spacing w:after="0" w:line="130"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Other customer or employee privacy-related issues or occurrences that may negatively impact employees or customers or result in negative financial and/or reputational consequences to AT&amp;T</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2.29  Information</w:t>
      </w:r>
    </w:p>
    <w:p>
      <w:pPr>
        <w:spacing w:after="0" w:line="117" w:lineRule="exact"/>
        <w:rPr>
          <w:sz w:val="20"/>
          <w:szCs w:val="20"/>
          <w:color w:val="auto"/>
        </w:rPr>
      </w:pPr>
    </w:p>
    <w:p>
      <w:pPr>
        <w:ind w:left="440" w:right="100"/>
        <w:spacing w:after="0" w:line="255" w:lineRule="auto"/>
        <w:rPr>
          <w:sz w:val="20"/>
          <w:szCs w:val="20"/>
          <w:color w:val="auto"/>
        </w:rPr>
      </w:pPr>
      <w:r>
        <w:rPr>
          <w:rFonts w:ascii="Arial" w:cs="Arial" w:eastAsia="Arial" w:hAnsi="Arial"/>
          <w:sz w:val="18"/>
          <w:szCs w:val="18"/>
          <w:color w:val="auto"/>
        </w:rPr>
        <w:t>“Information,” with respect to a Party, means all confidential, proprietary or trade secret information, including discoveries, ideas, concepts, know-how, techniques, processes, procedures, designs, specifications, strategic information, proposals, requests for proposals, proposed products, drawings, blueprints, tracings, diagrams, models, samples, flow charts, data, Computer Programs, marketing plans, Customer Information (including Internet activities, history, and/or patterns of use), employee personal information, health or financial information, authentication credentials, and other technical, financial or business information, whether disclosed in writing, orally, or visually, in tangible or intangible form, including in electronic mail or by other electronic communication.</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4" w:name="page135"/>
    <w:bookmarkEnd w:id="13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2.30  Intellectual Property Rights</w:t>
      </w:r>
    </w:p>
    <w:p>
      <w:pPr>
        <w:spacing w:after="0" w:line="117" w:lineRule="exact"/>
        <w:rPr>
          <w:sz w:val="20"/>
          <w:szCs w:val="20"/>
          <w:color w:val="auto"/>
        </w:rPr>
      </w:pPr>
    </w:p>
    <w:p>
      <w:pPr>
        <w:ind w:left="440" w:right="140"/>
        <w:spacing w:after="0" w:line="259" w:lineRule="auto"/>
        <w:rPr>
          <w:sz w:val="20"/>
          <w:szCs w:val="20"/>
          <w:color w:val="auto"/>
        </w:rPr>
      </w:pPr>
      <w:r>
        <w:rPr>
          <w:rFonts w:ascii="Arial" w:cs="Arial" w:eastAsia="Arial" w:hAnsi="Arial"/>
          <w:sz w:val="18"/>
          <w:szCs w:val="18"/>
          <w:color w:val="auto"/>
        </w:rPr>
        <w:t>“Intellectual Property Rights” means all patents (including all reissues, divisions, continuations, and extensions thereof) and patent applications, trade names, trademarks, service marks, logos, trade dress, copyrights, trade secrets, mask works, rights in technology, know-how, rights in content (including performance and synchronization rights), or other intellectual property rights that are in each case protected under the Laws of any governmental authority having jurisdiction.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2.31  Laws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“Laws” includes all statutes, ordinances, regulations, orders, administrative rules and codes of any jurisdiction applicable to this Agreement.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2.32  License Order</w:t>
      </w:r>
    </w:p>
    <w:p>
      <w:pPr>
        <w:spacing w:after="0" w:line="117" w:lineRule="exact"/>
        <w:rPr>
          <w:sz w:val="20"/>
          <w:szCs w:val="20"/>
          <w:color w:val="auto"/>
        </w:rPr>
      </w:pPr>
    </w:p>
    <w:p>
      <w:pPr>
        <w:jc w:val="both"/>
        <w:ind w:left="440" w:right="460"/>
        <w:spacing w:after="0" w:line="263" w:lineRule="auto"/>
        <w:rPr>
          <w:sz w:val="20"/>
          <w:szCs w:val="20"/>
          <w:color w:val="auto"/>
        </w:rPr>
      </w:pPr>
      <w:r>
        <w:rPr>
          <w:rFonts w:ascii="Arial" w:cs="Arial" w:eastAsia="Arial" w:hAnsi="Arial"/>
          <w:sz w:val="18"/>
          <w:szCs w:val="18"/>
          <w:color w:val="auto"/>
        </w:rPr>
        <w:t>“License Order” means such document as the Parties may execute for the purpose of ordering a license to Supplier’s or a Supplier Affiliate’s proprietary Standard Software product, solely in object code form, that does not include any Material or Services which constitute Paid-For Development.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2.33  Maintenance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“Maintenance” means the Services provided by Supplier under for Standard Software as described in a Maintenance Order.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2.34  Maintenance Fee</w:t>
      </w:r>
    </w:p>
    <w:p>
      <w:pPr>
        <w:spacing w:after="0" w:line="117"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“Maintenance Fee” means the fee AT&amp;T pays to Supplier for the Maintenance provided by Supplier as specified in an applicable Maintenance Order. Maintenance will commence on the date specified in the applicable Maintenance Order.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2.35  Maintenance Order</w:t>
      </w:r>
    </w:p>
    <w:p>
      <w:pPr>
        <w:spacing w:after="0" w:line="117"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“Maintenance Order” means such document as the Parties may execute for the purpose of ordering Maintenance to Supplier’s Standard Software product.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2.36  Major Release</w:t>
      </w:r>
    </w:p>
    <w:p>
      <w:pPr>
        <w:spacing w:after="0" w:line="117" w:lineRule="exact"/>
        <w:rPr>
          <w:sz w:val="20"/>
          <w:szCs w:val="20"/>
          <w:color w:val="auto"/>
        </w:rPr>
      </w:pPr>
    </w:p>
    <w:p>
      <w:pPr>
        <w:ind w:left="440" w:right="180"/>
        <w:spacing w:after="0" w:line="342" w:lineRule="auto"/>
        <w:rPr>
          <w:sz w:val="20"/>
          <w:szCs w:val="20"/>
          <w:color w:val="auto"/>
        </w:rPr>
      </w:pPr>
      <w:r>
        <w:rPr>
          <w:rFonts w:ascii="Arial" w:cs="Arial" w:eastAsia="Arial" w:hAnsi="Arial"/>
          <w:sz w:val="16"/>
          <w:szCs w:val="16"/>
          <w:color w:val="auto"/>
        </w:rPr>
        <w:t>“Major Release” means a new base version of Standard Software that Supplier may provide under this Agreement. A Major Release is generally identified by the first number that appears to the left of the first decimal point in a version number, unless otherwise specified in an Appendix.</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2.37  Material</w:t>
      </w:r>
    </w:p>
    <w:p>
      <w:pPr>
        <w:spacing w:after="0" w:line="117" w:lineRule="exact"/>
        <w:rPr>
          <w:sz w:val="20"/>
          <w:szCs w:val="20"/>
          <w:color w:val="auto"/>
        </w:rPr>
      </w:pPr>
    </w:p>
    <w:p>
      <w:pPr>
        <w:jc w:val="both"/>
        <w:ind w:left="440" w:right="560"/>
        <w:spacing w:after="0" w:line="286" w:lineRule="auto"/>
        <w:rPr>
          <w:sz w:val="20"/>
          <w:szCs w:val="20"/>
          <w:color w:val="auto"/>
        </w:rPr>
      </w:pPr>
      <w:r>
        <w:rPr>
          <w:rFonts w:ascii="Arial" w:cs="Arial" w:eastAsia="Arial" w:hAnsi="Arial"/>
          <w:sz w:val="17"/>
          <w:szCs w:val="17"/>
          <w:color w:val="auto"/>
        </w:rPr>
        <w:t>“Material” means a unit of Equipment, apparatus, components, tools, supplies, material, Documentation, Hardware, or firmware thereto, or Software purchased or licensed hereunder by AT&amp;T from Supplier or otherwise provided by or on behalf of Supplier, including third party Material provided or furnished by Supplier. “Material” shall be deemed to include any replacement parts.</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5" w:name="page136"/>
    <w:bookmarkEnd w:id="13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2.38  Minor Release</w:t>
      </w:r>
    </w:p>
    <w:p>
      <w:pPr>
        <w:spacing w:after="0" w:line="117" w:lineRule="exact"/>
        <w:rPr>
          <w:sz w:val="20"/>
          <w:szCs w:val="20"/>
          <w:color w:val="auto"/>
        </w:rPr>
      </w:pPr>
    </w:p>
    <w:p>
      <w:pPr>
        <w:jc w:val="both"/>
        <w:ind w:left="440" w:right="280"/>
        <w:spacing w:after="0" w:line="263" w:lineRule="auto"/>
        <w:rPr>
          <w:sz w:val="20"/>
          <w:szCs w:val="20"/>
          <w:color w:val="auto"/>
        </w:rPr>
      </w:pPr>
      <w:r>
        <w:rPr>
          <w:rFonts w:ascii="Arial" w:cs="Arial" w:eastAsia="Arial" w:hAnsi="Arial"/>
          <w:sz w:val="18"/>
          <w:szCs w:val="18"/>
          <w:color w:val="auto"/>
        </w:rPr>
        <w:t>“Minor Release” means a Modification made by Supplier to add Enhancements, Resolutions, Updates, or any combination thereof, to a Major Release. A Minor Release is generally identified by one or more numbers preceding or following one or more decimal points to the right of the first decimal point in a version number, unless otherwise specified in an Appendix.</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2.39  Modification and Modify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“Modification” and “Modify” mean the addition, deletion, correction, and alteration of code in the Standard Software.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2.40  Named Users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“Named Users” means Users identified by a proper name, a unique numerical identifier or another unique symbol, and a password.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2.41  New Release</w:t>
      </w:r>
    </w:p>
    <w:p>
      <w:pPr>
        <w:spacing w:after="0" w:line="117"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“New Release” means any change in Functionality to an existing Standard Software program or new Functionality added to an existing Standard Software program which Supplier offers to AT&amp;T and other customers.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2.42  OnGoing Support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“OnGoing Support” or “OnGoing Support Services” (OGS) mean the Services as described herein and in an applicable Services Order.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2.43  Order</w:t>
      </w:r>
    </w:p>
    <w:p>
      <w:pPr>
        <w:spacing w:after="0" w:line="117"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“Order” means a License Order, a Services Order, and/or a Maintenance Order, unless the context indicates that it applies only to a License Order, a Services Order, or a Maintenance Order.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2.44  Permitted Third Parties</w:t>
      </w:r>
    </w:p>
    <w:p>
      <w:pPr>
        <w:spacing w:after="0" w:line="117" w:lineRule="exact"/>
        <w:rPr>
          <w:sz w:val="20"/>
          <w:szCs w:val="20"/>
          <w:color w:val="auto"/>
        </w:rPr>
      </w:pPr>
    </w:p>
    <w:p>
      <w:pPr>
        <w:ind w:left="440" w:right="60"/>
        <w:spacing w:after="0" w:line="272" w:lineRule="auto"/>
        <w:rPr>
          <w:sz w:val="20"/>
          <w:szCs w:val="20"/>
          <w:color w:val="auto"/>
        </w:rPr>
      </w:pPr>
      <w:r>
        <w:rPr>
          <w:rFonts w:ascii="Arial" w:cs="Arial" w:eastAsia="Arial" w:hAnsi="Arial"/>
          <w:sz w:val="17"/>
          <w:szCs w:val="17"/>
          <w:color w:val="auto"/>
        </w:rPr>
        <w:t>“Permitted Third Parties” are business associations and persons, other than AT&amp;T, AT&amp;T Affiliates, and Users, whom AT&amp;T or an AT&amp;T Affiliate may permit to access its systems for the purpose of furnishing or receiving services, completing transactions, performing obligations, receiving performance of obligations, or satisfying conditions to obligations between them, whether arising under contract, law, or regulation. Without limiting the generality of the foregoing, “Permitted Third Parties” may include customers, suppliers, interconnecting carriers offering complementary or competing services, and resellers of services of AT&amp;T and AT&amp;T Affiliates, excluding Amdocs’ competitors; “Permitted Third Parties” may also include participants and beneficiaries of employee benefit plans established or maintained by AT&amp;T and AT&amp;T Affiliates and the fiduciaries, record keepers, and administrators of such plans.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2.45  Production Support</w:t>
      </w:r>
    </w:p>
    <w:p>
      <w:pPr>
        <w:spacing w:after="0" w:line="117" w:lineRule="exact"/>
        <w:rPr>
          <w:sz w:val="20"/>
          <w:szCs w:val="20"/>
          <w:color w:val="auto"/>
        </w:rPr>
      </w:pPr>
    </w:p>
    <w:p>
      <w:pPr>
        <w:jc w:val="both"/>
        <w:ind w:left="440" w:right="100"/>
        <w:spacing w:after="0" w:line="263" w:lineRule="auto"/>
        <w:rPr>
          <w:sz w:val="20"/>
          <w:szCs w:val="20"/>
          <w:color w:val="auto"/>
        </w:rPr>
      </w:pPr>
      <w:r>
        <w:rPr>
          <w:rFonts w:ascii="Arial" w:cs="Arial" w:eastAsia="Arial" w:hAnsi="Arial"/>
          <w:sz w:val="18"/>
          <w:szCs w:val="18"/>
          <w:color w:val="auto"/>
        </w:rPr>
        <w:t>“Production Support” means support services for Custom Software and Systems in production which are not covered under an Amdocs warranty in a Services Order. For avoidance of doubt, Work performed by Amdocs in Production Support is itself subject to the OnGoing Support Services warranty provisions herein.</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6" w:name="page137"/>
    <w:bookmarkEnd w:id="13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2.46  Project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“Project” means the development of Custom Software and/or providing Services to AT&amp;T.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2.47  Project Manager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“Project Manager” means each Party’s manager responsible for a Project and identified on the applicable Services Order.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2.48  Published Specifications</w:t>
      </w:r>
    </w:p>
    <w:p>
      <w:pPr>
        <w:spacing w:after="0" w:line="117" w:lineRule="exact"/>
        <w:rPr>
          <w:sz w:val="20"/>
          <w:szCs w:val="20"/>
          <w:color w:val="auto"/>
        </w:rPr>
      </w:pPr>
    </w:p>
    <w:p>
      <w:pPr>
        <w:ind w:left="440" w:right="140"/>
        <w:spacing w:after="0" w:line="263" w:lineRule="auto"/>
        <w:rPr>
          <w:sz w:val="20"/>
          <w:szCs w:val="20"/>
          <w:color w:val="auto"/>
        </w:rPr>
      </w:pPr>
      <w:r>
        <w:rPr>
          <w:rFonts w:ascii="Arial" w:cs="Arial" w:eastAsia="Arial" w:hAnsi="Arial"/>
          <w:sz w:val="18"/>
          <w:szCs w:val="18"/>
          <w:color w:val="auto"/>
        </w:rPr>
        <w:t>“Published Specifications” means those descriptions of the Standard Software Functionality including, without limitation, user manuals, whether summarized or set forth in complete detail, that Supplier normally provides with the Standard Software, and any other Supplier publication specified in a License Order.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2.49  Resolution</w:t>
      </w:r>
    </w:p>
    <w:p>
      <w:pPr>
        <w:spacing w:after="0" w:line="117" w:lineRule="exact"/>
        <w:rPr>
          <w:sz w:val="20"/>
          <w:szCs w:val="20"/>
          <w:color w:val="auto"/>
        </w:rPr>
      </w:pPr>
    </w:p>
    <w:p>
      <w:pPr>
        <w:ind w:left="440" w:right="40"/>
        <w:spacing w:after="0" w:line="277" w:lineRule="auto"/>
        <w:rPr>
          <w:sz w:val="20"/>
          <w:szCs w:val="20"/>
          <w:color w:val="auto"/>
        </w:rPr>
      </w:pPr>
      <w:r>
        <w:rPr>
          <w:rFonts w:ascii="Arial" w:cs="Arial" w:eastAsia="Arial" w:hAnsi="Arial"/>
          <w:sz w:val="18"/>
          <w:szCs w:val="18"/>
          <w:color w:val="auto"/>
        </w:rPr>
        <w:t>“Resolution” means a Modification that provides a permanent correction of an Error. A Resolution may also be referred to as a bug fix, correction, fix, permanent fix, or solution.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2.50  Restoral</w:t>
      </w:r>
    </w:p>
    <w:p>
      <w:pPr>
        <w:spacing w:after="0" w:line="117"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“Restoral” means a Modification made as a temporary measure to compensate for an Error until a Resolution can be provided. A Restoral may also be referred to as a bypass, patch, temporary fix, or workaround.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2.51  Revision</w:t>
      </w:r>
    </w:p>
    <w:p>
      <w:pPr>
        <w:spacing w:after="0" w:line="117" w:lineRule="exact"/>
        <w:rPr>
          <w:sz w:val="20"/>
          <w:szCs w:val="20"/>
          <w:color w:val="auto"/>
        </w:rPr>
      </w:pPr>
    </w:p>
    <w:p>
      <w:pPr>
        <w:ind w:left="440" w:right="180"/>
        <w:spacing w:after="0" w:line="277" w:lineRule="auto"/>
        <w:rPr>
          <w:sz w:val="20"/>
          <w:szCs w:val="20"/>
          <w:color w:val="auto"/>
        </w:rPr>
      </w:pPr>
      <w:r>
        <w:rPr>
          <w:rFonts w:ascii="Arial" w:cs="Arial" w:eastAsia="Arial" w:hAnsi="Arial"/>
          <w:sz w:val="18"/>
          <w:szCs w:val="18"/>
          <w:color w:val="auto"/>
        </w:rPr>
        <w:t>“Revision” means an update to the Documentation to reflect the addition, deletion or correction of the previous version of the Documentation. A Revision may also be referred to as a documentation update.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2.52  Services</w:t>
      </w:r>
    </w:p>
    <w:p>
      <w:pPr>
        <w:spacing w:after="0" w:line="117" w:lineRule="exact"/>
        <w:rPr>
          <w:sz w:val="20"/>
          <w:szCs w:val="20"/>
          <w:color w:val="auto"/>
        </w:rPr>
      </w:pPr>
    </w:p>
    <w:p>
      <w:pPr>
        <w:ind w:left="440" w:right="580"/>
        <w:spacing w:after="0" w:line="277" w:lineRule="auto"/>
        <w:rPr>
          <w:sz w:val="20"/>
          <w:szCs w:val="20"/>
          <w:color w:val="auto"/>
        </w:rPr>
      </w:pPr>
      <w:r>
        <w:rPr>
          <w:rFonts w:ascii="Arial" w:cs="Arial" w:eastAsia="Arial" w:hAnsi="Arial"/>
          <w:sz w:val="18"/>
          <w:szCs w:val="18"/>
          <w:color w:val="auto"/>
        </w:rPr>
        <w:t>“Services” means any labor or service provided in connection with this Agreement or any Services Order, including any Documentation or material provided in connection with the Services that is not otherwise Material as defined herein.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2.53  Services Order</w:t>
      </w:r>
    </w:p>
    <w:p>
      <w:pPr>
        <w:spacing w:after="0" w:line="117" w:lineRule="exact"/>
        <w:rPr>
          <w:sz w:val="20"/>
          <w:szCs w:val="20"/>
          <w:color w:val="auto"/>
        </w:rPr>
      </w:pPr>
    </w:p>
    <w:p>
      <w:pPr>
        <w:ind w:left="440" w:right="380"/>
        <w:spacing w:after="0" w:line="277" w:lineRule="auto"/>
        <w:rPr>
          <w:sz w:val="20"/>
          <w:szCs w:val="20"/>
          <w:color w:val="auto"/>
        </w:rPr>
      </w:pPr>
      <w:r>
        <w:rPr>
          <w:rFonts w:ascii="Arial" w:cs="Arial" w:eastAsia="Arial" w:hAnsi="Arial"/>
          <w:sz w:val="18"/>
          <w:szCs w:val="18"/>
          <w:color w:val="auto"/>
        </w:rPr>
        <w:t>“Services Order” means such paper or electronic records (a) as AT&amp;T may send to Supplier for the purpose of ordering Material and Services hereunder, or (b) as the Parties may execute for the purpose of ordering Material and Services hereunder.</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7" w:name="page138"/>
    <w:bookmarkEnd w:id="137"/>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2.54  Severity Level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“Severity Level” means the classification assigned by AT&amp;T to an Error.</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2.55  Software</w:t>
      </w:r>
    </w:p>
    <w:p>
      <w:pPr>
        <w:spacing w:after="0" w:line="117" w:lineRule="exact"/>
        <w:rPr>
          <w:sz w:val="20"/>
          <w:szCs w:val="20"/>
          <w:color w:val="auto"/>
        </w:rPr>
      </w:pPr>
    </w:p>
    <w:p>
      <w:pPr>
        <w:ind w:left="440" w:right="200"/>
        <w:spacing w:after="0" w:line="263" w:lineRule="auto"/>
        <w:rPr>
          <w:sz w:val="20"/>
          <w:szCs w:val="20"/>
          <w:color w:val="auto"/>
        </w:rPr>
      </w:pPr>
      <w:r>
        <w:rPr>
          <w:rFonts w:ascii="Arial" w:cs="Arial" w:eastAsia="Arial" w:hAnsi="Arial"/>
          <w:sz w:val="18"/>
          <w:szCs w:val="18"/>
          <w:color w:val="auto"/>
        </w:rPr>
        <w:t>“Software” means any and all software (including Custom Software, Standard Software and firmware) in any form (including, for Custom Software, source code as applicable and object code), as well as any Documentation, licensed or otherwise provided by or on behalf of Supplier, excluding any Third Party Software.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2.56  Specifications</w:t>
      </w:r>
    </w:p>
    <w:p>
      <w:pPr>
        <w:spacing w:after="0" w:line="117"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“Specifications” means any requirements, specifications, and descriptions agreed by the Parties and specified in, or attached to, an applicable Services Order.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2.57  Standard Software</w:t>
      </w:r>
    </w:p>
    <w:p>
      <w:pPr>
        <w:spacing w:after="0" w:line="117"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“Standard Software” means Supplier’s or a Supplier Affiliate’s proprietary generic software product, solely in object code form, that is licensed to AT&amp;T in accordance with this Agreement or an applicable License Order.</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2.58  Subcontractor</w:t>
      </w:r>
    </w:p>
    <w:p>
      <w:pPr>
        <w:spacing w:after="0" w:line="117" w:lineRule="exact"/>
        <w:rPr>
          <w:sz w:val="20"/>
          <w:szCs w:val="20"/>
          <w:color w:val="auto"/>
        </w:rPr>
      </w:pPr>
    </w:p>
    <w:p>
      <w:pPr>
        <w:ind w:left="440" w:right="60"/>
        <w:spacing w:after="0" w:line="263" w:lineRule="auto"/>
        <w:rPr>
          <w:sz w:val="20"/>
          <w:szCs w:val="20"/>
          <w:color w:val="auto"/>
        </w:rPr>
      </w:pPr>
      <w:r>
        <w:rPr>
          <w:rFonts w:ascii="Arial" w:cs="Arial" w:eastAsia="Arial" w:hAnsi="Arial"/>
          <w:sz w:val="18"/>
          <w:szCs w:val="18"/>
          <w:color w:val="auto"/>
        </w:rPr>
        <w:t>“Subcontractor” means any person or entity (including an agent) supplying labor or materials to perform any or all of Supplier’s obligations under this Agreement, including any person or entity at any tier of subcontractors, and shall not be limited to those persons or entities with a direct relationship with Supplier.</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2.59  System</w:t>
      </w:r>
    </w:p>
    <w:p>
      <w:pPr>
        <w:spacing w:after="0" w:line="117" w:lineRule="exact"/>
        <w:rPr>
          <w:sz w:val="20"/>
          <w:szCs w:val="20"/>
          <w:color w:val="auto"/>
        </w:rPr>
      </w:pPr>
    </w:p>
    <w:p>
      <w:pPr>
        <w:ind w:left="440" w:right="280"/>
        <w:spacing w:after="0" w:line="263" w:lineRule="auto"/>
        <w:rPr>
          <w:sz w:val="20"/>
          <w:szCs w:val="20"/>
          <w:color w:val="auto"/>
        </w:rPr>
      </w:pPr>
      <w:r>
        <w:rPr>
          <w:rFonts w:ascii="Arial" w:cs="Arial" w:eastAsia="Arial" w:hAnsi="Arial"/>
          <w:sz w:val="18"/>
          <w:szCs w:val="18"/>
          <w:color w:val="auto"/>
        </w:rPr>
        <w:t>“System” means the operating environment for Software and includes the Hardware on which the Software resides and the operating Software, application Software, databases which interact with such Software, and the Software and Hardware interfaces among such Hardware and Software.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2.60  Third-Party Software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“Third-Party Software” means any Software not owned by Supplier or AT&amp;T or their Affiliates.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2.61  Update</w:t>
      </w:r>
    </w:p>
    <w:p>
      <w:pPr>
        <w:spacing w:after="0" w:line="117" w:lineRule="exact"/>
        <w:rPr>
          <w:sz w:val="20"/>
          <w:szCs w:val="20"/>
          <w:color w:val="auto"/>
        </w:rPr>
      </w:pPr>
    </w:p>
    <w:p>
      <w:pPr>
        <w:ind w:left="440" w:right="1660"/>
        <w:spacing w:after="0" w:line="342" w:lineRule="auto"/>
        <w:rPr>
          <w:sz w:val="20"/>
          <w:szCs w:val="20"/>
          <w:color w:val="auto"/>
        </w:rPr>
      </w:pPr>
      <w:r>
        <w:rPr>
          <w:rFonts w:ascii="Arial" w:cs="Arial" w:eastAsia="Arial" w:hAnsi="Arial"/>
          <w:sz w:val="16"/>
          <w:szCs w:val="16"/>
          <w:color w:val="auto"/>
        </w:rPr>
        <w:t>“Update” means generally-released Modifications made by Supplier for the purpose of maintaining the Standard Software’s compatibility/interoperability with other technologies with which the Standard Software is intended to inter-operate.</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8" w:name="page139"/>
    <w:bookmarkEnd w:id="13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2.62  Users</w:t>
      </w:r>
    </w:p>
    <w:p>
      <w:pPr>
        <w:spacing w:after="0" w:line="117" w:lineRule="exact"/>
        <w:rPr>
          <w:sz w:val="20"/>
          <w:szCs w:val="20"/>
          <w:color w:val="auto"/>
        </w:rPr>
      </w:pPr>
    </w:p>
    <w:p>
      <w:pPr>
        <w:ind w:left="440" w:right="680"/>
        <w:spacing w:after="0" w:line="308" w:lineRule="auto"/>
        <w:rPr>
          <w:sz w:val="20"/>
          <w:szCs w:val="20"/>
          <w:color w:val="auto"/>
        </w:rPr>
      </w:pPr>
      <w:r>
        <w:rPr>
          <w:rFonts w:ascii="Arial" w:cs="Arial" w:eastAsia="Arial" w:hAnsi="Arial"/>
          <w:sz w:val="17"/>
          <w:szCs w:val="17"/>
          <w:color w:val="auto"/>
        </w:rPr>
        <w:t>“Users” means any AT&amp;T employees, agents, temporary workers, and contractors permitted to access and operate the Standard Software, excluding Amdocs competitors unless Amdocs has agreed in writing to allow such Amdocs competitor to be a User.</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2.63  Vulnerability</w:t>
      </w:r>
    </w:p>
    <w:p>
      <w:pPr>
        <w:spacing w:after="0" w:line="117" w:lineRule="exact"/>
        <w:rPr>
          <w:sz w:val="20"/>
          <w:szCs w:val="20"/>
          <w:color w:val="auto"/>
        </w:rPr>
      </w:pPr>
    </w:p>
    <w:p>
      <w:pPr>
        <w:ind w:left="440" w:right="160"/>
        <w:spacing w:after="0" w:line="277" w:lineRule="auto"/>
        <w:rPr>
          <w:sz w:val="20"/>
          <w:szCs w:val="20"/>
          <w:color w:val="auto"/>
        </w:rPr>
      </w:pPr>
      <w:r>
        <w:rPr>
          <w:rFonts w:ascii="Arial" w:cs="Arial" w:eastAsia="Arial" w:hAnsi="Arial"/>
          <w:sz w:val="18"/>
          <w:szCs w:val="18"/>
          <w:color w:val="auto"/>
        </w:rPr>
        <w:t>“Vulnerability” means a condition in the instructions of the Software, whether consistent with its Specifications or not, that renders the computer on which the Software is operating susceptible to unauthorized access and use.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2.64  Warranty Period</w:t>
      </w:r>
    </w:p>
    <w:p>
      <w:pPr>
        <w:spacing w:after="0" w:line="117" w:lineRule="exact"/>
        <w:rPr>
          <w:sz w:val="20"/>
          <w:szCs w:val="20"/>
          <w:color w:val="auto"/>
        </w:rPr>
      </w:pPr>
    </w:p>
    <w:p>
      <w:pPr>
        <w:ind w:left="440" w:right="200"/>
        <w:spacing w:after="0" w:line="277" w:lineRule="auto"/>
        <w:rPr>
          <w:sz w:val="20"/>
          <w:szCs w:val="20"/>
          <w:color w:val="auto"/>
        </w:rPr>
      </w:pPr>
      <w:r>
        <w:rPr>
          <w:rFonts w:ascii="Arial" w:cs="Arial" w:eastAsia="Arial" w:hAnsi="Arial"/>
          <w:sz w:val="18"/>
          <w:szCs w:val="18"/>
          <w:color w:val="auto"/>
        </w:rPr>
        <w:t>“Warranty Period” means a term, as set forth in a License Order for Standard Software and a term of [***] days commencing upon delivery into Acceptance Test for Custom Software.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2.65  Work</w:t>
      </w:r>
    </w:p>
    <w:p>
      <w:pPr>
        <w:spacing w:after="0" w:line="117"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“Work” means all or any portion, as the case may be, of the Material and Services that Supplier is supplying pursuant to Orders placed under this Agreement.</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7"/>
          <w:szCs w:val="17"/>
          <w:color w:val="auto"/>
        </w:rPr>
        <w:t>GENERAL TERMS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3.1</w:t>
        <w:tab/>
        <w:t>AT&amp;T Affiliate</w:t>
      </w:r>
    </w:p>
    <w:p>
      <w:pPr>
        <w:spacing w:after="0" w:line="131" w:lineRule="exact"/>
        <w:rPr>
          <w:sz w:val="20"/>
          <w:szCs w:val="20"/>
          <w:color w:val="auto"/>
        </w:rPr>
      </w:pPr>
    </w:p>
    <w:p>
      <w:pPr>
        <w:ind w:left="960" w:right="20" w:hanging="532"/>
        <w:spacing w:after="0" w:line="252"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AT&amp;T Affiliate may transact business under this Agreement and place Orders with Supplier that incorporate the terms and conditions of this Agreement. References to “AT&amp;T” herein are deemed to refer to an AT&amp;T Affiliate when an AT&amp;T Affiliate places an Order with Supplier under this Agreement, or when AT&amp;T places an Order on behalf of an AT&amp;T Affiliate, or when an AT&amp;T Affiliate otherwise transacts business with Supplier under this Agreement. Unless agreed differently under an Order and to the extent that the pricing under such Order provides for discounts of any sort based on volume of purchases by AT&amp;T (including percentage discounts and tier-based pricing) or requires a certain volume of purchases by AT&amp;T, [***]. An AT&amp;T Affiliate is solely responsible for its own obligations, including all charges incurred in connection with such an Order or transaction. Nothing in this Agreement is to [***], nor is anything in this Agreement to be construed to require any AT&amp;T Affiliate to indemnify Supplier, or to otherwise assume any responsibility, for the acts or omissions of AT&amp;T or any other AT&amp;T Affiliate. To the extent that the Affiliate is not based in the United States or is purchasing Services to be provided outside the United States and a Party reasonably believes that additional or different terms should be applied in the Order, the Parties shall negotiate in good faith on the additional or different terms to be included in the Order or a Supplement to this Agreement.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9" w:name="page140"/>
    <w:bookmarkEnd w:id="139"/>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960" w:hanging="532"/>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the foregoing, the Parties agree as follows:</w:t>
      </w:r>
    </w:p>
    <w:p>
      <w:pPr>
        <w:spacing w:after="0" w:line="130" w:lineRule="exact"/>
        <w:rPr>
          <w:rFonts w:ascii="Arial" w:cs="Arial" w:eastAsia="Arial" w:hAnsi="Arial"/>
          <w:sz w:val="18"/>
          <w:szCs w:val="18"/>
          <w:color w:val="auto"/>
        </w:rPr>
      </w:pPr>
    </w:p>
    <w:p>
      <w:pPr>
        <w:ind w:left="1420" w:right="260" w:hanging="439"/>
        <w:spacing w:after="0" w:line="342" w:lineRule="auto"/>
        <w:tabs>
          <w:tab w:leader="none" w:pos="1420" w:val="left"/>
        </w:tabs>
        <w:numPr>
          <w:ilvl w:val="1"/>
          <w:numId w:val="68"/>
        </w:numPr>
        <w:rPr>
          <w:rFonts w:ascii="Arial" w:cs="Arial" w:eastAsia="Arial" w:hAnsi="Arial"/>
          <w:sz w:val="16"/>
          <w:szCs w:val="16"/>
          <w:color w:val="auto"/>
        </w:rPr>
      </w:pPr>
      <w:r>
        <w:rPr>
          <w:rFonts w:ascii="Arial" w:cs="Arial" w:eastAsia="Arial" w:hAnsi="Arial"/>
          <w:sz w:val="16"/>
          <w:szCs w:val="16"/>
          <w:color w:val="auto"/>
        </w:rPr>
        <w:t>If a then-current AT&amp;T Affiliate desires to place Orders with Supplier for licenses, Material or Services, and such AT&amp;T Affiliate has an existing agreement with Supplier, AT&amp;T shall determine under which agreement the Order will be placed; and</w:t>
      </w:r>
    </w:p>
    <w:p>
      <w:pPr>
        <w:spacing w:after="0" w:line="29" w:lineRule="exact"/>
        <w:rPr>
          <w:rFonts w:ascii="Arial" w:cs="Arial" w:eastAsia="Arial" w:hAnsi="Arial"/>
          <w:sz w:val="16"/>
          <w:szCs w:val="16"/>
          <w:color w:val="auto"/>
        </w:rPr>
      </w:pPr>
    </w:p>
    <w:p>
      <w:pPr>
        <w:jc w:val="both"/>
        <w:ind w:left="1420" w:right="520" w:hanging="439"/>
        <w:spacing w:after="0" w:line="263" w:lineRule="auto"/>
        <w:tabs>
          <w:tab w:leader="none" w:pos="14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To the extent AT&amp;T acquires an entity or business with a pre-existing contractual relationship with Supplier, then AT&amp;T shall determine whether the acquired entity or business will process any new Orders under this Agreement or under the pre-existing contractual relationship.</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Amendments and Waivers</w:t>
      </w:r>
    </w:p>
    <w:p>
      <w:pPr>
        <w:spacing w:after="0" w:line="131" w:lineRule="exact"/>
        <w:rPr>
          <w:sz w:val="20"/>
          <w:szCs w:val="20"/>
          <w:color w:val="auto"/>
        </w:rPr>
      </w:pPr>
    </w:p>
    <w:p>
      <w:pPr>
        <w:ind w:left="960" w:right="60" w:hanging="532"/>
        <w:spacing w:after="0" w:line="273" w:lineRule="auto"/>
        <w:tabs>
          <w:tab w:leader="none" w:pos="9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Parties may not amend this Agreement or an Order except by a written agreement of the Parties that identifies itself as an amendment to this Agreement or such Order and is signed by both Parties, or as otherwise expressly provided below in this Section. No waiver of any right or condition is effective unless given in writing and signed by the Party waiving such right or condition. No delay or omission by either Party to exercise any right or power it has under this Agreement shall impair or be construed as a waiver of such right or power. A waiver by any Party of any breach, condition or covenant shall not be construed to be a waiver of any succeeding breach or condition or of any other covenant. All waivers must be in writing and signed by the Party waiving its rights.</w:t>
      </w:r>
    </w:p>
    <w:p>
      <w:pPr>
        <w:spacing w:after="0" w:line="83" w:lineRule="exact"/>
        <w:rPr>
          <w:rFonts w:ascii="Arial" w:cs="Arial" w:eastAsia="Arial" w:hAnsi="Arial"/>
          <w:sz w:val="17"/>
          <w:szCs w:val="17"/>
          <w:color w:val="auto"/>
        </w:rPr>
      </w:pPr>
    </w:p>
    <w:p>
      <w:pPr>
        <w:ind w:left="960" w:right="20" w:hanging="532"/>
        <w:spacing w:after="0" w:line="301" w:lineRule="auto"/>
        <w:tabs>
          <w:tab w:leader="none" w:pos="9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AT&amp;T’s Project Manager may, at any time, make changes to the scope of Work, which shall be confirmed in writing, and Supplier shall not unreasonably withhold or condition its consent. An equitable adjustment shall be made to the charges if such change to the scope affects the time of performance or the cost of the Work, including expenses, to be performed under this Agreement. Such cost adjustment shall be made on the basis of the fees specified in the Services or Maintenance Order for the Work, unless otherwise agreed in writing.</w:t>
      </w:r>
    </w:p>
    <w:p>
      <w:pPr>
        <w:spacing w:after="0" w:line="6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Anticorruption Laws</w:t>
      </w:r>
    </w:p>
    <w:p>
      <w:pPr>
        <w:spacing w:after="0" w:line="117" w:lineRule="exact"/>
        <w:rPr>
          <w:sz w:val="20"/>
          <w:szCs w:val="20"/>
          <w:color w:val="auto"/>
        </w:rPr>
      </w:pPr>
    </w:p>
    <w:p>
      <w:pPr>
        <w:ind w:left="440" w:right="60"/>
        <w:spacing w:after="0" w:line="269" w:lineRule="auto"/>
        <w:rPr>
          <w:sz w:val="20"/>
          <w:szCs w:val="20"/>
          <w:color w:val="auto"/>
        </w:rPr>
      </w:pPr>
      <w:r>
        <w:rPr>
          <w:rFonts w:ascii="Arial" w:cs="Arial" w:eastAsia="Arial" w:hAnsi="Arial"/>
          <w:sz w:val="17"/>
          <w:szCs w:val="17"/>
          <w:color w:val="auto"/>
        </w:rPr>
        <w:t>Supplier and its employees, temporary workers, agents, consultants, partners, officers, directors, members or representatives of Supplier and its Subcontractors, if any, performing Services or other activities under this Agreement (each and any of the foregoing individuals, for the purpose of this Section, a “Supplier Representative”) shall comply with the US Foreign Corrupt Practices Act and all applicable anticorruption laws (including commercial bribery laws). Supplier Representatives shall not directly or indirectly pay, offer, give, promise to pay or authorize the payment of any portion of the compensation received in connection with this Agreement or any other monies or other things of value in connection with its performance to a Government Official, as such term is defined below, to obtain or retain business or secure any improper advantage nor shall it permit such actions by a third party in connection with this Agreement. For purposes of this Section, “Government Official” means: (i) an officer or employee of any government or any department, agency, or instrumentality thereof, including government-owned or government-controlled commercial entities; (ii) an officer or employee of a public international organization; (iii) any person acting in an official capacity for or on behalf of any government or department, agency, or instrumentality or public international organization; (iv) any political party or official thereof; (v) any candidate for political office; or (vi) any other person, individual or entity at the suggestion, request or direction or for the benefit of any of the above-described persons or entities.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40" w:name="page141"/>
    <w:bookmarkEnd w:id="140"/>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Assignment and Delegation</w:t>
      </w:r>
    </w:p>
    <w:p>
      <w:pPr>
        <w:spacing w:after="0" w:line="131" w:lineRule="exact"/>
        <w:rPr>
          <w:sz w:val="20"/>
          <w:szCs w:val="20"/>
          <w:color w:val="auto"/>
        </w:rPr>
      </w:pPr>
    </w:p>
    <w:p>
      <w:pPr>
        <w:ind w:left="960" w:right="440" w:hanging="532"/>
        <w:spacing w:after="0" w:line="277" w:lineRule="auto"/>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Neither Party may, nor will it have the power to, assign, delegate, or otherwise transfer its rights or obligations under this Agreement, without the prior written consent of the other Party, except in the following circumstances:</w:t>
      </w:r>
    </w:p>
    <w:p>
      <w:pPr>
        <w:spacing w:after="0" w:line="62" w:lineRule="exact"/>
        <w:rPr>
          <w:rFonts w:ascii="Arial" w:cs="Arial" w:eastAsia="Arial" w:hAnsi="Arial"/>
          <w:sz w:val="18"/>
          <w:szCs w:val="18"/>
          <w:color w:val="auto"/>
        </w:rPr>
      </w:pPr>
    </w:p>
    <w:p>
      <w:pPr>
        <w:ind w:left="980" w:right="60"/>
        <w:spacing w:after="0" w:line="271" w:lineRule="auto"/>
        <w:rPr>
          <w:rFonts w:ascii="Arial" w:cs="Arial" w:eastAsia="Arial" w:hAnsi="Arial"/>
          <w:sz w:val="18"/>
          <w:szCs w:val="18"/>
          <w:color w:val="auto"/>
        </w:rPr>
      </w:pPr>
      <w:r>
        <w:rPr>
          <w:rFonts w:ascii="Arial" w:cs="Arial" w:eastAsia="Arial" w:hAnsi="Arial"/>
          <w:sz w:val="17"/>
          <w:szCs w:val="17"/>
          <w:color w:val="auto"/>
        </w:rPr>
        <w:t>AT&amp;T may assign its rights and obligations under this Agreement, without the approval of Supplier, to an AT&amp;T Affiliate and Supplier may assign its rights and obligations under this Agreement, without the approval of AT&amp;T, to a Supplier Affiliate, which in either case has the necessary capability, standing, resources and solvency as reasonably determined by the non-assigning Party to perform the Agreement and which expressly assumes such assigning Party’s obligations and responsibilities hereunder, and which is not a direct competitor of the other Party; provided, however, that the assigning Party shall remain fully liable for and shall not be relieved from the full performance of all obligations under this Agreement without the consent of the other Party. A Party assigning its rights or obligations in accordance with this Section shall, within [***] after such assignment, provide notice thereof to the other Party together with a copy of any relevant provisions of the assignment document.</w:t>
      </w:r>
    </w:p>
    <w:p>
      <w:pPr>
        <w:spacing w:after="0" w:line="83" w:lineRule="exact"/>
        <w:rPr>
          <w:rFonts w:ascii="Arial" w:cs="Arial" w:eastAsia="Arial" w:hAnsi="Arial"/>
          <w:sz w:val="18"/>
          <w:szCs w:val="18"/>
          <w:color w:val="auto"/>
        </w:rPr>
      </w:pPr>
    </w:p>
    <w:p>
      <w:pPr>
        <w:ind w:left="960" w:right="20" w:hanging="532"/>
        <w:spacing w:after="0" w:line="275" w:lineRule="auto"/>
        <w:tabs>
          <w:tab w:leader="none" w:pos="9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Each Party may assign its right to receive money due hereunder, but any assignment of money will be void to the extent (i) the assignor fails to give the non-assigning Party at least thirty (30) days prior written notice, or (ii) the assignment purports to impose upon the non-assigning Party additional costs or obligations in addition to the payment of such money, or (iii) the assignment purports to preclude AT&amp;T from dealing solely and directly with Supplier in all matters pertaining to this Agreement. Any assignment, delegation or transfer for which consent is required hereby and which is made without such consent given in writing will be void.</w:t>
      </w:r>
    </w:p>
    <w:p>
      <w:pPr>
        <w:spacing w:after="0" w:line="81" w:lineRule="exact"/>
        <w:rPr>
          <w:rFonts w:ascii="Arial" w:cs="Arial" w:eastAsia="Arial" w:hAnsi="Arial"/>
          <w:sz w:val="17"/>
          <w:szCs w:val="17"/>
          <w:color w:val="auto"/>
        </w:rPr>
      </w:pPr>
    </w:p>
    <w:p>
      <w:pPr>
        <w:ind w:left="960" w:hanging="532"/>
        <w:spacing w:after="0"/>
        <w:tabs>
          <w:tab w:leader="none" w:pos="9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Supplier may subcontract its performance subject to the Section herein entitled “Work Done by Others”.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Compliance with Laws</w:t>
      </w:r>
    </w:p>
    <w:p>
      <w:pPr>
        <w:spacing w:after="0" w:line="131" w:lineRule="exact"/>
        <w:rPr>
          <w:sz w:val="20"/>
          <w:szCs w:val="20"/>
          <w:color w:val="auto"/>
        </w:rPr>
      </w:pPr>
    </w:p>
    <w:p>
      <w:pPr>
        <w:ind w:left="960" w:right="100" w:hanging="532"/>
        <w:spacing w:after="0" w:line="263"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Supplier shall comply with all Laws applicable to Supplier attendant upon Supplier’s performance under this Agreement. AT&amp;T shall comply with all Laws applicable to AT&amp;T attendant upon AT&amp;T’s performance of its obligations under this Agreement and AT&amp;T’s or its customers’ utilization of the Material and/or Services.</w:t>
      </w:r>
    </w:p>
    <w:p>
      <w:pPr>
        <w:spacing w:after="0" w:line="89" w:lineRule="exact"/>
        <w:rPr>
          <w:rFonts w:ascii="Arial" w:cs="Arial" w:eastAsia="Arial" w:hAnsi="Arial"/>
          <w:sz w:val="18"/>
          <w:szCs w:val="18"/>
          <w:color w:val="auto"/>
        </w:rPr>
      </w:pPr>
    </w:p>
    <w:p>
      <w:pPr>
        <w:ind w:left="960" w:right="20" w:hanging="532"/>
        <w:spacing w:after="0" w:line="257"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Supplier shall procure all approvals, bonds, certificates, insurance, inspections, licenses, and permits that such Laws require with respect to Supplier’s performance of this Agreement. Supplier shall create and maintain any necessary records and provide any certificate, affidavit or other information or documentation requested or as otherwise required by AT&amp;T: (a) to show compliance by Supplier and its Subcontractors with Laws; (b) necessary for AT&amp;T to comply or otherwise establish AT&amp;T’s compliance with Laws; or (c) to allow AT&amp;T to timely respond to any complaints, filings, or other proceedings.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41" w:name="page142"/>
    <w:bookmarkEnd w:id="141"/>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964" w:right="40" w:hanging="532"/>
        <w:spacing w:after="0" w:line="288" w:lineRule="auto"/>
        <w:tabs>
          <w:tab w:leader="none" w:pos="964" w:val="left"/>
        </w:tabs>
        <w:numPr>
          <w:ilvl w:val="1"/>
          <w:numId w:val="72"/>
        </w:numPr>
        <w:rPr>
          <w:rFonts w:ascii="Arial" w:cs="Arial" w:eastAsia="Arial" w:hAnsi="Arial"/>
          <w:sz w:val="16"/>
          <w:szCs w:val="16"/>
          <w:color w:val="auto"/>
        </w:rPr>
      </w:pPr>
      <w:r>
        <w:rPr>
          <w:rFonts w:ascii="Arial" w:cs="Arial" w:eastAsia="Arial" w:hAnsi="Arial"/>
          <w:sz w:val="16"/>
          <w:szCs w:val="16"/>
          <w:color w:val="auto"/>
        </w:rPr>
        <w:t>To the extent any modifications to Custom Software, Standard Software, or Services to be delivered to AT&amp;T are required for the purposes of complying with Laws relating to AT&amp;T’s business, Supplier will assist AT&amp;T to comply with such Laws as specified by AT&amp;T by complying with the Specifications in the applicable Services or License Order. Upon request by AT&amp;T, Supplier shall make available to AT&amp;T appropriate product and subject matter experts as may reasonably be required in assisting AT&amp;T in defining the business requirements and functionality required for AT&amp;T to comply with any and all Laws, all to the extent expressly agreed to in the Specifications in the applicable Services or License Order, provided, however, that in so assisting AT&amp;T, Supplier shall not be required to provide, and Supplier shall not be deemed to have provided, any legal services, advice or counsel to AT&amp;T. All changes and/or modifications to be made to the Custom Software, Standard Software, or Services as requested by AT&amp;T due to changes in Laws as identified by AT&amp;T will be handled in accordance with the change management procedures of this Agreement. Such modifications may be made through Paid-For Development, Supplier’s roadmap for the Standard Software, or otherwise as applicable.</w:t>
      </w:r>
    </w:p>
    <w:p>
      <w:pPr>
        <w:spacing w:after="0" w:line="73" w:lineRule="exact"/>
        <w:rPr>
          <w:rFonts w:ascii="Arial" w:cs="Arial" w:eastAsia="Arial" w:hAnsi="Arial"/>
          <w:sz w:val="16"/>
          <w:szCs w:val="16"/>
          <w:color w:val="auto"/>
        </w:rPr>
      </w:pPr>
    </w:p>
    <w:p>
      <w:pPr>
        <w:ind w:left="424" w:hanging="424"/>
        <w:spacing w:after="0"/>
        <w:tabs>
          <w:tab w:leader="none" w:pos="4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Export/Import Law and Foreign Trade Controls</w:t>
      </w:r>
    </w:p>
    <w:p>
      <w:pPr>
        <w:spacing w:after="0" w:line="130" w:lineRule="exact"/>
        <w:rPr>
          <w:rFonts w:ascii="Arial" w:cs="Arial" w:eastAsia="Arial" w:hAnsi="Arial"/>
          <w:sz w:val="18"/>
          <w:szCs w:val="18"/>
          <w:color w:val="auto"/>
        </w:rPr>
      </w:pPr>
    </w:p>
    <w:p>
      <w:pPr>
        <w:ind w:left="964" w:right="120" w:hanging="532"/>
        <w:spacing w:after="0" w:line="253" w:lineRule="auto"/>
        <w:tabs>
          <w:tab w:leader="none" w:pos="964" w:val="left"/>
        </w:tabs>
        <w:numPr>
          <w:ilvl w:val="1"/>
          <w:numId w:val="73"/>
        </w:numPr>
        <w:rPr>
          <w:rFonts w:ascii="Arial" w:cs="Arial" w:eastAsia="Arial" w:hAnsi="Arial"/>
          <w:sz w:val="18"/>
          <w:szCs w:val="18"/>
          <w:color w:val="auto"/>
        </w:rPr>
      </w:pPr>
      <w:r>
        <w:rPr>
          <w:rFonts w:ascii="Arial" w:cs="Arial" w:eastAsia="Arial" w:hAnsi="Arial"/>
          <w:sz w:val="18"/>
          <w:szCs w:val="18"/>
          <w:color w:val="auto"/>
        </w:rPr>
        <w:t>Each Party shall comply with all applicable export control, import and foreign trade sanctions Laws in its performance of this Agreement. Without prejudice to the generality of the foregoing, each Party understands and acknowledges that certain AT&amp;T and Supplier applications and Material and Services (including technical assistance and technical data) to be provided hereunder may be subject to export controls under the laws and regulations of the United States, the European Union and other foreign trade control laws, rules and regulations restricting their transfer to certain countries and parties including but not limited to the US Export Administration Regulations and trade sanctions programs administered by the US Department of the Treasury. Each Party shall comply with all applicable export control and other foreign trade Laws in performance of its obligations hereunder, and shall not use, resell, export, transfer, distribute, dispose or otherwise deal with the AT&amp;T and Supplier applications or any technical data related thereto, directly or indirectly, except in full compliance with such Laws.</w:t>
      </w:r>
    </w:p>
    <w:p>
      <w:pPr>
        <w:spacing w:after="0" w:line="102" w:lineRule="exact"/>
        <w:rPr>
          <w:sz w:val="20"/>
          <w:szCs w:val="20"/>
          <w:color w:val="auto"/>
        </w:rPr>
      </w:pPr>
    </w:p>
    <w:p>
      <w:pPr>
        <w:ind w:left="964" w:right="240" w:hanging="532"/>
        <w:spacing w:after="0" w:line="263" w:lineRule="auto"/>
        <w:tabs>
          <w:tab w:leader="none" w:pos="9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Neither Party shall use, sell, export, re-export, distribute, transfer, dispose of, or otherwise deal with any such Material or any direct product thereof or undertake any transaction or Service without first obtaining all necessary written consents, permits and authorizations and completing such formalities as may be required by any such Laws.</w:t>
      </w:r>
    </w:p>
    <w:p>
      <w:pPr>
        <w:spacing w:after="0" w:line="89" w:lineRule="exact"/>
        <w:rPr>
          <w:rFonts w:ascii="Arial" w:cs="Arial" w:eastAsia="Arial" w:hAnsi="Arial"/>
          <w:sz w:val="18"/>
          <w:szCs w:val="18"/>
          <w:color w:val="auto"/>
        </w:rPr>
      </w:pPr>
    </w:p>
    <w:p>
      <w:pPr>
        <w:ind w:left="964" w:right="100" w:hanging="532"/>
        <w:spacing w:after="0" w:line="273" w:lineRule="auto"/>
        <w:tabs>
          <w:tab w:leader="none" w:pos="964" w:val="left"/>
        </w:tabs>
        <w:numPr>
          <w:ilvl w:val="0"/>
          <w:numId w:val="74"/>
        </w:numPr>
        <w:rPr>
          <w:rFonts w:ascii="Arial" w:cs="Arial" w:eastAsia="Arial" w:hAnsi="Arial"/>
          <w:sz w:val="17"/>
          <w:szCs w:val="17"/>
          <w:color w:val="auto"/>
        </w:rPr>
      </w:pPr>
      <w:r>
        <w:rPr>
          <w:rFonts w:ascii="Arial" w:cs="Arial" w:eastAsia="Arial" w:hAnsi="Arial"/>
          <w:sz w:val="17"/>
          <w:szCs w:val="17"/>
          <w:color w:val="auto"/>
        </w:rPr>
        <w:t>Supplier shall be solely responsible for arranging export clearance, including applying for and obtaining any permits, licenses or other authorizations and complying with export clearance formalities, for all exports of Material and Services made by Supplier hereunder, including but not limited to exports by Supplier to its Affiliates or Subcontractors and exports from such Affiliates or Subcontractors to Supplier or to AT&amp;T in the United States. AT&amp;T agrees to use reasonable efforts to obtain and provide to Supplier in a timely manner any end-user, end-use and other documentation and certifications as may reasonably be requested by Supplier in support of any applications made to relevant government authorities in connection with such exports.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142" w:name="page143"/>
    <w:bookmarkEnd w:id="142"/>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964" w:right="60" w:hanging="532"/>
        <w:spacing w:after="0" w:line="254"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Each Party specifically represents and warrants that it shall not export/re-export or otherwise transfer the AT&amp;T and Supplier applications, Material or Services to any country that is subject to US trade sanctions imposed from time to time (currently, Cuba, Iran, North Korea, Sudan and Syria), to any persons or entities located in or organized under the laws of such country, or who are owned or controlled by or acting on behalf of the governments of such countries, as well as to citizens of such countries, or to persons identified from time to time on applicable US government restricted party lists (the US Department of Commerce’s Denied Party List, Entity List, Unverified List; the US Department of the Treasury’s List of Specially Designated Nationals and Other Blocked Persons; the US Department of State’s various non-proliferation lists).</w:t>
      </w:r>
    </w:p>
    <w:p>
      <w:pPr>
        <w:spacing w:after="0" w:line="100" w:lineRule="exact"/>
        <w:rPr>
          <w:rFonts w:ascii="Arial" w:cs="Arial" w:eastAsia="Arial" w:hAnsi="Arial"/>
          <w:sz w:val="18"/>
          <w:szCs w:val="18"/>
          <w:color w:val="auto"/>
        </w:rPr>
      </w:pPr>
    </w:p>
    <w:p>
      <w:pPr>
        <w:ind w:left="964" w:right="320" w:hanging="532"/>
        <w:spacing w:after="0" w:line="301" w:lineRule="auto"/>
        <w:tabs>
          <w:tab w:leader="none" w:pos="964" w:val="left"/>
        </w:tabs>
        <w:numPr>
          <w:ilvl w:val="1"/>
          <w:numId w:val="75"/>
        </w:numPr>
        <w:rPr>
          <w:rFonts w:ascii="Arial" w:cs="Arial" w:eastAsia="Arial" w:hAnsi="Arial"/>
          <w:sz w:val="16"/>
          <w:szCs w:val="16"/>
          <w:color w:val="auto"/>
        </w:rPr>
      </w:pPr>
      <w:r>
        <w:rPr>
          <w:rFonts w:ascii="Arial" w:cs="Arial" w:eastAsia="Arial" w:hAnsi="Arial"/>
          <w:sz w:val="16"/>
          <w:szCs w:val="16"/>
          <w:color w:val="auto"/>
        </w:rPr>
        <w:t>Each Party represents and warrants that it has in place compliance mechanisms sufficient to ensure compliance with applicable export control and foreign trade control Laws. Neither Party shall do anything which would cause the other Party to be in breach of applicable export control or foreign trade control Laws, and shall protect, indemnify and hold harmless the other Party from any claim, damages, liability costs, fees and expenses incurred by as a result of the failure of omission of Supplier to comply with such Laws.</w:t>
      </w:r>
    </w:p>
    <w:p>
      <w:pPr>
        <w:spacing w:after="0" w:line="62" w:lineRule="exact"/>
        <w:rPr>
          <w:rFonts w:ascii="Arial" w:cs="Arial" w:eastAsia="Arial" w:hAnsi="Arial"/>
          <w:sz w:val="16"/>
          <w:szCs w:val="16"/>
          <w:color w:val="auto"/>
        </w:rPr>
      </w:pPr>
    </w:p>
    <w:p>
      <w:pPr>
        <w:ind w:left="964" w:right="280" w:hanging="532"/>
        <w:spacing w:after="0" w:line="277" w:lineRule="auto"/>
        <w:tabs>
          <w:tab w:leader="none" w:pos="964" w:val="left"/>
        </w:tabs>
        <w:numPr>
          <w:ilvl w:val="1"/>
          <w:numId w:val="75"/>
        </w:numPr>
        <w:rPr>
          <w:rFonts w:ascii="Arial" w:cs="Arial" w:eastAsia="Arial" w:hAnsi="Arial"/>
          <w:sz w:val="18"/>
          <w:szCs w:val="18"/>
          <w:color w:val="auto"/>
        </w:rPr>
      </w:pPr>
      <w:r>
        <w:rPr>
          <w:rFonts w:ascii="Arial" w:cs="Arial" w:eastAsia="Arial" w:hAnsi="Arial"/>
          <w:sz w:val="18"/>
          <w:szCs w:val="18"/>
          <w:color w:val="auto"/>
        </w:rPr>
        <w:t>Failure by either Party to comply with applicable export control and foreign trade control Laws shall constitute a material breach of this Agreement.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General Data Protection Regulation (GDPR)</w:t>
      </w:r>
    </w:p>
    <w:p>
      <w:pPr>
        <w:spacing w:after="0" w:line="130" w:lineRule="exact"/>
        <w:rPr>
          <w:rFonts w:ascii="Arial" w:cs="Arial" w:eastAsia="Arial" w:hAnsi="Arial"/>
          <w:sz w:val="18"/>
          <w:szCs w:val="18"/>
          <w:color w:val="auto"/>
        </w:rPr>
      </w:pPr>
    </w:p>
    <w:p>
      <w:pPr>
        <w:ind w:left="964" w:right="140" w:hanging="532"/>
        <w:spacing w:after="0" w:line="277" w:lineRule="auto"/>
        <w:tabs>
          <w:tab w:leader="none" w:pos="964" w:val="left"/>
        </w:tabs>
        <w:numPr>
          <w:ilvl w:val="1"/>
          <w:numId w:val="76"/>
        </w:numPr>
        <w:rPr>
          <w:rFonts w:ascii="Arial" w:cs="Arial" w:eastAsia="Arial" w:hAnsi="Arial"/>
          <w:sz w:val="18"/>
          <w:szCs w:val="18"/>
          <w:color w:val="auto"/>
        </w:rPr>
      </w:pPr>
      <w:r>
        <w:rPr>
          <w:rFonts w:ascii="Arial" w:cs="Arial" w:eastAsia="Arial" w:hAnsi="Arial"/>
          <w:sz w:val="18"/>
          <w:szCs w:val="18"/>
          <w:color w:val="auto"/>
        </w:rPr>
        <w:t>Supplier shall comply with the requirements set forth in Appendix K – EU Data Privacy and GDPR Data Processing Obligations attached hereto.</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provisions of this Section, “Compliance with Laws”, will survive the expiration or termination of this Agreement for any reason.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Supplier shall comply with the provisions set forth in Appendix O -California Consumer Privacy Act Requirements.</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Construction and Interpretation</w:t>
      </w:r>
    </w:p>
    <w:p>
      <w:pPr>
        <w:spacing w:after="0" w:line="131" w:lineRule="exact"/>
        <w:rPr>
          <w:sz w:val="20"/>
          <w:szCs w:val="20"/>
          <w:color w:val="auto"/>
        </w:rPr>
      </w:pPr>
    </w:p>
    <w:p>
      <w:pPr>
        <w:ind w:left="964" w:right="140" w:hanging="532"/>
        <w:spacing w:after="0" w:line="259" w:lineRule="auto"/>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This Agreement has been prepared jointly and has been the subject of arm’s length and careful negotiation. Each Party has been given the opportunity to independently review this Agreement with legal counsel and other consultants, and each Party has the requisite experience and sophistication to understand, interpret and agree to the particular language of its provisions. Accordingly, the drafting of this Agreement is not to be attributed to either Party.</w:t>
      </w:r>
    </w:p>
    <w:p>
      <w:pPr>
        <w:spacing w:after="0" w:line="92" w:lineRule="exact"/>
        <w:rPr>
          <w:rFonts w:ascii="Arial" w:cs="Arial" w:eastAsia="Arial" w:hAnsi="Arial"/>
          <w:sz w:val="18"/>
          <w:szCs w:val="18"/>
          <w:color w:val="auto"/>
        </w:rPr>
      </w:pPr>
    </w:p>
    <w:p>
      <w:pPr>
        <w:ind w:left="964" w:right="140" w:hanging="532"/>
        <w:spacing w:after="0" w:line="275" w:lineRule="auto"/>
        <w:tabs>
          <w:tab w:leader="none" w:pos="964" w:val="left"/>
        </w:tabs>
        <w:numPr>
          <w:ilvl w:val="0"/>
          <w:numId w:val="77"/>
        </w:numPr>
        <w:rPr>
          <w:rFonts w:ascii="Arial" w:cs="Arial" w:eastAsia="Arial" w:hAnsi="Arial"/>
          <w:sz w:val="17"/>
          <w:szCs w:val="17"/>
          <w:color w:val="auto"/>
        </w:rPr>
      </w:pPr>
      <w:r>
        <w:rPr>
          <w:rFonts w:ascii="Arial" w:cs="Arial" w:eastAsia="Arial" w:hAnsi="Arial"/>
          <w:sz w:val="17"/>
          <w:szCs w:val="17"/>
          <w:color w:val="auto"/>
        </w:rPr>
        <w:t>Article, Section and paragraph headings contained in this Agreement are for reference purposes only and are not to affect the meaning or interpretation of this Agreement. The word “include” in every form means to include without limitation by virtue of enumeration and a derivative of a defined term shall have the meaning appropriate to the context of its use. Whenever this Agreement refers to a consent or approval to be given by either Party, such consent or approval is effective only if given in writing and signed by the Party giving approval or consent. The use of singular words includes the plural and vice versa.</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143" w:name="page144"/>
    <w:bookmarkEnd w:id="143"/>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Cumulative Remedies</w:t>
      </w:r>
    </w:p>
    <w:p>
      <w:pPr>
        <w:spacing w:after="0" w:line="117" w:lineRule="exact"/>
        <w:rPr>
          <w:sz w:val="20"/>
          <w:szCs w:val="20"/>
          <w:color w:val="auto"/>
        </w:rPr>
      </w:pPr>
    </w:p>
    <w:p>
      <w:pPr>
        <w:ind w:left="440" w:right="60"/>
        <w:spacing w:after="0" w:line="296" w:lineRule="auto"/>
        <w:rPr>
          <w:sz w:val="20"/>
          <w:szCs w:val="20"/>
          <w:color w:val="auto"/>
        </w:rPr>
      </w:pPr>
      <w:r>
        <w:rPr>
          <w:rFonts w:ascii="Arial" w:cs="Arial" w:eastAsia="Arial" w:hAnsi="Arial"/>
          <w:sz w:val="16"/>
          <w:szCs w:val="16"/>
          <w:color w:val="auto"/>
        </w:rPr>
        <w:t>Except as specifically identified as a Party’s sole remedy, including without limitation as set forth in the Section titled “Warranty”, any rights of termination, liquidated damages, or other remedies prescribed in this Agreement, the rights and remedies of the Parties set forth in this Agreement are not exclusive of, but are cumulative to, any other rights or remedies set forth in the Agreement or the applicable Order, at law, or in equity. Neither Party may retain the benefit of inconsistent remedies. No single or partial exercise of any right or remedy with respect to one breach of this Agreement or any Order precludes the simultaneous or subsequent exercise of any other right or remedy with respect to a different breach.</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Special Software Terms</w:t>
      </w:r>
    </w:p>
    <w:p>
      <w:pPr>
        <w:spacing w:after="0" w:line="131" w:lineRule="exact"/>
        <w:rPr>
          <w:sz w:val="20"/>
          <w:szCs w:val="20"/>
          <w:color w:val="auto"/>
        </w:rPr>
      </w:pPr>
    </w:p>
    <w:p>
      <w:pPr>
        <w:ind w:left="960" w:hanging="53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Standard Software License and License Fees</w:t>
      </w:r>
    </w:p>
    <w:p>
      <w:pPr>
        <w:spacing w:after="0" w:line="130" w:lineRule="exact"/>
        <w:rPr>
          <w:rFonts w:ascii="Arial" w:cs="Arial" w:eastAsia="Arial" w:hAnsi="Arial"/>
          <w:sz w:val="18"/>
          <w:szCs w:val="18"/>
          <w:color w:val="auto"/>
        </w:rPr>
      </w:pPr>
    </w:p>
    <w:p>
      <w:pPr>
        <w:ind w:left="1420" w:right="200" w:hanging="439"/>
        <w:spacing w:after="0" w:line="257" w:lineRule="auto"/>
        <w:tabs>
          <w:tab w:leader="none" w:pos="14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Any Standard Software previously licensed to AT&amp;T, prior to the effective date of the Restatement and Amendment of this Agreement, will continue to be licensed in accordance with the terms of the applicable agreement under which it was originally licensed, except as otherwise agreed by the Parties and specified in a License Order. Any additional or different Standard Software not previously licensed by Supplier shall be subject to the terms and conditions of this Agreement and as specified in a License Order and/or Maintenance Order.</w:t>
      </w:r>
    </w:p>
    <w:p>
      <w:pPr>
        <w:spacing w:after="0" w:line="93" w:lineRule="exact"/>
        <w:rPr>
          <w:rFonts w:ascii="Arial" w:cs="Arial" w:eastAsia="Arial" w:hAnsi="Arial"/>
          <w:sz w:val="18"/>
          <w:szCs w:val="18"/>
          <w:color w:val="auto"/>
        </w:rPr>
      </w:pPr>
    </w:p>
    <w:p>
      <w:pPr>
        <w:ind w:left="960" w:hanging="532"/>
        <w:spacing w:after="0"/>
        <w:tabs>
          <w:tab w:leader="none" w:pos="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Custom Software Development</w:t>
      </w:r>
    </w:p>
    <w:p>
      <w:pPr>
        <w:spacing w:after="0" w:line="130" w:lineRule="exact"/>
        <w:rPr>
          <w:rFonts w:ascii="Arial" w:cs="Arial" w:eastAsia="Arial" w:hAnsi="Arial"/>
          <w:sz w:val="18"/>
          <w:szCs w:val="18"/>
          <w:color w:val="auto"/>
        </w:rPr>
      </w:pPr>
    </w:p>
    <w:p>
      <w:pPr>
        <w:ind w:left="1420" w:right="200" w:hanging="439"/>
        <w:spacing w:after="0" w:line="275" w:lineRule="auto"/>
        <w:tabs>
          <w:tab w:leader="none" w:pos="14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Supplier shall develop the Custom Software in compliance with the applicable Services Order. During the development process, AT&amp;T shall assist Supplier and cooperate with Supplier by making employees available to Supplier for consultation and providing information, facilities, equipment, and data required for the performance of the Services. The Parties shall mutually develop a Project plan utilizing Project management methodologies agreed to by the Parties, and predicated upon the Project’s requirements. The Project plan shall include deliverables, milestones, and reviews.</w:t>
      </w:r>
    </w:p>
    <w:p>
      <w:pPr>
        <w:spacing w:after="0" w:line="81" w:lineRule="exact"/>
        <w:rPr>
          <w:rFonts w:ascii="Arial" w:cs="Arial" w:eastAsia="Arial" w:hAnsi="Arial"/>
          <w:sz w:val="17"/>
          <w:szCs w:val="17"/>
          <w:color w:val="auto"/>
        </w:rPr>
      </w:pPr>
    </w:p>
    <w:p>
      <w:pPr>
        <w:ind w:left="1420" w:right="60" w:hanging="439"/>
        <w:spacing w:after="0" w:line="275" w:lineRule="auto"/>
        <w:tabs>
          <w:tab w:leader="none" w:pos="14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In accordance with the Project plan and applicable Specifications, Supplier shall develop, complete, and deliver to AT&amp;T all programming to be included in the Custom Software. All Custom Software developed by Supplier shall be documented concurrently with its programming. In accordance with the Project plan, AT&amp;T shall provide to Supplier the relevant test and interface data and test scripts. All Custom Software provided to AT&amp;T hereunder shall be tested (including unit subsystem and system testing) and debugged by Supplier, unless otherwise specified in the Services Order.</w:t>
      </w:r>
    </w:p>
    <w:p>
      <w:pPr>
        <w:spacing w:after="0" w:line="81" w:lineRule="exact"/>
        <w:rPr>
          <w:rFonts w:ascii="Arial" w:cs="Arial" w:eastAsia="Arial" w:hAnsi="Arial"/>
          <w:sz w:val="17"/>
          <w:szCs w:val="17"/>
          <w:color w:val="auto"/>
        </w:rPr>
      </w:pPr>
    </w:p>
    <w:p>
      <w:pPr>
        <w:ind w:left="1420" w:right="20" w:hanging="439"/>
        <w:spacing w:after="0" w:line="279" w:lineRule="auto"/>
        <w:tabs>
          <w:tab w:leader="none" w:pos="14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After the completion of such testing and debugging, Supplier shall Deliver (and install, if applicable) such Custom Software to AT&amp;T on or before the scheduled Delivery Date set forth in the applicable Services Order. Delivery shall be in accordance with Subsection c, “Delivery of Custom Software or Standard Software,” of Section 3.10 “Technology Standards” below. The protocol for Acceptance Tests after Delivery is described below in Section 3.9 “Acceptance or Rejection.”</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44" w:name="page145"/>
    <w:bookmarkEnd w:id="144"/>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20" w:hanging="439"/>
        <w:spacing w:after="0" w:line="268" w:lineRule="auto"/>
        <w:tabs>
          <w:tab w:leader="none" w:pos="13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Each Services Order will be subject to the governance procedures applicable to such Services Order. The respective Project Managers shall review each Party’s progress in meeting its objectives under the Project plan. Upon the request of AT&amp;T’s Project Manager or on Supplier’s initiative, Supplier’s Project Manager will provide a written progress report identifying any circumstance (including but not limited to any discovery of ambiguity in any previously approved Specifications) coming to light since the previous such meeting which is likely to result in (i) a delay in Supplier’s ability to meet its due dates, or (ii) a proposed adjustment in projected amounts likely to be billed to AT&amp;T for time and charges, or (iii) both such a proposed adjustment and such a delay. The report will provide Supplier’s best estimate of the length of such projected delay and the amount of such proposed adjustment to time and charges. To the extent that any such circumstance is shown to have resulted from a failure of AT&amp;T (including any contractor or subcontractor of AT&amp;T) to meet its obligations with respect to the Project, Supplier shall be granted an equitable extension of time and an equitable adjustment of the fixed or estimated fee to the extent necessary to remedy AT&amp;T’s failure to meet its obligations. Supplier waives any and all claims for any such equitable extension or adjustment to the extent that it is based on any such circumstance in which Supplier failed to notify AT&amp;T within one month (or as otherwise specified in the Services Order) of Supplier’s recognition of the problem.</w:t>
      </w:r>
    </w:p>
    <w:p>
      <w:pPr>
        <w:spacing w:after="0" w:line="91" w:lineRule="exact"/>
        <w:rPr>
          <w:rFonts w:ascii="Arial" w:cs="Arial" w:eastAsia="Arial" w:hAnsi="Arial"/>
          <w:sz w:val="17"/>
          <w:szCs w:val="17"/>
          <w:color w:val="auto"/>
        </w:rPr>
      </w:pPr>
    </w:p>
    <w:p>
      <w:pPr>
        <w:ind w:left="1380" w:right="40" w:hanging="439"/>
        <w:spacing w:after="0" w:line="288" w:lineRule="auto"/>
        <w:tabs>
          <w:tab w:leader="none" w:pos="13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Each equitable extension of time and each equitable adjustment of any fixed or estimated fee shall be recorded in an amendment to the Services Order, which shall be prepared by the respective Project Managers of each Party. In addition, if AT&amp;T desires to make a change in any previously approved Specifications, then AT&amp;T shall deliver a change request to Supplier, and Supplier shall respond by providing a written change quote specifying any proposed adjustment to time and charges that Supplier believes necessary to effectuate the change. If AT&amp;T accepts the proposed change, the Parties shall amend the applicable Services Order. For clarity, each such change shall become an amendment to the applicable Services Order when signed by the appropriate representative of each Party. If Program Material or Custom Software is not Delivered to AT&amp;T (and installed, if applicable) as a result of factors under Supplier’s responsibility and control which includes Supplier’s Subcontractors and agents on or before the scheduled Critical Performance Milestone Date or Delivery Date therefore (as extended by any amendment), AT&amp;T may, at its option, and subject to resolution of any related dispute in accordance with this Agreement’s dispute resolution process:</w:t>
      </w:r>
    </w:p>
    <w:p>
      <w:pPr>
        <w:spacing w:after="0" w:line="73" w:lineRule="exact"/>
        <w:rPr>
          <w:rFonts w:ascii="Arial" w:cs="Arial" w:eastAsia="Arial" w:hAnsi="Arial"/>
          <w:sz w:val="16"/>
          <w:szCs w:val="16"/>
          <w:color w:val="auto"/>
        </w:rPr>
      </w:pPr>
    </w:p>
    <w:p>
      <w:pPr>
        <w:ind w:left="1920" w:hanging="533"/>
        <w:spacing w:after="0"/>
        <w:tabs>
          <w:tab w:leader="none" w:pos="19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scheduled Critical Performance Milestone Date or Delivery [***]; or</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Services Order covering such Custom Software [***] Software, [***]; or</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Services Order covering such Custom [***] under the Services Order [***]; provided, however, that [***]; or</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as set forth in the applicable Services Order.</w:t>
      </w:r>
    </w:p>
    <w:p>
      <w:pPr>
        <w:spacing w:after="0" w:line="131" w:lineRule="exact"/>
        <w:rPr>
          <w:sz w:val="20"/>
          <w:szCs w:val="20"/>
          <w:color w:val="auto"/>
        </w:rPr>
      </w:pPr>
    </w:p>
    <w:p>
      <w:pPr>
        <w:ind w:left="1380"/>
        <w:spacing w:after="0"/>
        <w:tabs>
          <w:tab w:leader="none" w:pos="19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pursuant to this Section, each Party shall [***].</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45" w:name="page146"/>
    <w:bookmarkEnd w:id="14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340" w:hanging="439"/>
        <w:spacing w:after="0" w:line="277"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From time to time AT&amp;T may authorize Supplier to use computer systems that are physically located on AT&amp;T’s premises. Such authorization shall be limited to Projects specified in writing by AT&amp;T.</w:t>
      </w:r>
    </w:p>
    <w:p>
      <w:pPr>
        <w:spacing w:after="0" w:line="75" w:lineRule="exact"/>
        <w:rPr>
          <w:rFonts w:ascii="Arial" w:cs="Arial" w:eastAsia="Arial" w:hAnsi="Arial"/>
          <w:sz w:val="18"/>
          <w:szCs w:val="18"/>
          <w:color w:val="auto"/>
        </w:rPr>
      </w:pPr>
    </w:p>
    <w:p>
      <w:pPr>
        <w:ind w:left="1420" w:right="140" w:hanging="439"/>
        <w:spacing w:after="0" w:line="263"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Supplier shall notify AT&amp;T as soon as reasonably possible of any Custom Software issues and risks that are identified by Supplier staff that may materially impact the Project and provide Custom Software development progress reports as reasonably requested by AT&amp;T.</w:t>
      </w:r>
    </w:p>
    <w:p>
      <w:pPr>
        <w:spacing w:after="0" w:line="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Acceptance or Rejection</w:t>
      </w:r>
    </w:p>
    <w:p>
      <w:pPr>
        <w:spacing w:after="0" w:line="131" w:lineRule="exact"/>
        <w:rPr>
          <w:sz w:val="20"/>
          <w:szCs w:val="20"/>
          <w:color w:val="auto"/>
        </w:rPr>
      </w:pPr>
    </w:p>
    <w:p>
      <w:pPr>
        <w:ind w:left="960" w:hanging="532"/>
        <w:spacing w:after="0"/>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After the Delivery of the Custom Software or Standard Software, AT&amp;T will start the Acceptance Test Period, if applicable.</w:t>
      </w:r>
    </w:p>
    <w:p>
      <w:pPr>
        <w:spacing w:after="0" w:line="130" w:lineRule="exact"/>
        <w:rPr>
          <w:rFonts w:ascii="Arial" w:cs="Arial" w:eastAsia="Arial" w:hAnsi="Arial"/>
          <w:sz w:val="18"/>
          <w:szCs w:val="18"/>
          <w:color w:val="auto"/>
        </w:rPr>
      </w:pPr>
    </w:p>
    <w:p>
      <w:pPr>
        <w:ind w:left="960" w:right="40" w:hanging="532"/>
        <w:spacing w:after="0" w:line="290" w:lineRule="auto"/>
        <w:tabs>
          <w:tab w:leader="none" w:pos="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During the Acceptance Test Period, AT&amp;T will notify Supplier promptly in writing of any Errors found by AT&amp;T, and Supplier will promptly correct such Errors and deliver to AT&amp;T the resulting corrections. AT&amp;T shall have the right to test the Custom Software or Standard Software after such corrected and/or completed Custom Software or Standard Software is redelivered to AT&amp;T, and such corrected and/or completed Custom Software or Standard Software shall thereafter be subject to AT&amp;T’s acceptance or rejection under this Section. The Acceptance Test Period shall be extended by the greater of either (i) [***] during which [***] Custom Software or Standard Software, or (ii) when applicable, [***]. Any Errors in the Custom Software or Standard Software that [***] with the Specifications shall be addressed in accordance with the appropriate resolution plan as set forth in Section 3.10.e., “Error Severity Level, Resolution Plan, and Liquidated Damages”. Detailed acceptance testing plans, procedures, and criteria will be specified in the applicable Services Orders.</w:t>
      </w:r>
    </w:p>
    <w:p>
      <w:pPr>
        <w:spacing w:after="0" w:line="70" w:lineRule="exact"/>
        <w:rPr>
          <w:rFonts w:ascii="Arial" w:cs="Arial" w:eastAsia="Arial" w:hAnsi="Arial"/>
          <w:sz w:val="16"/>
          <w:szCs w:val="16"/>
          <w:color w:val="auto"/>
        </w:rPr>
      </w:pPr>
    </w:p>
    <w:p>
      <w:pPr>
        <w:ind w:left="960" w:right="20" w:hanging="532"/>
        <w:spacing w:after="0" w:line="291" w:lineRule="auto"/>
        <w:tabs>
          <w:tab w:leader="none" w:pos="9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Custom Software or Standard Software conforms with the terms of the applicable Services Order during the Acceptance Test Period, AT&amp;T shall sign and deliver a copy of an Acceptance Letter substantially in the form of Appendix F, “Acceptance Letter”, to Supplier after the completion of the Acceptance Test Period. If AT&amp;T fails to send an Acceptance Letter, or to inform Supplier of the rejection of the Custom Software or Standard Software, within [***] business days after the conclusion of the Acceptance Test Period, then Supplier shall promptly notify AT&amp;T’s IT leadership of such failure via e-mail or other writing, with a copy to AT&amp;T’s Project Manager. If neither AT&amp;T’s IT leadership nor AT&amp;T’s Project Manager responds via e-mail or other writing [***] business days after such notice has been duly given, the Custom Software or Standard Software shall be deemed to be Accepted as of the end of such Acceptance Test Period.</w:t>
      </w:r>
    </w:p>
    <w:p>
      <w:pPr>
        <w:spacing w:after="0" w:line="71" w:lineRule="exact"/>
        <w:rPr>
          <w:rFonts w:ascii="Arial" w:cs="Arial" w:eastAsia="Arial" w:hAnsi="Arial"/>
          <w:sz w:val="16"/>
          <w:szCs w:val="16"/>
          <w:color w:val="auto"/>
        </w:rPr>
      </w:pPr>
    </w:p>
    <w:p>
      <w:pPr>
        <w:ind w:left="960" w:right="280" w:hanging="532"/>
        <w:spacing w:after="0" w:line="277"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 Custom Software or Standard Software [***] during the Acceptance Test Period [***] prior to the date [***]. However, [***] the Acceptance Test Period shall [***].</w:t>
      </w:r>
    </w:p>
    <w:p>
      <w:pPr>
        <w:spacing w:after="0" w:line="75"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Program Material other than Custom Software shall be deemed accepted upon delivery, subject to Supplier’s responsibility to correct Errors in such Program Material.</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46" w:name="page147"/>
    <w:bookmarkEnd w:id="14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3.10  Technology Standards</w:t>
      </w:r>
    </w:p>
    <w:p>
      <w:pPr>
        <w:spacing w:after="0" w:line="131" w:lineRule="exact"/>
        <w:rPr>
          <w:sz w:val="20"/>
          <w:szCs w:val="20"/>
          <w:color w:val="auto"/>
        </w:rPr>
      </w:pPr>
    </w:p>
    <w:p>
      <w:pPr>
        <w:ind w:left="1180" w:hanging="644"/>
        <w:spacing w:after="0"/>
        <w:tabs>
          <w:tab w:leader="none" w:pos="11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Supplier will utilize AT&amp;T’s approved Project Management methodologies, tools, and practices. Additional Amdocs procedures must</w:t>
      </w:r>
    </w:p>
    <w:p>
      <w:pPr>
        <w:spacing w:after="0" w:line="46" w:lineRule="exact"/>
        <w:rPr>
          <w:sz w:val="20"/>
          <w:szCs w:val="20"/>
          <w:color w:val="auto"/>
        </w:rPr>
      </w:pPr>
    </w:p>
    <w:p>
      <w:pPr>
        <w:ind w:left="1180" w:right="80"/>
        <w:spacing w:after="0" w:line="251" w:lineRule="auto"/>
        <w:rPr>
          <w:sz w:val="20"/>
          <w:szCs w:val="20"/>
          <w:color w:val="auto"/>
        </w:rPr>
      </w:pPr>
      <w:r>
        <w:rPr>
          <w:rFonts w:ascii="Arial" w:cs="Arial" w:eastAsia="Arial" w:hAnsi="Arial"/>
          <w:sz w:val="18"/>
          <w:szCs w:val="18"/>
          <w:color w:val="auto"/>
        </w:rPr>
        <w:t>be in compliance with AT&amp;T’s current methodologies, tools, and practices for testing defect tracking systems and quality initiative approaches, and in compliance with or have an approved exception to the Technology, Strategies, and Standards (TSS) and such other processes as AT&amp;T may implement in the future or as AT&amp;T may require outside of the Technology Development organization; in each case to the extent the same have been communicated to Supplier by AT&amp;T in writing. If AT&amp;T implements new processes or changes in existing processes that result in a significant increase in the cost to Supplier of providing the Services, the Parties shall evaluate such changes and the associated cost using the then-applicable Change Management Process. Supplier will utilize AT&amp;T processes for required deliverables to AT&amp;T, but may follow Supplier methodology and best practices for internal testing activities.</w:t>
      </w:r>
    </w:p>
    <w:p>
      <w:pPr>
        <w:spacing w:after="0" w:line="103" w:lineRule="exact"/>
        <w:rPr>
          <w:sz w:val="20"/>
          <w:szCs w:val="20"/>
          <w:color w:val="auto"/>
        </w:rPr>
      </w:pPr>
    </w:p>
    <w:p>
      <w:pPr>
        <w:ind w:left="960" w:hanging="532"/>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Source Code Availability</w:t>
      </w:r>
    </w:p>
    <w:p>
      <w:pPr>
        <w:spacing w:after="0" w:line="117" w:lineRule="exact"/>
        <w:rPr>
          <w:rFonts w:ascii="Arial" w:cs="Arial" w:eastAsia="Arial" w:hAnsi="Arial"/>
          <w:sz w:val="18"/>
          <w:szCs w:val="18"/>
          <w:color w:val="auto"/>
        </w:rPr>
      </w:pPr>
    </w:p>
    <w:p>
      <w:pPr>
        <w:ind w:left="980" w:right="340"/>
        <w:spacing w:after="0" w:line="277" w:lineRule="auto"/>
        <w:rPr>
          <w:rFonts w:ascii="Arial" w:cs="Arial" w:eastAsia="Arial" w:hAnsi="Arial"/>
          <w:sz w:val="18"/>
          <w:szCs w:val="18"/>
          <w:color w:val="auto"/>
        </w:rPr>
      </w:pPr>
      <w:r>
        <w:rPr>
          <w:rFonts w:ascii="Arial" w:cs="Arial" w:eastAsia="Arial" w:hAnsi="Arial"/>
          <w:sz w:val="18"/>
          <w:szCs w:val="18"/>
          <w:color w:val="auto"/>
        </w:rPr>
        <w:t>Supplier shall [***] the Custom Software, [***]. Supplier shall provide, [***], during the term of this Agreement [***], Supplier shall [***].</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Delivery of Custom Software or Standard Software</w:t>
      </w:r>
    </w:p>
    <w:p>
      <w:pPr>
        <w:spacing w:after="0" w:line="117" w:lineRule="exact"/>
        <w:rPr>
          <w:rFonts w:ascii="Arial" w:cs="Arial" w:eastAsia="Arial" w:hAnsi="Arial"/>
          <w:sz w:val="18"/>
          <w:szCs w:val="18"/>
          <w:color w:val="auto"/>
        </w:rPr>
      </w:pPr>
    </w:p>
    <w:p>
      <w:pPr>
        <w:ind w:left="980" w:right="180"/>
        <w:spacing w:after="0" w:line="271" w:lineRule="auto"/>
        <w:rPr>
          <w:rFonts w:ascii="Arial" w:cs="Arial" w:eastAsia="Arial" w:hAnsi="Arial"/>
          <w:sz w:val="18"/>
          <w:szCs w:val="18"/>
          <w:color w:val="auto"/>
        </w:rPr>
      </w:pPr>
      <w:r>
        <w:rPr>
          <w:rFonts w:ascii="Arial" w:cs="Arial" w:eastAsia="Arial" w:hAnsi="Arial"/>
          <w:sz w:val="17"/>
          <w:szCs w:val="17"/>
          <w:color w:val="auto"/>
        </w:rPr>
        <w:t>Custom Software or Standard Software Deliveries shall be in the form selected by AT&amp;T, including, but not limited to, electronic data exchange, U.S. Mail, or a private carrier, as agreed by the Parties and/or specified in the applicable Services Order or License Order. Except as otherwise agreed by the Parties and/or specified in the applicable Services Order or License Order, Supplier shall deliver the Custom Software or Standard Software (and any subsequent releases or upgrades of the Standard Software purchased by AT&amp;T) electronically, either through transfer by means of telecommunications or by copying the Custom Software or Standard Software directly onto AT&amp;T’s computer, disk, tape, or other storage medium selected by AT&amp;T. Unless and until directed in writing by AT&amp;T to do so, Supplier will not transfer any disks, tapes, or other tangible property containing the Custom Software or Standard Software (or any subsequent releases or upgrades of the Standard Software) to AT&amp;T.</w:t>
      </w:r>
    </w:p>
    <w:p>
      <w:pPr>
        <w:spacing w:after="0" w:line="83" w:lineRule="exact"/>
        <w:rPr>
          <w:rFonts w:ascii="Arial" w:cs="Arial" w:eastAsia="Arial" w:hAnsi="Arial"/>
          <w:sz w:val="18"/>
          <w:szCs w:val="18"/>
          <w:color w:val="auto"/>
        </w:rPr>
      </w:pPr>
    </w:p>
    <w:p>
      <w:pPr>
        <w:ind w:left="960" w:hanging="532"/>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Third Party Software</w:t>
      </w:r>
    </w:p>
    <w:p>
      <w:pPr>
        <w:spacing w:after="0" w:line="117" w:lineRule="exact"/>
        <w:rPr>
          <w:rFonts w:ascii="Arial" w:cs="Arial" w:eastAsia="Arial" w:hAnsi="Arial"/>
          <w:sz w:val="18"/>
          <w:szCs w:val="18"/>
          <w:color w:val="auto"/>
        </w:rPr>
      </w:pPr>
    </w:p>
    <w:p>
      <w:pPr>
        <w:ind w:left="980" w:right="480"/>
        <w:spacing w:after="0" w:line="277" w:lineRule="auto"/>
        <w:rPr>
          <w:rFonts w:ascii="Arial" w:cs="Arial" w:eastAsia="Arial" w:hAnsi="Arial"/>
          <w:sz w:val="18"/>
          <w:szCs w:val="18"/>
          <w:color w:val="auto"/>
        </w:rPr>
      </w:pPr>
      <w:r>
        <w:rPr>
          <w:rFonts w:ascii="Arial" w:cs="Arial" w:eastAsia="Arial" w:hAnsi="Arial"/>
          <w:sz w:val="18"/>
          <w:szCs w:val="18"/>
          <w:color w:val="auto"/>
        </w:rPr>
        <w:t>With and prior to execution of each Services Order, Supplier shall provide a written list of all Third-Party Software that is part of the Custom Software ordered by AT&amp;T or provided by Supplier.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Error Severity Level, Resolution Plan, and Liquidated Damages</w:t>
      </w:r>
    </w:p>
    <w:p>
      <w:pPr>
        <w:spacing w:after="0" w:line="130" w:lineRule="exact"/>
        <w:rPr>
          <w:rFonts w:ascii="Arial" w:cs="Arial" w:eastAsia="Arial" w:hAnsi="Arial"/>
          <w:sz w:val="18"/>
          <w:szCs w:val="18"/>
          <w:color w:val="auto"/>
        </w:rPr>
      </w:pPr>
    </w:p>
    <w:p>
      <w:pPr>
        <w:ind w:left="1420" w:right="280" w:hanging="439"/>
        <w:spacing w:after="0" w:line="259" w:lineRule="auto"/>
        <w:tabs>
          <w:tab w:leader="none" w:pos="1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Supplier and AT&amp;T shall negotiate in good faith in the applicable Services Orders under this Agreement to include, as part of OnGoing Support Services, a Service Level Agreement and Liquidated Damages for failure to meet the Service Level Agreement which collectively may govern certain aspects of performance of the Custom Software under the Services Order following Acceptance thereof.</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47" w:name="page148"/>
    <w:bookmarkEnd w:id="147"/>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20" w:hanging="439"/>
        <w:spacing w:after="0" w:line="263" w:lineRule="auto"/>
        <w:tabs>
          <w:tab w:leader="none" w:pos="13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the case of Service Level Agreement commitments defined in a Services Order for which Supplier is solely responsible, Supplier shall use its best efforts to acknowledge or otherwise satisfy the commitments in the Service Level Agreement within the performance timeframes indicated in the Services Order.</w:t>
      </w:r>
    </w:p>
    <w:p>
      <w:pPr>
        <w:spacing w:after="0" w:line="89" w:lineRule="exact"/>
        <w:rPr>
          <w:rFonts w:ascii="Arial" w:cs="Arial" w:eastAsia="Arial" w:hAnsi="Arial"/>
          <w:sz w:val="18"/>
          <w:szCs w:val="18"/>
          <w:color w:val="auto"/>
        </w:rPr>
      </w:pPr>
    </w:p>
    <w:p>
      <w:pPr>
        <w:ind w:left="1380" w:right="80" w:hanging="439"/>
        <w:spacing w:after="0" w:line="263" w:lineRule="auto"/>
        <w:tabs>
          <w:tab w:leader="none" w:pos="13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Supplier shall use its best efforts to correct any and all Errors in the Custom Software in accordance with the Error Severity Levels specified in a Services Order, and respond according to the escalation process, or processes, as agreed by the Parties and specified in the Services Order.</w:t>
      </w:r>
    </w:p>
    <w:p>
      <w:pPr>
        <w:spacing w:after="0" w:line="89" w:lineRule="exact"/>
        <w:rPr>
          <w:rFonts w:ascii="Arial" w:cs="Arial" w:eastAsia="Arial" w:hAnsi="Arial"/>
          <w:sz w:val="18"/>
          <w:szCs w:val="18"/>
          <w:color w:val="auto"/>
        </w:rPr>
      </w:pPr>
    </w:p>
    <w:p>
      <w:pPr>
        <w:ind w:left="1380" w:right="80" w:hanging="439"/>
        <w:spacing w:after="0" w:line="270" w:lineRule="auto"/>
        <w:tabs>
          <w:tab w:leader="none" w:pos="1380" w:val="left"/>
        </w:tabs>
        <w:numPr>
          <w:ilvl w:val="1"/>
          <w:numId w:val="84"/>
        </w:numPr>
        <w:rPr>
          <w:rFonts w:ascii="Arial" w:cs="Arial" w:eastAsia="Arial" w:hAnsi="Arial"/>
          <w:sz w:val="17"/>
          <w:szCs w:val="17"/>
          <w:color w:val="auto"/>
        </w:rPr>
      </w:pPr>
      <w:r>
        <w:rPr>
          <w:rFonts w:ascii="Arial" w:cs="Arial" w:eastAsia="Arial" w:hAnsi="Arial"/>
          <w:sz w:val="17"/>
          <w:szCs w:val="17"/>
          <w:color w:val="auto"/>
        </w:rPr>
        <w:t>If Supplier fails to correct Errors in the Custom Software in accordance with the Error Severity Levels specified in a Services Order, then in accordance with the Service Level Agreement AT&amp;T may convene a meeting of the Parties’ respective Project Managers to address the situation. Barring resolution of the matter by the Parties’ Project Managers, AT&amp;T may escalate the matter per the Dispute Resolution provisions in this Agreement. Following such escalation, [***] in the Service Level Agreement [***]. No payments, progress or otherwise, made by AT&amp;T to Supplier after any scheduled Delivery Date shall constitute a waiver of the right to receive Liquidated Damages. If AT&amp;T elects to exercise its right to recover Liquidated Damages specified hereunder, Supplier shall provide a credit as shown in the column titled “Liquidated Damages” in the Service Level Agreement, and such credit(s) shall be assessed on a per Error basis up to the aggregate cap described in the applicable Services Order. Such Liquidated Damages shall be provided [***] of the Service Level Agreement [***].</w:t>
      </w:r>
    </w:p>
    <w:p>
      <w:pPr>
        <w:spacing w:after="0" w:line="86" w:lineRule="exact"/>
        <w:rPr>
          <w:rFonts w:ascii="Arial" w:cs="Arial" w:eastAsia="Arial" w:hAnsi="Arial"/>
          <w:sz w:val="17"/>
          <w:szCs w:val="17"/>
          <w:color w:val="auto"/>
        </w:rPr>
      </w:pPr>
    </w:p>
    <w:p>
      <w:pPr>
        <w:ind w:left="920" w:hanging="532"/>
        <w:spacing w:after="0"/>
        <w:tabs>
          <w:tab w:leader="none" w:pos="9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Documentation Updates</w:t>
      </w:r>
    </w:p>
    <w:p>
      <w:pPr>
        <w:spacing w:after="0" w:line="130" w:lineRule="exact"/>
        <w:rPr>
          <w:rFonts w:ascii="Arial" w:cs="Arial" w:eastAsia="Arial" w:hAnsi="Arial"/>
          <w:sz w:val="18"/>
          <w:szCs w:val="18"/>
          <w:color w:val="auto"/>
        </w:rPr>
      </w:pPr>
    </w:p>
    <w:p>
      <w:pPr>
        <w:ind w:left="1380" w:right="80" w:hanging="439"/>
        <w:spacing w:after="0" w:line="296" w:lineRule="auto"/>
        <w:tabs>
          <w:tab w:leader="none" w:pos="1380" w:val="left"/>
        </w:tabs>
        <w:numPr>
          <w:ilvl w:val="1"/>
          <w:numId w:val="85"/>
        </w:numPr>
        <w:rPr>
          <w:rFonts w:ascii="Arial" w:cs="Arial" w:eastAsia="Arial" w:hAnsi="Arial"/>
          <w:sz w:val="16"/>
          <w:szCs w:val="16"/>
          <w:color w:val="auto"/>
        </w:rPr>
      </w:pPr>
      <w:r>
        <w:rPr>
          <w:rFonts w:ascii="Arial" w:cs="Arial" w:eastAsia="Arial" w:hAnsi="Arial"/>
          <w:sz w:val="16"/>
          <w:szCs w:val="16"/>
          <w:color w:val="auto"/>
        </w:rPr>
        <w:t>As part of the OnGoing Support Services provided under a Services Order, and upon AT&amp;T’s request, Supplier agrees to provide updates to Documentation furnished to AT&amp;T hereunder which is related to the use and support of the Standard Software or Custom Software. Documentation shall be maintained and revised as part of such Services to reflect enhancements and corrections to the Standard Software or Custom Software resulting from the issuance of a new release, including the incorporation of new or revised operating procedures resulting from corrections to and revisions of the Standard Software or Custom Software, including APIs.</w:t>
      </w:r>
    </w:p>
    <w:p>
      <w:pPr>
        <w:spacing w:after="0" w:line="66" w:lineRule="exact"/>
        <w:rPr>
          <w:rFonts w:ascii="Arial" w:cs="Arial" w:eastAsia="Arial" w:hAnsi="Arial"/>
          <w:sz w:val="16"/>
          <w:szCs w:val="16"/>
          <w:color w:val="auto"/>
        </w:rPr>
      </w:pPr>
    </w:p>
    <w:p>
      <w:pPr>
        <w:ind w:left="1380" w:right="240" w:hanging="439"/>
        <w:spacing w:after="0" w:line="259" w:lineRule="auto"/>
        <w:tabs>
          <w:tab w:leader="none" w:pos="13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As part of its Custom Software development Services under a Services Order, Supplier shall coordinate with AT&amp;T in the manner and to the extent stated in the applicable Services Order to provide Documentation updates on all systems issues, open and closed, associated with Custom Software developed for AT&amp;T. This includes, but is not limited to, issues logs, test results, jeopardy documents, and temporary code work-arounds.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48" w:name="page149"/>
    <w:bookmarkEnd w:id="14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960" w:hanging="532"/>
        <w:spacing w:after="0"/>
        <w:tabs>
          <w:tab w:leader="none" w:pos="9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FOSS Terms</w:t>
      </w:r>
    </w:p>
    <w:p>
      <w:pPr>
        <w:spacing w:after="0" w:line="130" w:lineRule="exact"/>
        <w:rPr>
          <w:rFonts w:ascii="Arial" w:cs="Arial" w:eastAsia="Arial" w:hAnsi="Arial"/>
          <w:sz w:val="18"/>
          <w:szCs w:val="18"/>
          <w:color w:val="auto"/>
        </w:rPr>
      </w:pPr>
    </w:p>
    <w:p>
      <w:pPr>
        <w:ind w:left="1420" w:right="60" w:hanging="439"/>
        <w:spacing w:after="0" w:line="287" w:lineRule="auto"/>
        <w:tabs>
          <w:tab w:leader="none" w:pos="14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For purposes of this Section, “FOSS” means any and all freeware, Open Source Software, or shareware used or included in, or combined by or on behalf of Supplier with, the deliverables or otherwise provided by or on behalf of Supplier under this Agreement; and a “FOSS Disclosure” means a complete, current, and accurate listing of all FOSS, which identifies for each FOSS component:</w:t>
      </w:r>
    </w:p>
    <w:p>
      <w:pPr>
        <w:spacing w:after="0" w:line="2" w:lineRule="exact"/>
        <w:rPr>
          <w:rFonts w:ascii="Arial" w:cs="Arial" w:eastAsia="Arial" w:hAnsi="Arial"/>
          <w:sz w:val="16"/>
          <w:szCs w:val="16"/>
          <w:color w:val="auto"/>
        </w:rPr>
      </w:pPr>
    </w:p>
    <w:p>
      <w:pPr>
        <w:ind w:left="1420" w:right="240"/>
        <w:spacing w:after="0" w:line="255" w:lineRule="auto"/>
        <w:rPr>
          <w:rFonts w:ascii="Arial" w:cs="Arial" w:eastAsia="Arial" w:hAnsi="Arial"/>
          <w:sz w:val="16"/>
          <w:szCs w:val="16"/>
          <w:color w:val="auto"/>
        </w:rPr>
      </w:pPr>
      <w:r>
        <w:rPr>
          <w:rFonts w:ascii="Arial" w:cs="Arial" w:eastAsia="Arial" w:hAnsi="Arial"/>
          <w:sz w:val="18"/>
          <w:szCs w:val="18"/>
          <w:color w:val="auto"/>
        </w:rPr>
        <w:t>(i) the component name; (ii) its version or release number; (iii) its web site URL of origin; and (iv) the applicable software license and its version number. A FOSS Disclosure may be provided in the form of a web site made accessible to AT&amp;T where Supplier posts the foregoing information.</w:t>
      </w:r>
    </w:p>
    <w:p>
      <w:pPr>
        <w:spacing w:after="0" w:line="95" w:lineRule="exact"/>
        <w:rPr>
          <w:rFonts w:ascii="Arial" w:cs="Arial" w:eastAsia="Arial" w:hAnsi="Arial"/>
          <w:sz w:val="16"/>
          <w:szCs w:val="16"/>
          <w:color w:val="auto"/>
        </w:rPr>
      </w:pPr>
    </w:p>
    <w:p>
      <w:pPr>
        <w:ind w:left="1420" w:right="20" w:hanging="439"/>
        <w:spacing w:after="0" w:line="291" w:lineRule="auto"/>
        <w:tabs>
          <w:tab w:leader="none" w:pos="1420" w:val="left"/>
        </w:tabs>
        <w:numPr>
          <w:ilvl w:val="1"/>
          <w:numId w:val="86"/>
        </w:numPr>
        <w:rPr>
          <w:rFonts w:ascii="Arial" w:cs="Arial" w:eastAsia="Arial" w:hAnsi="Arial"/>
          <w:sz w:val="16"/>
          <w:szCs w:val="16"/>
          <w:color w:val="auto"/>
        </w:rPr>
      </w:pPr>
      <w:r>
        <w:rPr>
          <w:rFonts w:ascii="Arial" w:cs="Arial" w:eastAsia="Arial" w:hAnsi="Arial"/>
          <w:sz w:val="16"/>
          <w:szCs w:val="16"/>
          <w:color w:val="auto"/>
        </w:rPr>
        <w:t>Upon AT&amp;T’s request, but not more than once a year, Supplier shall promptly, but in any event within [***] days of such request, furnish to AT&amp;T a FOSS Disclosure that is complete, current and accurate when furnished. [***]. Neither response nor non-response by AT&amp;T concerning the receipt or non-receipt of any FOSS Disclosure or any reference to FOSS in the Agreement shall be deemed as acceptance, approval or acquiescence by AT&amp;T that Supplier’s use of the FOSS complies with the legal requirements of applicable FOSS license(s), or is suitable for the intent and purposes furnished hereunder. After receiving any FOSS Disclosure, AT&amp;T may, upon written notice to Supplier, ask Supplier to use alternate FOSS (or other alternate software), if reasonably warranted to avert a risk that the rights of AT&amp;T or its third-party suppliers in any proprietary software may be compromised. [***]</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3.11  Entire Agreement</w:t>
      </w:r>
    </w:p>
    <w:p>
      <w:pPr>
        <w:spacing w:after="0" w:line="117" w:lineRule="exact"/>
        <w:rPr>
          <w:sz w:val="20"/>
          <w:szCs w:val="20"/>
          <w:color w:val="auto"/>
        </w:rPr>
      </w:pPr>
    </w:p>
    <w:p>
      <w:pPr>
        <w:ind w:left="440" w:right="20"/>
        <w:spacing w:after="0" w:line="291" w:lineRule="auto"/>
        <w:rPr>
          <w:sz w:val="20"/>
          <w:szCs w:val="20"/>
          <w:color w:val="auto"/>
        </w:rPr>
      </w:pPr>
      <w:r>
        <w:rPr>
          <w:rFonts w:ascii="Arial" w:cs="Arial" w:eastAsia="Arial" w:hAnsi="Arial"/>
          <w:sz w:val="16"/>
          <w:szCs w:val="16"/>
          <w:color w:val="auto"/>
        </w:rPr>
        <w:t>This Agreement constitutes the final, complete, and exclusive expression of the Parties’ agreement on the matters contained in this Agreement. All prior written and oral negotiations and agreements, and all contemporaneous oral negotiations and agreements, between the Parties on the matters contained in this Agreement are expressly merged into and superseded by this Agreement. The Parties do not intend that the provisions of this Agreement be explained, supplemented, or qualified through evidence of trade usage or any prior course of dealings or any course of performance under any prior agreement. In entering into this Agreement, neither Party has relied upon any statement, estimate, forecast, projection, representation, warranty, action, or agreement of the other Party except for those expressly contained in this Agreement. There are no conditions precedent to the effectiveness of this Agreement other than any expressly stated in this Agreement.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3.12  Force Majeure</w:t>
      </w:r>
    </w:p>
    <w:p>
      <w:pPr>
        <w:spacing w:after="0" w:line="131" w:lineRule="exact"/>
        <w:rPr>
          <w:sz w:val="20"/>
          <w:szCs w:val="20"/>
          <w:color w:val="auto"/>
        </w:rPr>
      </w:pPr>
    </w:p>
    <w:p>
      <w:pPr>
        <w:ind w:left="960" w:hanging="532"/>
        <w:spacing w:after="0"/>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A Party is excused from performing its obligations under this Agreement or any Order if, to the extent that, and for so long as:</w:t>
      </w:r>
    </w:p>
    <w:p>
      <w:pPr>
        <w:spacing w:after="0" w:line="130" w:lineRule="exact"/>
        <w:rPr>
          <w:rFonts w:ascii="Arial" w:cs="Arial" w:eastAsia="Arial" w:hAnsi="Arial"/>
          <w:sz w:val="18"/>
          <w:szCs w:val="18"/>
          <w:color w:val="auto"/>
        </w:rPr>
      </w:pPr>
    </w:p>
    <w:p>
      <w:pPr>
        <w:ind w:left="1420" w:right="260" w:hanging="439"/>
        <w:spacing w:after="0" w:line="263" w:lineRule="auto"/>
        <w:tabs>
          <w:tab w:leader="none" w:pos="14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such Party’s performance is prevented or delayed by an act or event (other than economic hardship, changes in market conditions, insufficiency of funds, or unavailability of equipment and supplies) that is beyond its reasonable control and could not have been prevented or avoided by its exercise of due diligence; and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26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49" w:name="page150"/>
    <w:bookmarkEnd w:id="149"/>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100" w:hanging="439"/>
        <w:spacing w:after="0" w:line="277" w:lineRule="auto"/>
        <w:tabs>
          <w:tab w:leader="none" w:pos="14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such Party gives written notice to the other Party, as soon as practicable under the circumstances, of the act or event that so prevents such Party from performing its obligations.</w:t>
      </w:r>
    </w:p>
    <w:p>
      <w:pPr>
        <w:spacing w:after="0" w:line="75" w:lineRule="exact"/>
        <w:rPr>
          <w:rFonts w:ascii="Arial" w:cs="Arial" w:eastAsia="Arial" w:hAnsi="Arial"/>
          <w:sz w:val="18"/>
          <w:szCs w:val="18"/>
          <w:color w:val="auto"/>
        </w:rPr>
      </w:pPr>
    </w:p>
    <w:p>
      <w:pPr>
        <w:ind w:left="960" w:right="140" w:hanging="532"/>
        <w:spacing w:after="0" w:line="263" w:lineRule="auto"/>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By way of illustration, and not limitation, acts or events that may prevent or delay performance (as contemplated by this Section) include: acts of God or the public enemy, acts of civil or military authority, terrorists acts, embargoes, epidemics, war, riots, insurrections, fires, explosions, earthquakes, floods, and extreme weather events.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If Supplier is the Party whose performance is prevented or delayed for a period [***], AT&amp;T may elect to:</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terminate the affected Order, without any liability to Supplier, or</w:t>
      </w:r>
    </w:p>
    <w:p>
      <w:pPr>
        <w:spacing w:after="0" w:line="131" w:lineRule="exact"/>
        <w:rPr>
          <w:sz w:val="20"/>
          <w:szCs w:val="20"/>
          <w:color w:val="auto"/>
        </w:rPr>
      </w:pPr>
    </w:p>
    <w:p>
      <w:pPr>
        <w:ind w:left="1420" w:right="200" w:hanging="439"/>
        <w:spacing w:after="0" w:line="255" w:lineRule="auto"/>
        <w:tabs>
          <w:tab w:leader="none" w:pos="142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suspend the affected Order or any part thereof for the duration of the delay; and obtain Work elsewhere and deduct from any commitment under such Order the quantity of the Work obtained elsewhere or for which commitments have been made elsewhere; and resume performance under such Order when Supplier resumes its performance; and extend any affected Delivery Date or performance date up to the length of time Supplier’s performance was delayed or prevented. If AT&amp;T does not give any written notice within [***] days after receiving notice under this Section that Supplier’s performance has been delayed or prevented, this option (ii) will be deemed to have been selected.</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3.13  Governing Law</w:t>
      </w:r>
    </w:p>
    <w:p>
      <w:pPr>
        <w:spacing w:after="0" w:line="117" w:lineRule="exact"/>
        <w:rPr>
          <w:sz w:val="20"/>
          <w:szCs w:val="20"/>
          <w:color w:val="auto"/>
        </w:rPr>
      </w:pPr>
    </w:p>
    <w:p>
      <w:pPr>
        <w:ind w:left="440" w:right="360"/>
        <w:spacing w:after="0" w:line="263" w:lineRule="auto"/>
        <w:rPr>
          <w:sz w:val="20"/>
          <w:szCs w:val="20"/>
          <w:color w:val="auto"/>
        </w:rPr>
      </w:pPr>
      <w:r>
        <w:rPr>
          <w:rFonts w:ascii="Arial" w:cs="Arial" w:eastAsia="Arial" w:hAnsi="Arial"/>
          <w:sz w:val="18"/>
          <w:szCs w:val="18"/>
          <w:color w:val="auto"/>
        </w:rPr>
        <w:t>The laws of the State of Texas (excluding any laws that direct the application of another jurisdiction’s law) govern all matters arising out of or relating to this Agreement and all of the transactions it contemplates, including its validity, interpretation, construction, performance, and enforcement.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3.14  Government Contract Provisions</w:t>
      </w:r>
    </w:p>
    <w:p>
      <w:pPr>
        <w:spacing w:after="0" w:line="131" w:lineRule="exact"/>
        <w:rPr>
          <w:sz w:val="20"/>
          <w:szCs w:val="20"/>
          <w:color w:val="auto"/>
        </w:rPr>
      </w:pPr>
    </w:p>
    <w:p>
      <w:pPr>
        <w:ind w:left="960" w:right="360" w:hanging="532"/>
        <w:spacing w:after="0" w:line="263" w:lineRule="auto"/>
        <w:tabs>
          <w:tab w:leader="none" w:pos="9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an Order includes a statement that performance is intended for a government contract and to the extent any government contracting provisions are applicable to the Services to be provided by Supplier, such government contracting provisions may include to the extent agreed by Supplier and AT&amp;T:</w:t>
      </w:r>
    </w:p>
    <w:p>
      <w:pPr>
        <w:spacing w:after="0" w:line="89" w:lineRule="exact"/>
        <w:rPr>
          <w:rFonts w:ascii="Arial" w:cs="Arial" w:eastAsia="Arial" w:hAnsi="Arial"/>
          <w:sz w:val="18"/>
          <w:szCs w:val="18"/>
          <w:color w:val="auto"/>
        </w:rPr>
      </w:pPr>
    </w:p>
    <w:p>
      <w:pPr>
        <w:ind w:left="1420" w:right="20" w:hanging="439"/>
        <w:spacing w:after="0" w:line="311" w:lineRule="auto"/>
        <w:tabs>
          <w:tab w:leader="none" w:pos="1420" w:val="left"/>
        </w:tabs>
        <w:numPr>
          <w:ilvl w:val="1"/>
          <w:numId w:val="91"/>
        </w:numPr>
        <w:rPr>
          <w:rFonts w:ascii="Arial" w:cs="Arial" w:eastAsia="Arial" w:hAnsi="Arial"/>
          <w:sz w:val="16"/>
          <w:szCs w:val="16"/>
          <w:color w:val="auto"/>
        </w:rPr>
      </w:pPr>
      <w:r>
        <w:rPr>
          <w:rFonts w:ascii="Arial" w:cs="Arial" w:eastAsia="Arial" w:hAnsi="Arial"/>
          <w:sz w:val="16"/>
          <w:szCs w:val="16"/>
          <w:color w:val="auto"/>
        </w:rPr>
        <w:t>certain executive orders (including E.O. 11246 and E.O. 13201) and statutes (including Section 503 of the Rehabilitation Act of 1973, as amended; the Vietnam Era Veteran’s Readjustment Assistance Act of 1974; Section 8116 of the Defense Appropriations Act for Fiscal Year 2010 (Pub. L. 111-118); and the Jobs for Veterans Act) pertaining to government contractors, Supplier shall:</w:t>
      </w:r>
    </w:p>
    <w:p>
      <w:pPr>
        <w:spacing w:after="0" w:line="54" w:lineRule="exact"/>
        <w:rPr>
          <w:rFonts w:ascii="Arial" w:cs="Arial" w:eastAsia="Arial" w:hAnsi="Arial"/>
          <w:sz w:val="16"/>
          <w:szCs w:val="16"/>
          <w:color w:val="auto"/>
        </w:rPr>
      </w:pPr>
    </w:p>
    <w:p>
      <w:pPr>
        <w:ind w:left="1960" w:hanging="533"/>
        <w:spacing w:after="0"/>
        <w:tabs>
          <w:tab w:leader="none" w:pos="1960" w:val="left"/>
        </w:tabs>
        <w:numPr>
          <w:ilvl w:val="2"/>
          <w:numId w:val="91"/>
        </w:numPr>
        <w:rPr>
          <w:rFonts w:ascii="Arial" w:cs="Arial" w:eastAsia="Arial" w:hAnsi="Arial"/>
          <w:sz w:val="17"/>
          <w:szCs w:val="17"/>
          <w:color w:val="auto"/>
        </w:rPr>
      </w:pPr>
      <w:r>
        <w:rPr>
          <w:rFonts w:ascii="Arial" w:cs="Arial" w:eastAsia="Arial" w:hAnsi="Arial"/>
          <w:sz w:val="17"/>
          <w:szCs w:val="17"/>
          <w:color w:val="auto"/>
        </w:rPr>
        <w:t>comply with such executive orders and statutes, and their implementing regulations, as amended from time to time; and</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91"/>
        </w:numPr>
        <w:rPr>
          <w:rFonts w:ascii="Arial" w:cs="Arial" w:eastAsia="Arial" w:hAnsi="Arial"/>
          <w:sz w:val="18"/>
          <w:szCs w:val="18"/>
          <w:color w:val="auto"/>
        </w:rPr>
      </w:pPr>
      <w:r>
        <w:rPr>
          <w:rFonts w:ascii="Arial" w:cs="Arial" w:eastAsia="Arial" w:hAnsi="Arial"/>
          <w:sz w:val="18"/>
          <w:szCs w:val="18"/>
          <w:color w:val="auto"/>
        </w:rPr>
        <w:t>fulfill the obligations of a contractor under the clauses incorporated by this Section.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27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50" w:name="page151"/>
    <w:bookmarkEnd w:id="15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920" w:hanging="532"/>
        <w:spacing w:after="0"/>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This Section incorporates the following statutes and rules:</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“Affirmative Action For Workers With Disabilities” (at 48 CFR §52.222-36);</w:t>
      </w:r>
    </w:p>
    <w:p>
      <w:pPr>
        <w:spacing w:after="0" w:line="130" w:lineRule="exact"/>
        <w:rPr>
          <w:rFonts w:ascii="Arial" w:cs="Arial" w:eastAsia="Arial" w:hAnsi="Arial"/>
          <w:sz w:val="18"/>
          <w:szCs w:val="18"/>
          <w:color w:val="auto"/>
        </w:rPr>
      </w:pPr>
    </w:p>
    <w:p>
      <w:pPr>
        <w:ind w:left="1380" w:right="580" w:hanging="439"/>
        <w:spacing w:after="0" w:line="277" w:lineRule="auto"/>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“Employment Reports On Special Disabled Veterans, Veterans Of The Vietnam Era, and Other Eligible Veterans” (at 48 CFR §52.222-37);</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“Equal Employment Opportunity” (at 48 CFR §52.222-26);</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“Equal Employment Opportunity Clause” (at 41 CFR §60-1.4(a));</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“Equal Opportunity For Special Disabled Veterans And Veterans of the Vietnam Era” (at 41 CFR §60-250.5);</w:t>
      </w:r>
    </w:p>
    <w:p>
      <w:pPr>
        <w:spacing w:after="0" w:line="130" w:lineRule="exact"/>
        <w:rPr>
          <w:rFonts w:ascii="Arial" w:cs="Arial" w:eastAsia="Arial" w:hAnsi="Arial"/>
          <w:sz w:val="18"/>
          <w:szCs w:val="18"/>
          <w:color w:val="auto"/>
        </w:rPr>
      </w:pPr>
    </w:p>
    <w:p>
      <w:pPr>
        <w:ind w:left="1380" w:right="40" w:hanging="439"/>
        <w:spacing w:after="0" w:line="277" w:lineRule="auto"/>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“Equal Opportunity for Disabled Veterans, Recently Separated Veterans, Other Protected Veterans, and Armed Forces Service Medal Veterans” (at 41 CFR §60-300.5);</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“Equal Opportunity For Workers With Disabilities” (at 41 CFR §60-741.5);</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“Prohibition of Segregated Facilities” (at 48 CFR §52.222-21);</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“Small Business Subcontracting Plan” (at 48 CFR §52.219-9);</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“Utilization Of Small Business Concerns” (at 48 CFR §52.219-8);</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“Whistleblower Protections Under the American Recovery and Reinvestment Act of 2009” (FAR 52.203-15);</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“American Recovery and Reinvestment Act—Reporting Requirements” (FAR 52.204-11);</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“GAO/IG Access” (FAR 52.212-5(d) (Alt. II), FAR 52.214-26(c) (Alt. I), FAR 52.215-2(d) (Alt. I));</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“Davis-Bacon Act” (FAR 52.222-6);</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“Buy American Act” (FAR 52.225-21, FAR 52.225-22, FAR 52.225-23, &amp; FAR 52.225-24);</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“Whistleblower Protections” (Pub. L. No. 111-5, Section 1553);</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“Award term—Reporting and registration requirements under section 1512 of the Recovery Act” (2 CFR §176.50);</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“GAO/IG Access” (Pub. L. No. 111-5, Section 902, 1514 and 1515);</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“Award term—Wage Rate Requirements under Section 1606 of the Recovery Act” (2 CFR §176.190); and</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92"/>
        </w:numPr>
        <w:rPr>
          <w:rFonts w:ascii="Arial" w:cs="Arial" w:eastAsia="Arial" w:hAnsi="Arial"/>
          <w:sz w:val="18"/>
          <w:szCs w:val="18"/>
          <w:color w:val="auto"/>
        </w:rPr>
      </w:pPr>
      <w:r>
        <w:rPr>
          <w:rFonts w:ascii="Arial" w:cs="Arial" w:eastAsia="Arial" w:hAnsi="Arial"/>
          <w:sz w:val="18"/>
          <w:szCs w:val="18"/>
          <w:color w:val="auto"/>
        </w:rPr>
        <w:t>“Buy American Requirements” (2 CFR §176.140, 2 CFR §176.150, 2 CFR §176.160, &amp; 2 CFR §176.170).</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28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51" w:name="page152"/>
    <w:bookmarkEnd w:id="151"/>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3.15  Indemnity</w:t>
      </w:r>
    </w:p>
    <w:p>
      <w:pPr>
        <w:spacing w:after="0" w:line="131" w:lineRule="exact"/>
        <w:rPr>
          <w:sz w:val="20"/>
          <w:szCs w:val="20"/>
          <w:color w:val="auto"/>
        </w:rPr>
      </w:pPr>
    </w:p>
    <w:p>
      <w:pPr>
        <w:ind w:left="960" w:right="40" w:hanging="532"/>
        <w:spacing w:after="0" w:line="254" w:lineRule="auto"/>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Except as otherwise provided in the Section entitled “Infringement,” a Party, its Affiliates, and their agents and employees (collectively the “Indemnified Party”) shall have the right to request from the other Party or its Affiliates, agents, or employees (collectively the “Indemnifying Party”) defense and indemnification against any third party claims for Loss for the majority of which it believes that the Indemnifying Party is responsible alleging (1) injuries to persons, including death or disease; (2) damages to tangible property, including theft; and (3) failure to comply with Laws. The Indemnified Party shall reimburse the Indemnifying Party for that pro rata portion of any third party claim for Loss (including Litigation Expense) resulting from an Indemnified Party’s fault (“Indemnified Party Fault”) as set forth herein.</w:t>
      </w:r>
    </w:p>
    <w:p>
      <w:pPr>
        <w:spacing w:after="0" w:line="100" w:lineRule="exact"/>
        <w:rPr>
          <w:rFonts w:ascii="Arial" w:cs="Arial" w:eastAsia="Arial" w:hAnsi="Arial"/>
          <w:sz w:val="18"/>
          <w:szCs w:val="18"/>
          <w:color w:val="auto"/>
        </w:rPr>
      </w:pPr>
    </w:p>
    <w:p>
      <w:pPr>
        <w:ind w:left="960" w:right="40" w:hanging="532"/>
        <w:spacing w:after="0" w:line="287" w:lineRule="auto"/>
        <w:tabs>
          <w:tab w:leader="none" w:pos="960" w:val="left"/>
        </w:tabs>
        <w:numPr>
          <w:ilvl w:val="0"/>
          <w:numId w:val="93"/>
        </w:numPr>
        <w:rPr>
          <w:rFonts w:ascii="Arial" w:cs="Arial" w:eastAsia="Arial" w:hAnsi="Arial"/>
          <w:sz w:val="16"/>
          <w:szCs w:val="16"/>
          <w:color w:val="auto"/>
        </w:rPr>
      </w:pPr>
      <w:r>
        <w:rPr>
          <w:rFonts w:ascii="Arial" w:cs="Arial" w:eastAsia="Arial" w:hAnsi="Arial"/>
          <w:sz w:val="16"/>
          <w:szCs w:val="16"/>
          <w:color w:val="auto"/>
        </w:rPr>
        <w:t>Without limiting the foregoing provisions of this Section, Amdocs (as Indemnifying Party) also agrees to defend, indemnify, hold harmless and defend AT&amp;T (as Indemnified Party) in the event that any federal, state or local governmental agency or any of Amdocs’ current or former applicants, agents, employees or Subcontractors, or agents or employees of Amdocs’ Subcontractors assert claims arising out of the employment relationship with Amdocs, or otherwise with respect to performance under this Agreement, including but not limited to claims, charges and actions arising under Title VII of the Civil Rights Act of 1964, as amended, The Equal Pay Act, the Age Discrimination in Employment Act, as amended, The Rehabilitation Act, the Americans with Disabilities Act, as amended, the Fair Labor Standards Act, the Family and Medical Leave Act, Workers’ Compensation laws, the National Labor Relations Act and any other applicable federal, state or local Laws. Amdocs’ duties to indemnify, hold harmless and defend AT&amp;T under this Section include, but are not limited to, any liability, cause of action, lawsuit, penalty, claim or demand, or administrative proceeding in which AT&amp;T or any other Indemnified Party is named as or alleged to be an “employer” or “joint employer” with Amdocs. The foregoing indemnity obligation shall be in addition to any other indemnity obligations of Amdocs set forth in this Agreement.</w:t>
      </w:r>
    </w:p>
    <w:p>
      <w:pPr>
        <w:spacing w:after="0" w:line="77" w:lineRule="exact"/>
        <w:rPr>
          <w:rFonts w:ascii="Arial" w:cs="Arial" w:eastAsia="Arial" w:hAnsi="Arial"/>
          <w:sz w:val="16"/>
          <w:szCs w:val="16"/>
          <w:color w:val="auto"/>
        </w:rPr>
      </w:pPr>
    </w:p>
    <w:p>
      <w:pPr>
        <w:ind w:left="960" w:right="40" w:hanging="532"/>
        <w:spacing w:after="0" w:line="269" w:lineRule="auto"/>
        <w:tabs>
          <w:tab w:leader="none" w:pos="9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Upon receipt of a request from any Indemnified Party for defense and indemnification under this Section, the Indemnifying Party shall have the right to determine whether, in its reasonable opinion, there is a reasonable likelihood that Indemnified Party Fault contributed to the majority of the Loss; should the Indemnifying Party make such a determination, the Indemnifying Party shall have the right, subject to the Indemnified Party’s rights set forth below, to refuse to defend and indemnify the Indemnified Party. The Indemnifying Party shall make such determination and notify the Indemnified Party if it refuses to defend and indemnify the Indemnified Party within [***] business days after its receipt of the Indemnified Party’s request to the Indemnifying Party for defense and indemnification; otherwise, it shall undertake the defense. Should the Indemnifying Party refuse to defend and indemnify the Indemnified Party, the Indemnified Party shall have the right (i) to take such action as may be necessary to defend the Indemnified Party against the claim, including filing a third party action in that case against the Indemnifying Party for contribution or other legal or equitable rights or in an independent action against the Indemnifying Party seeking a determination that the Indemnifying Party was obligated to defend, indemnify, and hold harmless the Indemnified</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29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52" w:name="page153"/>
    <w:bookmarkEnd w:id="152"/>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40" w:right="20"/>
        <w:spacing w:after="0" w:line="268" w:lineRule="auto"/>
        <w:rPr>
          <w:sz w:val="20"/>
          <w:szCs w:val="20"/>
          <w:color w:val="auto"/>
        </w:rPr>
      </w:pPr>
      <w:r>
        <w:rPr>
          <w:rFonts w:ascii="Arial" w:cs="Arial" w:eastAsia="Arial" w:hAnsi="Arial"/>
          <w:sz w:val="17"/>
          <w:szCs w:val="17"/>
          <w:color w:val="auto"/>
        </w:rPr>
        <w:t>Party with respect to the claim and seeking any and all remedies to which the Indemnified Party might be entitled at law or in equity and, should the court or other tribunal hearing the case under either of those scenarios determine that Indemnified Party Fault did not contribute to a majority of the Loss, the Indemnifying Party shall promptly pay the Indemnified Party that pro-rata portion of the Indemnified Party’s Litigation Expense and any judgment against the Indemnified Party that is equivalent to the Indemnifying Party’s fault relative to the Indemnified Party Fault or (ii) to settle the case and, either prior to or after settlement, to seek judicial determination in that case or in a separately-filed case of the amount of the Indemnifying Party’s fault relative to the Indemnified Party Fault, and the Indemnifying Party shall be liable to the Indemnified Party for that portion of the Indemnified Party’s Litigation Expense and the settlement amount that is equivalent to the Indemnifying Party’s fault relative to the Indemnified Party Fault as determined by the court in either such scenario. If the Indemnified Party is required to take any action to seek judicial determination of the amount of the Indemnifying Party’s fault relative to the Indemnified Party Fault under this Agreement because of the Indemnifying Party’s failure to promptly assume the defense as set forth herein and is successful in obtaining a determination that the Indemnified Party Fault did not contribute to the majority of the Loss, then the Indemnified Party may also recover from the Indemnifying Party any reasonable attorney’s fees and other costs of obtaining that judicial determination.</w:t>
      </w:r>
    </w:p>
    <w:p>
      <w:pPr>
        <w:spacing w:after="0" w:line="92" w:lineRule="exact"/>
        <w:rPr>
          <w:sz w:val="20"/>
          <w:szCs w:val="20"/>
          <w:color w:val="auto"/>
        </w:rPr>
      </w:pPr>
    </w:p>
    <w:p>
      <w:pPr>
        <w:ind w:left="920" w:right="580" w:hanging="532"/>
        <w:spacing w:after="0" w:line="277" w:lineRule="auto"/>
        <w:tabs>
          <w:tab w:leader="none" w:pos="9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neither Party shall be required to indemnify the other Party from Losses resulting from claims or allegations of criminal conduct or misfeasance by the other Party.</w:t>
      </w:r>
    </w:p>
    <w:p>
      <w:pPr>
        <w:spacing w:after="0" w:line="75" w:lineRule="exact"/>
        <w:rPr>
          <w:rFonts w:ascii="Arial" w:cs="Arial" w:eastAsia="Arial" w:hAnsi="Arial"/>
          <w:sz w:val="18"/>
          <w:szCs w:val="18"/>
          <w:color w:val="auto"/>
        </w:rPr>
      </w:pPr>
    </w:p>
    <w:p>
      <w:pPr>
        <w:ind w:left="920" w:right="40" w:hanging="532"/>
        <w:spacing w:after="0" w:line="285" w:lineRule="auto"/>
        <w:tabs>
          <w:tab w:leader="none" w:pos="92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Indemnifying Party shall conduct the defense (employing counsel acceptable to the Indemnified Party), at the Indemnifying Party’s expense, against any claim, demand, suit or cause of action within the scope of paragraph i) or paragraph ii) above, whether or not litigation is actually commenced or the allegations are meritorious and, upon the Indemnified Party’s request, keep the Indemnified Party informed as to the progress of such defense. At its own option, the Indemnified Party may employ separate counsel, including in-house counsel, to conduct the Indemnified Party’s defense against such a claim. The Parties shall cooperate in the defense of any such claim. The Indemnifying Party may control the defense and settlement of such a claim, but if the settlement of a claim may have an adverse effect on any Indemnified Party, then the Indemnifying Party shall not settle such claim without the consent of the Indemnified Party, and the Indemnified Party shall not unreasonably withhold or delay its consent. To the extent that the Indemnifying Party pays any part of a judgment, award or settlement with respect to the Loss and any other expenses related to the resolution of the Loss, including costs, interest, and reasonable Attorneys’ Fees, as a result of being self-insured or as a result of insurance coverage being insufficient to cover the amount of the judgment, award or settlement, upon final resolution of the claim, demand, suit or cause of action, the Indemnified Party shall reimburse the Indemnifying Party for the pro-rata portion of any such payment based on the Indemnified Party Fault relative to the Indemnifying Party’s fault. If any Indemnified Party is required to take any action to enforce its indemnity rights under this Agreement or to assume the defense of any claim, demand, suit or cause of action for which it is entitled to receive an indemnity under this Agreement because of the Indemnifying Party’s failure to promptly assume such defense, then the Indemnified Party may also recover from the Indemnifying Party any reasonable Attorney’s Fees and other costs of enforcing its indemnity rights or assuming such defense.</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30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53" w:name="page154"/>
    <w:bookmarkEnd w:id="153"/>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20" w:right="40" w:hanging="532"/>
        <w:spacing w:after="0" w:line="285" w:lineRule="auto"/>
        <w:tabs>
          <w:tab w:leader="none" w:pos="920" w:val="left"/>
        </w:tabs>
        <w:numPr>
          <w:ilvl w:val="0"/>
          <w:numId w:val="9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the Parties intend that any amount for which any Indemnified Party might otherwise have an obligation of reimbursement to the Indemnifying Party for its pro-rata portion pursuant to this Section will be net of any insurance proceeds or other amounts paid by the Indemnifying Party’s insurance company or any other entity (“Insurance Proceeds”) that actually reduce the amount that the Indemnifying Party is required to pay on account of a Loss. Accordingly, the amount with respect to which the Indemnified Party is required to reimburse the Indemnifying Party its pro-rata portion will be reduced by any Insurance Proceeds theretofore actually paid on behalf of the Indemnifying Party in respect of the related Loss. If the Indemnifying Party receives a reimbursement required by this Section from the Indemnified Party in respect of the Indemnified Party’s pro-rata share of the amount of any Loss and subsequently receives Insurance Proceeds or the benefit of any payments made for the Indemnifying Party or on its behalf by any insurance company or other entity with respect to such Loss, then the Indemnifying Party will pay to the Indemnified Party, within [***] days after such receipt of Insurance Proceeds or benefit of any payments, an amount equal to the excess of the reimbursement that the Indemnifying Party received from the Indemnified Party over the amount of the reimbursement that would have been due under this Section from the Indemnified Party if the Insurance Proceeds had been received, realized or recovered before the reimbursement was made by the Indemnified Party. An insurer that would otherwise be obligated to pay any amount as a result of a Loss shall not be relieved of the responsibility with respect thereto or, by virtue of the indemnification or reimbursement provisions hereof, have any subrogation rights with respect thereto, it being expressly understood and agreed that no insurer or any other third party shall be entitled to a “wind-fall” (i.e., a benefit they would not be entitled to receive in the absence of the indemnification provisions) by virtue of the indemnification or reimbursement provisions hereof. The Indemnifying Party shall have a good faith obligation to seek to collect or recover any Insurance Proceeds that may in any way be available to reduce the amount of any Loss.</w:t>
      </w:r>
    </w:p>
    <w:p>
      <w:pPr>
        <w:spacing w:after="0" w:line="76" w:lineRule="exact"/>
        <w:rPr>
          <w:rFonts w:ascii="Arial" w:cs="Arial" w:eastAsia="Arial" w:hAnsi="Arial"/>
          <w:sz w:val="16"/>
          <w:szCs w:val="16"/>
          <w:color w:val="auto"/>
        </w:rPr>
      </w:pPr>
    </w:p>
    <w:p>
      <w:pPr>
        <w:ind w:left="920" w:right="60" w:hanging="532"/>
        <w:spacing w:after="0" w:line="255"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For purposes of this Section, “Loss” includes any liability, claim, demand, suit, cause of action, settlement payment, cost and expense, interest, award, judgment, damages (including punitive damages), diminution in value, liens, fines, fees, penalties, and Litigation Expense. “Litigation Expense” means any court filing fee, court cost, arbitration fee, and each other fee and cost of investigating or defending an indemnified claim or asserting any claim for indemnification or defense under this Agreement, including Attorney’s Fees, other professionals’ fees, and disbursements. “Attorney’s Fees” include a charge for the service of in-house counsel at the market rate for independent counsel of similar experience.</w:t>
      </w:r>
    </w:p>
    <w:p>
      <w:pPr>
        <w:spacing w:after="0" w:line="97" w:lineRule="exact"/>
        <w:rPr>
          <w:rFonts w:ascii="Arial" w:cs="Arial" w:eastAsia="Arial" w:hAnsi="Arial"/>
          <w:sz w:val="18"/>
          <w:szCs w:val="18"/>
          <w:color w:val="auto"/>
        </w:rPr>
      </w:pPr>
    </w:p>
    <w:p>
      <w:pPr>
        <w:ind w:left="920" w:right="40" w:hanging="532"/>
        <w:spacing w:after="0" w:line="279" w:lineRule="auto"/>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 purposes furnished hereunder, constitute noncompliance with any FOSS license term, then promptly upon AT&amp;T’s notice to Supplier of such allegation, Supplier shall indemnify, defend and hold harmless AT&amp;T against such allegation in accordance with Supplier’s obligations to do so as set forth elsewhere in this Agreement, in a manner that preserves any proprietary software of AT&amp;T or its third-party suppliers from any public disclosure obligation or any other FOSS license noncompliance allegations.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31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54" w:name="page155"/>
    <w:bookmarkEnd w:id="15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3.16  Information</w:t>
      </w:r>
    </w:p>
    <w:p>
      <w:pPr>
        <w:spacing w:after="0" w:line="131" w:lineRule="exact"/>
        <w:rPr>
          <w:sz w:val="20"/>
          <w:szCs w:val="20"/>
          <w:color w:val="auto"/>
        </w:rPr>
      </w:pPr>
    </w:p>
    <w:p>
      <w:pPr>
        <w:ind w:left="960" w:hanging="532"/>
        <w:spacing w:after="0" w:line="267" w:lineRule="auto"/>
        <w:tabs>
          <w:tab w:leader="none" w:pos="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connection with this Agreement, including Supplier’s performance of its obligations hereunder and AT&amp;T’s receipt of Work, either Party may find it beneficial to disclose to the other Party (which may include permitting or enabling the other Party’s access to) certain of its Information. For the purpose of this clause, AT&amp;T’s disclosure of Information to Supplier includes any Information that Supplier receives, observes, collects, handles, stores, or accesses, in any way, in connection with this Agreement. Information of a disclosing Party shall be deemed to be confidential or proprietary only if it is clearly marked or otherwise identified by the disclosing Party as being confidential or proprietary, provided that if it is orally or visually disclosed (including Information conveyed to an answering machine, voice mail box or similar medium), the disclosing Party shall designate it as confidential or proprietary at the time of such disclosure. Notwithstanding the foregoing, a disclosing Party shall not have any such obligation to so mark or identify, or to so designate, Information that the disclosing Party discloses to or is otherwise obtained by the other Party’s employees, contractors, or representatives (i) who are located on the disclosing Party’s premises; (ii) who access the disclosing Party’s systems; or (iii) who otherwise obtain AT&amp;T Information and/or AT&amp;T Customer Information in connection with this Agreement; any such Information so disclosed shall automatically be deemed to be confidential and proprietary. Additionally, the failure to mark or designate information as being confidential or proprietary will not waive the confidentiality where it is reasonably obvious, under the circumstances surrounding disclosure, that the Information is confidential or proprietary; any such Information so disclosed or obtained shall automatically be deemed to be confidential and proprietary. For greater certainty, Information provided by either Party to the other Party prior to the Effective Date of this Agreement in connection with the subject matter hereof, including any such Information provided under a separate non-disclosure agreement (howsoever denominated) is also subject to the terms of this Agreement. Neither Party shall disclose Information under this Agreement that includes, in any form, any of the following: customer or employee personal information, credit card and credit related information, health or financial information, and/or authentication credentials.</w:t>
      </w:r>
    </w:p>
    <w:p>
      <w:pPr>
        <w:spacing w:after="0" w:line="93" w:lineRule="exact"/>
        <w:rPr>
          <w:rFonts w:ascii="Arial" w:cs="Arial" w:eastAsia="Arial" w:hAnsi="Arial"/>
          <w:sz w:val="17"/>
          <w:szCs w:val="17"/>
          <w:color w:val="auto"/>
        </w:rPr>
      </w:pPr>
    </w:p>
    <w:p>
      <w:pPr>
        <w:ind w:left="960" w:hanging="532"/>
        <w:spacing w:after="0"/>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With respect to the Information of the disclosing Party, the receiving Party shall:</w:t>
      </w:r>
    </w:p>
    <w:p>
      <w:pPr>
        <w:spacing w:after="0" w:line="130" w:lineRule="exact"/>
        <w:rPr>
          <w:rFonts w:ascii="Arial" w:cs="Arial" w:eastAsia="Arial" w:hAnsi="Arial"/>
          <w:sz w:val="18"/>
          <w:szCs w:val="18"/>
          <w:color w:val="auto"/>
        </w:rPr>
      </w:pPr>
    </w:p>
    <w:p>
      <w:pPr>
        <w:ind w:left="1420" w:right="540" w:hanging="439"/>
        <w:spacing w:after="0" w:line="277" w:lineRule="auto"/>
        <w:tabs>
          <w:tab w:leader="none" w:pos="14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hold all such Information in confidence with the same degree of care with which it protects its own confidential or proprietary Information, but with no less than reasonably prudent care;</w:t>
      </w:r>
    </w:p>
    <w:p>
      <w:pPr>
        <w:spacing w:after="0" w:line="75" w:lineRule="exact"/>
        <w:rPr>
          <w:rFonts w:ascii="Arial" w:cs="Arial" w:eastAsia="Arial" w:hAnsi="Arial"/>
          <w:sz w:val="18"/>
          <w:szCs w:val="18"/>
          <w:color w:val="auto"/>
        </w:rPr>
      </w:pPr>
    </w:p>
    <w:p>
      <w:pPr>
        <w:ind w:left="1420" w:right="180" w:hanging="439"/>
        <w:spacing w:after="0" w:line="259" w:lineRule="auto"/>
        <w:tabs>
          <w:tab w:leader="none" w:pos="14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restrict disclosure of such Information solely to its employees, contractors, and agents (and, in the case of AT&amp;T, also to its Affiliates’ employees, contractors, and agents) with a need to know such Information, advise such persons of their confidentiality obligations with respect thereto, and ensure that such persons are bound by obligations of confidentiality reasonably comparable to those imposed in this Agreement;</w:t>
      </w:r>
    </w:p>
    <w:p>
      <w:pPr>
        <w:spacing w:after="0" w:line="92" w:lineRule="exact"/>
        <w:rPr>
          <w:rFonts w:ascii="Arial" w:cs="Arial" w:eastAsia="Arial" w:hAnsi="Arial"/>
          <w:sz w:val="18"/>
          <w:szCs w:val="18"/>
          <w:color w:val="auto"/>
        </w:rPr>
      </w:pPr>
    </w:p>
    <w:p>
      <w:pPr>
        <w:ind w:left="1420" w:right="340" w:hanging="439"/>
        <w:spacing w:after="0" w:line="277" w:lineRule="auto"/>
        <w:tabs>
          <w:tab w:leader="none" w:pos="1420" w:val="left"/>
        </w:tabs>
        <w:numPr>
          <w:ilvl w:val="1"/>
          <w:numId w:val="96"/>
        </w:numPr>
        <w:rPr>
          <w:rFonts w:ascii="Arial" w:cs="Arial" w:eastAsia="Arial" w:hAnsi="Arial"/>
          <w:sz w:val="18"/>
          <w:szCs w:val="18"/>
          <w:color w:val="auto"/>
        </w:rPr>
      </w:pPr>
      <w:r>
        <w:rPr>
          <w:rFonts w:ascii="Arial" w:cs="Arial" w:eastAsia="Arial" w:hAnsi="Arial"/>
          <w:sz w:val="18"/>
          <w:szCs w:val="18"/>
          <w:color w:val="auto"/>
        </w:rPr>
        <w:t>use such Information only as needed to perform its obligations (and, if AT&amp;T is the receiving Party, to receive the benefits of the Work provided) under this Agreement;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32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55" w:name="page156"/>
    <w:bookmarkEnd w:id="155"/>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20" w:hanging="439"/>
        <w:spacing w:after="0" w:line="263" w:lineRule="auto"/>
        <w:tabs>
          <w:tab w:leader="none" w:pos="13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except as necessary under the immediately preceding clause (iii), not copy, distribute, or otherwise use any such Information or allow anyone else to copy, distribute, or otherwise use such Information; and ensure that any and all copies bear the same notices or legends, if any, as the originals; and</w:t>
      </w:r>
    </w:p>
    <w:p>
      <w:pPr>
        <w:spacing w:after="0" w:line="89" w:lineRule="exact"/>
        <w:rPr>
          <w:rFonts w:ascii="Arial" w:cs="Arial" w:eastAsia="Arial" w:hAnsi="Arial"/>
          <w:sz w:val="18"/>
          <w:szCs w:val="18"/>
          <w:color w:val="auto"/>
        </w:rPr>
      </w:pPr>
    </w:p>
    <w:p>
      <w:pPr>
        <w:ind w:left="1380" w:right="100" w:hanging="439"/>
        <w:spacing w:after="0" w:line="255" w:lineRule="auto"/>
        <w:tabs>
          <w:tab w:leader="none" w:pos="13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upon the disclosing Party’s request, promptly return, or destroy all or any requested portion of the Information, including tangible and electronic copies, notes, summaries, extracts, mail or other communications, and provide written certification [***] business days to the disclosing Party that such Information has been returned or destroyed, provided that with respect to archival or back-up copies of Information that reside on the receiving Party’s systems, the receiving Party shall be deemed to have complied with its obligations under this clause (v) if it makes reasonable efforts to expunge from such systems, or to permanently render irretrievable, such copies.</w:t>
      </w:r>
    </w:p>
    <w:p>
      <w:pPr>
        <w:spacing w:after="0" w:line="97" w:lineRule="exact"/>
        <w:rPr>
          <w:rFonts w:ascii="Arial" w:cs="Arial" w:eastAsia="Arial" w:hAnsi="Arial"/>
          <w:sz w:val="18"/>
          <w:szCs w:val="18"/>
          <w:color w:val="auto"/>
        </w:rPr>
      </w:pPr>
    </w:p>
    <w:p>
      <w:pPr>
        <w:ind w:left="920" w:hanging="532"/>
        <w:spacing w:after="0"/>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Except for Customer Information, neither Party shall have any obligation to the other Party with respect to Information which:</w:t>
      </w:r>
    </w:p>
    <w:p>
      <w:pPr>
        <w:spacing w:after="0" w:line="130" w:lineRule="exact"/>
        <w:rPr>
          <w:rFonts w:ascii="Arial" w:cs="Arial" w:eastAsia="Arial" w:hAnsi="Arial"/>
          <w:sz w:val="18"/>
          <w:szCs w:val="18"/>
          <w:color w:val="auto"/>
        </w:rPr>
      </w:pPr>
    </w:p>
    <w:p>
      <w:pPr>
        <w:ind w:left="1380" w:right="120" w:hanging="439"/>
        <w:spacing w:after="0" w:line="277" w:lineRule="auto"/>
        <w:tabs>
          <w:tab w:leader="none" w:pos="13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at the time of disclosure was already known to the receiving Party free of any obligation to keep it confidential (as evidenced by the receiving Party’s written records prepared prior to such disclosure);</w:t>
      </w:r>
    </w:p>
    <w:p>
      <w:pPr>
        <w:spacing w:after="0" w:line="75" w:lineRule="exact"/>
        <w:rPr>
          <w:rFonts w:ascii="Arial" w:cs="Arial" w:eastAsia="Arial" w:hAnsi="Arial"/>
          <w:sz w:val="18"/>
          <w:szCs w:val="18"/>
          <w:color w:val="auto"/>
        </w:rPr>
      </w:pPr>
    </w:p>
    <w:p>
      <w:pPr>
        <w:ind w:left="1380" w:right="120" w:hanging="439"/>
        <w:spacing w:after="0" w:line="277" w:lineRule="auto"/>
        <w:tabs>
          <w:tab w:leader="none" w:pos="13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is or becomes publicly known through no wrongful act of the receiving Party (such obligations ceasing at the time such Information becomes publicly known);</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is lawfully received from a third party, free of any obligation to keep it confidential;</w:t>
      </w:r>
    </w:p>
    <w:p>
      <w:pPr>
        <w:spacing w:after="0" w:line="130" w:lineRule="exact"/>
        <w:rPr>
          <w:rFonts w:ascii="Arial" w:cs="Arial" w:eastAsia="Arial" w:hAnsi="Arial"/>
          <w:sz w:val="18"/>
          <w:szCs w:val="18"/>
          <w:color w:val="auto"/>
        </w:rPr>
      </w:pPr>
    </w:p>
    <w:p>
      <w:pPr>
        <w:jc w:val="both"/>
        <w:ind w:left="1380" w:right="180" w:hanging="439"/>
        <w:spacing w:after="0" w:line="342" w:lineRule="auto"/>
        <w:tabs>
          <w:tab w:leader="none" w:pos="1380" w:val="left"/>
        </w:tabs>
        <w:numPr>
          <w:ilvl w:val="1"/>
          <w:numId w:val="98"/>
        </w:numPr>
        <w:rPr>
          <w:rFonts w:ascii="Arial" w:cs="Arial" w:eastAsia="Arial" w:hAnsi="Arial"/>
          <w:sz w:val="16"/>
          <w:szCs w:val="16"/>
          <w:color w:val="auto"/>
        </w:rPr>
      </w:pPr>
      <w:r>
        <w:rPr>
          <w:rFonts w:ascii="Arial" w:cs="Arial" w:eastAsia="Arial" w:hAnsi="Arial"/>
          <w:sz w:val="16"/>
          <w:szCs w:val="16"/>
          <w:color w:val="auto"/>
        </w:rPr>
        <w:t>is independently developed by the receiving Party or a third party, as evidenced by the receiving Party’s written records, and where such development occurred without any direct or indirect use of or access to the Information received from the disclosing Party, or</w:t>
      </w:r>
    </w:p>
    <w:p>
      <w:pPr>
        <w:spacing w:after="0" w:line="29" w:lineRule="exact"/>
        <w:rPr>
          <w:rFonts w:ascii="Arial" w:cs="Arial" w:eastAsia="Arial" w:hAnsi="Arial"/>
          <w:sz w:val="16"/>
          <w:szCs w:val="16"/>
          <w:color w:val="auto"/>
        </w:rPr>
      </w:pPr>
    </w:p>
    <w:p>
      <w:pPr>
        <w:ind w:left="1380" w:hanging="439"/>
        <w:spacing w:after="0"/>
        <w:tabs>
          <w:tab w:leader="none" w:pos="1380" w:val="left"/>
        </w:tabs>
        <w:numPr>
          <w:ilvl w:val="1"/>
          <w:numId w:val="98"/>
        </w:numPr>
        <w:rPr>
          <w:rFonts w:ascii="Arial" w:cs="Arial" w:eastAsia="Arial" w:hAnsi="Arial"/>
          <w:sz w:val="18"/>
          <w:szCs w:val="18"/>
          <w:color w:val="auto"/>
        </w:rPr>
      </w:pPr>
      <w:r>
        <w:rPr>
          <w:rFonts w:ascii="Arial" w:cs="Arial" w:eastAsia="Arial" w:hAnsi="Arial"/>
          <w:sz w:val="18"/>
          <w:szCs w:val="18"/>
          <w:color w:val="auto"/>
        </w:rPr>
        <w:t>the disclosing Party consents in writing to be free of restriction.</w:t>
      </w:r>
    </w:p>
    <w:p>
      <w:pPr>
        <w:spacing w:after="0" w:line="130" w:lineRule="exact"/>
        <w:rPr>
          <w:rFonts w:ascii="Arial" w:cs="Arial" w:eastAsia="Arial" w:hAnsi="Arial"/>
          <w:sz w:val="18"/>
          <w:szCs w:val="18"/>
          <w:color w:val="auto"/>
        </w:rPr>
      </w:pPr>
    </w:p>
    <w:p>
      <w:pPr>
        <w:ind w:left="920" w:right="40" w:hanging="532"/>
        <w:spacing w:after="0" w:line="254" w:lineRule="auto"/>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If a receiving Party is required to provide Information of a disclosing Party to any court or government agency pursuant to a written court order, subpoena, regulatory demand, request under the National Labor Relations Act (an “NLRA Request”), or process of law, the receiving Party must, unless prohibited by applicable law, first provide the disclosing Party with prompt written notice of such requirement and reasonable cooperation to the disclosing Party should it seek protective arrangements for the production of such Information. The receiving Party will (i) take reasonable steps to limit any such provision of Information to the specific Information required by such court or agency, and (ii) continue to otherwise protect all Information disclosed in response to such order, subpoena, regulation, NLRA Request, or process of law.</w:t>
      </w:r>
    </w:p>
    <w:p>
      <w:pPr>
        <w:spacing w:after="0" w:line="100" w:lineRule="exact"/>
        <w:rPr>
          <w:rFonts w:ascii="Arial" w:cs="Arial" w:eastAsia="Arial" w:hAnsi="Arial"/>
          <w:sz w:val="18"/>
          <w:szCs w:val="18"/>
          <w:color w:val="auto"/>
        </w:rPr>
      </w:pPr>
    </w:p>
    <w:p>
      <w:pPr>
        <w:ind w:left="920" w:right="120" w:hanging="532"/>
        <w:spacing w:after="0" w:line="259" w:lineRule="auto"/>
        <w:tabs>
          <w:tab w:leader="none" w:pos="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receiving Party’s obligations with respect to any particular Information of a disclosing Party shall remain in effect, including after the expiration or termination of this Agreement, until such time as it qualifies under one of the exceptions set forth in clause (c) above. Notwithstanding anything to the contrary herein, Customer Information shall remain confidential indefinitely and shall never be disclosed or used without the prior written approval of an authorized representative of AT&amp;T.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33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56" w:name="page157"/>
    <w:bookmarkEnd w:id="15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40" w:hanging="532"/>
        <w:spacing w:after="0" w:line="257" w:lineRule="auto"/>
        <w:tabs>
          <w:tab w:leader="none" w:pos="9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Any vendors or consultants of AT&amp;T or other third parties who are required by AT&amp;T and authorized by Supplier in writing to have access to any Supplier Information for the purpose of providing services to AT&amp;T shall first sign Supplier’s non-disclosure agreement in the form attached hereto as Appendix I, Exhibit 1. In the event that such third party is a Supplier competitor, AT&amp;T shall not provide such third party with access to Supplier Information without Supplier’s express prior written consent which shall not be unreasonably withheld, conditioned, or delayed.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3.17  Infringement</w:t>
      </w:r>
    </w:p>
    <w:p>
      <w:pPr>
        <w:spacing w:after="0" w:line="131" w:lineRule="exact"/>
        <w:rPr>
          <w:sz w:val="20"/>
          <w:szCs w:val="20"/>
          <w:color w:val="auto"/>
        </w:rPr>
      </w:pPr>
    </w:p>
    <w:p>
      <w:pPr>
        <w:ind w:left="960" w:hanging="532"/>
        <w:spacing w:after="0"/>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Definitions. For purposes of this Section:</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“Indemnified Parties” shall mean AT&amp;T and its Affiliates, individually or collectively, as the case may be.</w:t>
      </w:r>
    </w:p>
    <w:p>
      <w:pPr>
        <w:spacing w:after="0" w:line="130" w:lineRule="exact"/>
        <w:rPr>
          <w:rFonts w:ascii="Arial" w:cs="Arial" w:eastAsia="Arial" w:hAnsi="Arial"/>
          <w:sz w:val="18"/>
          <w:szCs w:val="18"/>
          <w:color w:val="auto"/>
        </w:rPr>
      </w:pPr>
    </w:p>
    <w:p>
      <w:pPr>
        <w:ind w:left="1420" w:right="20" w:hanging="439"/>
        <w:spacing w:after="0" w:line="263" w:lineRule="auto"/>
        <w:tabs>
          <w:tab w:leader="none" w:pos="14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“Loss” shall mean any liability, loss, claim, demand, suit, cause of action, settlement payment, cost, expense, interest, award, judgment, damages (including, without limitation, punitive and exemplary damages and increased damages for willful infringement), liens, fines, fees, penalties, and Litigation Expense.</w:t>
      </w:r>
    </w:p>
    <w:p>
      <w:pPr>
        <w:spacing w:after="0" w:line="89" w:lineRule="exact"/>
        <w:rPr>
          <w:rFonts w:ascii="Arial" w:cs="Arial" w:eastAsia="Arial" w:hAnsi="Arial"/>
          <w:sz w:val="18"/>
          <w:szCs w:val="18"/>
          <w:color w:val="auto"/>
        </w:rPr>
      </w:pPr>
    </w:p>
    <w:p>
      <w:pPr>
        <w:ind w:left="1420" w:right="40" w:hanging="439"/>
        <w:spacing w:after="0" w:line="263" w:lineRule="auto"/>
        <w:tabs>
          <w:tab w:leader="none" w:pos="142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“Litigation Expense” means any court filing fee, court cost, arbitration fee, and each other reasonable fee and cost of investigating or defending an indemnified claim or asserting any claim for indemnification or defense under this Agreement, including without limitation reasonable attorneys’ fees and other professionals’ fees, and disbursements.</w:t>
      </w:r>
    </w:p>
    <w:p>
      <w:pPr>
        <w:spacing w:after="0" w:line="89" w:lineRule="exact"/>
        <w:rPr>
          <w:rFonts w:ascii="Arial" w:cs="Arial" w:eastAsia="Arial" w:hAnsi="Arial"/>
          <w:sz w:val="18"/>
          <w:szCs w:val="18"/>
          <w:color w:val="auto"/>
        </w:rPr>
      </w:pPr>
    </w:p>
    <w:p>
      <w:pPr>
        <w:ind w:left="1420" w:right="20" w:hanging="439"/>
        <w:spacing w:after="0" w:line="273" w:lineRule="auto"/>
        <w:tabs>
          <w:tab w:leader="none" w:pos="142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“Provided Elements” shall mean any products, hardware, Custom Software, Standard Software, interfaces, systems, content, services, processes, methods, documents, materials, data, or information, or any functionality therein, provided to any Indemnified Party by or on behalf of Supplier (including, without limitation, by any of Supplier’s sub-suppliers or distributors, but excluding only Third Party Software resold by a Third Party to AT&amp;T by Supplier that is governed by an applicable license agreement between AT&amp;T and such Third Party) pursuant to this Agreement (including, without limitation, under any order, statement of work, exhibit, or other document under, subordinate to, or referencing this Agreement).</w:t>
      </w:r>
    </w:p>
    <w:p>
      <w:pPr>
        <w:spacing w:after="0" w:line="83" w:lineRule="exact"/>
        <w:rPr>
          <w:rFonts w:ascii="Arial" w:cs="Arial" w:eastAsia="Arial" w:hAnsi="Arial"/>
          <w:sz w:val="17"/>
          <w:szCs w:val="17"/>
          <w:color w:val="auto"/>
        </w:rPr>
      </w:pPr>
    </w:p>
    <w:p>
      <w:pPr>
        <w:ind w:left="960" w:hanging="532"/>
        <w:spacing w:after="0"/>
        <w:tabs>
          <w:tab w:leader="none" w:pos="960" w:val="left"/>
        </w:tabs>
        <w:numPr>
          <w:ilvl w:val="0"/>
          <w:numId w:val="100"/>
        </w:numPr>
        <w:rPr>
          <w:rFonts w:ascii="Arial" w:cs="Arial" w:eastAsia="Arial" w:hAnsi="Arial"/>
          <w:sz w:val="18"/>
          <w:szCs w:val="18"/>
          <w:color w:val="auto"/>
        </w:rPr>
      </w:pPr>
      <w:r>
        <w:rPr>
          <w:rFonts w:ascii="Arial" w:cs="Arial" w:eastAsia="Arial" w:hAnsi="Arial"/>
          <w:sz w:val="18"/>
          <w:szCs w:val="18"/>
          <w:u w:val="single" w:color="auto"/>
          <w:color w:val="auto"/>
        </w:rPr>
        <w:t>Obligations.</w:t>
      </w:r>
    </w:p>
    <w:p>
      <w:pPr>
        <w:spacing w:after="0" w:line="130" w:lineRule="exact"/>
        <w:rPr>
          <w:rFonts w:ascii="Arial" w:cs="Arial" w:eastAsia="Arial" w:hAnsi="Arial"/>
          <w:sz w:val="18"/>
          <w:szCs w:val="18"/>
          <w:color w:val="auto"/>
        </w:rPr>
      </w:pPr>
    </w:p>
    <w:p>
      <w:pPr>
        <w:ind w:left="1420" w:right="320" w:hanging="439"/>
        <w:spacing w:after="0" w:line="311" w:lineRule="auto"/>
        <w:tabs>
          <w:tab w:leader="none" w:pos="1420" w:val="left"/>
        </w:tabs>
        <w:numPr>
          <w:ilvl w:val="1"/>
          <w:numId w:val="100"/>
        </w:numPr>
        <w:rPr>
          <w:rFonts w:ascii="Arial" w:cs="Arial" w:eastAsia="Arial" w:hAnsi="Arial"/>
          <w:sz w:val="16"/>
          <w:szCs w:val="16"/>
          <w:color w:val="auto"/>
        </w:rPr>
      </w:pPr>
      <w:r>
        <w:rPr>
          <w:rFonts w:ascii="Arial" w:cs="Arial" w:eastAsia="Arial" w:hAnsi="Arial"/>
          <w:sz w:val="16"/>
          <w:szCs w:val="16"/>
          <w:color w:val="auto"/>
        </w:rPr>
        <w:t>Supplier shall indemnify, hold harmless, and defend (which shall include, without limitation, cooperating with AT&amp;T as set forth below in the defense of) the Indemnified Parties against any Loss resulting from, arising out of or relating to any [***] demand, claim or lawsuit brought by any third party (“Covered Claim”), regardless of whether such Covered Claim is meritorious, of:</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34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57" w:name="page158"/>
    <w:bookmarkEnd w:id="157"/>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920" w:right="560" w:hanging="533"/>
        <w:spacing w:after="0" w:line="263" w:lineRule="auto"/>
        <w:tabs>
          <w:tab w:leader="none" w:pos="192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infringement (including, without limitation, direct, contributory and induced infringement) of any patent, copyright, trademark, service mark, or other Intellectual Property Right in connection with the Provided Elements, including, for example, any Covered Claim of infringement based on:</w:t>
      </w:r>
    </w:p>
    <w:p>
      <w:pPr>
        <w:spacing w:after="0" w:line="89" w:lineRule="exact"/>
        <w:rPr>
          <w:rFonts w:ascii="Arial" w:cs="Arial" w:eastAsia="Arial" w:hAnsi="Arial"/>
          <w:sz w:val="18"/>
          <w:szCs w:val="18"/>
          <w:color w:val="auto"/>
        </w:rPr>
      </w:pPr>
    </w:p>
    <w:p>
      <w:pPr>
        <w:ind w:left="2360" w:right="260" w:hanging="433"/>
        <w:spacing w:after="0" w:line="263" w:lineRule="auto"/>
        <w:tabs>
          <w:tab w:leader="none" w:pos="23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making, repair, receipt, use, importing, sale or disposal (and offers to do any of the foregoing) of Provided Elements (or having others do any of the foregoing, in whole or in part, on behalf of or at the direction of the Indemnified Parties), or</w:t>
      </w:r>
    </w:p>
    <w:p>
      <w:pPr>
        <w:spacing w:after="0" w:line="89" w:lineRule="exact"/>
        <w:rPr>
          <w:rFonts w:ascii="Arial" w:cs="Arial" w:eastAsia="Arial" w:hAnsi="Arial"/>
          <w:sz w:val="18"/>
          <w:szCs w:val="18"/>
          <w:color w:val="auto"/>
        </w:rPr>
      </w:pPr>
    </w:p>
    <w:p>
      <w:pPr>
        <w:ind w:left="2360" w:right="100" w:hanging="433"/>
        <w:spacing w:after="0" w:line="263" w:lineRule="auto"/>
        <w:tabs>
          <w:tab w:leader="none" w:pos="236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use of Provided Elements in [***] with products, hardware, software, interfaces, systems, content, services, processes, methods, documents, materials, data or information [***], including, for example, use in the [***] of such Provided Elements (a “[***] Claim”);</w:t>
      </w:r>
    </w:p>
    <w:p>
      <w:pPr>
        <w:spacing w:after="0" w:line="89" w:lineRule="exact"/>
        <w:rPr>
          <w:sz w:val="20"/>
          <w:szCs w:val="20"/>
          <w:color w:val="auto"/>
        </w:rPr>
      </w:pPr>
    </w:p>
    <w:p>
      <w:pPr>
        <w:ind w:left="1380" w:right="120" w:firstLine="547"/>
        <w:spacing w:after="0" w:line="406" w:lineRule="auto"/>
        <w:tabs>
          <w:tab w:leader="none" w:pos="2351" w:val="left"/>
        </w:tabs>
        <w:numPr>
          <w:ilvl w:val="1"/>
          <w:numId w:val="102"/>
        </w:numPr>
        <w:rPr>
          <w:rFonts w:ascii="Arial" w:cs="Arial" w:eastAsia="Arial" w:hAnsi="Arial"/>
          <w:sz w:val="17"/>
          <w:szCs w:val="17"/>
          <w:color w:val="auto"/>
        </w:rPr>
      </w:pPr>
      <w:r>
        <w:rPr>
          <w:rFonts w:ascii="Arial" w:cs="Arial" w:eastAsia="Arial" w:hAnsi="Arial"/>
          <w:sz w:val="17"/>
          <w:szCs w:val="17"/>
          <w:color w:val="auto"/>
        </w:rPr>
        <w:t>misappropriation of any trade secret, proprietary or non-public information in connection with the Provided Elements; any and all such Loss referenced in this Section b, “Obligations”, being hereinafter referred to as a “Covered Loss.”</w:t>
      </w:r>
    </w:p>
    <w:p>
      <w:pPr>
        <w:ind w:left="1380" w:right="20" w:hanging="439"/>
        <w:spacing w:after="0" w:line="296" w:lineRule="auto"/>
        <w:tabs>
          <w:tab w:leader="none" w:pos="138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Insofar as Supplier’s obligations under paragraph b.1. result from, arise out of, or relate to a Covered Claim that is a [***] Claim, Supplier shall be liable to pay [***] of the Covered Loss associated with such [***] Claim. [***] If Supplier believes AT&amp;T’s assessment of Supplier’s [***] is not fair and equitable, then Supplier’s [***] shall be determined, insofar as possible, through good faith negotiation between the Parties and, ultimately, through the dispute resolution process in this Agreement; provided, however, that a failure of the Parties to agree on Supplier’s [***] shall not relieve Supplier of its obligations to pay its [***] under this Section.</w:t>
      </w:r>
    </w:p>
    <w:p>
      <w:pPr>
        <w:spacing w:after="0" w:line="66" w:lineRule="exact"/>
        <w:rPr>
          <w:rFonts w:ascii="Arial" w:cs="Arial" w:eastAsia="Arial" w:hAnsi="Arial"/>
          <w:sz w:val="16"/>
          <w:szCs w:val="16"/>
          <w:color w:val="auto"/>
        </w:rPr>
      </w:pPr>
    </w:p>
    <w:p>
      <w:pPr>
        <w:ind w:left="1380" w:right="160" w:hanging="439"/>
        <w:spacing w:after="0" w:line="255" w:lineRule="auto"/>
        <w:tabs>
          <w:tab w:leader="none" w:pos="1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AT&amp;T shall have sole control over the defense of any [***] Claim. Supplier shall cooperate in every reasonable way with AT&amp;T to facilitate the defense and may, at its option and at its own expense, participate with AT&amp;T in the defense with counsel of its own choosing. Where AT&amp;T controls the defense under this paragraph, AT&amp;T shall make good faith efforts to enter into a reasonable joint defense or common interest agreement with Supplier, which agreement Supplier shall negotiate in good faith; provided, however, that Supplier shall not be required to provide any information or assistance to AT&amp;T unless or until a joint defense or common interest agreement is entered into by the Parties.</w:t>
      </w:r>
    </w:p>
    <w:p>
      <w:pPr>
        <w:spacing w:after="0" w:line="97" w:lineRule="exact"/>
        <w:rPr>
          <w:rFonts w:ascii="Arial" w:cs="Arial" w:eastAsia="Arial" w:hAnsi="Arial"/>
          <w:sz w:val="18"/>
          <w:szCs w:val="18"/>
          <w:color w:val="auto"/>
        </w:rPr>
      </w:pPr>
    </w:p>
    <w:p>
      <w:pPr>
        <w:ind w:left="1380" w:right="140" w:hanging="439"/>
        <w:spacing w:after="0" w:line="257" w:lineRule="auto"/>
        <w:tabs>
          <w:tab w:leader="none" w:pos="13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Insofar as Supplier’s obligations under paragraph b.1. result from, arise out of, or relate to </w:t>
      </w:r>
      <w:r>
        <w:rPr>
          <w:rFonts w:ascii="Arial" w:cs="Arial" w:eastAsia="Arial" w:hAnsi="Arial"/>
          <w:sz w:val="18"/>
          <w:szCs w:val="18"/>
          <w:u w:val="single" w:color="auto"/>
          <w:color w:val="auto"/>
        </w:rPr>
        <w:t>other</w:t>
      </w:r>
      <w:r>
        <w:rPr>
          <w:rFonts w:ascii="Arial" w:cs="Arial" w:eastAsia="Arial" w:hAnsi="Arial"/>
          <w:sz w:val="18"/>
          <w:szCs w:val="18"/>
          <w:color w:val="auto"/>
        </w:rPr>
        <w:t xml:space="preserve"> than a [***] Claim, Supplier shall have control of the defense of the Covered Claim. In the event that Supplier controls the defense of the Covered Claim, Supplier shall retain as its lead counsel, subject to AT&amp;T’s approval, one or more competent attorneys from a nationally recognized law firm who have significant experience in litigating intellectual property claims of the type at issue; and the Indemnified Parties may, at their option and</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35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58" w:name="page159"/>
    <w:bookmarkEnd w:id="158"/>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20"/>
        <w:spacing w:after="0" w:line="301" w:lineRule="auto"/>
        <w:rPr>
          <w:sz w:val="20"/>
          <w:szCs w:val="20"/>
          <w:color w:val="auto"/>
        </w:rPr>
      </w:pPr>
      <w:r>
        <w:rPr>
          <w:rFonts w:ascii="Arial" w:cs="Arial" w:eastAsia="Arial" w:hAnsi="Arial"/>
          <w:sz w:val="16"/>
          <w:szCs w:val="16"/>
          <w:color w:val="auto"/>
        </w:rPr>
        <w:t>expense, participate with Supplier in the defense of such Covered Claim. Where Supplier controls the defense under this paragraph, Supplier shall make good faith efforts to enter into a reasonable joint defense or common interest agreement with AT&amp;T, which agreement AT&amp;T shall negotiate in good faith; provided, however, that AT&amp;T shall not be required to provide any information or assistance to Supplier unless or until a joint defense or common interest agreement is entered into by the Parties.</w:t>
      </w:r>
    </w:p>
    <w:p>
      <w:pPr>
        <w:spacing w:after="0" w:line="63" w:lineRule="exact"/>
        <w:rPr>
          <w:sz w:val="20"/>
          <w:szCs w:val="20"/>
          <w:color w:val="auto"/>
        </w:rPr>
      </w:pPr>
    </w:p>
    <w:p>
      <w:pPr>
        <w:ind w:left="1380" w:right="500" w:hanging="439"/>
        <w:spacing w:after="0" w:line="263" w:lineRule="auto"/>
        <w:tabs>
          <w:tab w:leader="none" w:pos="13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AT&amp;T shall notify Supplier promptly of any Covered Claim; provided, however, that any delay in such notice shall not relieve Supplier of its obligations under this Section, except to the extent that Supplier can show such delay actually and materially prejudiced Supplier.</w:t>
      </w:r>
    </w:p>
    <w:p>
      <w:pPr>
        <w:spacing w:after="0" w:line="89" w:lineRule="exact"/>
        <w:rPr>
          <w:rFonts w:ascii="Arial" w:cs="Arial" w:eastAsia="Arial" w:hAnsi="Arial"/>
          <w:sz w:val="18"/>
          <w:szCs w:val="18"/>
          <w:color w:val="auto"/>
        </w:rPr>
      </w:pPr>
    </w:p>
    <w:p>
      <w:pPr>
        <w:ind w:left="1380" w:right="40" w:hanging="439"/>
        <w:spacing w:after="0" w:line="257" w:lineRule="auto"/>
        <w:tabs>
          <w:tab w:leader="none" w:pos="138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In no event shall Supplier settle, without AT&amp;T’s prior written consent which shall not unreasonably be withheld, any Covered Claim, in whole or in part, in a manner that would require any Indemnified Party to discontinue or materially modify its products or services (or offerings thereof). In no event shall Supplier enter into any agreement related to any Covered Claim or to the Intellectual Property Rights asserted therein that discharges or mitigates Supplier’s liability to the third-party claimant but fails to fully discharge all of AT&amp;T’s liabilities as to the Covered Loss.</w:t>
      </w:r>
    </w:p>
    <w:p>
      <w:pPr>
        <w:spacing w:after="0" w:line="93" w:lineRule="exact"/>
        <w:rPr>
          <w:rFonts w:ascii="Arial" w:cs="Arial" w:eastAsia="Arial" w:hAnsi="Arial"/>
          <w:sz w:val="18"/>
          <w:szCs w:val="18"/>
          <w:color w:val="auto"/>
        </w:rPr>
      </w:pPr>
    </w:p>
    <w:p>
      <w:pPr>
        <w:ind w:left="920" w:hanging="532"/>
        <w:spacing w:after="0"/>
        <w:tabs>
          <w:tab w:leader="none" w:pos="92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Continued Use of Provided Elements.</w:t>
      </w:r>
    </w:p>
    <w:p>
      <w:pPr>
        <w:spacing w:after="0" w:line="117" w:lineRule="exact"/>
        <w:rPr>
          <w:rFonts w:ascii="Arial" w:cs="Arial" w:eastAsia="Arial" w:hAnsi="Arial"/>
          <w:sz w:val="18"/>
          <w:szCs w:val="18"/>
          <w:color w:val="auto"/>
        </w:rPr>
      </w:pPr>
    </w:p>
    <w:p>
      <w:pPr>
        <w:ind w:left="940" w:right="60"/>
        <w:spacing w:after="0" w:line="285" w:lineRule="auto"/>
        <w:rPr>
          <w:rFonts w:ascii="Arial" w:cs="Arial" w:eastAsia="Arial" w:hAnsi="Arial"/>
          <w:sz w:val="18"/>
          <w:szCs w:val="18"/>
          <w:color w:val="auto"/>
        </w:rPr>
      </w:pPr>
      <w:r>
        <w:rPr>
          <w:rFonts w:ascii="Arial" w:cs="Arial" w:eastAsia="Arial" w:hAnsi="Arial"/>
          <w:sz w:val="16"/>
          <w:szCs w:val="16"/>
          <w:color w:val="auto"/>
        </w:rPr>
        <w:t>Without in any manner limiting the foregoing indemnification, if, as a result of a Covered Claim (other than a [***] Claim), (i) the Indemnified Parties’ rights under this Agreement are restricted or diminished; or (ii) an injunction, exclusion order, or other order from a court, arbitrator or other competent tribunal or governmental authority preventing or restricting the Indemnified Parties’ use or enjoyment of the Provided Elements is issued, imminent, or reasonably likely to be issued, then, in addition to its other obligations set forth in this Section, Supplier, in any case at its sole expense and at no loss, cost or damage to the Indemnified Parties or their customers, shall use commercially reasonable efforts to obtain for the Indemnified Parties the right to continue using or conducting other activities with respect to the Provided Elements; provided that if Supplier is unable to obtain such right, Supplier shall, after consulting with and obtaining the written approval of the Indemnified Parties, provide modified or replacement non-infringing Provided Elements that are equally suitable and functionally equivalent while retaining the quality of the original Provided Elements and complying fully with all the representations and warranties set forth in this Agreement; provided further that if Supplier is unable in this way to provide such modified or replacement non-infringing Provided Elements, AT&amp;T shall, at its option: (i) terminate this Agreement with respect to the Provided Elements or (ii) require Supplier, as applicable, to remove, return, or discontinue use of the Provided Elements, and, in case of either (i) or (ii), to require Supplier to refund to AT&amp;T the purchase price thereof or other monies paid therefor (subject to reduction based on the amount of depreciation or amortization over the useful life of the Provided Elements at issue) and to reimburse AT&amp;T for any and all reasonable out-of-pocket expenses of removing, returning, or discontinuing such Provided Elements. If, as a result of a [***] Claim, (i) the Indemnified Parties’ rights under this Agreement are restricted or diminished; or (ii) an injunction, exclusion order, or other order from a court, arbitrator or other competent tribunal or governmental authority preventing or restricting the Indemnified Parties’ use or enjoyment of the Provided Elements is issued, imminent, or reasonably likely to be</w:t>
      </w:r>
    </w:p>
    <w:p>
      <w:pPr>
        <w:spacing w:after="0" w:line="3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36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59" w:name="page160"/>
    <w:bookmarkEnd w:id="159"/>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issued, and Supplier, after using commercially reasonable efforts ([***]) per [***] Claim or [***] [***] period for all [***] Claims in</w:t>
      </w:r>
    </w:p>
    <w:p>
      <w:pPr>
        <w:spacing w:after="0" w:line="23" w:lineRule="exact"/>
        <w:rPr>
          <w:sz w:val="20"/>
          <w:szCs w:val="20"/>
          <w:color w:val="auto"/>
        </w:rPr>
      </w:pPr>
    </w:p>
    <w:p>
      <w:pPr>
        <w:ind w:left="940" w:right="80" w:firstLine="7"/>
        <w:spacing w:after="0" w:line="270" w:lineRule="auto"/>
        <w:tabs>
          <w:tab w:leader="none" w:pos="1375" w:val="left"/>
        </w:tabs>
        <w:numPr>
          <w:ilvl w:val="2"/>
          <w:numId w:val="106"/>
        </w:numPr>
        <w:rPr>
          <w:rFonts w:ascii="Arial" w:cs="Arial" w:eastAsia="Arial" w:hAnsi="Arial"/>
          <w:sz w:val="17"/>
          <w:szCs w:val="17"/>
          <w:color w:val="auto"/>
        </w:rPr>
      </w:pPr>
      <w:r>
        <w:rPr>
          <w:rFonts w:ascii="Arial" w:cs="Arial" w:eastAsia="Arial" w:hAnsi="Arial"/>
          <w:sz w:val="17"/>
          <w:szCs w:val="17"/>
          <w:color w:val="auto"/>
        </w:rPr>
        <w:t>period, which amounts, together with any other amounts paid with respect to such [***] Claim, [***] Claims set forth in Subsection b.ii. above), cannot provide a technically feasible non-infringing [***], operation or use of the Provided Elements in the [***] at issue, then if Supplier obtains and provides AT&amp;T with a written opinion from outside counsel with a national reputation in intellectual property law that no valid non-infringement or invalidity defenses exist as to the Covered Claim, AT&amp;T shall either cease using the Provided Elements within the [***] giving rise to the [***] Claim or Supplier shall have no further obligation to indemnify AT&amp;T with respect to Losses associated with such [***] Claim after the date on which written opinion is provided to AT&amp;T.</w:t>
      </w:r>
    </w:p>
    <w:p>
      <w:pPr>
        <w:spacing w:after="0" w:line="83" w:lineRule="exact"/>
        <w:rPr>
          <w:rFonts w:ascii="Arial" w:cs="Arial" w:eastAsia="Arial" w:hAnsi="Arial"/>
          <w:sz w:val="17"/>
          <w:szCs w:val="17"/>
          <w:color w:val="auto"/>
        </w:rPr>
      </w:pPr>
    </w:p>
    <w:p>
      <w:pPr>
        <w:ind w:left="920" w:right="440" w:hanging="532"/>
        <w:spacing w:after="0" w:line="263" w:lineRule="auto"/>
        <w:tabs>
          <w:tab w:leader="none" w:pos="9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Elimination of Charges.</w:t>
      </w:r>
      <w:r>
        <w:rPr>
          <w:rFonts w:ascii="Arial" w:cs="Arial" w:eastAsia="Arial" w:hAnsi="Arial"/>
          <w:sz w:val="18"/>
          <w:szCs w:val="18"/>
          <w:color w:val="auto"/>
        </w:rPr>
        <w:t xml:space="preserve"> After AT&amp;T ceases, as a result of actual or claimed infringement or misappropriation, to exercise the rights granted under this Agreement with respect to the Provided Elements, AT&amp;T has no obligation to pay Supplier any charges that would otherwise be due under this Agreement for such rights.</w:t>
      </w:r>
    </w:p>
    <w:p>
      <w:pPr>
        <w:spacing w:after="0" w:line="89" w:lineRule="exact"/>
        <w:rPr>
          <w:rFonts w:ascii="Arial" w:cs="Arial" w:eastAsia="Arial" w:hAnsi="Arial"/>
          <w:sz w:val="18"/>
          <w:szCs w:val="18"/>
          <w:color w:val="auto"/>
        </w:rPr>
      </w:pPr>
    </w:p>
    <w:p>
      <w:pPr>
        <w:ind w:left="920" w:right="440" w:hanging="532"/>
        <w:spacing w:after="0" w:line="277" w:lineRule="auto"/>
        <w:tabs>
          <w:tab w:leader="none" w:pos="92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 xml:space="preserve"> Supplier shall have no liability or obligation to any of the Indemnified Parties for that portion of a Covered Loss which is based on (and only to the extent such portion is based on):</w:t>
      </w:r>
    </w:p>
    <w:p>
      <w:pPr>
        <w:spacing w:after="0" w:line="75" w:lineRule="exact"/>
        <w:rPr>
          <w:rFonts w:ascii="Arial" w:cs="Arial" w:eastAsia="Arial" w:hAnsi="Arial"/>
          <w:sz w:val="18"/>
          <w:szCs w:val="18"/>
          <w:color w:val="auto"/>
        </w:rPr>
      </w:pPr>
    </w:p>
    <w:p>
      <w:pPr>
        <w:ind w:left="1380" w:right="60" w:hanging="439"/>
        <w:spacing w:after="0" w:line="277" w:lineRule="auto"/>
        <w:tabs>
          <w:tab w:leader="none" w:pos="13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use of the Provided Elements by the Indemnified Parties in a manner that constitutes a breach of the scope of the license terms under this Agreement or an Order; or</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an unauthorized modification of the Provided Elements by or on behalf of an Indemnified Party; or</w:t>
      </w:r>
    </w:p>
    <w:p>
      <w:pPr>
        <w:spacing w:after="0" w:line="130" w:lineRule="exact"/>
        <w:rPr>
          <w:rFonts w:ascii="Arial" w:cs="Arial" w:eastAsia="Arial" w:hAnsi="Arial"/>
          <w:sz w:val="18"/>
          <w:szCs w:val="18"/>
          <w:color w:val="auto"/>
        </w:rPr>
      </w:pPr>
    </w:p>
    <w:p>
      <w:pPr>
        <w:ind w:left="1380" w:right="540" w:hanging="439"/>
        <w:spacing w:after="0" w:line="277" w:lineRule="auto"/>
        <w:tabs>
          <w:tab w:leader="none" w:pos="13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Supplier’s contractually required conformance to the Indemnified Party’s written specifications, unless any one or more of the following is true:</w:t>
      </w:r>
    </w:p>
    <w:p>
      <w:pPr>
        <w:spacing w:after="0" w:line="75" w:lineRule="exact"/>
        <w:rPr>
          <w:rFonts w:ascii="Arial" w:cs="Arial" w:eastAsia="Arial" w:hAnsi="Arial"/>
          <w:sz w:val="18"/>
          <w:szCs w:val="18"/>
          <w:color w:val="auto"/>
        </w:rPr>
      </w:pPr>
    </w:p>
    <w:p>
      <w:pPr>
        <w:ind w:left="1920" w:right="80" w:hanging="533"/>
        <w:spacing w:after="0" w:line="263" w:lineRule="auto"/>
        <w:tabs>
          <w:tab w:leader="none" w:pos="1920" w:val="left"/>
        </w:tabs>
        <w:numPr>
          <w:ilvl w:val="3"/>
          <w:numId w:val="106"/>
        </w:numPr>
        <w:rPr>
          <w:rFonts w:ascii="Arial" w:cs="Arial" w:eastAsia="Arial" w:hAnsi="Arial"/>
          <w:sz w:val="18"/>
          <w:szCs w:val="18"/>
          <w:color w:val="auto"/>
        </w:rPr>
      </w:pPr>
      <w:r>
        <w:rPr>
          <w:rFonts w:ascii="Arial" w:cs="Arial" w:eastAsia="Arial" w:hAnsi="Arial"/>
          <w:sz w:val="18"/>
          <w:szCs w:val="18"/>
          <w:color w:val="auto"/>
        </w:rPr>
        <w:t>the Provided Elements are or have been provided by or on behalf of Supplier to any third party at any time prior to receipt of the written specification from the Indemnified Party and other than as a result of Supplier’s conformance to specifications provided by such third party; or</w:t>
      </w:r>
    </w:p>
    <w:p>
      <w:pPr>
        <w:spacing w:after="0" w:line="89" w:lineRule="exact"/>
        <w:rPr>
          <w:rFonts w:ascii="Arial" w:cs="Arial" w:eastAsia="Arial" w:hAnsi="Arial"/>
          <w:sz w:val="18"/>
          <w:szCs w:val="18"/>
          <w:color w:val="auto"/>
        </w:rPr>
      </w:pPr>
    </w:p>
    <w:p>
      <w:pPr>
        <w:ind w:left="1920" w:right="480" w:hanging="533"/>
        <w:spacing w:after="0" w:line="277" w:lineRule="auto"/>
        <w:tabs>
          <w:tab w:leader="none" w:pos="1920" w:val="left"/>
        </w:tabs>
        <w:numPr>
          <w:ilvl w:val="3"/>
          <w:numId w:val="106"/>
        </w:numPr>
        <w:rPr>
          <w:rFonts w:ascii="Arial" w:cs="Arial" w:eastAsia="Arial" w:hAnsi="Arial"/>
          <w:sz w:val="18"/>
          <w:szCs w:val="18"/>
          <w:color w:val="auto"/>
        </w:rPr>
      </w:pPr>
      <w:r>
        <w:rPr>
          <w:rFonts w:ascii="Arial" w:cs="Arial" w:eastAsia="Arial" w:hAnsi="Arial"/>
          <w:sz w:val="18"/>
          <w:szCs w:val="18"/>
          <w:color w:val="auto"/>
        </w:rPr>
        <w:t>Supplier knew that such specifications for the Provided Elements were infringing and failed to implement a technically feasible non-infringing means of complying with those specifications; or</w:t>
      </w:r>
    </w:p>
    <w:p>
      <w:pPr>
        <w:spacing w:after="0" w:line="75" w:lineRule="exact"/>
        <w:rPr>
          <w:rFonts w:ascii="Arial" w:cs="Arial" w:eastAsia="Arial" w:hAnsi="Arial"/>
          <w:sz w:val="18"/>
          <w:szCs w:val="18"/>
          <w:color w:val="auto"/>
        </w:rPr>
      </w:pPr>
    </w:p>
    <w:p>
      <w:pPr>
        <w:ind w:left="1920" w:right="20" w:hanging="533"/>
        <w:spacing w:after="0" w:line="277" w:lineRule="auto"/>
        <w:tabs>
          <w:tab w:leader="none" w:pos="1920" w:val="left"/>
        </w:tabs>
        <w:numPr>
          <w:ilvl w:val="3"/>
          <w:numId w:val="106"/>
        </w:numPr>
        <w:rPr>
          <w:rFonts w:ascii="Arial" w:cs="Arial" w:eastAsia="Arial" w:hAnsi="Arial"/>
          <w:sz w:val="18"/>
          <w:szCs w:val="18"/>
          <w:color w:val="auto"/>
        </w:rPr>
      </w:pPr>
      <w:r>
        <w:rPr>
          <w:rFonts w:ascii="Arial" w:cs="Arial" w:eastAsia="Arial" w:hAnsi="Arial"/>
          <w:sz w:val="18"/>
          <w:szCs w:val="18"/>
          <w:color w:val="auto"/>
        </w:rPr>
        <w:t>the relevant specifications for the Provided Elements are of Supplier’s (or one or more of its sub-suppliers’) origin, design, or selection.</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use of the Provided Elements by the Indemnified Parties in a [***] that the Indemnified Parties knew was infringing.</w:t>
      </w:r>
    </w:p>
    <w:p>
      <w:pPr>
        <w:spacing w:after="0" w:line="130" w:lineRule="exact"/>
        <w:rPr>
          <w:rFonts w:ascii="Arial" w:cs="Arial" w:eastAsia="Arial" w:hAnsi="Arial"/>
          <w:sz w:val="18"/>
          <w:szCs w:val="18"/>
          <w:color w:val="auto"/>
        </w:rPr>
      </w:pPr>
    </w:p>
    <w:p>
      <w:pPr>
        <w:ind w:left="1380" w:right="40" w:hanging="439"/>
        <w:spacing w:after="0" w:line="311" w:lineRule="auto"/>
        <w:tabs>
          <w:tab w:leader="none" w:pos="1380"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 [***] Claim alleging infringement of a patent that issued after the date on which the Provided Element was provided to AT&amp;T, if such Provided Element constitutes Paid for Development under this Agreement, except to the extent Amdocs Pre-Existing Materials, Amdocs Independently Developed Materials, or Amdocs Mere Reconfigurations embedded therein caused the infringement.</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37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60" w:name="page161"/>
    <w:bookmarkEnd w:id="160"/>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60" w:hanging="532"/>
        <w:spacing w:after="0" w:line="255" w:lineRule="auto"/>
        <w:tabs>
          <w:tab w:leader="none" w:pos="96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OTHER LIMITATIONS OF LIABILITY NOT APPLICABLE.</w:t>
      </w:r>
      <w:r>
        <w:rPr>
          <w:rFonts w:ascii="Arial" w:cs="Arial" w:eastAsia="Arial" w:hAnsi="Arial"/>
          <w:sz w:val="18"/>
          <w:szCs w:val="18"/>
          <w:color w:val="auto"/>
        </w:rPr>
        <w:t xml:space="preserve"> NOTWITHSTANDING ANY OTHER PROVISION IN THIS AGREEMENT TO THE CONTRARY (AND WHETHER OR NOT SUCH A PROVISION CONTAINS LANGUAGE TO THE EFFECT THAT THE PROVISION TAKES PRECEDENCE OVER OTHER PROVISIONS CONTRARY TO IT), WHETHER EXPRESS OR IMPLIED, NONE OF THE LIMITATIONS OF LIABILITY (INCLUDING, WITHOUT LIMITATION, ANY LIMITATIONS REGARDING TYPES OF OR AMOUNTS OF DAMAGES OR LIABILITIES) CONTAINED ANYWHERE IN THIS AGREEMENT WILL APPLY TO SUPPLIER’S OBLIGATIONS UNDER THIS SECTION.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3.18  Insurance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agree that this Section shall apply to all existing and future Orders between AT&amp;T and Supplier.</w:t>
      </w:r>
    </w:p>
    <w:p>
      <w:pPr>
        <w:spacing w:after="0" w:line="131" w:lineRule="exact"/>
        <w:rPr>
          <w:sz w:val="20"/>
          <w:szCs w:val="20"/>
          <w:color w:val="auto"/>
        </w:rPr>
      </w:pPr>
    </w:p>
    <w:p>
      <w:pPr>
        <w:ind w:left="960" w:right="80" w:hanging="532"/>
        <w:spacing w:after="0" w:line="277"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With respect to Supplier’s performance under this Agreement, and in addition to Supplier’s obligation to indemnify, Supplier shall comply with this Section, at its sole cost and expense.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Supplier shall maintain insurance coverages and limits required by this Section and any additional insurance and/or bonds required by law:</w:t>
      </w:r>
    </w:p>
    <w:p>
      <w:pPr>
        <w:spacing w:after="0" w:line="153" w:lineRule="exact"/>
        <w:rPr>
          <w:rFonts w:ascii="Arial" w:cs="Arial" w:eastAsia="Arial" w:hAnsi="Arial"/>
          <w:sz w:val="16"/>
          <w:szCs w:val="16"/>
          <w:color w:val="auto"/>
        </w:rPr>
      </w:pPr>
    </w:p>
    <w:p>
      <w:pPr>
        <w:ind w:left="1420" w:right="420" w:hanging="439"/>
        <w:spacing w:after="0" w:line="277" w:lineRule="auto"/>
        <w:tabs>
          <w:tab w:leader="none" w:pos="14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at all times during the term of this Agreement and until completion of all Services associated with this Agreement, whichever is later; and</w:t>
      </w:r>
    </w:p>
    <w:p>
      <w:pPr>
        <w:spacing w:after="0" w:line="75" w:lineRule="exact"/>
        <w:rPr>
          <w:rFonts w:ascii="Arial" w:cs="Arial" w:eastAsia="Arial" w:hAnsi="Arial"/>
          <w:sz w:val="18"/>
          <w:szCs w:val="18"/>
          <w:color w:val="auto"/>
        </w:rPr>
      </w:pPr>
    </w:p>
    <w:p>
      <w:pPr>
        <w:ind w:left="1420" w:right="560" w:hanging="439"/>
        <w:spacing w:after="0" w:line="263" w:lineRule="auto"/>
        <w:tabs>
          <w:tab w:leader="none" w:pos="14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with respect to any coverage maintained in a “claims-made” policy, for two (2) years following the term of this Agreement or completion of all Services associated with this Agreement, whichever is later. If a “claims-made” policy is maintained, the retroactive date must precede the commencement of Services under this Agreement;</w:t>
      </w:r>
    </w:p>
    <w:p>
      <w:pPr>
        <w:spacing w:after="0" w:line="89" w:lineRule="exact"/>
        <w:rPr>
          <w:rFonts w:ascii="Arial" w:cs="Arial" w:eastAsia="Arial" w:hAnsi="Arial"/>
          <w:sz w:val="18"/>
          <w:szCs w:val="18"/>
          <w:color w:val="auto"/>
        </w:rPr>
      </w:pPr>
    </w:p>
    <w:p>
      <w:pPr>
        <w:ind w:left="960" w:right="40" w:hanging="532"/>
        <w:spacing w:after="0" w:line="301" w:lineRule="auto"/>
        <w:tabs>
          <w:tab w:leader="none" w:pos="96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Supplier shall procure the required insurance from an insurance company eligible to do business in the state or states where Services will be performed and having and maintaining a Financial Strength Rating of “A-” or better and a Financial Size Category of “VII” or better, as rated in the A.M. Best Key Rating Guide for Property and Casualty Insurance Companies, except that, in the case of Workers’ Compensation insurance, Supplier may procure insurance from the state fund of the state where Services are to be performed.</w:t>
      </w:r>
    </w:p>
    <w:p>
      <w:pPr>
        <w:spacing w:after="0" w:line="62" w:lineRule="exact"/>
        <w:rPr>
          <w:rFonts w:ascii="Arial" w:cs="Arial" w:eastAsia="Arial" w:hAnsi="Arial"/>
          <w:sz w:val="16"/>
          <w:szCs w:val="16"/>
          <w:color w:val="auto"/>
        </w:rPr>
      </w:pPr>
    </w:p>
    <w:p>
      <w:pPr>
        <w:ind w:left="960" w:right="260" w:hanging="532"/>
        <w:spacing w:after="0" w:line="263" w:lineRule="auto"/>
        <w:tabs>
          <w:tab w:leader="none" w:pos="9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Supplier shall deliver to AT&amp;T certificates of insurance stating the types of insurance and policy limits. Supplier shall provide or will endeavor to have the issuing insurance company provide at least thirty (30) days advance written notice of cancellation, non-renewal, or reduction in coverage, terms, or limits to AT&amp;T. Supplier shall deliver such certificates:</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prior to execution of this Agreement and prior to commencement of any Services;</w:t>
      </w:r>
    </w:p>
    <w:p>
      <w:pPr>
        <w:spacing w:after="0" w:line="130" w:lineRule="exact"/>
        <w:rPr>
          <w:rFonts w:ascii="Arial" w:cs="Arial" w:eastAsia="Arial" w:hAnsi="Arial"/>
          <w:sz w:val="18"/>
          <w:szCs w:val="18"/>
          <w:color w:val="auto"/>
        </w:rPr>
      </w:pPr>
    </w:p>
    <w:p>
      <w:pPr>
        <w:ind w:left="1420" w:right="660" w:hanging="439"/>
        <w:spacing w:after="0" w:line="277" w:lineRule="auto"/>
        <w:tabs>
          <w:tab w:leader="none" w:pos="142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in connection with a policy renewal or replacement, no later than fourteen (14) days following expiration of the then-current insurance policy required in this Section; and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38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61" w:name="page162"/>
    <w:bookmarkEnd w:id="161"/>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00" w:hanging="439"/>
        <w:spacing w:after="0" w:line="277" w:lineRule="auto"/>
        <w:tabs>
          <w:tab w:leader="none" w:pos="13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for any coverage maintained on a “claims-made” policy, for two (2) years following the term of this Agreement or completion of all Services associated with this Agreement, whichever is later.</w:t>
      </w:r>
    </w:p>
    <w:p>
      <w:pPr>
        <w:spacing w:after="0" w:line="75" w:lineRule="exact"/>
        <w:rPr>
          <w:rFonts w:ascii="Arial" w:cs="Arial" w:eastAsia="Arial" w:hAnsi="Arial"/>
          <w:sz w:val="18"/>
          <w:szCs w:val="18"/>
          <w:color w:val="auto"/>
        </w:rPr>
      </w:pPr>
    </w:p>
    <w:p>
      <w:pPr>
        <w:ind w:left="920" w:hanging="532"/>
        <w:spacing w:after="0"/>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Parties agree that:</w:t>
      </w:r>
    </w:p>
    <w:p>
      <w:pPr>
        <w:spacing w:after="0" w:line="130" w:lineRule="exact"/>
        <w:rPr>
          <w:rFonts w:ascii="Arial" w:cs="Arial" w:eastAsia="Arial" w:hAnsi="Arial"/>
          <w:sz w:val="18"/>
          <w:szCs w:val="18"/>
          <w:color w:val="auto"/>
        </w:rPr>
      </w:pPr>
    </w:p>
    <w:p>
      <w:pPr>
        <w:ind w:left="1380" w:right="280" w:hanging="439"/>
        <w:spacing w:after="0" w:line="277" w:lineRule="auto"/>
        <w:tabs>
          <w:tab w:leader="none" w:pos="13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the failure of AT&amp;T to demand such certificate of insurance or failure of AT&amp;T to identify a deficiency will not be construed as a waiver of Supplier’s obligation to maintain the insurance required under this Agreement;</w:t>
      </w:r>
    </w:p>
    <w:p>
      <w:pPr>
        <w:spacing w:after="0" w:line="76" w:lineRule="exact"/>
        <w:rPr>
          <w:sz w:val="20"/>
          <w:szCs w:val="20"/>
          <w:color w:val="auto"/>
        </w:rPr>
      </w:pPr>
    </w:p>
    <w:p>
      <w:pPr>
        <w:ind w:left="1380" w:right="480" w:hanging="439"/>
        <w:spacing w:after="0" w:line="277" w:lineRule="auto"/>
        <w:tabs>
          <w:tab w:leader="none" w:pos="13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insurance required under this Agreement does not represent that coverage and limits will necessarily be adequate to protect Supplier, nor will it be deemed as a limitation on Supplier’s liability to AT&amp;T in this Agreement;</w:t>
      </w:r>
    </w:p>
    <w:p>
      <w:pPr>
        <w:spacing w:after="0" w:line="75" w:lineRule="exact"/>
        <w:rPr>
          <w:rFonts w:ascii="Arial" w:cs="Arial" w:eastAsia="Arial" w:hAnsi="Arial"/>
          <w:sz w:val="18"/>
          <w:szCs w:val="18"/>
          <w:color w:val="auto"/>
        </w:rPr>
      </w:pPr>
    </w:p>
    <w:p>
      <w:pPr>
        <w:ind w:left="1380" w:right="200" w:hanging="439"/>
        <w:spacing w:after="0" w:line="277" w:lineRule="auto"/>
        <w:tabs>
          <w:tab w:leader="none" w:pos="13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Supplier may meet the required insurance coverages and limits with any [***] of primary and Umbrella/Excess liability insurance; and</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Supplier is responsible for any deductible or self-insured retention.</w:t>
      </w:r>
    </w:p>
    <w:p>
      <w:pPr>
        <w:spacing w:after="0" w:line="130" w:lineRule="exact"/>
        <w:rPr>
          <w:rFonts w:ascii="Arial" w:cs="Arial" w:eastAsia="Arial" w:hAnsi="Arial"/>
          <w:sz w:val="18"/>
          <w:szCs w:val="18"/>
          <w:color w:val="auto"/>
        </w:rPr>
      </w:pPr>
    </w:p>
    <w:p>
      <w:pPr>
        <w:ind w:left="920" w:hanging="532"/>
        <w:spacing w:after="0"/>
        <w:tabs>
          <w:tab w:leader="none" w:pos="92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insurance coverage required of Supplier by this Section shall include:</w:t>
      </w:r>
    </w:p>
    <w:p>
      <w:pPr>
        <w:spacing w:after="0" w:line="130" w:lineRule="exact"/>
        <w:rPr>
          <w:rFonts w:ascii="Arial" w:cs="Arial" w:eastAsia="Arial" w:hAnsi="Arial"/>
          <w:sz w:val="18"/>
          <w:szCs w:val="18"/>
          <w:color w:val="auto"/>
        </w:rPr>
      </w:pPr>
    </w:p>
    <w:p>
      <w:pPr>
        <w:ind w:left="1380" w:right="220" w:hanging="439"/>
        <w:spacing w:after="0" w:line="277" w:lineRule="auto"/>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Workers’ Compensation insurance with benefits afforded under the laws of the state in which the Services are to be performed and Employers Liability insurance with limits of at least:</w:t>
      </w:r>
    </w:p>
    <w:p>
      <w:pPr>
        <w:spacing w:after="0" w:line="75" w:lineRule="exact"/>
        <w:rPr>
          <w:rFonts w:ascii="Arial" w:cs="Arial" w:eastAsia="Arial" w:hAnsi="Arial"/>
          <w:sz w:val="18"/>
          <w:szCs w:val="18"/>
          <w:color w:val="auto"/>
        </w:rPr>
      </w:pPr>
    </w:p>
    <w:p>
      <w:pPr>
        <w:ind w:left="1920" w:hanging="533"/>
        <w:spacing w:after="0"/>
        <w:tabs>
          <w:tab w:leader="none" w:pos="19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$500,000 for Bodily Injury – each accident</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$500,000 for Bodily Injury be disease – policy limits</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$500,000 for Bodily Injury by disease – each employee</w:t>
      </w:r>
    </w:p>
    <w:p>
      <w:pPr>
        <w:spacing w:after="0" w:line="130" w:lineRule="exact"/>
        <w:rPr>
          <w:rFonts w:ascii="Arial" w:cs="Arial" w:eastAsia="Arial" w:hAnsi="Arial"/>
          <w:sz w:val="18"/>
          <w:szCs w:val="18"/>
          <w:color w:val="auto"/>
        </w:rPr>
      </w:pPr>
    </w:p>
    <w:p>
      <w:pPr>
        <w:ind w:left="1920" w:right="140" w:hanging="533"/>
        <w:spacing w:after="0" w:line="277" w:lineRule="auto"/>
        <w:tabs>
          <w:tab w:leader="none" w:pos="19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To the fullest extent allowable by Law, the policy must include a waiver of subrogation in favor of AT&amp;T, its Affiliates, and their directors, officers and employees.</w:t>
      </w:r>
    </w:p>
    <w:p>
      <w:pPr>
        <w:spacing w:after="0" w:line="75" w:lineRule="exact"/>
        <w:rPr>
          <w:rFonts w:ascii="Arial" w:cs="Arial" w:eastAsia="Arial" w:hAnsi="Arial"/>
          <w:sz w:val="18"/>
          <w:szCs w:val="18"/>
          <w:color w:val="auto"/>
        </w:rPr>
      </w:pPr>
    </w:p>
    <w:p>
      <w:pPr>
        <w:ind w:left="1920" w:right="20" w:hanging="533"/>
        <w:spacing w:after="0" w:line="277" w:lineRule="auto"/>
        <w:tabs>
          <w:tab w:leader="none" w:pos="19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In states where Workers’ Compensation insurance is a monopolistic state-run system, Supplier shall add Stop Gap Employers Liability with limits not less than $500,000 each accident or disease.</w:t>
      </w:r>
    </w:p>
    <w:p>
      <w:pPr>
        <w:spacing w:after="0" w:line="75" w:lineRule="exact"/>
        <w:rPr>
          <w:rFonts w:ascii="Arial" w:cs="Arial" w:eastAsia="Arial" w:hAnsi="Arial"/>
          <w:sz w:val="18"/>
          <w:szCs w:val="18"/>
          <w:color w:val="auto"/>
        </w:rPr>
      </w:pPr>
    </w:p>
    <w:p>
      <w:pPr>
        <w:ind w:left="1380" w:right="120" w:hanging="439"/>
        <w:spacing w:after="0" w:line="259" w:lineRule="auto"/>
        <w:tabs>
          <w:tab w:leader="none" w:pos="138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Commercial General Liability insurance written on Insurance Services Office (ISO) Form CG 00 01 12 04 or a substitute form providing equivalent coverage, covering liability arising from premises, operations, personal injury, products/completed operations, and liability assumed under an insured contract (including the tort liability of another assumed in a business contract) with limits of at least:</w:t>
      </w:r>
    </w:p>
    <w:p>
      <w:pPr>
        <w:spacing w:after="0" w:line="92" w:lineRule="exact"/>
        <w:rPr>
          <w:rFonts w:ascii="Arial" w:cs="Arial" w:eastAsia="Arial" w:hAnsi="Arial"/>
          <w:sz w:val="18"/>
          <w:szCs w:val="18"/>
          <w:color w:val="auto"/>
        </w:rPr>
      </w:pPr>
    </w:p>
    <w:p>
      <w:pPr>
        <w:ind w:left="1920" w:hanging="533"/>
        <w:spacing w:after="0"/>
        <w:tabs>
          <w:tab w:leader="none" w:pos="19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$2,000,000 General Aggregate limit</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2"/>
          <w:numId w:val="112"/>
        </w:numPr>
        <w:rPr>
          <w:rFonts w:ascii="Arial" w:cs="Arial" w:eastAsia="Arial" w:hAnsi="Arial"/>
          <w:sz w:val="18"/>
          <w:szCs w:val="18"/>
          <w:color w:val="auto"/>
        </w:rPr>
      </w:pPr>
      <w:r>
        <w:rPr>
          <w:rFonts w:ascii="Arial" w:cs="Arial" w:eastAsia="Arial" w:hAnsi="Arial"/>
          <w:sz w:val="18"/>
          <w:szCs w:val="18"/>
          <w:color w:val="auto"/>
        </w:rPr>
        <w:t>$1,000,000 each occurrence limit for all bodily injury or property damage incurred in any one (1) occurrence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39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62" w:name="page163"/>
    <w:bookmarkEnd w:id="162"/>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920" w:hanging="533"/>
        <w:spacing w:after="0"/>
        <w:tabs>
          <w:tab w:leader="none" w:pos="19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$1,000,000 each occurrence limit for Personal Injury and Advertising Injury</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$2,000,000 Products/Completed Operations Aggregate limit</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113"/>
        </w:numPr>
        <w:rPr>
          <w:rFonts w:ascii="Arial" w:cs="Arial" w:eastAsia="Arial" w:hAnsi="Arial"/>
          <w:sz w:val="18"/>
          <w:szCs w:val="18"/>
          <w:color w:val="auto"/>
        </w:rPr>
      </w:pPr>
      <w:r>
        <w:rPr>
          <w:rFonts w:ascii="Arial" w:cs="Arial" w:eastAsia="Arial" w:hAnsi="Arial"/>
          <w:sz w:val="18"/>
          <w:szCs w:val="18"/>
          <w:color w:val="auto"/>
        </w:rPr>
        <w:t>$1,000,000 each occurrence limit for Products/Completed Operations</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Commercial General Liability insurance policy must:</w:t>
      </w:r>
    </w:p>
    <w:p>
      <w:pPr>
        <w:spacing w:after="0" w:line="130" w:lineRule="exact"/>
        <w:rPr>
          <w:rFonts w:ascii="Arial" w:cs="Arial" w:eastAsia="Arial" w:hAnsi="Arial"/>
          <w:sz w:val="18"/>
          <w:szCs w:val="18"/>
          <w:color w:val="auto"/>
        </w:rPr>
      </w:pPr>
    </w:p>
    <w:p>
      <w:pPr>
        <w:ind w:left="1920" w:right="40" w:hanging="533"/>
        <w:spacing w:after="0" w:line="257" w:lineRule="auto"/>
        <w:tabs>
          <w:tab w:leader="none" w:pos="19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include AT&amp;T, its Affiliates, and their directors, officers, and employees as Additional Insureds. Supplier shall provide a copy of the Additional Insured endorsement to AT&amp;T. The Additional Insured endorsement may either be specific to AT&amp;T or may be “blanket” or “automatic” addressing any person or entity as required by contract. A copy of the Additional Insured endorsement must be provided within sixty (60) days of execution of this Agreement and within sixty (60) days of each Commercial General Liability policy renewal;</w:t>
      </w:r>
    </w:p>
    <w:p>
      <w:pPr>
        <w:spacing w:after="0" w:line="93" w:lineRule="exact"/>
        <w:rPr>
          <w:rFonts w:ascii="Arial" w:cs="Arial" w:eastAsia="Arial" w:hAnsi="Arial"/>
          <w:sz w:val="18"/>
          <w:szCs w:val="18"/>
          <w:color w:val="auto"/>
        </w:rPr>
      </w:pPr>
    </w:p>
    <w:p>
      <w:pPr>
        <w:ind w:left="1920" w:hanging="533"/>
        <w:spacing w:after="0"/>
        <w:tabs>
          <w:tab w:leader="none" w:pos="19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include a waiver of subrogation in favor of AT&amp;T, its Affiliates, and their directors, officers and employees; and</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114"/>
        </w:numPr>
        <w:rPr>
          <w:rFonts w:ascii="Arial" w:cs="Arial" w:eastAsia="Arial" w:hAnsi="Arial"/>
          <w:sz w:val="18"/>
          <w:szCs w:val="18"/>
          <w:color w:val="auto"/>
        </w:rPr>
      </w:pPr>
      <w:r>
        <w:rPr>
          <w:rFonts w:ascii="Arial" w:cs="Arial" w:eastAsia="Arial" w:hAnsi="Arial"/>
          <w:sz w:val="18"/>
          <w:szCs w:val="18"/>
          <w:color w:val="auto"/>
        </w:rPr>
        <w:t>be primary and non-contributory with respect to any insurance or self-insurance that is maintained by AT&amp;T.</w:t>
      </w:r>
    </w:p>
    <w:p>
      <w:pPr>
        <w:spacing w:after="0" w:line="130" w:lineRule="exact"/>
        <w:rPr>
          <w:rFonts w:ascii="Arial" w:cs="Arial" w:eastAsia="Arial" w:hAnsi="Arial"/>
          <w:sz w:val="18"/>
          <w:szCs w:val="18"/>
          <w:color w:val="auto"/>
        </w:rPr>
      </w:pPr>
    </w:p>
    <w:p>
      <w:pPr>
        <w:ind w:left="1380" w:right="380" w:hanging="439"/>
        <w:spacing w:after="0" w:line="277" w:lineRule="auto"/>
        <w:tabs>
          <w:tab w:leader="none" w:pos="13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Business Automobile Liability insurance with limits of at least $1,000,000 each accident for bodily injury and property damage, extending to all owned, hired, and non-owned vehicles.</w:t>
      </w:r>
    </w:p>
    <w:p>
      <w:pPr>
        <w:spacing w:after="0" w:line="75" w:lineRule="exact"/>
        <w:rPr>
          <w:rFonts w:ascii="Arial" w:cs="Arial" w:eastAsia="Arial" w:hAnsi="Arial"/>
          <w:sz w:val="18"/>
          <w:szCs w:val="18"/>
          <w:color w:val="auto"/>
        </w:rPr>
      </w:pPr>
    </w:p>
    <w:p>
      <w:pPr>
        <w:ind w:left="1380" w:right="160" w:hanging="439"/>
        <w:spacing w:after="0" w:line="311" w:lineRule="auto"/>
        <w:tabs>
          <w:tab w:leader="none" w:pos="138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Umbrella/Excess Liability insurance with limits of at least $1,000,000 each occurrence and with terms and conditions at least as broad as the underlying Commercial General Liability, Business Auto Liability, and Employers Liability policies. Umbrella/Excess Liability limits will be primary and non-contributory with respect to any insurance or self-insurance that is maintained by AT&amp;T.</w:t>
      </w:r>
    </w:p>
    <w:p>
      <w:pPr>
        <w:spacing w:after="0" w:line="54" w:lineRule="exact"/>
        <w:rPr>
          <w:rFonts w:ascii="Arial" w:cs="Arial" w:eastAsia="Arial" w:hAnsi="Arial"/>
          <w:sz w:val="16"/>
          <w:szCs w:val="16"/>
          <w:color w:val="auto"/>
        </w:rPr>
      </w:pPr>
    </w:p>
    <w:p>
      <w:pPr>
        <w:ind w:left="1380" w:right="60" w:hanging="439"/>
        <w:spacing w:after="0" w:line="259" w:lineRule="auto"/>
        <w:tabs>
          <w:tab w:leader="none" w:pos="13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Fidelity or Crime insurance covering employee dishonesty, including but not limited to dishonest acts of Supplier and its employees, agents, Subcontractors and anyone under Supplier’s supervision or control. Supplier shall be liable for money, securities or other property of AT&amp;T in the custody, care or control of the Supplier. Supplier shall include a client coverage endorsement written for limits of a least $1,000,000 and shall include AT&amp;T as Loss Payee.</w:t>
      </w:r>
    </w:p>
    <w:p>
      <w:pPr>
        <w:spacing w:after="0" w:line="92" w:lineRule="exact"/>
        <w:rPr>
          <w:rFonts w:ascii="Arial" w:cs="Arial" w:eastAsia="Arial" w:hAnsi="Arial"/>
          <w:sz w:val="18"/>
          <w:szCs w:val="18"/>
          <w:color w:val="auto"/>
        </w:rPr>
      </w:pPr>
    </w:p>
    <w:p>
      <w:pPr>
        <w:ind w:left="1380" w:right="260" w:hanging="439"/>
        <w:spacing w:after="0" w:line="277" w:lineRule="auto"/>
        <w:tabs>
          <w:tab w:leader="none" w:pos="13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Professional Liability (Errors &amp; Omissions) insurance with limits of at least $1,000,000 each claim or wrongful act including data security breach.</w:t>
      </w:r>
    </w:p>
    <w:p>
      <w:pPr>
        <w:spacing w:after="0" w:line="75" w:lineRule="exact"/>
        <w:rPr>
          <w:rFonts w:ascii="Arial" w:cs="Arial" w:eastAsia="Arial" w:hAnsi="Arial"/>
          <w:sz w:val="18"/>
          <w:szCs w:val="18"/>
          <w:color w:val="auto"/>
        </w:rPr>
      </w:pPr>
    </w:p>
    <w:p>
      <w:pPr>
        <w:jc w:val="both"/>
        <w:ind w:left="1380" w:right="100" w:hanging="439"/>
        <w:spacing w:after="0" w:line="263" w:lineRule="auto"/>
        <w:tabs>
          <w:tab w:leader="none" w:pos="13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Property insurance with limits equal to the replacement cost of Supplier’s Business Personal Property at the location where Services are to be performed under this Agreement. The Property insurance policy will include a waiver of subrogation in favor of AT&amp;T, its Affiliates, and their directors, officers and employees.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40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63" w:name="page164"/>
    <w:bookmarkEnd w:id="163"/>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40" w:hanging="532"/>
        <w:spacing w:after="0" w:line="257" w:lineRule="auto"/>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To the extent that Supplier’s Subcontractors are not covered by the insurance policies required under this Section, Supplier shall require each Subcontractor that may perform Services under this Agreement or enter upon the AT&amp;T Facilities or Supplier facilities to maintain coverages, requirements, and limits at least as broad as those listed in this Section from the time when the Subcontractor begins performance of Services, throughout the term of the Subcontractor’s performance of Services and, with respect to any coverage maintained on a “claims-made” policy, for two (2) years thereafter.</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3.19  Invoicing and Payment</w:t>
      </w:r>
    </w:p>
    <w:p>
      <w:pPr>
        <w:spacing w:after="0" w:line="131" w:lineRule="exact"/>
        <w:rPr>
          <w:sz w:val="20"/>
          <w:szCs w:val="20"/>
          <w:color w:val="auto"/>
        </w:rPr>
      </w:pPr>
    </w:p>
    <w:p>
      <w:pPr>
        <w:ind w:left="960" w:right="100" w:hanging="532"/>
        <w:spacing w:after="0" w:line="277"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Supplier shall render an invoice under any License Order, Services Order, or Maintenance Order under this Agreement in accordance with the payment schedule as set forth in such Order.</w:t>
      </w:r>
    </w:p>
    <w:p>
      <w:pPr>
        <w:spacing w:after="0" w:line="75" w:lineRule="exact"/>
        <w:rPr>
          <w:rFonts w:ascii="Arial" w:cs="Arial" w:eastAsia="Arial" w:hAnsi="Arial"/>
          <w:sz w:val="18"/>
          <w:szCs w:val="18"/>
          <w:color w:val="auto"/>
        </w:rPr>
      </w:pPr>
    </w:p>
    <w:p>
      <w:pPr>
        <w:ind w:left="960" w:right="80" w:hanging="532"/>
        <w:spacing w:after="0" w:line="269" w:lineRule="auto"/>
        <w:tabs>
          <w:tab w:leader="none" w:pos="96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invoice shall specify in detail, where applicable (1) quantities of each ordered item, (2) unit prices of each ordered item, (3) the estimated amount of tax per item, (4) any relevant item and commodity codes known to Supplier, (5) total amounts for each item, (6) total estimated amount of applicable sales or use taxes, (7) discounts, (8) shipping charges, (9) total amount due, and (10) any other items specified in the Order. AT&amp;T shall pay Supplier in accordance with the prices and invoicing provisions set forth in this Agreement within [***] days of the date of receipt of the invoice. Payment for Material or Services not conforming to the Specifications (in the event of payments due upon Acceptance), and portions of any invoice in dispute, may be withheld by AT&amp;T until such problem has been resolved in accordance with the provisions of this Agreement. If AT&amp;T disputes any invoice rendered or amount paid, AT&amp;T shall promptly so notify Supplier. The Parties shall use their best efforts to resolve such dispute expeditiously, per the dispute resolution provisions in this Agreement. Any undisputed portion of invoices shall be resubmitted by Supplier and paid in accordance with this Agreement. In the event that a dispute is resolved in Supplier’s favor, AT&amp;T will pay Disputed Payment Interest (as defined below) on the withheld fees from the date such payment was initially due.</w:t>
      </w:r>
    </w:p>
    <w:p>
      <w:pPr>
        <w:spacing w:after="0" w:line="87" w:lineRule="exact"/>
        <w:rPr>
          <w:rFonts w:ascii="Arial" w:cs="Arial" w:eastAsia="Arial" w:hAnsi="Arial"/>
          <w:sz w:val="17"/>
          <w:szCs w:val="17"/>
          <w:color w:val="auto"/>
        </w:rPr>
      </w:pPr>
    </w:p>
    <w:p>
      <w:pPr>
        <w:ind w:left="960" w:right="80" w:hanging="532"/>
        <w:spacing w:after="0" w:line="259"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Payment for Services performed may be either under a time and materials Services Order, or a fixed-bid Services Order. In time and materials Services Orders, AT&amp;T shall compensate Supplier on the basis of hours actually worked. In the case of fixed-bid Services Orders, AT&amp;T shall compensate Supplier on the basis of the agreed fixed price. Estimates for fixed bid Services Orders shall be calculated based upon [***] hours of work per month. [***].</w:t>
      </w:r>
    </w:p>
    <w:p>
      <w:pPr>
        <w:spacing w:after="0" w:line="92"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Supplier agrees to accept standard, commercial methods of payment and evidence of payment obligation including, but not limited to electronic fund transfers in connection with the purchase of the Material and Services.</w:t>
      </w:r>
    </w:p>
    <w:p>
      <w:pPr>
        <w:spacing w:after="0" w:line="75"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Supplier may assess interest on past due disputed amounts at [***] Chase Manhattan Bank as quoted in the Wall Street Journal on the date of the applicable invoice, or at the maximum interest rate allowed by law (“Disputed Payment Interest”).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41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64" w:name="page165"/>
    <w:bookmarkEnd w:id="16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120" w:hanging="532"/>
        <w:spacing w:after="0" w:line="255" w:lineRule="auto"/>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Notwithstanding any other remedies available to Supplier under this Agreement or under applicable law, payment in arrears of more than [***] [***] shall bear interest from the date payment is due [***] Chase Manhattan Bank as quoted in the Wall Street Journal or at the maximum interest rate allowed by law, unless the amount in arrears is disputed in good faith and until such dispute is resolved. Additionally, and without affecting the foregoing, AT&amp;T’s failure to pay any undisputed payment under this Agreement within [***] after such payment becomes due shall be considered a material breach of this Agreement by AT&amp;T, subject to the provisions of Section 3.36b, “Termination for Cause”.</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3.20  Labor Disputes</w:t>
      </w:r>
    </w:p>
    <w:p>
      <w:pPr>
        <w:spacing w:after="0" w:line="131" w:lineRule="exact"/>
        <w:rPr>
          <w:sz w:val="20"/>
          <w:szCs w:val="20"/>
          <w:color w:val="auto"/>
        </w:rPr>
      </w:pPr>
    </w:p>
    <w:p>
      <w:pPr>
        <w:ind w:left="960" w:right="20" w:hanging="532"/>
        <w:spacing w:after="0" w:line="293" w:lineRule="auto"/>
        <w:tabs>
          <w:tab w:leader="none" w:pos="9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 the event of a labor dispute between AT&amp;T and the union(s) representing AT&amp;T’s employees, AT&amp;T may exercise its right to modify the scope of Work under any Services Order with [***] days advance notice, including postponing, reducing, or terminating the Services to be provided under the Services Order and due to be performed after the commencement of a labor dispute, provided, however, that in the event of the termination of Services pursuant to this paragraph, such termination shall be deemed a termination for convenience and subject to the payment of any applicable early termination fees under such terminated Services Order. AT&amp;T acknowledges and agrees that the exercise of such right may result in a delay in the resumption of Services when requested by AT&amp;T.</w:t>
      </w:r>
    </w:p>
    <w:p>
      <w:pPr>
        <w:spacing w:after="0" w:line="69" w:lineRule="exact"/>
        <w:rPr>
          <w:rFonts w:ascii="Arial" w:cs="Arial" w:eastAsia="Arial" w:hAnsi="Arial"/>
          <w:sz w:val="16"/>
          <w:szCs w:val="16"/>
          <w:color w:val="auto"/>
        </w:rPr>
      </w:pPr>
    </w:p>
    <w:p>
      <w:pPr>
        <w:ind w:left="960" w:right="500" w:hanging="532"/>
        <w:spacing w:after="0" w:line="277" w:lineRule="auto"/>
        <w:tabs>
          <w:tab w:leader="none" w:pos="9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rights and obligations of the Parties under this Section are in addition to, and not a limitation of, their respective rights under the Section entitled “Amendments and Waivers”.</w:t>
      </w:r>
    </w:p>
    <w:p>
      <w:pPr>
        <w:spacing w:after="0" w:line="75" w:lineRule="exact"/>
        <w:rPr>
          <w:rFonts w:ascii="Arial" w:cs="Arial" w:eastAsia="Arial" w:hAnsi="Arial"/>
          <w:sz w:val="18"/>
          <w:szCs w:val="18"/>
          <w:color w:val="auto"/>
        </w:rPr>
      </w:pPr>
    </w:p>
    <w:p>
      <w:pPr>
        <w:ind w:left="960" w:right="100" w:hanging="532"/>
        <w:spacing w:after="0" w:line="296" w:lineRule="auto"/>
        <w:tabs>
          <w:tab w:leader="none" w:pos="9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Where AT&amp;T modifies the scope of Work to include a reduction, postponement, or termination of the Services to be provided, until reinstatement of such Services the terms of any Service Level Agreements and project delivery dates/milestones applicable to such Services shall be reasonably modified by the Parties to reflect such modification. In addition, no such modification shall relieve AT&amp;T of its obligation to pay Supplier for any Services actually performed by Supplier (whether before or after such modification) notwithstanding Supplier’s failure or inability to achieve any payment milestone set forth in the applicable Services Order as a result of such modification.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3.21  Limitation of Damages</w:t>
      </w:r>
    </w:p>
    <w:p>
      <w:pPr>
        <w:spacing w:after="0" w:line="131" w:lineRule="exact"/>
        <w:rPr>
          <w:sz w:val="20"/>
          <w:szCs w:val="20"/>
          <w:color w:val="auto"/>
        </w:rPr>
      </w:pPr>
    </w:p>
    <w:p>
      <w:pPr>
        <w:ind w:left="960" w:right="60" w:hanging="532"/>
        <w:spacing w:after="0" w:line="254" w:lineRule="auto"/>
        <w:tabs>
          <w:tab w:leader="none" w:pos="96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Exclusion of Indirect and Consequential Damages.</w:t>
      </w:r>
      <w:r>
        <w:rPr>
          <w:rFonts w:ascii="Arial" w:cs="Arial" w:eastAsia="Arial" w:hAnsi="Arial"/>
          <w:sz w:val="18"/>
          <w:szCs w:val="18"/>
          <w:color w:val="auto"/>
        </w:rPr>
        <w:t xml:space="preserve"> EXCEPT AS PROVIDED IN THIS SECTION, NEITHER PARTY SHALL BE LIABLE TO THE OTHER PARTY FOR INDIRECT, CONSEQUENTIAL, INCIDENTAL, SPECIAL, EXEMPLARY OR PUNITIVE DAMAGES, INCLUDING LOST REVENUE, LOST DATA OR LOST PROFITS, ARISING OUT OF ANY BREACH OF THE OBLIGATIONS OF THIS AGREEMENT, REGARDLESS OF THE THEORY OF RECOVERY, EVEN IF SUCH PARTY HAS BEEN ADVISED OF THE POSSIBILITY OF SUCH DAMAGES. HOWEVER, THE FOLLOWING ELEMENTS OF LOSS OR DAMAGE, IF PROVED, SHALL BE DEEMED DIRECT OR GENERAL DAMAGES NOT EXCLUDED OR LIMITED BY THE PRECEDING SENTENCE:</w:t>
      </w:r>
    </w:p>
    <w:p>
      <w:pPr>
        <w:spacing w:after="0" w:line="100" w:lineRule="exact"/>
        <w:rPr>
          <w:rFonts w:ascii="Arial" w:cs="Arial" w:eastAsia="Arial" w:hAnsi="Arial"/>
          <w:sz w:val="18"/>
          <w:szCs w:val="18"/>
          <w:color w:val="auto"/>
        </w:rPr>
      </w:pPr>
    </w:p>
    <w:p>
      <w:pPr>
        <w:ind w:left="1420" w:right="220" w:hanging="439"/>
        <w:spacing w:after="0" w:line="277" w:lineRule="auto"/>
        <w:tabs>
          <w:tab w:leader="none" w:pos="14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LIABILITY, LOSS, OR DAMAGE FOR WHICH ONE PARTY IS OBLIGATED TO INDEMNIFY THE OTHER UNDER THIS AGREEMENT;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42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65" w:name="page166"/>
    <w:bookmarkEnd w:id="165"/>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jc w:val="both"/>
        <w:ind w:left="1380" w:right="180" w:hanging="439"/>
        <w:spacing w:after="0" w:line="308" w:lineRule="auto"/>
        <w:tabs>
          <w:tab w:leader="none" w:pos="138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LOSS OR DAMAGE PROXIMATELY CAUSED BY A PARTY’S BREACH OF ITS OBLIGATIONS UNDER THE SECTIONS ENTITLED “INFORMATION” OR “ACCESS TO AT&amp;T PREMISES AND NON-PUBLIC INFORMATION SYSTEMS”; AND</w:t>
      </w:r>
    </w:p>
    <w:p>
      <w:pPr>
        <w:spacing w:after="0" w:line="51" w:lineRule="exact"/>
        <w:rPr>
          <w:rFonts w:ascii="Arial" w:cs="Arial" w:eastAsia="Arial" w:hAnsi="Arial"/>
          <w:sz w:val="17"/>
          <w:szCs w:val="17"/>
          <w:color w:val="auto"/>
        </w:rPr>
      </w:pPr>
    </w:p>
    <w:p>
      <w:pPr>
        <w:ind w:left="1380" w:hanging="439"/>
        <w:spacing w:after="0"/>
        <w:tabs>
          <w:tab w:leader="none" w:pos="138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LIQUIDATED DAMAGES AND CREDITS PROVIDED UNDER ANY PROVISION OF THIS AGREEMENT.</w:t>
      </w:r>
    </w:p>
    <w:p>
      <w:pPr>
        <w:spacing w:after="0" w:line="130" w:lineRule="exact"/>
        <w:rPr>
          <w:rFonts w:ascii="Arial" w:cs="Arial" w:eastAsia="Arial" w:hAnsi="Arial"/>
          <w:sz w:val="18"/>
          <w:szCs w:val="18"/>
          <w:color w:val="auto"/>
        </w:rPr>
      </w:pPr>
    </w:p>
    <w:p>
      <w:pPr>
        <w:ind w:left="920" w:right="160" w:hanging="532"/>
        <w:spacing w:after="0" w:line="257" w:lineRule="auto"/>
        <w:tabs>
          <w:tab w:leader="none" w:pos="920" w:val="left"/>
        </w:tabs>
        <w:numPr>
          <w:ilvl w:val="0"/>
          <w:numId w:val="121"/>
        </w:numPr>
        <w:rPr>
          <w:rFonts w:ascii="Arial" w:cs="Arial" w:eastAsia="Arial" w:hAnsi="Arial"/>
          <w:sz w:val="18"/>
          <w:szCs w:val="18"/>
          <w:color w:val="auto"/>
        </w:rPr>
      </w:pPr>
      <w:r>
        <w:rPr>
          <w:rFonts w:ascii="Arial" w:cs="Arial" w:eastAsia="Arial" w:hAnsi="Arial"/>
          <w:sz w:val="18"/>
          <w:szCs w:val="18"/>
          <w:u w:val="single" w:color="auto"/>
          <w:color w:val="auto"/>
        </w:rPr>
        <w:t>Limitation of Direct and General Damages.</w:t>
      </w:r>
      <w:r>
        <w:rPr>
          <w:rFonts w:ascii="Arial" w:cs="Arial" w:eastAsia="Arial" w:hAnsi="Arial"/>
          <w:sz w:val="18"/>
          <w:szCs w:val="18"/>
          <w:color w:val="auto"/>
        </w:rPr>
        <w:t xml:space="preserve"> EXCEPT AS PROVIDED IN THIS SECTION, NEITHER PARTY SHALL BE LIABLE TO THE OTHER PARTY WITH RESPECT TO ANY ORDER OR THIS AGREEMENT FOR ANY DAMAGES IN EXCESS OF ONE MILLION DOLLARS WITH RESPECT TO ANY ORDER, OR FOR ANY DAMAGES IN EXCESS OF FIVE MILLION DOLLARS UNDER ALL ORDERS OR THIS AGREEMENT. HOWEVER, THE FOLLOWING ELEMENTS OF LOSS OR DAMAGE, IF PROVED, SHALL NOT BE EXCLUDED OR LIMITED BY THE PRECEDING SENTENCES:</w:t>
      </w:r>
    </w:p>
    <w:p>
      <w:pPr>
        <w:spacing w:after="0" w:line="93" w:lineRule="exact"/>
        <w:rPr>
          <w:rFonts w:ascii="Arial" w:cs="Arial" w:eastAsia="Arial" w:hAnsi="Arial"/>
          <w:sz w:val="18"/>
          <w:szCs w:val="18"/>
          <w:color w:val="auto"/>
        </w:rPr>
      </w:pPr>
    </w:p>
    <w:p>
      <w:pPr>
        <w:ind w:left="1380" w:right="100" w:hanging="439"/>
        <w:spacing w:after="0" w:line="255" w:lineRule="auto"/>
        <w:tabs>
          <w:tab w:leader="none" w:pos="13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LIABILITY, LOSS, OR DAMAGE FOR WHICH ONE PARTY IS OBLIGATED TO INDEMNIFY THE OTHER UNDER “INDEMNITY” (solely with respect to personal injury and property damage), “INFRINGEMENT OF THIRD PARTY INTELLECTUAL PROPERTY RIGHTS,” AND “INDEPENDENT CONTRACTOR”; PROVIDED, HOWEVER, THAT, WITH RESPECT TO LOSS, LIABILITY, OR DAMAGE WHICH MAY BE COVERED BY LIABILITY INSURANCE OF THE TYPES REQUIRED IN THE SECTION ENTITLED “INSURANCE,” EACH PARTY SHALL AND HEREBY DOES WAIVE ANY CLAIMS DAMAGES IN EXCESS OF THE LIMITS ON INSURANCE MENTIONED IN THAT SECTION;</w:t>
      </w:r>
    </w:p>
    <w:p>
      <w:pPr>
        <w:spacing w:after="0" w:line="97" w:lineRule="exact"/>
        <w:rPr>
          <w:rFonts w:ascii="Arial" w:cs="Arial" w:eastAsia="Arial" w:hAnsi="Arial"/>
          <w:sz w:val="18"/>
          <w:szCs w:val="18"/>
          <w:color w:val="auto"/>
        </w:rPr>
      </w:pPr>
    </w:p>
    <w:p>
      <w:pPr>
        <w:ind w:left="1380" w:right="180" w:hanging="439"/>
        <w:spacing w:after="0" w:line="308" w:lineRule="auto"/>
        <w:tabs>
          <w:tab w:leader="none" w:pos="138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LOSS OR DAMAGE PROXIMATELY CAUSED BY A PARTY’S BREACH OF ITS OBLIGATIONS UNDER THE SECTIONS ENTITLED “INFORMATION” OR “ACCESS TO AT&amp;T PREMISES AND NON-PUBLIC INFORMATION SYSTEMS”;</w:t>
      </w:r>
    </w:p>
    <w:p>
      <w:pPr>
        <w:spacing w:after="0" w:line="51" w:lineRule="exact"/>
        <w:rPr>
          <w:rFonts w:ascii="Arial" w:cs="Arial" w:eastAsia="Arial" w:hAnsi="Arial"/>
          <w:sz w:val="17"/>
          <w:szCs w:val="17"/>
          <w:color w:val="auto"/>
        </w:rPr>
      </w:pPr>
    </w:p>
    <w:p>
      <w:pPr>
        <w:ind w:left="1380" w:right="120" w:hanging="439"/>
        <w:spacing w:after="0" w:line="254" w:lineRule="auto"/>
        <w:tabs>
          <w:tab w:leader="none" w:pos="13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SUPPLIER’S LIABILITY PURSUANT TO SECTION 3.43e.iv TO REFUND AMOUNTS PAID FOR WORK UNDER AN ORDER FOR CUSTOM SOFTWARE DEVELOPMENT, WHERE SUCH SOFTWARE FAILS ACCEPTANCE AND HAS NEVER BEEN PUT INTO PRODUCTION; IF SUCH FAILURE HAS RESULTED SOLELY FROM SUPPLIER’S FAILURE TO PERFORM ITS OBLIGATIONS UNDER THIS AGREEMENT, SHALL BE EQUAL TO A MAXIMUM OF THE SUM OF AMOUNTS PAID BY AT&amp;T FOR SUCH WORK, PLUS ANY LIQUIDATED DAMAGES THAT AT&amp;T HAS RECOVERED, EVEN IF THE LIQUIDATED DAMAGES THEMSELVES HAVE REACHED THE ONE MILLION DOLLAR LIMIT PROVIDED IN THE SECOND SENTENCE OF SECTION b ABOVE;</w:t>
      </w:r>
    </w:p>
    <w:p>
      <w:pPr>
        <w:spacing w:after="0" w:line="100" w:lineRule="exact"/>
        <w:rPr>
          <w:rFonts w:ascii="Arial" w:cs="Arial" w:eastAsia="Arial" w:hAnsi="Arial"/>
          <w:sz w:val="18"/>
          <w:szCs w:val="18"/>
          <w:color w:val="auto"/>
        </w:rPr>
      </w:pPr>
    </w:p>
    <w:p>
      <w:pPr>
        <w:ind w:left="1380" w:right="80" w:hanging="439"/>
        <w:spacing w:after="0" w:line="263" w:lineRule="auto"/>
        <w:tabs>
          <w:tab w:leader="none" w:pos="138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SUPPLIER’S LIABILITY FOR FAILURE TO MEET ITS WARRANTY OBLIGATIONS TO CORRECT CERTAIN ERRORS AND SUPPLIER’S LIABILITY FOR LIQUIDATED DAMAGES FOR BREACH OF A SERVICE LEVEL AGREEMENT BOTH OF WHICH ARE, HOWEVER, SEPARATELY LIMITED AS PROVIDED IN SECTION 3.43e; AND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43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66" w:name="page167"/>
    <w:bookmarkEnd w:id="16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360" w:hanging="439"/>
        <w:spacing w:after="0" w:line="277" w:lineRule="auto"/>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AT&amp;T’S LIABILITY TO PAY FOR SERVICES RENDERED OR EXPENSES INCURRED UNDER THIS AGREEMENT OR ANY ORDER THERETO.</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3.22  Non-Exclusive Market</w:t>
      </w:r>
    </w:p>
    <w:p>
      <w:pPr>
        <w:spacing w:after="0" w:line="117" w:lineRule="exact"/>
        <w:rPr>
          <w:sz w:val="20"/>
          <w:szCs w:val="20"/>
          <w:color w:val="auto"/>
        </w:rPr>
      </w:pPr>
    </w:p>
    <w:p>
      <w:pPr>
        <w:ind w:left="440" w:right="160"/>
        <w:spacing w:after="0" w:line="259" w:lineRule="auto"/>
        <w:rPr>
          <w:sz w:val="20"/>
          <w:szCs w:val="20"/>
          <w:color w:val="auto"/>
        </w:rPr>
      </w:pPr>
      <w:r>
        <w:rPr>
          <w:rFonts w:ascii="Arial" w:cs="Arial" w:eastAsia="Arial" w:hAnsi="Arial"/>
          <w:sz w:val="18"/>
          <w:szCs w:val="18"/>
          <w:color w:val="auto"/>
        </w:rPr>
        <w:t>This Agreement does not grant Supplier any right or privilege to provide to AT&amp;T any Work of the type described in or purchased under this Agreement. Except for obligations arising under an Order, this Agreement does not obligate AT&amp;T to purchase or license any such Work. AT&amp;T may contract with other manufacturers and vendors for the procurement or trial of Work comparable to that described in or purchased under this Agreement, and AT&amp;T may itself perform such Work.</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3.23  Notices</w:t>
      </w:r>
    </w:p>
    <w:p>
      <w:pPr>
        <w:spacing w:after="0" w:line="131" w:lineRule="exact"/>
        <w:rPr>
          <w:sz w:val="20"/>
          <w:szCs w:val="20"/>
          <w:color w:val="auto"/>
        </w:rPr>
      </w:pPr>
    </w:p>
    <w:p>
      <w:pPr>
        <w:ind w:left="960" w:hanging="532"/>
        <w:spacing w:after="0" w:line="293" w:lineRule="auto"/>
        <w:tabs>
          <w:tab w:leader="none" w:pos="9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Each Party giving or making any notice, consent, request, demand, or other communication (each, a “Notice”) pursuant to this Agreement must give the Notice in writing and use one of the following methods, each of which for purposes of this Agreement is a writing: in person; first class mail with postage prepaid; Express Mail, Registered Mail, or Certified Mail (in each case, return receipt requested and postage prepaid); internationally recognized overnight courier (with all fees prepaid); or email. If Notice is given by e-mail, it must be confirmed by a copy sent by any one of the other methods or by a return email by the Addressee confirming receipt. Each Party giving Notice shall address the Notice to the appropriate person (the “Addressee”) at the receiving Party at the address listed below:</w:t>
      </w:r>
    </w:p>
    <w:p>
      <w:pPr>
        <w:spacing w:after="0" w:line="56" w:lineRule="exact"/>
        <w:rPr>
          <w:rFonts w:ascii="Arial" w:cs="Arial" w:eastAsia="Arial" w:hAnsi="Arial"/>
          <w:sz w:val="16"/>
          <w:szCs w:val="16"/>
          <w:color w:val="auto"/>
        </w:rPr>
      </w:pPr>
    </w:p>
    <w:p>
      <w:pPr>
        <w:ind w:left="980" w:right="7800"/>
        <w:spacing w:after="0" w:line="274" w:lineRule="auto"/>
        <w:rPr>
          <w:rFonts w:ascii="Arial" w:cs="Arial" w:eastAsia="Arial" w:hAnsi="Arial"/>
          <w:sz w:val="16"/>
          <w:szCs w:val="16"/>
          <w:color w:val="auto"/>
        </w:rPr>
      </w:pPr>
      <w:r>
        <w:rPr>
          <w:rFonts w:ascii="Arial" w:cs="Arial" w:eastAsia="Arial" w:hAnsi="Arial"/>
          <w:sz w:val="17"/>
          <w:szCs w:val="17"/>
          <w:color w:val="auto"/>
        </w:rPr>
        <w:t>Amdocs Development Limited 141 Omonia Avenue</w:t>
      </w:r>
    </w:p>
    <w:p>
      <w:pPr>
        <w:ind w:left="980" w:right="8520"/>
        <w:spacing w:after="0" w:line="281" w:lineRule="auto"/>
        <w:rPr>
          <w:rFonts w:ascii="Arial" w:cs="Arial" w:eastAsia="Arial" w:hAnsi="Arial"/>
          <w:sz w:val="16"/>
          <w:szCs w:val="16"/>
          <w:color w:val="auto"/>
        </w:rPr>
      </w:pPr>
      <w:r>
        <w:rPr>
          <w:rFonts w:ascii="Arial" w:cs="Arial" w:eastAsia="Arial" w:hAnsi="Arial"/>
          <w:sz w:val="16"/>
          <w:szCs w:val="16"/>
          <w:color w:val="auto"/>
        </w:rPr>
        <w:t>The Maritime Centre PO Box 50483</w:t>
      </w:r>
    </w:p>
    <w:p>
      <w:pPr>
        <w:spacing w:after="0" w:line="1" w:lineRule="exact"/>
        <w:rPr>
          <w:rFonts w:ascii="Arial" w:cs="Arial" w:eastAsia="Arial" w:hAnsi="Arial"/>
          <w:sz w:val="16"/>
          <w:szCs w:val="16"/>
          <w:color w:val="auto"/>
        </w:rPr>
      </w:pPr>
    </w:p>
    <w:p>
      <w:pPr>
        <w:jc w:val="both"/>
        <w:ind w:left="980" w:right="8320"/>
        <w:spacing w:after="0" w:line="281" w:lineRule="auto"/>
        <w:rPr>
          <w:rFonts w:ascii="Arial" w:cs="Arial" w:eastAsia="Arial" w:hAnsi="Arial"/>
          <w:sz w:val="16"/>
          <w:szCs w:val="16"/>
          <w:color w:val="auto"/>
        </w:rPr>
      </w:pPr>
      <w:r>
        <w:rPr>
          <w:rFonts w:ascii="Arial" w:cs="Arial" w:eastAsia="Arial" w:hAnsi="Arial"/>
          <w:sz w:val="16"/>
          <w:szCs w:val="16"/>
          <w:color w:val="auto"/>
        </w:rPr>
        <w:t>3606 Limassol, Cyprus Attn: Legal Department</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Email address: AmdocsLegal@amdocs.com</w:t>
      </w:r>
    </w:p>
    <w:p>
      <w:pPr>
        <w:spacing w:after="0" w:line="10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With Copy to:</w:t>
      </w:r>
    </w:p>
    <w:p>
      <w:pPr>
        <w:spacing w:after="0" w:line="23" w:lineRule="exact"/>
        <w:rPr>
          <w:rFonts w:ascii="Arial" w:cs="Arial" w:eastAsia="Arial" w:hAnsi="Arial"/>
          <w:sz w:val="16"/>
          <w:szCs w:val="16"/>
          <w:color w:val="auto"/>
        </w:rPr>
      </w:pPr>
    </w:p>
    <w:p>
      <w:pPr>
        <w:ind w:left="980" w:right="8140"/>
        <w:spacing w:after="0" w:line="250" w:lineRule="auto"/>
        <w:rPr>
          <w:rFonts w:ascii="Arial" w:cs="Arial" w:eastAsia="Arial" w:hAnsi="Arial"/>
          <w:sz w:val="16"/>
          <w:szCs w:val="16"/>
          <w:color w:val="auto"/>
        </w:rPr>
      </w:pPr>
      <w:r>
        <w:rPr>
          <w:rFonts w:ascii="Arial" w:cs="Arial" w:eastAsia="Arial" w:hAnsi="Arial"/>
          <w:sz w:val="18"/>
          <w:szCs w:val="18"/>
          <w:color w:val="auto"/>
        </w:rPr>
        <w:t>Office of General Counsel Amdocs, Inc.</w:t>
      </w:r>
    </w:p>
    <w:p>
      <w:pPr>
        <w:ind w:left="980" w:right="8700"/>
        <w:spacing w:after="0" w:line="265" w:lineRule="auto"/>
        <w:rPr>
          <w:rFonts w:ascii="Arial" w:cs="Arial" w:eastAsia="Arial" w:hAnsi="Arial"/>
          <w:sz w:val="16"/>
          <w:szCs w:val="16"/>
          <w:color w:val="auto"/>
        </w:rPr>
      </w:pPr>
      <w:r>
        <w:rPr>
          <w:rFonts w:ascii="Arial" w:cs="Arial" w:eastAsia="Arial" w:hAnsi="Arial"/>
          <w:sz w:val="17"/>
          <w:szCs w:val="17"/>
          <w:color w:val="auto"/>
        </w:rPr>
        <w:t>185 Hudson Street Suite 2700</w:t>
      </w:r>
    </w:p>
    <w:p>
      <w:pPr>
        <w:ind w:left="980"/>
        <w:spacing w:after="0"/>
        <w:rPr>
          <w:rFonts w:ascii="Arial" w:cs="Arial" w:eastAsia="Arial" w:hAnsi="Arial"/>
          <w:sz w:val="16"/>
          <w:szCs w:val="16"/>
          <w:color w:val="auto"/>
        </w:rPr>
      </w:pPr>
      <w:r>
        <w:rPr>
          <w:rFonts w:ascii="Arial" w:cs="Arial" w:eastAsia="Arial" w:hAnsi="Arial"/>
          <w:sz w:val="18"/>
          <w:szCs w:val="18"/>
          <w:color w:val="auto"/>
        </w:rPr>
        <w:t>Jersey City, NJ 07311</w:t>
      </w:r>
    </w:p>
    <w:p>
      <w:pPr>
        <w:spacing w:after="0" w:line="102"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AT&amp;T Services, Inc.</w:t>
      </w:r>
    </w:p>
    <w:p>
      <w:pPr>
        <w:spacing w:after="0" w:line="23" w:lineRule="exact"/>
        <w:rPr>
          <w:rFonts w:ascii="Arial" w:cs="Arial" w:eastAsia="Arial" w:hAnsi="Arial"/>
          <w:sz w:val="16"/>
          <w:szCs w:val="16"/>
          <w:color w:val="auto"/>
        </w:rPr>
      </w:pPr>
    </w:p>
    <w:p>
      <w:pPr>
        <w:ind w:left="980" w:right="8900"/>
        <w:spacing w:after="0" w:line="281" w:lineRule="auto"/>
        <w:rPr>
          <w:rFonts w:ascii="Arial" w:cs="Arial" w:eastAsia="Arial" w:hAnsi="Arial"/>
          <w:sz w:val="16"/>
          <w:szCs w:val="16"/>
          <w:color w:val="auto"/>
        </w:rPr>
      </w:pPr>
      <w:r>
        <w:rPr>
          <w:rFonts w:ascii="Arial" w:cs="Arial" w:eastAsia="Arial" w:hAnsi="Arial"/>
          <w:sz w:val="16"/>
          <w:szCs w:val="16"/>
          <w:color w:val="auto"/>
        </w:rPr>
        <w:t>4119 Broadway Room 650A16</w:t>
      </w:r>
    </w:p>
    <w:p>
      <w:pPr>
        <w:spacing w:after="0" w:line="1" w:lineRule="exact"/>
        <w:rPr>
          <w:rFonts w:ascii="Arial" w:cs="Arial" w:eastAsia="Arial" w:hAnsi="Arial"/>
          <w:sz w:val="16"/>
          <w:szCs w:val="16"/>
          <w:color w:val="auto"/>
        </w:rPr>
      </w:pPr>
    </w:p>
    <w:p>
      <w:pPr>
        <w:ind w:left="980" w:right="7640"/>
        <w:spacing w:after="0" w:line="255" w:lineRule="auto"/>
        <w:rPr>
          <w:rFonts w:ascii="Arial" w:cs="Arial" w:eastAsia="Arial" w:hAnsi="Arial"/>
          <w:sz w:val="16"/>
          <w:szCs w:val="16"/>
          <w:color w:val="auto"/>
        </w:rPr>
      </w:pPr>
      <w:r>
        <w:rPr>
          <w:rFonts w:ascii="Arial" w:cs="Arial" w:eastAsia="Arial" w:hAnsi="Arial"/>
          <w:sz w:val="18"/>
          <w:szCs w:val="18"/>
          <w:color w:val="auto"/>
        </w:rPr>
        <w:t>San Antonio, TX 78209 Attn: Notices Administrator Email Address: g06586@att.com</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44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67" w:name="page168"/>
    <w:bookmarkEnd w:id="167"/>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280" w:hanging="532"/>
        <w:spacing w:after="0" w:line="277"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 Notice is effective only if the Party giving notice has complied with the foregoing requirements of this Section and the Addressee has received the Notice. A Notice is deemed to have been received as follows:</w:t>
      </w:r>
    </w:p>
    <w:p>
      <w:pPr>
        <w:spacing w:after="0" w:line="75" w:lineRule="exact"/>
        <w:rPr>
          <w:rFonts w:ascii="Arial" w:cs="Arial" w:eastAsia="Arial" w:hAnsi="Arial"/>
          <w:sz w:val="18"/>
          <w:szCs w:val="18"/>
          <w:color w:val="auto"/>
        </w:rPr>
      </w:pPr>
    </w:p>
    <w:p>
      <w:pPr>
        <w:ind w:left="1420" w:right="720" w:hanging="439"/>
        <w:spacing w:after="0" w:line="277" w:lineRule="auto"/>
        <w:tabs>
          <w:tab w:leader="none" w:pos="1420" w:val="left"/>
        </w:tabs>
        <w:numPr>
          <w:ilvl w:val="1"/>
          <w:numId w:val="124"/>
        </w:numPr>
        <w:rPr>
          <w:rFonts w:ascii="Arial" w:cs="Arial" w:eastAsia="Arial" w:hAnsi="Arial"/>
          <w:sz w:val="18"/>
          <w:szCs w:val="18"/>
          <w:color w:val="auto"/>
        </w:rPr>
      </w:pPr>
      <w:r>
        <w:rPr>
          <w:rFonts w:ascii="Arial" w:cs="Arial" w:eastAsia="Arial" w:hAnsi="Arial"/>
          <w:sz w:val="18"/>
          <w:szCs w:val="18"/>
          <w:color w:val="auto"/>
        </w:rPr>
        <w:t>If a Notice is furnished in person, or sent by Express Mail, Registered Mail, or Certified Mail, or internationally recognized overnight courier, upon receipt as indicated by the date on the signed receipt;</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If a Notice is sent by e-mail, upon successful transmission to the recipient’s email account, if such Notice is sent in time to allow it to be accessible by the Addressee before the time allowed for giving such notice expires, and a confirmation copy is sent by one of the other methods or the Addressee confirms by return email that the email Notice has been received.</w:t>
      </w:r>
    </w:p>
    <w:p>
      <w:pPr>
        <w:spacing w:after="0" w:line="70" w:lineRule="exact"/>
        <w:rPr>
          <w:rFonts w:ascii="Arial" w:cs="Arial" w:eastAsia="Arial" w:hAnsi="Arial"/>
          <w:sz w:val="17"/>
          <w:szCs w:val="17"/>
          <w:color w:val="auto"/>
        </w:rPr>
      </w:pPr>
    </w:p>
    <w:p>
      <w:pPr>
        <w:ind w:left="960" w:right="140" w:hanging="532"/>
        <w:spacing w:after="0" w:line="277"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addresses and telephone numbers to which Notices may be given to the Addressees of either Party may be changed by written Notice given by such Party to the other pursuant to this Section.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3.24  Offshore Work Permitted Under Specific Conditions</w:t>
      </w:r>
    </w:p>
    <w:p>
      <w:pPr>
        <w:spacing w:after="0" w:line="131" w:lineRule="exact"/>
        <w:rPr>
          <w:sz w:val="20"/>
          <w:szCs w:val="20"/>
          <w:color w:val="auto"/>
        </w:rPr>
      </w:pPr>
    </w:p>
    <w:p>
      <w:pPr>
        <w:ind w:left="960" w:right="80" w:hanging="532"/>
        <w:spacing w:after="0" w:line="288" w:lineRule="auto"/>
        <w:tabs>
          <w:tab w:leader="none" w:pos="9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Supplier shall not perform any Services under this Agreement or allow such performance by any Subcontractor at a location outside the United States (“Offshore Location”) unless AT&amp;T approves work to be performed by Supplier or a Subcontractor at such Offshore Location. As of the Effective Date of the Agreement, Appendix C as attached hereto contains AT&amp;T’s approval for the physical location where the work is to be performed, the Services to be performed at such location, and, the identity of any Subcontractor performing such work. Prior to Supplier making any additions or deletions to the physical locations or changes in Subcontractors performing work at an Offshore Location, the Parties shall amend Appendix C, or shall add to, or amend, the applicable Services Order or Maintenance Order. A change in the location where a Service is performed from one Offshore Location to another AT&amp;T-approved Offshore Location shall not require an amendment to Appendix C or the applicable Order. Remote access by Supplier employees or Subcontractors from an Offshore Location for the performance of Services shall be in accordance with Appendix D, Security and Offshore Requirements. The requirements of this Section shall be in addition to Sections 3.2, “Amendments and Waivers”, and 3.44, “Work Done By Others”.</w:t>
      </w:r>
    </w:p>
    <w:p>
      <w:pPr>
        <w:spacing w:after="0" w:line="73" w:lineRule="exact"/>
        <w:rPr>
          <w:rFonts w:ascii="Arial" w:cs="Arial" w:eastAsia="Arial" w:hAnsi="Arial"/>
          <w:sz w:val="16"/>
          <w:szCs w:val="16"/>
          <w:color w:val="auto"/>
        </w:rPr>
      </w:pPr>
    </w:p>
    <w:p>
      <w:pPr>
        <w:ind w:left="960" w:right="120" w:hanging="532"/>
        <w:spacing w:after="0" w:line="259"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AT&amp;T shall have the right to withdraw its consent to the performance of work at an Offshore Location at any time in AT&amp;T’s sole discretion for any reason, in which event the Parties shall assess cost impacts, timing, and methodology and amend the Agreement to reflect any changes reasonably required to permit Supplier to continue to perform such work at a location within the United States and the Parties shall amend the Agreement, Appendix C, and/or the applicable Order accordingly.</w:t>
      </w:r>
    </w:p>
    <w:p>
      <w:pPr>
        <w:spacing w:after="0" w:line="92" w:lineRule="exact"/>
        <w:rPr>
          <w:rFonts w:ascii="Arial" w:cs="Arial" w:eastAsia="Arial" w:hAnsi="Arial"/>
          <w:sz w:val="18"/>
          <w:szCs w:val="18"/>
          <w:color w:val="auto"/>
        </w:rPr>
      </w:pPr>
    </w:p>
    <w:p>
      <w:pPr>
        <w:ind w:left="960" w:right="40" w:hanging="532"/>
        <w:spacing w:after="0" w:line="263" w:lineRule="auto"/>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Supplier’s compliance with this Section, and all Services performed in Offshore Locations with AT&amp;T’s consent, shall be subject to Section 3.31, “Records and Audits”. Supplier shall provide, and shall ensure that all Subcontractors provide, AT&amp;T with physical access to inspect all Offshore Locations.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45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68" w:name="page169"/>
    <w:bookmarkEnd w:id="16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jc w:val="both"/>
        <w:ind w:left="960" w:right="360" w:hanging="532"/>
        <w:spacing w:after="0" w:line="263" w:lineRule="auto"/>
        <w:tabs>
          <w:tab w:leader="none" w:pos="9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the extent Supplier interconnects with, or otherwise has access to, the AT&amp;T network, Supplier d. shall access, or establish network connections that would allow access, to the AT&amp;T network from an Offshore Location in compliance with Appendix D, “Security and Offshore Requirements” to this Agreement.</w:t>
      </w:r>
    </w:p>
    <w:p>
      <w:pPr>
        <w:spacing w:after="0" w:line="89" w:lineRule="exact"/>
        <w:rPr>
          <w:rFonts w:ascii="Arial" w:cs="Arial" w:eastAsia="Arial" w:hAnsi="Arial"/>
          <w:sz w:val="18"/>
          <w:szCs w:val="18"/>
          <w:color w:val="auto"/>
        </w:rPr>
      </w:pPr>
    </w:p>
    <w:p>
      <w:pPr>
        <w:ind w:left="960" w:right="20" w:hanging="532"/>
        <w:spacing w:after="0" w:line="271" w:lineRule="auto"/>
        <w:tabs>
          <w:tab w:leader="none" w:pos="9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Supplier or any Subcontractor, without intending to circumvent the requirements of this Section, provides any Services under this Agreement in an Offshore Location without AT&amp;T’s prior written consent and fails to cease providing such Services within [***] days after written notice from AT&amp;T, such inadvertent provisioning and failure to timely cure within said[***] days shall be a material breach of this Agreement and, in addition to any other legal rights or remedies available to AT&amp;T at law or in equity, AT&amp;T may immediately terminate the applicable Order under which such Services are being provided, without cost, liability, or penalty to AT&amp;T. Notwithstanding the foregoing, AT&amp;T agrees that Supplier’s or a Subcontractor’s provision of the Services in an Offshore Location without AT&amp;T’s prior written consent on a transient basis (e.g., a Supplier’s employee’s provision of Services from an airport while in travel status) shall be permitted and shall not be deemed to be a material breach of this Agreement.</w:t>
      </w:r>
    </w:p>
    <w:p>
      <w:pPr>
        <w:spacing w:after="0" w:line="83" w:lineRule="exact"/>
        <w:rPr>
          <w:rFonts w:ascii="Arial" w:cs="Arial" w:eastAsia="Arial" w:hAnsi="Arial"/>
          <w:sz w:val="17"/>
          <w:szCs w:val="17"/>
          <w:color w:val="auto"/>
        </w:rPr>
      </w:pPr>
    </w:p>
    <w:p>
      <w:pPr>
        <w:ind w:left="960" w:right="260" w:hanging="532"/>
        <w:spacing w:after="0" w:line="301" w:lineRule="auto"/>
        <w:tabs>
          <w:tab w:leader="none" w:pos="96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When AT&amp;T has granted consent for Services to be performed in an Offshore Location, Supplier shall remain fully responsible for compliance with any foreign, federal, state or local law applicable to the Supplier’s provision of such Services regardless of whether the Service is being performed by Supplier or a Subcontractor. Nothing contained within this Agreement is intended to extend, nor does it extend, any rights or benefits to any Subcontractor, and no third party beneficiary right is intended or granted to any third party hereby.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3.25  Order of Precedence</w:t>
      </w:r>
    </w:p>
    <w:p>
      <w:pPr>
        <w:spacing w:after="0" w:line="117" w:lineRule="exact"/>
        <w:rPr>
          <w:sz w:val="20"/>
          <w:szCs w:val="20"/>
          <w:color w:val="auto"/>
        </w:rPr>
      </w:pPr>
    </w:p>
    <w:p>
      <w:pPr>
        <w:ind w:left="440" w:right="120"/>
        <w:spacing w:after="0" w:line="293" w:lineRule="auto"/>
        <w:rPr>
          <w:sz w:val="20"/>
          <w:szCs w:val="20"/>
          <w:color w:val="auto"/>
        </w:rPr>
      </w:pPr>
      <w:r>
        <w:rPr>
          <w:rFonts w:ascii="Arial" w:cs="Arial" w:eastAsia="Arial" w:hAnsi="Arial"/>
          <w:sz w:val="16"/>
          <w:szCs w:val="16"/>
          <w:color w:val="auto"/>
        </w:rPr>
        <w:t>The terms of this Agreement [***]. The Parties may not vary or supplement the terms of this Agreement in connection with any Order, except by Special Terms and Conditions upon which both Parties have agreed. When Special Terms and Conditions are included in an Order and agreed upon, such take precedence over any inconsistent term of this Agreement, but only with reference to the transaction governed by that Order, and Special Terms and Conditions in an Order have no other force or effect. This Agreement shall govern in lieu of all other pre-printed or standardized provisions that may otherwise appear in any other paper or electronic record of either Party (such as standard terms on order or acknowledgment forms, advance shipping notices, invoices, time sheets, and packages, shrink wrap terms, and click wrap terms).</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3.26  Orders</w:t>
      </w:r>
    </w:p>
    <w:p>
      <w:pPr>
        <w:spacing w:after="0" w:line="117" w:lineRule="exact"/>
        <w:rPr>
          <w:sz w:val="20"/>
          <w:szCs w:val="20"/>
          <w:color w:val="auto"/>
        </w:rPr>
      </w:pPr>
    </w:p>
    <w:p>
      <w:pPr>
        <w:jc w:val="both"/>
        <w:ind w:left="440" w:right="180"/>
        <w:spacing w:after="0" w:line="286" w:lineRule="auto"/>
        <w:rPr>
          <w:sz w:val="20"/>
          <w:szCs w:val="20"/>
          <w:color w:val="auto"/>
        </w:rPr>
      </w:pPr>
      <w:r>
        <w:rPr>
          <w:rFonts w:ascii="Arial" w:cs="Arial" w:eastAsia="Arial" w:hAnsi="Arial"/>
          <w:sz w:val="17"/>
          <w:szCs w:val="17"/>
          <w:color w:val="auto"/>
        </w:rPr>
        <w:t>AT&amp;T may order Material, Licenses, and Services by submitting Services Orders and License Orders in connection with this Agreement that are substantially in the form of one of the Order forms set forth in Appendix B. The form of a Maintenance Order will be agreed upon by the Parties based on the specific Standard Software that is the subject of Maintenance under that Maintenance Order.</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46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69" w:name="page170"/>
    <w:bookmarkEnd w:id="169"/>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3.27  Ownership of Paid-For Development, Use and Reservation of Rights</w:t>
      </w:r>
    </w:p>
    <w:p>
      <w:pPr>
        <w:spacing w:after="0" w:line="131" w:lineRule="exact"/>
        <w:rPr>
          <w:sz w:val="20"/>
          <w:szCs w:val="20"/>
          <w:color w:val="auto"/>
        </w:rPr>
      </w:pPr>
    </w:p>
    <w:p>
      <w:pPr>
        <w:ind w:left="960" w:hanging="532"/>
        <w:spacing w:after="0"/>
        <w:tabs>
          <w:tab w:leader="none" w:pos="9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Definitions. For purposes of this Section:</w:t>
      </w:r>
    </w:p>
    <w:p>
      <w:pPr>
        <w:spacing w:after="0" w:line="130" w:lineRule="exact"/>
        <w:rPr>
          <w:rFonts w:ascii="Arial" w:cs="Arial" w:eastAsia="Arial" w:hAnsi="Arial"/>
          <w:sz w:val="18"/>
          <w:szCs w:val="18"/>
          <w:color w:val="auto"/>
        </w:rPr>
      </w:pPr>
    </w:p>
    <w:p>
      <w:pPr>
        <w:ind w:left="1420" w:right="40" w:hanging="439"/>
        <w:spacing w:after="0" w:line="279" w:lineRule="auto"/>
        <w:tabs>
          <w:tab w:leader="none" w:pos="142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“Amdocs Developed Work” means Items created, invented, or otherwise developed by Amdocs in the course of performance of Services under this Agreement or Order or other document referencing or subordinate to this Agreement and for which Development Fees are paid by AT&amp;T. Amdocs Developed Work does not include any Amdocs Pre-Existing Materials, Amdocs Independently Developed Materials or Amdocs Mere Reconfigurations which may be provided to AT&amp;T as part of a deliverable.</w:t>
      </w:r>
    </w:p>
    <w:p>
      <w:pPr>
        <w:spacing w:after="0" w:line="76" w:lineRule="exact"/>
        <w:rPr>
          <w:rFonts w:ascii="Arial" w:cs="Arial" w:eastAsia="Arial" w:hAnsi="Arial"/>
          <w:sz w:val="17"/>
          <w:szCs w:val="17"/>
          <w:color w:val="auto"/>
        </w:rPr>
      </w:pPr>
    </w:p>
    <w:p>
      <w:pPr>
        <w:ind w:left="1420" w:right="40" w:hanging="439"/>
        <w:spacing w:after="0" w:line="259" w:lineRule="auto"/>
        <w:tabs>
          <w:tab w:leader="none" w:pos="14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“Amdocs Independently Developed Materials” means those Items that have been developed or created by Amdocs or on Amdocs’s behalf: (i) other than Amdocs Developed Work, (ii) without use of any AT&amp;T Provided Items, and (iii) either (a) in the course of the performance of the Services under an applicable Order or (b) independently of any Services provided under an Order provided that it meets (i) and (ii) above.</w:t>
      </w:r>
    </w:p>
    <w:p>
      <w:pPr>
        <w:spacing w:after="0" w:line="92"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“Amdocs Pre-Existing Materials” means those Items owned by Amdocs, other than Amdocs Independently Developed Materials and Amdocs Mere Reconfigurations, to the extent and in the form that they both existed prior to the date Amdocs began any Amdocs Developed Work under this Agreement and were created without any use of any of AT&amp;T Provided Items.</w:t>
      </w:r>
    </w:p>
    <w:p>
      <w:pPr>
        <w:spacing w:after="0" w:line="70" w:lineRule="exact"/>
        <w:rPr>
          <w:rFonts w:ascii="Arial" w:cs="Arial" w:eastAsia="Arial" w:hAnsi="Arial"/>
          <w:sz w:val="17"/>
          <w:szCs w:val="17"/>
          <w:color w:val="auto"/>
        </w:rPr>
      </w:pPr>
    </w:p>
    <w:p>
      <w:pPr>
        <w:ind w:left="1420" w:right="120" w:hanging="439"/>
        <w:spacing w:after="0" w:line="272" w:lineRule="auto"/>
        <w:tabs>
          <w:tab w:leader="none" w:pos="142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“Amdocs Mere Reconfigurations” means only those specific reconfigurations of Amdocs’s Pre-Existing Materials or Amdocs Independently Developed Materials performed by or on behalf of Supplier but only to the extent that such reconfiguration is an Enhancement, modification, or update to Supplier’s Software which is strictly required to permit Supplier’s Software to function on AT&amp;T’s network or services platform and which does not constitute Amdocs Developed Work. For clarity, Amdocs Mere Reconfigurations includes Enhancements, modifications, or updates to reuse Amdocs’s Pre-Existing Materials or Amdocs Independently Developed Materials, which are pre-existing features from Amdocs’s more current software versions, and backport (e.g., adapt) such features to AT&amp;T’s versions of the Supplier Software currently deployed by AT&amp;T.</w:t>
      </w:r>
    </w:p>
    <w:p>
      <w:pPr>
        <w:spacing w:after="0" w:line="82" w:lineRule="exact"/>
        <w:rPr>
          <w:rFonts w:ascii="Arial" w:cs="Arial" w:eastAsia="Arial" w:hAnsi="Arial"/>
          <w:sz w:val="17"/>
          <w:szCs w:val="17"/>
          <w:color w:val="auto"/>
        </w:rPr>
      </w:pPr>
    </w:p>
    <w:p>
      <w:pPr>
        <w:ind w:left="1420" w:right="140" w:hanging="439"/>
        <w:spacing w:after="0" w:line="277" w:lineRule="auto"/>
        <w:tabs>
          <w:tab w:leader="none" w:pos="14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“AT&amp;T Pre-Existing Materials” means those Items owned by AT&amp;T, to the extent and in the form that they existed prior to the date any Services began under this Agreement.</w:t>
      </w:r>
    </w:p>
    <w:p>
      <w:pPr>
        <w:spacing w:after="0" w:line="75" w:lineRule="exact"/>
        <w:rPr>
          <w:rFonts w:ascii="Arial" w:cs="Arial" w:eastAsia="Arial" w:hAnsi="Arial"/>
          <w:sz w:val="18"/>
          <w:szCs w:val="18"/>
          <w:color w:val="auto"/>
        </w:rPr>
      </w:pPr>
    </w:p>
    <w:p>
      <w:pPr>
        <w:ind w:left="1420" w:right="100" w:hanging="439"/>
        <w:spacing w:after="0" w:line="263" w:lineRule="auto"/>
        <w:tabs>
          <w:tab w:leader="none" w:pos="14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“AT&amp;T Provided Items” means AT&amp;T’s Items created by or on behalf of AT&amp;T and directly or indirectly provided to, accessed by, or furnished to Amdocs (in any form, including, without limitation, verbally) by or on behalf of AT&amp;T or its third party providers in connection with this Agreement.</w:t>
      </w:r>
    </w:p>
    <w:p>
      <w:pPr>
        <w:spacing w:after="0" w:line="89" w:lineRule="exact"/>
        <w:rPr>
          <w:rFonts w:ascii="Arial" w:cs="Arial" w:eastAsia="Arial" w:hAnsi="Arial"/>
          <w:sz w:val="18"/>
          <w:szCs w:val="18"/>
          <w:color w:val="auto"/>
        </w:rPr>
      </w:pPr>
    </w:p>
    <w:p>
      <w:pPr>
        <w:ind w:left="1420" w:right="60" w:hanging="439"/>
        <w:spacing w:after="0" w:line="259" w:lineRule="auto"/>
        <w:tabs>
          <w:tab w:leader="none" w:pos="1420" w:val="left"/>
        </w:tabs>
        <w:numPr>
          <w:ilvl w:val="1"/>
          <w:numId w:val="127"/>
        </w:numPr>
        <w:rPr>
          <w:rFonts w:ascii="Arial" w:cs="Arial" w:eastAsia="Arial" w:hAnsi="Arial"/>
          <w:sz w:val="18"/>
          <w:szCs w:val="18"/>
          <w:color w:val="auto"/>
        </w:rPr>
      </w:pPr>
      <w:r>
        <w:rPr>
          <w:rFonts w:ascii="Arial" w:cs="Arial" w:eastAsia="Arial" w:hAnsi="Arial"/>
          <w:sz w:val="18"/>
          <w:szCs w:val="18"/>
          <w:color w:val="auto"/>
        </w:rPr>
        <w:t>“Development Fees” means the monies charged to AT&amp;T under this Agreement, any Order or any other document referencing this Agreement for any development Services under this Agreement. Payments not deemed to be Development Fees under this definition shall include (i) license fees; (ii) maintenance and support fees; (iii) revenue sharing arrangements(iv) subscription fees which are recurring in nature to provide AT&amp;T or</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47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70" w:name="page171"/>
    <w:bookmarkEnd w:id="170"/>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jc w:val="both"/>
        <w:ind w:left="984" w:right="120"/>
        <w:spacing w:after="0" w:line="286" w:lineRule="auto"/>
        <w:rPr>
          <w:sz w:val="20"/>
          <w:szCs w:val="20"/>
          <w:color w:val="auto"/>
        </w:rPr>
      </w:pPr>
      <w:r>
        <w:rPr>
          <w:rFonts w:ascii="Arial" w:cs="Arial" w:eastAsia="Arial" w:hAnsi="Arial"/>
          <w:sz w:val="17"/>
          <w:szCs w:val="17"/>
          <w:color w:val="auto"/>
        </w:rPr>
        <w:t>AT&amp;T’s customers’ ongoing access to or usage of the Services provided by Supplier’s platform; or (v) payment of the standard purchase price for devices or other physical products which AT&amp;T purchases from Supplier and takes title to under this Agreement, in each case as imposed generally by Amdocs on its customers in connection with the provision of services or products.</w:t>
      </w:r>
    </w:p>
    <w:p>
      <w:pPr>
        <w:spacing w:after="0" w:line="71" w:lineRule="exact"/>
        <w:rPr>
          <w:sz w:val="20"/>
          <w:szCs w:val="20"/>
          <w:color w:val="auto"/>
        </w:rPr>
      </w:pPr>
    </w:p>
    <w:p>
      <w:pPr>
        <w:ind w:left="964" w:right="280" w:hanging="532"/>
        <w:spacing w:after="0" w:line="259" w:lineRule="auto"/>
        <w:tabs>
          <w:tab w:leader="none" w:pos="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“Items” means any or all inventions, discoveries, and ideas (whether patentable or not), and all works and materials, including, but not limited to, products, devices, Computer Programs, reports, plans, models, prototypes, performance requirements, source codes, designs, files, specifications, texts, drawings, processes, data or other Information or Documentation in preliminary or final form, and all Intellectual Property Rights in or to any of the foregoing.</w:t>
      </w:r>
    </w:p>
    <w:p>
      <w:pPr>
        <w:spacing w:after="0" w:line="92" w:lineRule="exact"/>
        <w:rPr>
          <w:rFonts w:ascii="Arial" w:cs="Arial" w:eastAsia="Arial" w:hAnsi="Arial"/>
          <w:sz w:val="18"/>
          <w:szCs w:val="18"/>
          <w:color w:val="auto"/>
        </w:rPr>
      </w:pPr>
    </w:p>
    <w:p>
      <w:pPr>
        <w:ind w:left="964" w:right="80" w:hanging="532"/>
        <w:spacing w:after="0" w:line="279" w:lineRule="auto"/>
        <w:tabs>
          <w:tab w:leader="none" w:pos="964" w:val="left"/>
        </w:tabs>
        <w:numPr>
          <w:ilvl w:val="1"/>
          <w:numId w:val="128"/>
        </w:numPr>
        <w:rPr>
          <w:rFonts w:ascii="Arial" w:cs="Arial" w:eastAsia="Arial" w:hAnsi="Arial"/>
          <w:sz w:val="17"/>
          <w:szCs w:val="17"/>
          <w:color w:val="auto"/>
        </w:rPr>
      </w:pPr>
      <w:r>
        <w:rPr>
          <w:rFonts w:ascii="Arial" w:cs="Arial" w:eastAsia="Arial" w:hAnsi="Arial"/>
          <w:sz w:val="17"/>
          <w:szCs w:val="17"/>
          <w:color w:val="auto"/>
        </w:rPr>
        <w:t>“Intellectual Property Rights” or “IPR” means all patents (including all reissues, divisions, continuations, and extensions thereof) and patent applications, trade names, trademarks, service marks, logos, trade dress, copyrights, trade secrets, mask works, rights in technology, data base rights, know-how, rights in content (including performance and synchronization rights), or other intellectual property rights that are in each case protected under the Laws of any domestic or foreign governmental authority having jurisdiction.</w:t>
      </w:r>
    </w:p>
    <w:p>
      <w:pPr>
        <w:spacing w:after="0" w:line="76" w:lineRule="exact"/>
        <w:rPr>
          <w:rFonts w:ascii="Arial" w:cs="Arial" w:eastAsia="Arial" w:hAnsi="Arial"/>
          <w:sz w:val="17"/>
          <w:szCs w:val="17"/>
          <w:color w:val="auto"/>
        </w:rPr>
      </w:pPr>
    </w:p>
    <w:p>
      <w:pPr>
        <w:ind w:left="964" w:right="80" w:hanging="532"/>
        <w:spacing w:after="0" w:line="277" w:lineRule="auto"/>
        <w:tabs>
          <w:tab w:leader="none" w:pos="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“Software” means a set of instructions or code that Amdocs and AT&amp;T will provide under this Agreement intended to cause a computer to produce certain results and the associated Documentation for such set of instructions or code.</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“Third Party Material” means any software (i) not developed by or on behalf of AT&amp;T, Amdocs, their agents or their contractors under an applicable Order and (ii) not owned by Amdocs or AT&amp;T or an Affiliate.</w:t>
      </w:r>
    </w:p>
    <w:p>
      <w:pPr>
        <w:spacing w:after="0" w:line="75" w:lineRule="exact"/>
        <w:rPr>
          <w:rFonts w:ascii="Arial" w:cs="Arial" w:eastAsia="Arial" w:hAnsi="Arial"/>
          <w:sz w:val="18"/>
          <w:szCs w:val="18"/>
          <w:color w:val="auto"/>
        </w:rPr>
      </w:pPr>
    </w:p>
    <w:p>
      <w:pPr>
        <w:ind w:left="444" w:right="8380" w:hanging="444"/>
        <w:spacing w:after="0" w:line="431" w:lineRule="auto"/>
        <w:tabs>
          <w:tab w:leader="none" w:pos="43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Special Terms and Conditions: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ind w:left="964" w:hanging="532"/>
        <w:spacing w:after="0"/>
        <w:tabs>
          <w:tab w:leader="none" w:pos="964" w:val="left"/>
        </w:tabs>
        <w:numPr>
          <w:ilvl w:val="1"/>
          <w:numId w:val="129"/>
        </w:numPr>
        <w:rPr>
          <w:rFonts w:ascii="Arial" w:cs="Arial" w:eastAsia="Arial" w:hAnsi="Arial"/>
          <w:sz w:val="18"/>
          <w:szCs w:val="18"/>
          <w:color w:val="auto"/>
        </w:rPr>
      </w:pPr>
      <w:r>
        <w:rPr>
          <w:rFonts w:ascii="Arial" w:cs="Arial" w:eastAsia="Arial" w:hAnsi="Arial"/>
          <w:sz w:val="18"/>
          <w:szCs w:val="18"/>
          <w:color w:val="auto"/>
        </w:rPr>
        <w:t>Developed Works.</w:t>
      </w:r>
    </w:p>
    <w:p>
      <w:pPr>
        <w:spacing w:after="0" w:line="130" w:lineRule="exact"/>
        <w:rPr>
          <w:rFonts w:ascii="Arial" w:cs="Arial" w:eastAsia="Arial" w:hAnsi="Arial"/>
          <w:sz w:val="18"/>
          <w:szCs w:val="18"/>
          <w:color w:val="auto"/>
        </w:rPr>
      </w:pPr>
    </w:p>
    <w:p>
      <w:pPr>
        <w:ind w:left="1424" w:right="200" w:hanging="439"/>
        <w:spacing w:after="0" w:line="279" w:lineRule="auto"/>
        <w:tabs>
          <w:tab w:leader="none" w:pos="1424" w:val="left"/>
        </w:tabs>
        <w:numPr>
          <w:ilvl w:val="2"/>
          <w:numId w:val="129"/>
        </w:numPr>
        <w:rPr>
          <w:rFonts w:ascii="Arial" w:cs="Arial" w:eastAsia="Arial" w:hAnsi="Arial"/>
          <w:sz w:val="17"/>
          <w:szCs w:val="17"/>
          <w:color w:val="auto"/>
        </w:rPr>
      </w:pPr>
      <w:r>
        <w:rPr>
          <w:rFonts w:ascii="Arial" w:cs="Arial" w:eastAsia="Arial" w:hAnsi="Arial"/>
          <w:sz w:val="17"/>
          <w:szCs w:val="17"/>
          <w:color w:val="auto"/>
        </w:rPr>
        <w:t>Ownership. Except for any Amdocs Pre-Existing Materials, Amdocs Independently Developed Materials, and Amdocs Mere Reconfigurations that may be embedded therein (but subject to subparagraph b. below), AT&amp;T shall be the exclusive owner of all right, title, and interest in and to all Amdocs Developed Work (“Paid-For Development”). Amdocs shall assign or have assigned to AT&amp;T and hereby assigns to AT&amp;T all Intellectual Property Rights in and to such Paid-For Development.</w:t>
      </w:r>
    </w:p>
    <w:p>
      <w:pPr>
        <w:spacing w:after="0" w:line="76" w:lineRule="exact"/>
        <w:rPr>
          <w:rFonts w:ascii="Arial" w:cs="Arial" w:eastAsia="Arial" w:hAnsi="Arial"/>
          <w:sz w:val="17"/>
          <w:szCs w:val="17"/>
          <w:color w:val="auto"/>
        </w:rPr>
      </w:pPr>
    </w:p>
    <w:p>
      <w:pPr>
        <w:ind w:left="1424" w:right="80" w:hanging="439"/>
        <w:spacing w:after="0" w:line="279" w:lineRule="auto"/>
        <w:tabs>
          <w:tab w:leader="none" w:pos="1424" w:val="left"/>
        </w:tabs>
        <w:numPr>
          <w:ilvl w:val="2"/>
          <w:numId w:val="129"/>
        </w:numPr>
        <w:rPr>
          <w:rFonts w:ascii="Arial" w:cs="Arial" w:eastAsia="Arial" w:hAnsi="Arial"/>
          <w:sz w:val="17"/>
          <w:szCs w:val="17"/>
          <w:color w:val="auto"/>
        </w:rPr>
      </w:pPr>
      <w:r>
        <w:rPr>
          <w:rFonts w:ascii="Arial" w:cs="Arial" w:eastAsia="Arial" w:hAnsi="Arial"/>
          <w:sz w:val="17"/>
          <w:szCs w:val="17"/>
          <w:color w:val="auto"/>
        </w:rPr>
        <w:t>License Grant to Amdocs Pre-Existing and Amdocs Independently Developed Materials. If and to the extent that Amdocs embeds any Amdocs Pre-Existing Materials and/or Amdocs Independently Developed Materials in the Paid-For Development, subject to the payment of Development Fees as set forth in this Agreement or in any applicable Order, Amdocs hereby grants and promises to grant and have granted to AT&amp;T and its Affiliates a royalty-free, nonexclusive,</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48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171" w:name="page172"/>
    <w:bookmarkEnd w:id="171"/>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60"/>
        <w:spacing w:after="0" w:line="293" w:lineRule="auto"/>
        <w:rPr>
          <w:sz w:val="20"/>
          <w:szCs w:val="20"/>
          <w:color w:val="auto"/>
        </w:rPr>
      </w:pPr>
      <w:r>
        <w:rPr>
          <w:rFonts w:ascii="Arial" w:cs="Arial" w:eastAsia="Arial" w:hAnsi="Arial"/>
          <w:sz w:val="16"/>
          <w:szCs w:val="16"/>
          <w:color w:val="auto"/>
        </w:rPr>
        <w:t>sublicensable, assignable, transferable, irrevocable, perpetual, world-wide license in and to the Amdocs Pre-Existing Materials or Amdocs Independently Developed Materials and any applicable Intellectual Property Rights of Amdocs to use, copy, modify, distribute, display, perform, import, make, sell, offer to sell, and exploit (and have others do any of the foregoing on or for AT&amp;T’s or any of its Affiliates’ behalf or benefit) the Amdocs Pre-Existing Materials or Amdocs Independently Developed Materials, but only as embedded in the Paid-For Development by Amdocs. Any Amdocs Pre-Existing Materials and/or Amdocs Independently Developed Materials not embedded in Paid-For-Development shall be subject to the applicable license agreement.</w:t>
      </w:r>
    </w:p>
    <w:p>
      <w:pPr>
        <w:spacing w:after="0" w:line="70" w:lineRule="exact"/>
        <w:rPr>
          <w:sz w:val="20"/>
          <w:szCs w:val="20"/>
          <w:color w:val="auto"/>
        </w:rPr>
      </w:pPr>
    </w:p>
    <w:p>
      <w:pPr>
        <w:ind w:left="1380" w:right="60" w:hanging="439"/>
        <w:spacing w:after="0" w:line="273" w:lineRule="auto"/>
        <w:tabs>
          <w:tab w:leader="none" w:pos="1380" w:val="left"/>
        </w:tabs>
        <w:numPr>
          <w:ilvl w:val="1"/>
          <w:numId w:val="130"/>
        </w:numPr>
        <w:rPr>
          <w:rFonts w:ascii="Arial" w:cs="Arial" w:eastAsia="Arial" w:hAnsi="Arial"/>
          <w:sz w:val="17"/>
          <w:szCs w:val="17"/>
          <w:color w:val="auto"/>
        </w:rPr>
      </w:pPr>
      <w:r>
        <w:rPr>
          <w:rFonts w:ascii="Arial" w:cs="Arial" w:eastAsia="Arial" w:hAnsi="Arial"/>
          <w:sz w:val="17"/>
          <w:szCs w:val="17"/>
          <w:color w:val="auto"/>
        </w:rPr>
        <w:t>Further Acts and Obligations. Amdocs will take or secure such action (including, but not limited to, the execution, acknowledgment, delivery and assistance in preparation of documents or the giving of testimony) as may be reasonably requested by AT&amp;T to evidence, transfer, perfect, vest or confirm AT&amp;T’s right, title and interest in any Paid-For Development. Amdocs shall, in all events and without the need of AT&amp;T’s request, secure all Intellectual Property Rights in any Paid-For Development (and any licenses specified above in any Excluded Materials) from each employee, agent, Subcontractor or sub-supplier of Amdocs who has or will have any rights in the Paid-For Development or Excluded Materials.</w:t>
      </w:r>
    </w:p>
    <w:p>
      <w:pPr>
        <w:spacing w:after="0" w:line="83" w:lineRule="exact"/>
        <w:rPr>
          <w:rFonts w:ascii="Arial" w:cs="Arial" w:eastAsia="Arial" w:hAnsi="Arial"/>
          <w:sz w:val="17"/>
          <w:szCs w:val="17"/>
          <w:color w:val="auto"/>
        </w:rPr>
      </w:pPr>
    </w:p>
    <w:p>
      <w:pPr>
        <w:ind w:left="1380" w:right="20" w:hanging="439"/>
        <w:spacing w:after="0" w:line="254" w:lineRule="auto"/>
        <w:tabs>
          <w:tab w:leader="none" w:pos="138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Reservation of Rights and Limited License. Except as explicitly granted in this Agreement, AT&amp;T is not transferring or granting to Amdocs or its Affiliates any right, title, or interest in or to (or granting to Amdocs or its Affiliates any license or other permissions in or to) any Intellectual Property Rights in or to any AT&amp;T Pre-Existing Materials, AT&amp;T Items, AT&amp;T Provided Items, or Paid-For Development. Except as explicitly granted in this Agreement, Amdocs is not transferring or granting to AT&amp;T or its Affiliates any right, title, or interest in or to (or granting to AT&amp;T or its Affiliates any license or other permissions in or to) any Intellectual Property Rights in or to any Amdocs Pre-Existing Materials, Amdocs Independently Developed Materials, or Amdocs Mere Reconfigurations. AT&amp;T Pre-Existing Materials, AT&amp;T Provided Items, and Paid-For Development shall constitute AT&amp;T Information under this Agreement.</w:t>
      </w:r>
    </w:p>
    <w:p>
      <w:pPr>
        <w:spacing w:after="0" w:line="97" w:lineRule="exact"/>
        <w:rPr>
          <w:rFonts w:ascii="Arial" w:cs="Arial" w:eastAsia="Arial" w:hAnsi="Arial"/>
          <w:sz w:val="18"/>
          <w:szCs w:val="18"/>
          <w:color w:val="auto"/>
        </w:rPr>
      </w:pPr>
    </w:p>
    <w:p>
      <w:pPr>
        <w:ind w:left="920" w:hanging="532"/>
        <w:spacing w:after="0"/>
        <w:tabs>
          <w:tab w:leader="none" w:pos="92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Ownership of Pre-Existing and Independently Developed Materials.</w:t>
      </w:r>
    </w:p>
    <w:p>
      <w:pPr>
        <w:spacing w:after="0" w:line="130" w:lineRule="exact"/>
        <w:rPr>
          <w:rFonts w:ascii="Arial" w:cs="Arial" w:eastAsia="Arial" w:hAnsi="Arial"/>
          <w:sz w:val="18"/>
          <w:szCs w:val="18"/>
          <w:color w:val="auto"/>
        </w:rPr>
      </w:pPr>
    </w:p>
    <w:p>
      <w:pPr>
        <w:ind w:left="1380" w:right="220" w:hanging="439"/>
        <w:spacing w:after="0" w:line="263" w:lineRule="auto"/>
        <w:tabs>
          <w:tab w:leader="none" w:pos="13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Subject to the licenses herein, Amdocs shall retain ownership and all right, title and interest therein and thereto of all Amdocs Pre-Existing Materials, Amdocs Independently Developed Materials, and Amdocs Mere Reconfigurations. AT&amp;T acknowledges that Amdocs may pursue the development of Amdocs Independently Developed Materials.</w:t>
      </w:r>
    </w:p>
    <w:p>
      <w:pPr>
        <w:spacing w:after="0" w:line="89" w:lineRule="exact"/>
        <w:rPr>
          <w:rFonts w:ascii="Arial" w:cs="Arial" w:eastAsia="Arial" w:hAnsi="Arial"/>
          <w:sz w:val="18"/>
          <w:szCs w:val="18"/>
          <w:color w:val="auto"/>
        </w:rPr>
      </w:pPr>
    </w:p>
    <w:p>
      <w:pPr>
        <w:ind w:left="1380" w:right="260" w:hanging="439"/>
        <w:spacing w:after="0" w:line="277" w:lineRule="auto"/>
        <w:tabs>
          <w:tab w:leader="none" w:pos="138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AT&amp;T shall retain ownership and all right, title and interest in and to all AT&amp;T Pre-Existing Materials, AT&amp;T Provided Items and Paid-For Development.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49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72" w:name="page173"/>
    <w:bookmarkEnd w:id="172"/>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3.28  Prices</w:t>
      </w:r>
    </w:p>
    <w:p>
      <w:pPr>
        <w:spacing w:after="0" w:line="131" w:lineRule="exact"/>
        <w:rPr>
          <w:sz w:val="20"/>
          <w:szCs w:val="20"/>
          <w:color w:val="auto"/>
        </w:rPr>
      </w:pPr>
    </w:p>
    <w:p>
      <w:pPr>
        <w:ind w:left="960" w:right="180" w:hanging="532"/>
        <w:spacing w:after="0" w:line="273" w:lineRule="auto"/>
        <w:tabs>
          <w:tab w:leader="none" w:pos="9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Supplier shall furnish Work at the prices set forth in Appendix A, or pursuant to firm prices quoted by Supplier for such Work. Commencing January 2018, Supplier may elect to increase the prices in Appendix A annually. Supplier agrees to review such proposed rate increases with AT&amp;T Global Supply Chain and AT&amp;T Technology Development management. Such increases may not exceed the [***], as published in the month preceding the month in which the price increase is proposed. [***]. The prices for all Work in Appendix A are subject to increase only in accordance with this Agreement, changes to which must be in writing, reviewed by AT&amp;T management and signed by both Parties as an Amendment to this Agreement.</w:t>
      </w:r>
    </w:p>
    <w:p>
      <w:pPr>
        <w:spacing w:after="0" w:line="83" w:lineRule="exact"/>
        <w:rPr>
          <w:rFonts w:ascii="Arial" w:cs="Arial" w:eastAsia="Arial" w:hAnsi="Arial"/>
          <w:sz w:val="17"/>
          <w:szCs w:val="17"/>
          <w:color w:val="auto"/>
        </w:rPr>
      </w:pPr>
    </w:p>
    <w:p>
      <w:pPr>
        <w:ind w:left="960" w:right="160" w:hanging="532"/>
        <w:spacing w:after="0" w:line="263" w:lineRule="auto"/>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Supplier shall strive to proactively reduce its costs and corresponding prices for long term Work as charged to AT&amp;T each calendar year, through the use of improved processes, supply chain economies and other cost reduction methods. Supplier requests AT&amp;T’s cooperation with Supplier’s efforts to reduce Supplier’s costs for long term Work.</w:t>
      </w:r>
    </w:p>
    <w:p>
      <w:pPr>
        <w:spacing w:after="0" w:line="89" w:lineRule="exact"/>
        <w:rPr>
          <w:rFonts w:ascii="Arial" w:cs="Arial" w:eastAsia="Arial" w:hAnsi="Arial"/>
          <w:sz w:val="18"/>
          <w:szCs w:val="18"/>
          <w:color w:val="auto"/>
        </w:rPr>
      </w:pPr>
    </w:p>
    <w:p>
      <w:pPr>
        <w:ind w:left="960" w:right="660" w:hanging="532"/>
        <w:spacing w:after="0" w:line="277" w:lineRule="auto"/>
        <w:tabs>
          <w:tab w:leader="none" w:pos="9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 the event that Supplier provides Work to AT&amp;T through another entity with which AT&amp;T has an agreement, such Work shall be provided at [***] the rates specified in this Agreement.</w:t>
      </w:r>
    </w:p>
    <w:p>
      <w:pPr>
        <w:spacing w:after="0" w:line="75" w:lineRule="exact"/>
        <w:rPr>
          <w:rFonts w:ascii="Arial" w:cs="Arial" w:eastAsia="Arial" w:hAnsi="Arial"/>
          <w:sz w:val="18"/>
          <w:szCs w:val="18"/>
          <w:color w:val="auto"/>
        </w:rPr>
      </w:pPr>
    </w:p>
    <w:p>
      <w:pPr>
        <w:ind w:left="960" w:right="120" w:hanging="532"/>
        <w:spacing w:after="0" w:line="279" w:lineRule="auto"/>
        <w:tabs>
          <w:tab w:leader="none" w:pos="96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Supplier confirms that the financial terms and conditions applicable to the Services provided under this Agreement are, as of the Effective Date of this Agreement, and, during the term of this Agreement shall [***] For clarity, the Parties acknowledge that the signatory is authorized by and that the written attestation represents approval from the then-current Chief Executive Officer (CEO), currently Shuky Sheffer, Chief Financial Officer (CFO), currently Tamar Rapaport-Dagim, of Amdocs Management Ltd.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3.29  Publicity</w:t>
      </w:r>
    </w:p>
    <w:p>
      <w:pPr>
        <w:spacing w:after="0" w:line="252" w:lineRule="exact"/>
        <w:rPr>
          <w:sz w:val="20"/>
          <w:szCs w:val="20"/>
          <w:color w:val="auto"/>
        </w:rPr>
      </w:pPr>
    </w:p>
    <w:p>
      <w:pPr>
        <w:ind w:left="960" w:right="300" w:hanging="532"/>
        <w:spacing w:after="0" w:line="257" w:lineRule="auto"/>
        <w:tabs>
          <w:tab w:leader="none" w:pos="9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Supplier shall not use AT&amp;T’s or its Affiliates’ names or any language, pictures, trademarks, service marks, or symbols which could, in AT&amp;T’s judgment, imply AT&amp;T’s or its Affiliates’ identity or endorsement by AT&amp;T, its Affiliates, or any of its employees in any (i) written, electronic, or oral advertising or presentation or (ii) brochure, newsletter, book, electronic database, or other written material of whatever nature. Supplier may submit a publicity request to AT&amp;T for written approval, which AT&amp;T may accept or reject at its sole discretion.</w:t>
      </w:r>
    </w:p>
    <w:p>
      <w:pPr>
        <w:spacing w:after="0" w:line="93" w:lineRule="exact"/>
        <w:rPr>
          <w:rFonts w:ascii="Arial" w:cs="Arial" w:eastAsia="Arial" w:hAnsi="Arial"/>
          <w:sz w:val="18"/>
          <w:szCs w:val="18"/>
          <w:color w:val="auto"/>
        </w:rPr>
      </w:pPr>
    </w:p>
    <w:p>
      <w:pPr>
        <w:ind w:left="960" w:right="180" w:hanging="532"/>
        <w:spacing w:after="0" w:line="311" w:lineRule="auto"/>
        <w:tabs>
          <w:tab w:leader="none" w:pos="9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AT&amp;T acknowledges that Supplier is a publicly traded corporation and is therefore subject to certain reporting rules that may require that Supplier publish certain matters which relate to AT&amp;T and that Supplier may make such factual publications or disclosures without marketing hyperbole or “puffery” as may be required by Law or the rules of any securities exchange on which it is traded.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3.30  Quality Assurance</w:t>
      </w:r>
    </w:p>
    <w:p>
      <w:pPr>
        <w:spacing w:after="0" w:line="131" w:lineRule="exact"/>
        <w:rPr>
          <w:sz w:val="20"/>
          <w:szCs w:val="20"/>
          <w:color w:val="auto"/>
        </w:rPr>
      </w:pPr>
    </w:p>
    <w:p>
      <w:pPr>
        <w:ind w:left="960" w:hanging="53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Quality</w:t>
      </w:r>
    </w:p>
    <w:p>
      <w:pPr>
        <w:spacing w:after="0" w:line="13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i.</w:t>
      </w:r>
      <w:r>
        <w:rPr>
          <w:rFonts w:ascii="Arial" w:cs="Arial" w:eastAsia="Arial" w:hAnsi="Arial"/>
          <w:sz w:val="16"/>
          <w:szCs w:val="16"/>
          <w:color w:val="auto"/>
        </w:rPr>
        <w:t>For the term of this Agreement, Supplier and Supplier’s Subcontractor organization(s) will have a quality program in place.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50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73" w:name="page174"/>
    <w:bookmarkEnd w:id="173"/>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20" w:hanging="439"/>
        <w:spacing w:after="0" w:line="263" w:lineRule="auto"/>
        <w:tabs>
          <w:tab w:leader="none" w:pos="14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CMM Level-3 Assessment. Supplier Custom Software development organization(s) that are supporting AT&amp;T software development will obtain and maintain a CMM Level-3 Assessment, as prescribed by the Software Engineering Institute. Supplier’s OnGoing Support resources shall follow the AT&amp;T quality assurance program and process.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Testing</w:t>
      </w:r>
    </w:p>
    <w:p>
      <w:pPr>
        <w:spacing w:after="0" w:line="130" w:lineRule="exact"/>
        <w:rPr>
          <w:rFonts w:ascii="Arial" w:cs="Arial" w:eastAsia="Arial" w:hAnsi="Arial"/>
          <w:sz w:val="18"/>
          <w:szCs w:val="18"/>
          <w:color w:val="auto"/>
        </w:rPr>
      </w:pPr>
    </w:p>
    <w:p>
      <w:pPr>
        <w:ind w:left="1420" w:right="820" w:hanging="439"/>
        <w:spacing w:after="0" w:line="277" w:lineRule="auto"/>
        <w:tabs>
          <w:tab w:leader="none" w:pos="14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Supplier shall perform or cause to be performed testing sufficient to ensure that the Work performs in accordance with the Specifications.</w:t>
      </w:r>
    </w:p>
    <w:p>
      <w:pPr>
        <w:spacing w:after="0" w:line="76" w:lineRule="exact"/>
        <w:rPr>
          <w:sz w:val="20"/>
          <w:szCs w:val="20"/>
          <w:color w:val="auto"/>
        </w:rPr>
      </w:pPr>
    </w:p>
    <w:p>
      <w:pPr>
        <w:ind w:left="1420" w:right="120" w:hanging="439"/>
        <w:spacing w:after="0" w:line="277" w:lineRule="auto"/>
        <w:tabs>
          <w:tab w:leader="none" w:pos="14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If testing indicates Work does not conform to the Specifications, then Supplier shall promptly notify AT&amp;T, in writing, of such non-conformance before shipment or provision of Work.</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AT&amp;T will advise Supplier whether Supplier should Deliver the non-conforming Work.</w:t>
      </w:r>
    </w:p>
    <w:p>
      <w:pPr>
        <w:spacing w:after="0" w:line="130" w:lineRule="exact"/>
        <w:rPr>
          <w:rFonts w:ascii="Arial" w:cs="Arial" w:eastAsia="Arial" w:hAnsi="Arial"/>
          <w:sz w:val="18"/>
          <w:szCs w:val="18"/>
          <w:color w:val="auto"/>
        </w:rPr>
      </w:pPr>
    </w:p>
    <w:p>
      <w:pPr>
        <w:ind w:left="1420" w:right="160" w:hanging="439"/>
        <w:spacing w:after="0" w:line="263" w:lineRule="auto"/>
        <w:tabs>
          <w:tab w:leader="none" w:pos="1420" w:val="left"/>
        </w:tabs>
        <w:numPr>
          <w:ilvl w:val="1"/>
          <w:numId w:val="137"/>
        </w:numPr>
        <w:rPr>
          <w:rFonts w:ascii="Arial" w:cs="Arial" w:eastAsia="Arial" w:hAnsi="Arial"/>
          <w:sz w:val="18"/>
          <w:szCs w:val="18"/>
          <w:color w:val="auto"/>
        </w:rPr>
      </w:pPr>
      <w:r>
        <w:rPr>
          <w:rFonts w:ascii="Arial" w:cs="Arial" w:eastAsia="Arial" w:hAnsi="Arial"/>
          <w:sz w:val="18"/>
          <w:szCs w:val="18"/>
          <w:color w:val="auto"/>
        </w:rPr>
        <w:t>In the event AT&amp;T instructs Supplier to Deliver non-conforming Work, Supplier shall not be relieved of any of its obligations hereunder, including warranty obligations. AT&amp;T’s receipt of any such nonconforming Work shall not constitute a waiver of any of AT&amp;T’s rights, warranties, or remedies under this Agreement or elsewhere.</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Supplier Performance Management Program and Satisfaction Survey</w:t>
      </w:r>
    </w:p>
    <w:p>
      <w:pPr>
        <w:spacing w:after="0" w:line="130" w:lineRule="exact"/>
        <w:rPr>
          <w:rFonts w:ascii="Arial" w:cs="Arial" w:eastAsia="Arial" w:hAnsi="Arial"/>
          <w:sz w:val="18"/>
          <w:szCs w:val="18"/>
          <w:color w:val="auto"/>
        </w:rPr>
      </w:pPr>
    </w:p>
    <w:p>
      <w:pPr>
        <w:ind w:left="1420" w:right="120" w:hanging="439"/>
        <w:spacing w:after="0" w:line="277" w:lineRule="auto"/>
        <w:tabs>
          <w:tab w:leader="none" w:pos="14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Upon AT&amp;T’s request, Supplier shall participate in an AT&amp;T supplier performance management program and/or satisfaction survey (“Survey”).</w:t>
      </w:r>
    </w:p>
    <w:p>
      <w:pPr>
        <w:spacing w:after="0" w:line="75" w:lineRule="exact"/>
        <w:rPr>
          <w:rFonts w:ascii="Arial" w:cs="Arial" w:eastAsia="Arial" w:hAnsi="Arial"/>
          <w:sz w:val="18"/>
          <w:szCs w:val="18"/>
          <w:color w:val="auto"/>
        </w:rPr>
      </w:pPr>
    </w:p>
    <w:p>
      <w:pPr>
        <w:ind w:left="1420" w:right="160" w:hanging="439"/>
        <w:spacing w:after="0" w:line="263" w:lineRule="auto"/>
        <w:tabs>
          <w:tab w:leader="none" w:pos="1420" w:val="left"/>
        </w:tabs>
        <w:numPr>
          <w:ilvl w:val="1"/>
          <w:numId w:val="138"/>
        </w:numPr>
        <w:rPr>
          <w:rFonts w:ascii="Arial" w:cs="Arial" w:eastAsia="Arial" w:hAnsi="Arial"/>
          <w:sz w:val="18"/>
          <w:szCs w:val="18"/>
          <w:color w:val="auto"/>
        </w:rPr>
      </w:pPr>
      <w:r>
        <w:rPr>
          <w:rFonts w:ascii="Arial" w:cs="Arial" w:eastAsia="Arial" w:hAnsi="Arial"/>
          <w:sz w:val="18"/>
          <w:szCs w:val="18"/>
          <w:color w:val="auto"/>
        </w:rPr>
        <w:t>Supplier shall meet or exceed the quality performance requirements in the Survey categories applicable to Supplier. If the Survey reveals areas needing improvement. Supplier shall provide AT&amp;T a plan addressing such areas within [***] after Supplier’s receipt of the Survey results.</w:t>
      </w:r>
    </w:p>
    <w:p>
      <w:pPr>
        <w:spacing w:after="0" w:line="332" w:lineRule="exact"/>
        <w:rPr>
          <w:rFonts w:ascii="Arial" w:cs="Arial" w:eastAsia="Arial" w:hAnsi="Arial"/>
          <w:sz w:val="18"/>
          <w:szCs w:val="18"/>
          <w:color w:val="auto"/>
        </w:rPr>
      </w:pPr>
    </w:p>
    <w:p>
      <w:pPr>
        <w:ind w:left="960" w:hanging="532"/>
        <w:spacing w:after="0"/>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Supplier Performance Scorecards</w:t>
      </w:r>
    </w:p>
    <w:p>
      <w:pPr>
        <w:spacing w:after="0" w:line="131"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At</w:t>
        <w:tab/>
        <w:t>AT&amp;T’s request Supplier shall:</w:t>
      </w:r>
    </w:p>
    <w:p>
      <w:pPr>
        <w:spacing w:after="0" w:line="131" w:lineRule="exact"/>
        <w:rPr>
          <w:sz w:val="20"/>
          <w:szCs w:val="20"/>
          <w:color w:val="auto"/>
        </w:rPr>
      </w:pPr>
    </w:p>
    <w:p>
      <w:pPr>
        <w:ind w:left="1420" w:hanging="439"/>
        <w:spacing w:after="0"/>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collect data relating to Supplier’s performance on a schedule established by AT&amp;T;</w:t>
      </w:r>
    </w:p>
    <w:p>
      <w:pPr>
        <w:spacing w:after="0" w:line="130" w:lineRule="exact"/>
        <w:rPr>
          <w:rFonts w:ascii="Arial" w:cs="Arial" w:eastAsia="Arial" w:hAnsi="Arial"/>
          <w:sz w:val="18"/>
          <w:szCs w:val="18"/>
          <w:color w:val="auto"/>
        </w:rPr>
      </w:pPr>
    </w:p>
    <w:p>
      <w:pPr>
        <w:ind w:left="1420" w:right="720" w:hanging="439"/>
        <w:spacing w:after="0" w:line="277" w:lineRule="auto"/>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 xml:space="preserve">enter the data in AT&amp;T’s supplier portal (website) available at: </w:t>
      </w:r>
      <w:r>
        <w:rPr>
          <w:rFonts w:ascii="Arial" w:cs="Arial" w:eastAsia="Arial" w:hAnsi="Arial"/>
          <w:sz w:val="18"/>
          <w:szCs w:val="18"/>
          <w:u w:val="single" w:color="auto"/>
          <w:color w:val="auto"/>
        </w:rPr>
        <w:t>http://www.attsuppliers.com/</w:t>
      </w:r>
      <w:r>
        <w:rPr>
          <w:rFonts w:ascii="Arial" w:cs="Arial" w:eastAsia="Arial" w:hAnsi="Arial"/>
          <w:sz w:val="18"/>
          <w:szCs w:val="18"/>
          <w:color w:val="auto"/>
        </w:rPr>
        <w:t xml:space="preserve"> (subject to change) in a format designated by AT&amp;T; and</w:t>
      </w:r>
    </w:p>
    <w:p>
      <w:pPr>
        <w:spacing w:after="0" w:line="75" w:lineRule="exact"/>
        <w:rPr>
          <w:rFonts w:ascii="Arial" w:cs="Arial" w:eastAsia="Arial" w:hAnsi="Arial"/>
          <w:sz w:val="18"/>
          <w:szCs w:val="18"/>
          <w:color w:val="auto"/>
        </w:rPr>
      </w:pPr>
    </w:p>
    <w:p>
      <w:pPr>
        <w:ind w:left="1420" w:right="100" w:hanging="439"/>
        <w:spacing w:after="0" w:line="277" w:lineRule="auto"/>
        <w:tabs>
          <w:tab w:leader="none" w:pos="14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cooperate fully with AT&amp;T’s supplier performance management team to coordinate Supplier’s activities as related to the scorecards, which may include participation in feedback sessions, audits and issue resolution.</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3.31  Records and Audits</w:t>
      </w:r>
    </w:p>
    <w:p>
      <w:pPr>
        <w:spacing w:after="0" w:line="131" w:lineRule="exact"/>
        <w:rPr>
          <w:sz w:val="20"/>
          <w:szCs w:val="20"/>
          <w:color w:val="auto"/>
        </w:rPr>
      </w:pPr>
    </w:p>
    <w:p>
      <w:pPr>
        <w:ind w:left="1180" w:right="220" w:hanging="644"/>
        <w:spacing w:after="0" w:line="263" w:lineRule="auto"/>
        <w:tabs>
          <w:tab w:leader="none" w:pos="11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Supplier shall maintain complete and accurate records relating to the Work and the performance of this Agreement. AT&amp;T through its external, independent auditors and governmental authorities shall have the right, upon reasonable notice, to review such records (“AT&amp;T Audits”) to verify the following:</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51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74" w:name="page175"/>
    <w:bookmarkEnd w:id="174"/>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hanging="439"/>
        <w:spacing w:after="0"/>
        <w:tabs>
          <w:tab w:leader="none" w:pos="13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accuracy and integrity of Supplier’s invoices and AT&amp;T’s payment obligations hereunder;</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that the Work charged for was actually performed;</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that the Services have been and are being provided in accordance with this Agreement;</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integrity of Supplier’s systems that process, store, support, maintain, and transmit AT&amp;T data;</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the performance of Supplier’s Subcontractors with respect to any portion of the Services; and</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that Supplier and its Subcontractors are complying with Laws in accordance with its obligations under this Agreement.</w:t>
      </w:r>
    </w:p>
    <w:p>
      <w:pPr>
        <w:spacing w:after="0" w:line="130" w:lineRule="exact"/>
        <w:rPr>
          <w:rFonts w:ascii="Arial" w:cs="Arial" w:eastAsia="Arial" w:hAnsi="Arial"/>
          <w:sz w:val="18"/>
          <w:szCs w:val="18"/>
          <w:color w:val="auto"/>
        </w:rPr>
      </w:pPr>
    </w:p>
    <w:p>
      <w:pPr>
        <w:ind w:left="920" w:right="480" w:hanging="532"/>
        <w:spacing w:after="0" w:line="263" w:lineRule="auto"/>
        <w:tabs>
          <w:tab w:leader="none" w:pos="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Upon reasonable request, Supplier shall provide and shall require that its Subcontractors provide to AT&amp;T, its external auditors, and governmental authorities access, at all reasonable times and in a manner designed to not unreasonably interrupt the ordinary business operations of Supplier or its Subcontractors, to:</w:t>
      </w:r>
    </w:p>
    <w:p>
      <w:pPr>
        <w:spacing w:after="0" w:line="89" w:lineRule="exact"/>
        <w:rPr>
          <w:rFonts w:ascii="Arial" w:cs="Arial" w:eastAsia="Arial" w:hAnsi="Arial"/>
          <w:sz w:val="18"/>
          <w:szCs w:val="18"/>
          <w:color w:val="auto"/>
        </w:rPr>
      </w:pPr>
    </w:p>
    <w:p>
      <w:pPr>
        <w:ind w:left="1380" w:hanging="439"/>
        <w:spacing w:after="0"/>
        <w:tabs>
          <w:tab w:leader="none" w:pos="13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facility at which the Services or any portion thereof are being performed;</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systems and assets used to provide the Services or any portion thereof;</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Supplier employees and Subcontractor employees providing the Services or any portion thereof; and</w:t>
      </w:r>
    </w:p>
    <w:p>
      <w:pPr>
        <w:spacing w:after="0" w:line="130" w:lineRule="exact"/>
        <w:rPr>
          <w:rFonts w:ascii="Arial" w:cs="Arial" w:eastAsia="Arial" w:hAnsi="Arial"/>
          <w:sz w:val="18"/>
          <w:szCs w:val="18"/>
          <w:color w:val="auto"/>
        </w:rPr>
      </w:pPr>
    </w:p>
    <w:p>
      <w:pPr>
        <w:ind w:left="1380" w:right="380" w:hanging="439"/>
        <w:spacing w:after="0" w:line="277" w:lineRule="auto"/>
        <w:tabs>
          <w:tab w:leader="none" w:pos="13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relevant Supplier and Subcontractor records, including financial records relating to the invoices and payment obligations and supporting documentation, pertaining to the Services.</w:t>
      </w:r>
    </w:p>
    <w:p>
      <w:pPr>
        <w:spacing w:after="0" w:line="62" w:lineRule="exact"/>
        <w:rPr>
          <w:sz w:val="20"/>
          <w:szCs w:val="20"/>
          <w:color w:val="auto"/>
        </w:rPr>
      </w:pPr>
    </w:p>
    <w:p>
      <w:pPr>
        <w:ind w:left="940" w:right="180"/>
        <w:spacing w:after="0" w:line="263" w:lineRule="auto"/>
        <w:rPr>
          <w:sz w:val="20"/>
          <w:szCs w:val="20"/>
          <w:color w:val="auto"/>
        </w:rPr>
      </w:pPr>
      <w:r>
        <w:rPr>
          <w:rFonts w:ascii="Arial" w:cs="Arial" w:eastAsia="Arial" w:hAnsi="Arial"/>
          <w:sz w:val="18"/>
          <w:szCs w:val="18"/>
          <w:color w:val="auto"/>
        </w:rPr>
        <w:t>AT&amp;T’s access to the records and other supporting documentation shall include the right to inspect and photocopy Supplier’s documentation and the documentation of its Subcontractors, and the right to inspect copies thereof outside of their physical location with appropriate safeguards, if such inspection is deemed reasonably necessary by AT&amp;T.</w:t>
      </w:r>
    </w:p>
    <w:p>
      <w:pPr>
        <w:spacing w:after="0" w:line="89" w:lineRule="exact"/>
        <w:rPr>
          <w:sz w:val="20"/>
          <w:szCs w:val="20"/>
          <w:color w:val="auto"/>
        </w:rPr>
      </w:pPr>
    </w:p>
    <w:p>
      <w:pPr>
        <w:ind w:left="920" w:hanging="532"/>
        <w:spacing w:after="0" w:line="257" w:lineRule="auto"/>
        <w:tabs>
          <w:tab w:leader="none" w:pos="9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AT&amp;T Audits may be conducted once a year (or more frequently if requested by governmental authorities who regulate AT&amp;T’s business, if required by applicable Law or if auditors require follow-up access to complete audit inquiries or if an audit uncovers any problems or deficiencies), upon at least twenty (20) business days advance notice (unless otherwise mandated by Law). Supplier will cooperate, and will ensure that its Subcontractors cooperate, in the AT&amp;T Audits, and will make the information reasonably required to conduct the AT&amp;T Audits available on a timely basis.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52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75" w:name="page176"/>
    <w:bookmarkEnd w:id="175"/>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20" w:right="60" w:hanging="532"/>
        <w:spacing w:after="0" w:line="271" w:lineRule="auto"/>
        <w:tabs>
          <w:tab w:leader="none" w:pos="92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If any such audit reveals an overcharge by Supplier, and Supplier does not successfully dispute the amount questioned by such audit, Supplier shall [***] at the at the then-current “Prime Rate” set forth in the “Money Rates” table in The Wall Street Journal (“</w:t>
      </w:r>
      <w:r>
        <w:rPr>
          <w:rFonts w:ascii="Arial" w:cs="Arial" w:eastAsia="Arial" w:hAnsi="Arial"/>
          <w:sz w:val="17"/>
          <w:szCs w:val="17"/>
          <w:u w:val="single" w:color="auto"/>
          <w:color w:val="auto"/>
        </w:rPr>
        <w:t>Prime Rate</w:t>
      </w:r>
      <w:r>
        <w:rPr>
          <w:rFonts w:ascii="Arial" w:cs="Arial" w:eastAsia="Arial" w:hAnsi="Arial"/>
          <w:sz w:val="17"/>
          <w:szCs w:val="17"/>
          <w:color w:val="auto"/>
        </w:rPr>
        <w:t>”). If any such AT&amp;T Audit reveals an overcharge to AT&amp;T during any 12-month period [***] paid by AT&amp;T hereunder during such period, then Supplier will reimburse AT&amp;T for the reasonable cost of such AT&amp;T Audit. In the event such an audit results in a determination that Supplier has undercharged AT&amp;T, then AT&amp;T shall promptly pay to Supplier the amount of such undercharges. If, as a result of an AT&amp;T Audit, AT&amp;T determines that Supplier has committed a material breach of this Agreement, AT&amp;T will notify Supplier promptly and Supplier will promptly remedy the breach. In the event Supplier disputes the Audit finding, such dispute will be subject to escalation and dispute resolution in accordance with Section 4.5.</w:t>
      </w:r>
    </w:p>
    <w:p>
      <w:pPr>
        <w:spacing w:after="0" w:line="83" w:lineRule="exact"/>
        <w:rPr>
          <w:rFonts w:ascii="Arial" w:cs="Arial" w:eastAsia="Arial" w:hAnsi="Arial"/>
          <w:sz w:val="17"/>
          <w:szCs w:val="17"/>
          <w:color w:val="auto"/>
        </w:rPr>
      </w:pPr>
    </w:p>
    <w:p>
      <w:pPr>
        <w:ind w:left="920" w:right="80" w:hanging="532"/>
        <w:spacing w:after="0" w:line="257" w:lineRule="auto"/>
        <w:tabs>
          <w:tab w:leader="none" w:pos="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Supplier will maintain and retain the records set forth in Subsection (a) for a period of three (3) years from their creation (unless a discovery or legal hold request is made with respect to such records, in which case Supplier shall retain such records until AT&amp;T notifies Supplier that such discovery or legal hold request has expired). Upon notification by AT&amp;T of a discovery or legal hold request, Supplier shall fully cooperate with such request and immediately preserve any Supplier records covered by such request and promptly provide such Supplier records requested by AT&amp;T related to the inquiry.</w:t>
      </w:r>
    </w:p>
    <w:p>
      <w:pPr>
        <w:spacing w:after="0" w:line="93" w:lineRule="exact"/>
        <w:rPr>
          <w:rFonts w:ascii="Arial" w:cs="Arial" w:eastAsia="Arial" w:hAnsi="Arial"/>
          <w:sz w:val="18"/>
          <w:szCs w:val="18"/>
          <w:color w:val="auto"/>
        </w:rPr>
      </w:pPr>
    </w:p>
    <w:p>
      <w:pPr>
        <w:ind w:left="920" w:right="20" w:hanging="532"/>
        <w:spacing w:after="0" w:line="257" w:lineRule="auto"/>
        <w:tabs>
          <w:tab w:leader="none" w:pos="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Except as provided in Subsection (d), all reasonable out-of-pocket costs and expenses incurred by AT&amp;T in connection with an AT&amp;T Audit shall be paid by AT&amp;T. Supplier shall be solely responsible for all costs and expenses incurred by Supplier in connection with its obligations under this Section. In the event that either Party requires that an audit be performed by an independent auditor, unless otherwise specified herein, the Party requesting such independent auditor will be responsible for the costs and expenses associated with the independent auditor.</w:t>
      </w:r>
    </w:p>
    <w:p>
      <w:pPr>
        <w:spacing w:after="0" w:line="93" w:lineRule="exact"/>
        <w:rPr>
          <w:rFonts w:ascii="Arial" w:cs="Arial" w:eastAsia="Arial" w:hAnsi="Arial"/>
          <w:sz w:val="18"/>
          <w:szCs w:val="18"/>
          <w:color w:val="auto"/>
        </w:rPr>
      </w:pPr>
    </w:p>
    <w:p>
      <w:pPr>
        <w:ind w:left="920" w:hanging="532"/>
        <w:spacing w:after="0"/>
        <w:tabs>
          <w:tab w:leader="none" w:pos="92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With respect to AT&amp;T requests for audits or inspections of Supplier Subcontractors, the following applies:</w:t>
      </w:r>
    </w:p>
    <w:p>
      <w:pPr>
        <w:spacing w:after="0" w:line="130" w:lineRule="exact"/>
        <w:rPr>
          <w:rFonts w:ascii="Arial" w:cs="Arial" w:eastAsia="Arial" w:hAnsi="Arial"/>
          <w:sz w:val="18"/>
          <w:szCs w:val="18"/>
          <w:color w:val="auto"/>
        </w:rPr>
      </w:pPr>
    </w:p>
    <w:p>
      <w:pPr>
        <w:ind w:left="1380" w:right="80" w:hanging="439"/>
        <w:spacing w:after="0" w:line="263" w:lineRule="auto"/>
        <w:tabs>
          <w:tab w:leader="none" w:pos="1380" w:val="left"/>
        </w:tabs>
        <w:numPr>
          <w:ilvl w:val="1"/>
          <w:numId w:val="144"/>
        </w:numPr>
        <w:rPr>
          <w:rFonts w:ascii="Arial" w:cs="Arial" w:eastAsia="Arial" w:hAnsi="Arial"/>
          <w:sz w:val="18"/>
          <w:szCs w:val="18"/>
          <w:color w:val="auto"/>
        </w:rPr>
      </w:pPr>
      <w:r>
        <w:rPr>
          <w:rFonts w:ascii="Arial" w:cs="Arial" w:eastAsia="Arial" w:hAnsi="Arial"/>
          <w:sz w:val="18"/>
          <w:szCs w:val="18"/>
          <w:color w:val="auto"/>
        </w:rPr>
        <w:t>If Supplier’s agreement with its applicable Subcontractor permits an AT&amp;T Audit, AT&amp;T shall be permitted to conduct such audit directly or through a third party representative. Supplier shall work with AT&amp;T in facilitating the Subcontractor’s cooperation for an expeditious and thorough audit or inspection.</w:t>
      </w:r>
    </w:p>
    <w:p>
      <w:pPr>
        <w:spacing w:after="0" w:line="89" w:lineRule="exact"/>
        <w:rPr>
          <w:rFonts w:ascii="Arial" w:cs="Arial" w:eastAsia="Arial" w:hAnsi="Arial"/>
          <w:sz w:val="18"/>
          <w:szCs w:val="18"/>
          <w:color w:val="auto"/>
        </w:rPr>
      </w:pPr>
    </w:p>
    <w:p>
      <w:pPr>
        <w:ind w:left="1380" w:right="140" w:hanging="439"/>
        <w:spacing w:after="0" w:line="291" w:lineRule="auto"/>
        <w:tabs>
          <w:tab w:leader="none" w:pos="1380" w:val="left"/>
        </w:tabs>
        <w:numPr>
          <w:ilvl w:val="1"/>
          <w:numId w:val="144"/>
        </w:numPr>
        <w:rPr>
          <w:rFonts w:ascii="Arial" w:cs="Arial" w:eastAsia="Arial" w:hAnsi="Arial"/>
          <w:sz w:val="16"/>
          <w:szCs w:val="16"/>
          <w:color w:val="auto"/>
        </w:rPr>
      </w:pPr>
      <w:r>
        <w:rPr>
          <w:rFonts w:ascii="Arial" w:cs="Arial" w:eastAsia="Arial" w:hAnsi="Arial"/>
          <w:sz w:val="16"/>
          <w:szCs w:val="16"/>
          <w:color w:val="auto"/>
        </w:rPr>
        <w:t>If Supplier’s contract with its applicable Subcontractor precludes AT&amp;T from directly conducting an audit or inspection, Supplier shall use reasonable best efforts to enable AT&amp;T to perform an audit of the Subcontractor with Supplier coordinating the audit process. Failing those efforts, Supplier shall, upon AT&amp;T’s request, conduct the audit or inspection on behalf of AT&amp;T, subject to terms agreed to by Supplier and AT&amp;T for the Subcontractor audit, such as areas to be audited, applicable fees, and the timeframe for reporting audit results to AT&amp;T. If AT&amp;T’s request for a Supplier audit or inspection arises from, in AT&amp;T’s good faith opinion, materially or consistently deficient Service provided by the Subcontractor under AT&amp;T’s account, and the audit in both Parties’ opinions confirms such deficiencies, Supplier shall not charge AT&amp;T a fee for the Supplier’s audit of its Subcontractor.</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53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76" w:name="page177"/>
    <w:bookmarkEnd w:id="17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hanging="532"/>
        <w:spacing w:after="0"/>
        <w:tabs>
          <w:tab w:leader="none" w:pos="9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General Procedures.</w:t>
      </w:r>
    </w:p>
    <w:p>
      <w:pPr>
        <w:spacing w:after="0" w:line="130" w:lineRule="exact"/>
        <w:rPr>
          <w:rFonts w:ascii="Arial" w:cs="Arial" w:eastAsia="Arial" w:hAnsi="Arial"/>
          <w:sz w:val="18"/>
          <w:szCs w:val="18"/>
          <w:color w:val="auto"/>
        </w:rPr>
      </w:pPr>
    </w:p>
    <w:p>
      <w:pPr>
        <w:ind w:left="1420" w:right="40" w:hanging="439"/>
        <w:spacing w:after="0" w:line="311" w:lineRule="auto"/>
        <w:tabs>
          <w:tab w:leader="none" w:pos="142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Notwithstanding the intended breadth of AT&amp;T’s audit rights, AT&amp;T shall not be given access to (i) the proprietary information of other Supplier customers, (ii) Supplier locations that are not related to AT&amp;T or the Services or areas of Supplier locations which are used for other Supplier customers, or (iii) Supplier’s internal costs. AT&amp;T Audits are subject to Section 3.16, “Information”.</w:t>
      </w:r>
    </w:p>
    <w:p>
      <w:pPr>
        <w:spacing w:after="0" w:line="54" w:lineRule="exact"/>
        <w:rPr>
          <w:rFonts w:ascii="Arial" w:cs="Arial" w:eastAsia="Arial" w:hAnsi="Arial"/>
          <w:sz w:val="16"/>
          <w:szCs w:val="16"/>
          <w:color w:val="auto"/>
        </w:rPr>
      </w:pPr>
    </w:p>
    <w:p>
      <w:pPr>
        <w:ind w:left="1420" w:right="780" w:hanging="439"/>
        <w:spacing w:after="0" w:line="277" w:lineRule="auto"/>
        <w:tabs>
          <w:tab w:leader="none" w:pos="14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In performing audits, AT&amp;T shall avoid unnecessary disruption of Supplier’s operations and unnecessary interference with Supplier’s ability to perform the Services.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External auditors examining Supplier’s records shall not be any Supplier competitors.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45"/>
        </w:numPr>
        <w:rPr>
          <w:rFonts w:ascii="Arial" w:cs="Arial" w:eastAsia="Arial" w:hAnsi="Arial"/>
          <w:sz w:val="18"/>
          <w:szCs w:val="18"/>
          <w:color w:val="auto"/>
        </w:rPr>
      </w:pPr>
      <w:r>
        <w:rPr>
          <w:rFonts w:ascii="Arial" w:cs="Arial" w:eastAsia="Arial" w:hAnsi="Arial"/>
          <w:sz w:val="18"/>
          <w:szCs w:val="18"/>
          <w:color w:val="auto"/>
        </w:rPr>
        <w:t>All external auditors shall sign the NDA attached as Appendix I, Exhibit 1, prior to commencing the audit.</w:t>
      </w:r>
    </w:p>
    <w:p>
      <w:pPr>
        <w:spacing w:after="0" w:line="130" w:lineRule="exact"/>
        <w:rPr>
          <w:rFonts w:ascii="Arial" w:cs="Arial" w:eastAsia="Arial" w:hAnsi="Arial"/>
          <w:sz w:val="18"/>
          <w:szCs w:val="18"/>
          <w:color w:val="auto"/>
        </w:rPr>
      </w:pPr>
    </w:p>
    <w:p>
      <w:pPr>
        <w:ind w:left="1420" w:right="260" w:hanging="439"/>
        <w:spacing w:after="0" w:line="342" w:lineRule="auto"/>
        <w:tabs>
          <w:tab w:leader="none" w:pos="1420" w:val="left"/>
        </w:tabs>
        <w:numPr>
          <w:ilvl w:val="1"/>
          <w:numId w:val="145"/>
        </w:numPr>
        <w:rPr>
          <w:rFonts w:ascii="Arial" w:cs="Arial" w:eastAsia="Arial" w:hAnsi="Arial"/>
          <w:sz w:val="16"/>
          <w:szCs w:val="16"/>
          <w:color w:val="auto"/>
        </w:rPr>
      </w:pPr>
      <w:r>
        <w:rPr>
          <w:rFonts w:ascii="Arial" w:cs="Arial" w:eastAsia="Arial" w:hAnsi="Arial"/>
          <w:sz w:val="16"/>
          <w:szCs w:val="16"/>
          <w:color w:val="auto"/>
        </w:rPr>
        <w:t>Information provided by Supplier as part of an audit, and any reports derived from such information, shall be provided only to the AT&amp;T personnel who are directly involved in such audit and AT&amp;T management, and shall be used for AT&amp;T internal use only.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3.32  Severability</w:t>
      </w:r>
    </w:p>
    <w:p>
      <w:pPr>
        <w:spacing w:after="0" w:line="117"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If any provision of this Agreement or any Order is determined to be invalid, illegal, or unenforceable, the Parties agree that the remaining provisions of this Agreement or such Order shall remain in full force if both the economic and legal substance of the transactions contemplated by this Agreement or such Order are not affected in any manner that is materially adverse to either Party by severing the provision determined to be invalid, illegal, or unenforceable.</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3.33  Supplier Citizenship and Sustainability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Supplier shall conduct business with an abiding respect for corporate citizenship, sustainability, and human rights (“Citizenship and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Sustainability”). As such, to the extent Supplier has an existing Citizenship and Sustainability program, such program shall be no less stringent</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than AT&amp;T’s Principles of Conduct for Suppliers available at: </w:t>
      </w:r>
      <w:r>
        <w:rPr>
          <w:rFonts w:ascii="Arial" w:cs="Arial" w:eastAsia="Arial" w:hAnsi="Arial"/>
          <w:sz w:val="17"/>
          <w:szCs w:val="17"/>
          <w:u w:val="single" w:color="auto"/>
          <w:color w:val="auto"/>
        </w:rPr>
        <w:t>http://www.attsuppliers.com/misc/SupplierSustainabilityPrinciples.pdf</w:t>
      </w:r>
      <w:r>
        <w:rPr>
          <w:rFonts w:ascii="Arial" w:cs="Arial" w:eastAsia="Arial" w:hAnsi="Arial"/>
          <w:sz w:val="17"/>
          <w:szCs w:val="17"/>
          <w:color w:val="auto"/>
        </w:rPr>
        <w:t xml:space="preserve"> and the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AT&amp;T Human Rights in Communication Policy available at: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http://www.att.com/Common/about_us/downloads/Human_Rights_Communications_Policy.pdf</w:t>
      </w:r>
      <w:r>
        <w:rPr>
          <w:rFonts w:ascii="Arial" w:cs="Arial" w:eastAsia="Arial" w:hAnsi="Arial"/>
          <w:sz w:val="18"/>
          <w:szCs w:val="18"/>
          <w:color w:val="auto"/>
        </w:rPr>
        <w:t xml:space="preserve"> (“AT&amp;T Citizenship and Sustainability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Policies”). In the event that Supplier does not have a Citizenship and Sustainability program, or such program does not address all areas addressed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AT&amp;T Citizenship and Sustainability Policies, or there are modifications to the then-current AT&amp;T Citizenship and Sustainability Policies,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Supplier shall conduct its business operations in a manner consistent with the AT&amp;T Citizenship and Sustainability Policies.</w:t>
      </w:r>
    </w:p>
    <w:p>
      <w:pPr>
        <w:spacing w:after="0" w:line="103" w:lineRule="exact"/>
        <w:rPr>
          <w:sz w:val="20"/>
          <w:szCs w:val="20"/>
          <w:color w:val="auto"/>
        </w:rPr>
      </w:pPr>
    </w:p>
    <w:p>
      <w:pPr>
        <w:jc w:val="both"/>
        <w:ind w:left="440" w:right="160"/>
        <w:spacing w:after="0" w:line="263" w:lineRule="auto"/>
        <w:rPr>
          <w:sz w:val="20"/>
          <w:szCs w:val="20"/>
          <w:color w:val="auto"/>
        </w:rPr>
      </w:pPr>
      <w:r>
        <w:rPr>
          <w:rFonts w:ascii="Arial" w:cs="Arial" w:eastAsia="Arial" w:hAnsi="Arial"/>
          <w:sz w:val="18"/>
          <w:szCs w:val="18"/>
          <w:color w:val="auto"/>
        </w:rPr>
        <w:t>Upon AT&amp;T’s request, Supplier shall provide to AT&amp;T such information, reports, or survey responses as AT&amp;T deems necessary to periodically monitor Supplier’s business operations in the context of Citizenship and Sustainability. Supplier shall respond to such requests within reasonable timelines as set forth by AT&amp;T.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54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77" w:name="page178"/>
    <w:bookmarkEnd w:id="177"/>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3.34  Survival of Obligations</w:t>
      </w:r>
    </w:p>
    <w:p>
      <w:pPr>
        <w:spacing w:after="0" w:line="117"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Obligations and rights under this Agreement or an Order that by their nature would reasonably continue beyond the termination or expiration of this Agreement or an Order will survive the termination or expiration of this Agreement or such Order.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3.35  Taxes</w:t>
      </w:r>
    </w:p>
    <w:p>
      <w:pPr>
        <w:spacing w:after="0" w:line="131" w:lineRule="exact"/>
        <w:rPr>
          <w:sz w:val="20"/>
          <w:szCs w:val="20"/>
          <w:color w:val="auto"/>
        </w:rPr>
      </w:pPr>
    </w:p>
    <w:p>
      <w:pPr>
        <w:ind w:left="960" w:right="100" w:hanging="532"/>
        <w:spacing w:after="0" w:line="255" w:lineRule="auto"/>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Supplier shall invoice AT&amp;T the amount of any federal excise, state, and local transaction taxes imposed upon the sale of Material and provision of Services under this Agreement. All such taxes must be stated as separate items on a timely invoice listing the taxing jurisdiction imposing the tax. Non-taxable charges must be separately stated. AT&amp;T shall pay all such applicable taxes to Supplier that are stated on the Material or Services invoice submitted by Supplier. Supplier shall remit taxes to the appropriate taxing authorities. Supplier shall honor tax exemption certificates, and other appropriate documents, which AT&amp;T may submit, pursuant to relevant tax provisions of the taxing jurisdiction providing the exemption.</w:t>
      </w:r>
    </w:p>
    <w:p>
      <w:pPr>
        <w:spacing w:after="0" w:line="97" w:lineRule="exact"/>
        <w:rPr>
          <w:rFonts w:ascii="Arial" w:cs="Arial" w:eastAsia="Arial" w:hAnsi="Arial"/>
          <w:sz w:val="18"/>
          <w:szCs w:val="18"/>
          <w:color w:val="auto"/>
        </w:rPr>
      </w:pPr>
    </w:p>
    <w:p>
      <w:pPr>
        <w:ind w:left="960" w:right="60" w:hanging="532"/>
        <w:spacing w:after="0" w:line="286" w:lineRule="auto"/>
        <w:tabs>
          <w:tab w:leader="none" w:pos="9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Except as stated in Subsection c of this Section, Supplier agrees to pay, and to hold AT&amp;T harmless from and against, any penalty, interest, additional tax, or other charge that may be levied or assessed as a result of the delay or failure of Supplier to pay any tax or file any return or information required by law, rule or regulation or by this Agreement to be paid or filed by Supplier.</w:t>
      </w:r>
    </w:p>
    <w:p>
      <w:pPr>
        <w:spacing w:after="0" w:line="70" w:lineRule="exact"/>
        <w:rPr>
          <w:rFonts w:ascii="Arial" w:cs="Arial" w:eastAsia="Arial" w:hAnsi="Arial"/>
          <w:sz w:val="17"/>
          <w:szCs w:val="17"/>
          <w:color w:val="auto"/>
        </w:rPr>
      </w:pPr>
    </w:p>
    <w:p>
      <w:pPr>
        <w:ind w:left="960" w:right="100" w:hanging="532"/>
        <w:spacing w:after="0" w:line="270" w:lineRule="auto"/>
        <w:tabs>
          <w:tab w:leader="none" w:pos="96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Upon AT&amp;T’s request, the Parties shall consult with respect to the basis and rates upon which Supplier shall pay any taxes or fees for which AT&amp;T is obligated to reimburse Supplier under this Agreement. If AT&amp;T determines that in its opinion any such taxes or fees are not payable, or should be paid on a basis less than the full price or at rates less than the full tax rate, AT&amp;T shall notify Supplier in writing of such determinations, Supplier shall make payment in accordance with such determinations, and AT&amp;T shall be responsible for such determinations. If collection is sought by the taxing authority for a greater amount of taxes than that so determined by AT&amp;T, Supplier shall promptly notify AT&amp;T. If AT&amp;T desires to contest such collection, AT&amp;T shall promptly notify Supplier. Supplier shall cooperate with AT&amp;T where AT&amp;T contests such determination or Supplier and AT&amp;T may agree, where such agreement will not be unreasonably withheld, conditioned, or delayed, but in both cases, AT&amp;T shall be responsible and shall reimburse Supplier for any tax, interest, or penalty in excess of AT&amp;T’s determination.</w:t>
      </w:r>
    </w:p>
    <w:p>
      <w:pPr>
        <w:spacing w:after="0" w:line="86" w:lineRule="exact"/>
        <w:rPr>
          <w:rFonts w:ascii="Arial" w:cs="Arial" w:eastAsia="Arial" w:hAnsi="Arial"/>
          <w:sz w:val="17"/>
          <w:szCs w:val="17"/>
          <w:color w:val="auto"/>
        </w:rPr>
      </w:pPr>
    </w:p>
    <w:p>
      <w:pPr>
        <w:jc w:val="both"/>
        <w:ind w:left="960" w:right="260" w:hanging="532"/>
        <w:spacing w:after="0" w:line="287" w:lineRule="auto"/>
        <w:tabs>
          <w:tab w:leader="none" w:pos="96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If AT&amp;T determines that in its opinion it has paid Supplier for any taxes in excess of the amount that AT&amp;T is obligated to pay Supplier under this Agreement, AT&amp;T and Supplier shall consult in good faith to determine the appropriate method(s) of recovery of such excess payments, which method(s) may include, but is not limited to, (i) Supplier immediately refunding to AT&amp;T such excess payments, (ii)</w:t>
      </w:r>
    </w:p>
    <w:p>
      <w:pPr>
        <w:spacing w:after="0" w:line="2" w:lineRule="exact"/>
        <w:rPr>
          <w:rFonts w:ascii="Arial" w:cs="Arial" w:eastAsia="Arial" w:hAnsi="Arial"/>
          <w:sz w:val="16"/>
          <w:szCs w:val="16"/>
          <w:color w:val="auto"/>
        </w:rPr>
      </w:pPr>
    </w:p>
    <w:p>
      <w:pPr>
        <w:jc w:val="both"/>
        <w:ind w:left="960" w:right="400"/>
        <w:spacing w:after="0" w:line="302" w:lineRule="auto"/>
        <w:rPr>
          <w:rFonts w:ascii="Arial" w:cs="Arial" w:eastAsia="Arial" w:hAnsi="Arial"/>
          <w:sz w:val="16"/>
          <w:szCs w:val="16"/>
          <w:color w:val="auto"/>
        </w:rPr>
      </w:pPr>
      <w:r>
        <w:rPr>
          <w:rFonts w:ascii="Arial" w:cs="Arial" w:eastAsia="Arial" w:hAnsi="Arial"/>
          <w:sz w:val="16"/>
          <w:szCs w:val="16"/>
          <w:color w:val="auto"/>
        </w:rPr>
        <w:t>Supplier crediting any excess payments against tax amounts or other payments due from AT&amp;T if and to the extent Supplier can make corresponding adjustments to its payments to the relevant tax authority, and (iii) Supplier timely filing claims for refund and any other documents required to recover any excess payments and Supplier promptly remitting to AT&amp;T all such refunds and interest received.</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55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78" w:name="page179"/>
    <w:bookmarkEnd w:id="178"/>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20" w:right="40" w:hanging="532"/>
        <w:spacing w:after="0" w:line="275" w:lineRule="auto"/>
        <w:tabs>
          <w:tab w:leader="none" w:pos="9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If any taxing authority advises Supplier that it intends to audit Supplier with respect to any taxes for which AT&amp;T is obligated to reimburse Supplier under this Agreement, Supplier shall (i) promptly so notify AT&amp;T, (ii) afford AT&amp;T an opportunity to participate with Supplier in such audit with respect to such taxes and (iii) keep AT&amp;T fully informed as to the progress of such audit. Each Party shall bear its own expenses with respect to any such audit, and the responsibility for any additional tax, interest or penalty resulting from such audit is to be determined in accordance with the applicable provisions of this Taxes Section. [***].</w:t>
      </w:r>
    </w:p>
    <w:p>
      <w:pPr>
        <w:spacing w:after="0" w:line="81" w:lineRule="exact"/>
        <w:rPr>
          <w:rFonts w:ascii="Arial" w:cs="Arial" w:eastAsia="Arial" w:hAnsi="Arial"/>
          <w:sz w:val="17"/>
          <w:szCs w:val="17"/>
          <w:color w:val="auto"/>
        </w:rPr>
      </w:pPr>
    </w:p>
    <w:p>
      <w:pPr>
        <w:ind w:left="920" w:right="40" w:hanging="532"/>
        <w:spacing w:after="0" w:line="273" w:lineRule="auto"/>
        <w:tabs>
          <w:tab w:leader="none" w:pos="9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In addition to its rights under Subsections c., d., and e. above with respect to any tax, or tax controversy, covered by this Taxes Section, AT&amp;T is entitled to contest, or AT&amp;T and Supplier may agree that Supplier contest, where such agreement may not be unreasonably withheld, conditioned, or delayed, pursuant to applicable Law and tariffs, and at its own expense, any tax previously invoiced that it is ultimately obligated to pay. Supplier shall cooperate with AT&amp;T and consider any request to contest. AT&amp;T is entitled to the benefit of any refund or recovery of amounts that it has previously paid resulting from such a contest. Supplier shall cooperate in any such contest, but AT&amp;T shall pay all costs and expenses incurred in obtaining a refund or credit for AT&amp;T.</w:t>
      </w:r>
    </w:p>
    <w:p>
      <w:pPr>
        <w:spacing w:after="0" w:line="83" w:lineRule="exact"/>
        <w:rPr>
          <w:rFonts w:ascii="Arial" w:cs="Arial" w:eastAsia="Arial" w:hAnsi="Arial"/>
          <w:sz w:val="17"/>
          <w:szCs w:val="17"/>
          <w:color w:val="auto"/>
        </w:rPr>
      </w:pPr>
    </w:p>
    <w:p>
      <w:pPr>
        <w:ind w:left="920" w:right="340" w:hanging="532"/>
        <w:spacing w:after="0" w:line="263" w:lineRule="auto"/>
        <w:tabs>
          <w:tab w:leader="none" w:pos="9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If either Party is audited by a taxing authority or other governmental entity in connection with taxes under this Taxes Section, the other Party shall reasonably cooperate with the Party being audited in order to respond to any audit inquiries in an appropriate and timely manner, so that the audit and any resulting controversy may be resolved expeditiously.</w:t>
      </w:r>
    </w:p>
    <w:p>
      <w:pPr>
        <w:spacing w:after="0" w:line="89" w:lineRule="exact"/>
        <w:rPr>
          <w:rFonts w:ascii="Arial" w:cs="Arial" w:eastAsia="Arial" w:hAnsi="Arial"/>
          <w:sz w:val="18"/>
          <w:szCs w:val="18"/>
          <w:color w:val="auto"/>
        </w:rPr>
      </w:pPr>
    </w:p>
    <w:p>
      <w:pPr>
        <w:ind w:left="920" w:right="40" w:hanging="532"/>
        <w:spacing w:after="0" w:line="257" w:lineRule="auto"/>
        <w:tabs>
          <w:tab w:leader="none" w:pos="92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AT&amp;T and Supplier shall reasonably cooperate with each other with respect to any tax planning to minimize taxes. The degree of cooperation contemplated by this Section is to enable any resulting tax planning to be implemented and includes, but is not limited to: (i) Supplier’s installing and loading all of the Software licensed by AT&amp;T, and retaining possession and ownership of all tangible personal property, (ii) Supplier’s installing, loading, and/or transferring the Software at a location selected by AT&amp;T, and (iii) Supplier’s Delivery of all of the Software in electronic form.</w:t>
      </w:r>
    </w:p>
    <w:p>
      <w:pPr>
        <w:spacing w:after="0" w:line="93" w:lineRule="exact"/>
        <w:rPr>
          <w:rFonts w:ascii="Arial" w:cs="Arial" w:eastAsia="Arial" w:hAnsi="Arial"/>
          <w:sz w:val="18"/>
          <w:szCs w:val="18"/>
          <w:color w:val="auto"/>
        </w:rPr>
      </w:pPr>
    </w:p>
    <w:p>
      <w:pPr>
        <w:ind w:left="920" w:right="20" w:hanging="532"/>
        <w:spacing w:after="0" w:line="271" w:lineRule="auto"/>
        <w:tabs>
          <w:tab w:leader="none" w:pos="92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Supplier and any of its affiliates, as appropriate, receiving payments hereunder shall provide AT&amp;T with a valid United States Internal Revenue Service (“IRS”) Form W-8BEN, W-8BEN-E, W-8ECI, W-8EXP, W-8IMY, or W-9 (or any successor form prescribed by the IRS). AT&amp;T may reduce any payment otherwise due Supplier in connection with the sale of Material and provision of Services under this Agreement by the amount of any tax imposed on Supplier that AT&amp;T is required to pay directly to a taxing or other governmental authority (“Withholding Tax”). Alternatively, if applicable law permits, AT&amp;T agrees that it will honor a valid exemption certificate or other mandated document evidencing Supplier’s exemption from payment of, or liability for, any Withholding Tax as authorized or required by statute, regulation, administrative pronouncement, or other Law of the jurisdiction providing said exemption. AT&amp;T shall provide Supplier with documentation evidencing withholding within a reasonable period of time.</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56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79" w:name="page180"/>
    <w:bookmarkEnd w:id="179"/>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3.36  Termination</w:t>
      </w:r>
    </w:p>
    <w:p>
      <w:pPr>
        <w:spacing w:after="0" w:line="131" w:lineRule="exact"/>
        <w:rPr>
          <w:sz w:val="20"/>
          <w:szCs w:val="20"/>
          <w:color w:val="auto"/>
        </w:rPr>
      </w:pPr>
    </w:p>
    <w:p>
      <w:pPr>
        <w:ind w:left="960" w:right="360" w:hanging="532"/>
        <w:spacing w:after="0" w:line="279" w:lineRule="auto"/>
        <w:tabs>
          <w:tab w:leader="none" w:pos="96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Termination for Convenience - Either Party may terminate this Agreement for convenience upon [***] days prior written notice to the other Party setting forth the effective date of such termination. The termination of this Agreement for any reason shall not affect the obligations of either Party pursuant to any Orders previously executed hereunder, and the terms and conditions of this Agreement shall continue to apply to such Orders as if this Agreement had not been terminated.</w:t>
      </w:r>
    </w:p>
    <w:p>
      <w:pPr>
        <w:spacing w:after="0" w:line="76" w:lineRule="exact"/>
        <w:rPr>
          <w:rFonts w:ascii="Arial" w:cs="Arial" w:eastAsia="Arial" w:hAnsi="Arial"/>
          <w:sz w:val="17"/>
          <w:szCs w:val="17"/>
          <w:color w:val="auto"/>
        </w:rPr>
      </w:pPr>
    </w:p>
    <w:p>
      <w:pPr>
        <w:ind w:left="960" w:hanging="532"/>
        <w:spacing w:after="0"/>
        <w:tabs>
          <w:tab w:leader="none" w:pos="96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Termination for Cause.</w:t>
      </w:r>
    </w:p>
    <w:p>
      <w:pPr>
        <w:spacing w:after="0" w:line="130" w:lineRule="exact"/>
        <w:rPr>
          <w:rFonts w:ascii="Arial" w:cs="Arial" w:eastAsia="Arial" w:hAnsi="Arial"/>
          <w:sz w:val="18"/>
          <w:szCs w:val="18"/>
          <w:color w:val="auto"/>
        </w:rPr>
      </w:pPr>
    </w:p>
    <w:p>
      <w:pPr>
        <w:ind w:left="1420" w:right="20" w:hanging="439"/>
        <w:spacing w:after="0" w:line="272" w:lineRule="auto"/>
        <w:tabs>
          <w:tab w:leader="none" w:pos="142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Termination for Cause of the Agreement - If either Party breaches any material provision of this Agreement or breaches any material provision of an Order or group of Orders the breach of which is material to this Agreement, and (i) if the breach is one that by its nature could be cured, and such breach is not cured within [***] days after the breaching Party receives written notice, or (ii) if the breach is one that by its nature cannot be cured, or (iii) if the breach is a violation of Laws which has a material and adverse effect on the non- breaching Party or the performance of the Agreement, then, in addition to all other rights and remedies at law or in equity or otherwise, the non-breaching Party shall have the right upon written notice to terminate this Agreement without any obligation or liability subject to the provisions of Section 3.36b.iii. below.</w:t>
      </w:r>
    </w:p>
    <w:p>
      <w:pPr>
        <w:spacing w:after="0" w:line="82" w:lineRule="exact"/>
        <w:rPr>
          <w:rFonts w:ascii="Arial" w:cs="Arial" w:eastAsia="Arial" w:hAnsi="Arial"/>
          <w:sz w:val="17"/>
          <w:szCs w:val="17"/>
          <w:color w:val="auto"/>
        </w:rPr>
      </w:pPr>
    </w:p>
    <w:p>
      <w:pPr>
        <w:ind w:left="1420" w:right="120" w:hanging="439"/>
        <w:spacing w:after="0" w:line="291" w:lineRule="auto"/>
        <w:tabs>
          <w:tab w:leader="none" w:pos="1420" w:val="left"/>
        </w:tabs>
        <w:numPr>
          <w:ilvl w:val="1"/>
          <w:numId w:val="148"/>
        </w:numPr>
        <w:rPr>
          <w:rFonts w:ascii="Arial" w:cs="Arial" w:eastAsia="Arial" w:hAnsi="Arial"/>
          <w:sz w:val="16"/>
          <w:szCs w:val="16"/>
          <w:color w:val="auto"/>
        </w:rPr>
      </w:pPr>
      <w:r>
        <w:rPr>
          <w:rFonts w:ascii="Arial" w:cs="Arial" w:eastAsia="Arial" w:hAnsi="Arial"/>
          <w:sz w:val="16"/>
          <w:szCs w:val="16"/>
          <w:color w:val="auto"/>
        </w:rPr>
        <w:t>Termination for Cause of a Services Order - If either Party breaches any material provision of an Order, and (i) if the breach is one that by its nature could be cured, and such breach is not cured within [***] days after the breaching Party receives written notice, or</w:t>
      </w:r>
    </w:p>
    <w:p>
      <w:pPr>
        <w:ind w:left="1420" w:hanging="7"/>
        <w:spacing w:after="0" w:line="253" w:lineRule="auto"/>
        <w:tabs>
          <w:tab w:leader="none" w:pos="1685" w:val="left"/>
        </w:tabs>
        <w:numPr>
          <w:ilvl w:val="2"/>
          <w:numId w:val="148"/>
        </w:numPr>
        <w:rPr>
          <w:rFonts w:ascii="Arial" w:cs="Arial" w:eastAsia="Arial" w:hAnsi="Arial"/>
          <w:sz w:val="18"/>
          <w:szCs w:val="18"/>
          <w:color w:val="auto"/>
        </w:rPr>
      </w:pPr>
      <w:r>
        <w:rPr>
          <w:rFonts w:ascii="Arial" w:cs="Arial" w:eastAsia="Arial" w:hAnsi="Arial"/>
          <w:sz w:val="18"/>
          <w:szCs w:val="18"/>
          <w:color w:val="auto"/>
        </w:rPr>
        <w:t>if the breach is one that by its nature cannot be cured, or (iii) if the breach is a violation of Laws which has a material and adverse effect on the non- breaching Party or the performance of the Order, then, in addition to all other rights and remedies at law or in equity or otherwise, the non-breaching Party shall have the right upon written notice to terminate such Order without any obligation or liability subject to the provisions of Section 3.36b.iii. below.</w:t>
      </w:r>
    </w:p>
    <w:p>
      <w:pPr>
        <w:spacing w:after="0" w:line="98" w:lineRule="exact"/>
        <w:rPr>
          <w:rFonts w:ascii="Arial" w:cs="Arial" w:eastAsia="Arial" w:hAnsi="Arial"/>
          <w:sz w:val="18"/>
          <w:szCs w:val="18"/>
          <w:color w:val="auto"/>
        </w:rPr>
      </w:pPr>
    </w:p>
    <w:p>
      <w:pPr>
        <w:ind w:left="1420" w:right="160" w:hanging="439"/>
        <w:spacing w:after="0" w:line="272" w:lineRule="auto"/>
        <w:tabs>
          <w:tab w:leader="none" w:pos="142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Termination for Cause of a License Order - Either Party may terminate for cause a License Order, prior to Acceptance of the Software under such Order, if either Party breaches any material provision of an Order, and (i) if the breach is one that by its nature could be cured, and such breach is not cured within [***] days after the breaching Party receives written notice, or (ii) if the breach is one that by its nature cannot be cured, or (iii) if the breach is a violation of Laws which has a material and adverse effect on the non- breaching Party or the performance of the Order, then, in addition to all other rights and remedies at law or in equity or otherwise, the non-breaching Party shall have the right upon written notice to terminate such Order without any obligation or liability subject to the provisions of Section 3.36b.iv. below.</w:t>
      </w:r>
    </w:p>
    <w:p>
      <w:pPr>
        <w:spacing w:after="0" w:line="82" w:lineRule="exact"/>
        <w:rPr>
          <w:rFonts w:ascii="Arial" w:cs="Arial" w:eastAsia="Arial" w:hAnsi="Arial"/>
          <w:sz w:val="17"/>
          <w:szCs w:val="17"/>
          <w:color w:val="auto"/>
        </w:rPr>
      </w:pPr>
    </w:p>
    <w:p>
      <w:pPr>
        <w:ind w:left="1420" w:right="60" w:hanging="439"/>
        <w:spacing w:after="0" w:line="286" w:lineRule="auto"/>
        <w:tabs>
          <w:tab w:leader="none" w:pos="1420" w:val="left"/>
        </w:tabs>
        <w:numPr>
          <w:ilvl w:val="1"/>
          <w:numId w:val="148"/>
        </w:numPr>
        <w:rPr>
          <w:rFonts w:ascii="Arial" w:cs="Arial" w:eastAsia="Arial" w:hAnsi="Arial"/>
          <w:sz w:val="17"/>
          <w:szCs w:val="17"/>
          <w:color w:val="auto"/>
        </w:rPr>
      </w:pPr>
      <w:r>
        <w:rPr>
          <w:rFonts w:ascii="Arial" w:cs="Arial" w:eastAsia="Arial" w:hAnsi="Arial"/>
          <w:sz w:val="17"/>
          <w:szCs w:val="17"/>
          <w:color w:val="auto"/>
        </w:rPr>
        <w:t>Pre-Termination Procedures - Except for a termination for violation of Laws, prior to providing written notice of termination pursuant to Section 3.36b.i., Section 3.36b.ii, or Section 3.36b.iii. above, executives of both Parties shall meet to discuss and address the issues relevant to the proposed termination as follows: (1) in the event the Order or series</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57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80" w:name="page181"/>
    <w:bookmarkEnd w:id="18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20"/>
        <w:spacing w:after="0" w:line="285" w:lineRule="auto"/>
        <w:rPr>
          <w:sz w:val="20"/>
          <w:szCs w:val="20"/>
          <w:color w:val="auto"/>
        </w:rPr>
      </w:pPr>
      <w:r>
        <w:rPr>
          <w:rFonts w:ascii="Arial" w:cs="Arial" w:eastAsia="Arial" w:hAnsi="Arial"/>
          <w:sz w:val="16"/>
          <w:szCs w:val="16"/>
          <w:color w:val="auto"/>
        </w:rPr>
        <w:t>of Orders proposed to be terminated [***], the Division President of the Amdocs AT&amp;T Division shall meet with the AT&amp;T Vice President, Global Supply Chain, with the option to include the CIO or Senior Vice President of the AT&amp;T Business Unit receiving Services under such Order(s); (2) in the event the Order or series of Orders proposed to be terminated [***], the Amdocs Customer Business Group President shall meet with the AT&amp;T Senior Vice President, Global Supply Chain with the option to include the AT&amp;T President, Technology Development; (3) in the event the Order or series of Orders proposed to be terminated [***] or the Agreement is subject to termination, the Amdocs Chief Executive Officer shall meet with the AT&amp;T Chief Strategy Officer and President – Technology and Operations. In the event the Order or series of Orders proposed to be terminated [***] or the Agreement is subject to termination, the Party alleging a material breach (the “Moving Party”) shall, except for a termination for violation of Laws, prior to providing notice of termination, initiate an arbitration by providing the other Party written notice of its intent to arbitrate. The arbitration shall conducted under the rules of the American Arbitration Association and be heard by a single arbitrator who shall by training, education, or experience have knowledge of the general subject matter of this Agreement. The arbitrator shall determine whether the breach(es) alleged by the Moving Party justify termination for cause of the Agreement or the applicable Order(s). The arbitrator shall not have the power to vary from the provisions of this Agreement. The arbitrator shall promptly commence the arbitration proceeding with the intent to conclude the proceedings and issue a written decision stating in reasonable detail the basis for the decision, which must be supported by law and substantial evidence, as promptly as the circumstances demand and permit, but generally no later than [***] days after the arbitrator’s appointment. The arbitration may be conducted concurrently with any cure period or executive escalation, provided, however, that in the event the non-breaching Party cures the breach identified in the Moving Party’s notice, the arbitration proceeding shall not continue.</w:t>
      </w:r>
    </w:p>
    <w:p>
      <w:pPr>
        <w:spacing w:after="0" w:line="77" w:lineRule="exact"/>
        <w:rPr>
          <w:sz w:val="20"/>
          <w:szCs w:val="20"/>
          <w:color w:val="auto"/>
        </w:rPr>
      </w:pPr>
    </w:p>
    <w:p>
      <w:pPr>
        <w:ind w:left="1380" w:right="100" w:hanging="439"/>
        <w:spacing w:after="0" w:line="259" w:lineRule="auto"/>
        <w:tabs>
          <w:tab w:leader="none" w:pos="138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Failure of the non-breaching Party to immediately terminate this Agreement and/or any Order (x) following a breach which continues longer than such cure period, provided such breach has not been cured prior to the non-breaching Party’s providing notice of termination, or (y) following a breach that cannot be cured or that constitutes a violation of Laws shall not constitute a waiver of the non-breaching Party’s rights to terminate. [***].</w:t>
      </w:r>
    </w:p>
    <w:p>
      <w:pPr>
        <w:spacing w:after="0" w:line="92" w:lineRule="exact"/>
        <w:rPr>
          <w:rFonts w:ascii="Arial" w:cs="Arial" w:eastAsia="Arial" w:hAnsi="Arial"/>
          <w:sz w:val="18"/>
          <w:szCs w:val="18"/>
          <w:color w:val="auto"/>
        </w:rPr>
      </w:pPr>
    </w:p>
    <w:p>
      <w:pPr>
        <w:ind w:left="920" w:right="60" w:hanging="532"/>
        <w:spacing w:after="0" w:line="289" w:lineRule="auto"/>
        <w:tabs>
          <w:tab w:leader="none" w:pos="92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Partial Termination – Where a provision of this Agreement permits AT&amp;T to terminate an Order for cause or convenience, such termination may, at AT&amp;T’s option, be either complete or partial. In the case of a partial termination for cause, the terms of Section 3.36b. shall apply. In the case of a partial termination for convenience, AT&amp;T may accept a portion of the Software or Services covered by an Order, but AT&amp;T shall in any event compensate Supplier for the Software or Services performed through the date of such partial termination for convenience of the Order. In either event (partial termination for cause or partial termination for convenience), AT&amp;T shall pay Amdocs for any portion of such Software or Services at the unit prices set forth in such Order (plus equitable portions of the termination charges provided in this Agreement in the event of partial termination for convenience of an Order for Software Development or OnGoing Support), and the Parties shall utilize change management procedures as set forth in Section 3.8 to issue an amendment to reflect such partial termination; provided, however, that, [***] any Order [***] under the Order) [***] of the Order, in which</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58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81" w:name="page182"/>
    <w:bookmarkEnd w:id="181"/>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40" w:right="200" w:firstLine="1"/>
        <w:spacing w:after="0" w:line="263" w:lineRule="auto"/>
        <w:tabs>
          <w:tab w:leader="none" w:pos="1375" w:val="left"/>
        </w:tabs>
        <w:numPr>
          <w:ilvl w:val="2"/>
          <w:numId w:val="151"/>
        </w:numPr>
        <w:rPr>
          <w:rFonts w:ascii="Arial" w:cs="Arial" w:eastAsia="Arial" w:hAnsi="Arial"/>
          <w:sz w:val="18"/>
          <w:szCs w:val="18"/>
          <w:color w:val="auto"/>
        </w:rPr>
      </w:pPr>
      <w:r>
        <w:rPr>
          <w:rFonts w:ascii="Arial" w:cs="Arial" w:eastAsia="Arial" w:hAnsi="Arial"/>
          <w:sz w:val="18"/>
          <w:szCs w:val="18"/>
          <w:color w:val="auto"/>
        </w:rPr>
        <w:t>[***]he Parties shall [***] the [***] [***] in accordance with the [***]. Upon receipt of AT&amp;T’s payment in relation to a partial termination for cause or convenience, Supplier shall deliver to AT&amp;T the applicable Work relating to the Software or Services which has been prepared pursuant to such terminated Order.</w:t>
      </w:r>
    </w:p>
    <w:p>
      <w:pPr>
        <w:spacing w:after="0" w:line="89" w:lineRule="exact"/>
        <w:rPr>
          <w:rFonts w:ascii="Arial" w:cs="Arial" w:eastAsia="Arial" w:hAnsi="Arial"/>
          <w:sz w:val="18"/>
          <w:szCs w:val="18"/>
          <w:color w:val="auto"/>
        </w:rPr>
      </w:pPr>
    </w:p>
    <w:p>
      <w:pPr>
        <w:ind w:left="920" w:right="520" w:hanging="532"/>
        <w:spacing w:after="0" w:line="277" w:lineRule="auto"/>
        <w:tabs>
          <w:tab w:leader="none" w:pos="9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Termination of Related Orders. The right to terminate an Order for cause shall also include the right to terminate any other Order for convenience in accordance with this Agreement [***] the termination of the initially terminated Order.</w:t>
      </w:r>
    </w:p>
    <w:p>
      <w:pPr>
        <w:spacing w:after="0" w:line="75" w:lineRule="exact"/>
        <w:rPr>
          <w:rFonts w:ascii="Arial" w:cs="Arial" w:eastAsia="Arial" w:hAnsi="Arial"/>
          <w:sz w:val="18"/>
          <w:szCs w:val="18"/>
          <w:color w:val="auto"/>
        </w:rPr>
      </w:pPr>
    </w:p>
    <w:p>
      <w:pPr>
        <w:ind w:left="920" w:right="40" w:hanging="532"/>
        <w:spacing w:after="0" w:line="254" w:lineRule="auto"/>
        <w:tabs>
          <w:tab w:leader="none" w:pos="9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Termination For Convenience of an Order. AT&amp;T may at any time Terminate for Convenience any Order for Custom Software development prior to the Delivery Date of the Software covered by such Order, by giving Amdocs written notice. AT&amp;T may, at its option and without any Liability to Amdocs, Terminate for Convenience any OnGoing Support or Services Order by written notice to Amdocs. Upon receipt of any such termination notice, Supplier shall, if so requested by AT&amp;T, immediately cease performing work and incurring costs in connection with such Order. [***] in accordance with the applicable Order for work under such Order performed [***], all in accordance with the provisions of the applicable Order and in accordance with Appendix A, “Prices”. [***] in the applicable Order, [***]. Upon receipt of AT&amp;T’s payment, Supplier shall deliver to AT&amp;T all Material, whether completed or in progress, which has been prepared prior to the effective date of termination of such Order.</w:t>
      </w:r>
    </w:p>
    <w:p>
      <w:pPr>
        <w:spacing w:after="0" w:line="97" w:lineRule="exact"/>
        <w:rPr>
          <w:rFonts w:ascii="Arial" w:cs="Arial" w:eastAsia="Arial" w:hAnsi="Arial"/>
          <w:sz w:val="18"/>
          <w:szCs w:val="18"/>
          <w:color w:val="auto"/>
        </w:rPr>
      </w:pPr>
    </w:p>
    <w:p>
      <w:pPr>
        <w:ind w:left="920" w:right="120" w:hanging="532"/>
        <w:spacing w:after="0" w:line="287" w:lineRule="auto"/>
        <w:tabs>
          <w:tab w:leader="none" w:pos="9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In exercising its termination rights under Subsection 3.36e. above, AT&amp;T will make commercially reasonable efforts to provide Supplier with at least [***] days prior notice for terminations of Orders for Custom Software development Services and [***] days prior notice for terminations of Orders for OnGoing Support or Services; provided, however, that if AT&amp;T determines in good faith that an Order requires</w:t>
      </w:r>
    </w:p>
    <w:p>
      <w:pPr>
        <w:spacing w:after="0" w:line="2" w:lineRule="exact"/>
        <w:rPr>
          <w:rFonts w:ascii="Arial" w:cs="Arial" w:eastAsia="Arial" w:hAnsi="Arial"/>
          <w:sz w:val="16"/>
          <w:szCs w:val="16"/>
          <w:color w:val="auto"/>
        </w:rPr>
      </w:pPr>
    </w:p>
    <w:p>
      <w:pPr>
        <w:ind w:left="1360" w:hanging="432"/>
        <w:spacing w:after="0"/>
        <w:tabs>
          <w:tab w:leader="none" w:pos="1360" w:val="left"/>
        </w:tabs>
        <w:numPr>
          <w:ilvl w:val="1"/>
          <w:numId w:val="151"/>
        </w:numPr>
        <w:rPr>
          <w:rFonts w:ascii="Arial" w:cs="Arial" w:eastAsia="Arial" w:hAnsi="Arial"/>
          <w:sz w:val="18"/>
          <w:szCs w:val="18"/>
          <w:color w:val="auto"/>
        </w:rPr>
      </w:pPr>
      <w:r>
        <w:rPr>
          <w:rFonts w:ascii="Arial" w:cs="Arial" w:eastAsia="Arial" w:hAnsi="Arial"/>
          <w:sz w:val="18"/>
          <w:szCs w:val="18"/>
          <w:color w:val="auto"/>
        </w:rPr>
        <w:t>termination due to budget restrictions, AT&amp;T shall be permitted to exercise such rights [***] upon notice.</w:t>
      </w:r>
    </w:p>
    <w:p>
      <w:pPr>
        <w:spacing w:after="0" w:line="116" w:lineRule="exact"/>
        <w:rPr>
          <w:rFonts w:ascii="Arial" w:cs="Arial" w:eastAsia="Arial" w:hAnsi="Arial"/>
          <w:sz w:val="18"/>
          <w:szCs w:val="18"/>
          <w:color w:val="auto"/>
        </w:rPr>
      </w:pPr>
    </w:p>
    <w:p>
      <w:pPr>
        <w:ind w:left="920" w:hanging="532"/>
        <w:spacing w:after="0"/>
        <w:tabs>
          <w:tab w:leader="none" w:pos="9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Termination for Insolvency</w:t>
      </w:r>
    </w:p>
    <w:p>
      <w:pPr>
        <w:spacing w:after="0" w:line="131" w:lineRule="exact"/>
        <w:rPr>
          <w:sz w:val="20"/>
          <w:szCs w:val="20"/>
          <w:color w:val="auto"/>
        </w:rPr>
      </w:pPr>
    </w:p>
    <w:p>
      <w:pPr>
        <w:ind w:left="1380" w:right="60" w:hanging="439"/>
        <w:spacing w:after="0" w:line="273" w:lineRule="auto"/>
        <w:tabs>
          <w:tab w:leader="none" w:pos="13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Right to Terminate. In the event that either Party (a) files for bankruptcy, (b) becomes or is declared insolvent, or is the subject of any proceedings related to its liquidation, insolvency or the appointment of a receiver or similar officer for it, (c) makes an assignment for the benefit of all or substantially all of its creditors or (d) enters into an agreement for the composition, extension, or readjustment of substantially all of its obligations, then the other Party may terminate this Agreement as of a date specified in a termination notice; provided, however, that [***] If either Party elects to terminate this Agreement due to the insolvency of the other Party, such termination will be deemed to be a termination for cause hereunder.</w:t>
      </w:r>
    </w:p>
    <w:p>
      <w:pPr>
        <w:spacing w:after="0" w:line="83" w:lineRule="exact"/>
        <w:rPr>
          <w:rFonts w:ascii="Arial" w:cs="Arial" w:eastAsia="Arial" w:hAnsi="Arial"/>
          <w:sz w:val="17"/>
          <w:szCs w:val="17"/>
          <w:color w:val="auto"/>
        </w:rPr>
      </w:pPr>
    </w:p>
    <w:p>
      <w:pPr>
        <w:ind w:left="1380" w:right="60" w:hanging="439"/>
        <w:spacing w:after="0" w:line="291" w:lineRule="auto"/>
        <w:tabs>
          <w:tab w:leader="none" w:pos="1380" w:val="left"/>
        </w:tabs>
        <w:numPr>
          <w:ilvl w:val="0"/>
          <w:numId w:val="152"/>
        </w:numPr>
        <w:rPr>
          <w:rFonts w:ascii="Arial" w:cs="Arial" w:eastAsia="Arial" w:hAnsi="Arial"/>
          <w:sz w:val="16"/>
          <w:szCs w:val="16"/>
          <w:color w:val="auto"/>
        </w:rPr>
      </w:pPr>
      <w:r>
        <w:rPr>
          <w:rFonts w:ascii="Arial" w:cs="Arial" w:eastAsia="Arial" w:hAnsi="Arial"/>
          <w:sz w:val="16"/>
          <w:szCs w:val="16"/>
          <w:color w:val="auto"/>
        </w:rPr>
        <w:t>Section 365(n). Notwithstanding any other provision of this Agreement to the contrary, in the event that Supplier becomes a debtor under the Bankruptcy Code and rejects this Agreement pursuant to Section 365 of the Bankruptcy Code (a “</w:t>
      </w:r>
      <w:r>
        <w:rPr>
          <w:rFonts w:ascii="Arial" w:cs="Arial" w:eastAsia="Arial" w:hAnsi="Arial"/>
          <w:sz w:val="16"/>
          <w:szCs w:val="16"/>
          <w:u w:val="single" w:color="auto"/>
          <w:color w:val="auto"/>
        </w:rPr>
        <w:t>Bankruptcy Rejection</w:t>
      </w:r>
      <w:r>
        <w:rPr>
          <w:rFonts w:ascii="Arial" w:cs="Arial" w:eastAsia="Arial" w:hAnsi="Arial"/>
          <w:sz w:val="16"/>
          <w:szCs w:val="16"/>
          <w:color w:val="auto"/>
        </w:rPr>
        <w:t>”),</w:t>
      </w:r>
    </w:p>
    <w:p>
      <w:pPr>
        <w:ind w:left="1380" w:right="80"/>
        <w:spacing w:after="0" w:line="277" w:lineRule="auto"/>
        <w:rPr>
          <w:rFonts w:ascii="Arial" w:cs="Arial" w:eastAsia="Arial" w:hAnsi="Arial"/>
          <w:sz w:val="16"/>
          <w:szCs w:val="16"/>
          <w:color w:val="auto"/>
        </w:rPr>
      </w:pPr>
      <w:r>
        <w:rPr>
          <w:rFonts w:ascii="Arial" w:cs="Arial" w:eastAsia="Arial" w:hAnsi="Arial"/>
          <w:sz w:val="17"/>
          <w:szCs w:val="17"/>
          <w:color w:val="auto"/>
        </w:rPr>
        <w:t>(i) any and all of the licensee and sublicensee rights of AT&amp;T arising under or otherwise set forth in this Agreement shall be deemed fully retained by and vested in AT&amp;T as protected intellectual property rights under Section 365(n)(1)(B) of the Bankruptcy Code and further shall be deemed to exist immediately before the commencement of the</w:t>
      </w:r>
    </w:p>
    <w:p>
      <w:pPr>
        <w:spacing w:after="0" w:line="1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59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82" w:name="page183"/>
    <w:bookmarkEnd w:id="182"/>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200"/>
        <w:spacing w:after="0" w:line="273" w:lineRule="auto"/>
        <w:rPr>
          <w:sz w:val="20"/>
          <w:szCs w:val="20"/>
          <w:color w:val="auto"/>
        </w:rPr>
      </w:pPr>
      <w:r>
        <w:rPr>
          <w:rFonts w:ascii="Arial" w:cs="Arial" w:eastAsia="Arial" w:hAnsi="Arial"/>
          <w:sz w:val="17"/>
          <w:szCs w:val="17"/>
          <w:color w:val="auto"/>
        </w:rPr>
        <w:t>bankruptcy case in which Supplier is the debtor; (ii) AT&amp;T shall have all of the rights afforded to non-debtor licensees and sublicensees under Section 365(n) of the Bankruptcy Code; and (iii) to the extent any rights of AT&amp;T under this Agreement which arise after the termination or expiration of this Agreement are determined by a bankruptcy court to not be “intellectual property rights” for purposes of Section 365(n), all of such rights shall remain vested in and fully retained by AT&amp;T after any Bankruptcy Rejection as though this Agreement were terminated or expired. AT&amp;T shall under no circumstances be required to terminate this Agreement after a Bankruptcy Rejection in order to enjoy or acquire any of its rights under this Agreement.</w:t>
      </w:r>
    </w:p>
    <w:p>
      <w:pPr>
        <w:spacing w:after="0" w:line="83" w:lineRule="exact"/>
        <w:rPr>
          <w:sz w:val="20"/>
          <w:szCs w:val="20"/>
          <w:color w:val="auto"/>
        </w:rPr>
      </w:pPr>
    </w:p>
    <w:p>
      <w:pPr>
        <w:ind w:left="1380" w:right="20" w:hanging="439"/>
        <w:spacing w:after="0" w:line="287" w:lineRule="auto"/>
        <w:tabs>
          <w:tab w:leader="none" w:pos="138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AT&amp;T Rights Upon Supplier’s Bankruptcy. In the event of Supplier’s bankruptcy or of the filing of any petition under the federal bankruptcy laws affecting the rights of Supplier which is not stayed or dismissed within thirty (30) days of filing, in addition to the other rights and remedies set forth herein, to the maximum extent permitted by Law, AT&amp;T will have the immediate right to retain and take possession for safekeeping all AT&amp;T Information, AT&amp;T licensed Third Party Software, AT&amp;T owned Equipment, AT&amp;T owned Material, AT&amp;T owned Custom Software, and all other Software, Equipment, Systems, or Material to which AT&amp;T is or would be entitled during the term of this Agreement or upon the expiration or termination of this Agreement. Supplier shall cooperate fully with AT&amp;T and assist AT&amp;T in identifying and taking possession of the items listed in the preceding sentence. AT&amp;T will have the right to hold such AT&amp;T Information, Software, Equipment, Systems, and Material until such time as the trustee or receiver in bankruptcy or other appropriate court officer can provide adequate assurances and evidence to AT&amp;T that they will be protected from sale, release, inspection, publication, or inclusion in any publicly accessible record, document, material, or filing. Supplier and AT&amp;T agree that without this material provision, AT&amp;T would not have entered into this Agreement or provided any right to the possession or use of AT&amp;T Information or AT&amp;T Software covered by this Agreement.</w:t>
      </w:r>
    </w:p>
    <w:p>
      <w:pPr>
        <w:spacing w:after="0" w:line="73" w:lineRule="exact"/>
        <w:rPr>
          <w:rFonts w:ascii="Arial" w:cs="Arial" w:eastAsia="Arial" w:hAnsi="Arial"/>
          <w:sz w:val="16"/>
          <w:szCs w:val="16"/>
          <w:color w:val="auto"/>
        </w:rPr>
      </w:pPr>
    </w:p>
    <w:p>
      <w:pPr>
        <w:ind w:left="1380" w:right="20" w:hanging="439"/>
        <w:spacing w:after="0" w:line="342" w:lineRule="auto"/>
        <w:tabs>
          <w:tab w:leader="none" w:pos="138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Rights To Assume In Bankruptcy. In the event of commencement of bankruptcy proceedings by or against AT&amp;T, AT&amp;T or its trustee in bankruptcy shall be entitled to assume this Agreement and shall be entitled to retain all of AT&amp;T’s license rights hereunder.</w:t>
      </w:r>
    </w:p>
    <w:p>
      <w:pPr>
        <w:spacing w:after="0" w:line="29" w:lineRule="exact"/>
        <w:rPr>
          <w:rFonts w:ascii="Arial" w:cs="Arial" w:eastAsia="Arial" w:hAnsi="Arial"/>
          <w:sz w:val="16"/>
          <w:szCs w:val="16"/>
          <w:color w:val="auto"/>
        </w:rPr>
      </w:pPr>
    </w:p>
    <w:p>
      <w:pPr>
        <w:ind w:left="920" w:hanging="532"/>
        <w:spacing w:after="0"/>
        <w:tabs>
          <w:tab w:leader="none" w:pos="9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Termination Upon Supplier’s Change in Control</w:t>
      </w:r>
    </w:p>
    <w:p>
      <w:pPr>
        <w:spacing w:after="0" w:line="117"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This Section shall apply to all agreements between any AT&amp;T Entity and any Supplier Entity:</w:t>
      </w:r>
    </w:p>
    <w:p>
      <w:pPr>
        <w:spacing w:after="0" w:line="130" w:lineRule="exact"/>
        <w:rPr>
          <w:rFonts w:ascii="Arial" w:cs="Arial" w:eastAsia="Arial" w:hAnsi="Arial"/>
          <w:sz w:val="18"/>
          <w:szCs w:val="18"/>
          <w:color w:val="auto"/>
        </w:rPr>
      </w:pPr>
    </w:p>
    <w:p>
      <w:pPr>
        <w:ind w:left="1380" w:right="40" w:hanging="439"/>
        <w:spacing w:after="0" w:line="293" w:lineRule="auto"/>
        <w:tabs>
          <w:tab w:leader="none" w:pos="1380" w:val="left"/>
        </w:tabs>
        <w:numPr>
          <w:ilvl w:val="1"/>
          <w:numId w:val="154"/>
        </w:numPr>
        <w:rPr>
          <w:rFonts w:ascii="Arial" w:cs="Arial" w:eastAsia="Arial" w:hAnsi="Arial"/>
          <w:sz w:val="16"/>
          <w:szCs w:val="16"/>
          <w:color w:val="auto"/>
        </w:rPr>
      </w:pPr>
      <w:r>
        <w:rPr>
          <w:rFonts w:ascii="Arial" w:cs="Arial" w:eastAsia="Arial" w:hAnsi="Arial"/>
          <w:sz w:val="16"/>
          <w:szCs w:val="16"/>
          <w:color w:val="auto"/>
        </w:rPr>
        <w:t>In the event of a change in Control of Supplier (or that portion of Supplier providing Services under this Agreement) or the Entity that Controls Supplier (if any), where such Control is acquired, directly or indirectly, in a single transaction or series of related transactions, or all or substantially all of the assets of Supplier are acquired by any Entity, or Supplier is merged with or into another Entity to form a new Entity, AT&amp;T may at its option terminate this Agreement by giving Supplier at least [***] days prior notice and designating a date upon which such termination shall be effective; provided, however, that AT&amp;T shall not have this right if Amdocs Limited (a Guernsey corporation as of the Effective Date) retains Control of Supplier after such transaction, acquisition, or merger;</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60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83" w:name="page184"/>
    <w:bookmarkEnd w:id="183"/>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provided, further, however, if such change in Control of Supplier involves an AT&amp;T competitor, AT&amp;T may terminate this Agreement by</w:t>
      </w:r>
    </w:p>
    <w:p>
      <w:pPr>
        <w:spacing w:after="0" w:line="4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giving Supplier at least [***] days prior notice, and the AT&amp;T competitor shall be prohibited from any contact with AT&amp;T Data, AT&amp;T</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Information and any and all other information about the AT&amp;T account, including discussions with Supplier personnel regarding specifics</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7"/>
          <w:szCs w:val="17"/>
          <w:color w:val="auto"/>
        </w:rPr>
        <w:t>relating to the Services. Supplier shall not be entitled to any termination charges in connection with a termination pursuant to this</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Section 3.36h. For purposes of this Section, “</w:t>
      </w:r>
      <w:r>
        <w:rPr>
          <w:rFonts w:ascii="Arial" w:cs="Arial" w:eastAsia="Arial" w:hAnsi="Arial"/>
          <w:sz w:val="16"/>
          <w:szCs w:val="16"/>
          <w:u w:val="single" w:color="auto"/>
          <w:color w:val="auto"/>
        </w:rPr>
        <w:t>Control”</w:t>
      </w:r>
      <w:r>
        <w:rPr>
          <w:rFonts w:ascii="Arial" w:cs="Arial" w:eastAsia="Arial" w:hAnsi="Arial"/>
          <w:sz w:val="16"/>
          <w:szCs w:val="16"/>
          <w:color w:val="auto"/>
        </w:rPr>
        <w:t xml:space="preserve"> and its derivatives mean: (a) the legal, beneficial, or equitable ownership, directly or</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7"/>
          <w:szCs w:val="17"/>
          <w:color w:val="auto"/>
        </w:rPr>
        <w:t>indirectly, of (i) [***] (ii) equity interests having the right to [***] or, in the event of dissolution, [***]; (b) the right to appoint, directly or</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indirectly, a majority of the board of directors; (c) the right to control, directly or indirectly, the management or direction of the Entity by</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contract or corporate governance document; or (d) in the case of a partnership, the holding by an Entity (or one of its Affiliates) of the</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position of sole general partner; and “</w:t>
      </w:r>
      <w:r>
        <w:rPr>
          <w:rFonts w:ascii="Arial" w:cs="Arial" w:eastAsia="Arial" w:hAnsi="Arial"/>
          <w:sz w:val="16"/>
          <w:szCs w:val="16"/>
          <w:u w:val="single" w:color="auto"/>
          <w:color w:val="auto"/>
        </w:rPr>
        <w:t>Entity”</w:t>
      </w:r>
      <w:r>
        <w:rPr>
          <w:rFonts w:ascii="Arial" w:cs="Arial" w:eastAsia="Arial" w:hAnsi="Arial"/>
          <w:sz w:val="16"/>
          <w:szCs w:val="16"/>
          <w:color w:val="auto"/>
        </w:rPr>
        <w:t xml:space="preserve"> means a corporation, partnership, joint venture, trust, limited liability company, association,</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or other organization or entity.</w:t>
      </w:r>
    </w:p>
    <w:p>
      <w:pPr>
        <w:spacing w:after="0" w:line="116" w:lineRule="exact"/>
        <w:rPr>
          <w:sz w:val="20"/>
          <w:szCs w:val="20"/>
          <w:color w:val="auto"/>
        </w:rPr>
      </w:pPr>
    </w:p>
    <w:p>
      <w:pPr>
        <w:ind w:left="1380" w:right="520" w:hanging="439"/>
        <w:spacing w:after="0" w:line="311" w:lineRule="auto"/>
        <w:tabs>
          <w:tab w:leader="none" w:pos="138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Subject to any legal obligation of confidentiality or applicable securities Laws, Supplier will provide AT&amp;T with notice at the earliest permissible time of Supplier’s intention to make such a change of Control and facilitate AT&amp;T’s receipt of sufficient information about the Entity acquiring Control for AT&amp;T to choose to exercise its termination rights described in this Section.</w:t>
      </w:r>
    </w:p>
    <w:p>
      <w:pPr>
        <w:spacing w:after="0" w:line="54" w:lineRule="exact"/>
        <w:rPr>
          <w:rFonts w:ascii="Arial" w:cs="Arial" w:eastAsia="Arial" w:hAnsi="Arial"/>
          <w:sz w:val="16"/>
          <w:szCs w:val="16"/>
          <w:color w:val="auto"/>
        </w:rPr>
      </w:pPr>
    </w:p>
    <w:p>
      <w:pPr>
        <w:ind w:left="1380" w:right="180" w:hanging="439"/>
        <w:spacing w:after="0" w:line="277" w:lineRule="auto"/>
        <w:tabs>
          <w:tab w:leader="none" w:pos="138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permitted assignee or successor in interest under this Section shall agree in writing to be bound by the terms and conditions of this Agreement.</w:t>
      </w:r>
    </w:p>
    <w:p>
      <w:pPr>
        <w:spacing w:after="0" w:line="75" w:lineRule="exact"/>
        <w:rPr>
          <w:rFonts w:ascii="Arial" w:cs="Arial" w:eastAsia="Arial" w:hAnsi="Arial"/>
          <w:sz w:val="18"/>
          <w:szCs w:val="18"/>
          <w:color w:val="auto"/>
        </w:rPr>
      </w:pPr>
    </w:p>
    <w:p>
      <w:pPr>
        <w:ind w:left="1380" w:right="220" w:hanging="439"/>
        <w:spacing w:after="0" w:line="308" w:lineRule="auto"/>
        <w:tabs>
          <w:tab w:leader="none" w:pos="138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Regardless of AT&amp;T’s consent or refusal to consent to an assignment under this Section, Supplier, or its successor in interest, shall continue to perform under the terms of the Agreement until such time as the Agreement terminates or expires.</w:t>
      </w:r>
    </w:p>
    <w:p>
      <w:pPr>
        <w:spacing w:after="0" w:line="51" w:lineRule="exact"/>
        <w:rPr>
          <w:rFonts w:ascii="Arial" w:cs="Arial" w:eastAsia="Arial" w:hAnsi="Arial"/>
          <w:sz w:val="17"/>
          <w:szCs w:val="17"/>
          <w:color w:val="auto"/>
        </w:rPr>
      </w:pPr>
    </w:p>
    <w:p>
      <w:pPr>
        <w:ind w:left="920" w:hanging="532"/>
        <w:spacing w:after="0"/>
        <w:tabs>
          <w:tab w:leader="none" w:pos="92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Termination Charges</w:t>
      </w:r>
    </w:p>
    <w:p>
      <w:pPr>
        <w:spacing w:after="0" w:line="130" w:lineRule="exact"/>
        <w:rPr>
          <w:rFonts w:ascii="Arial" w:cs="Arial" w:eastAsia="Arial" w:hAnsi="Arial"/>
          <w:sz w:val="18"/>
          <w:szCs w:val="18"/>
          <w:color w:val="auto"/>
        </w:rPr>
      </w:pPr>
    </w:p>
    <w:p>
      <w:pPr>
        <w:ind w:left="1380" w:right="400" w:hanging="439"/>
        <w:spacing w:after="0" w:line="277" w:lineRule="auto"/>
        <w:tabs>
          <w:tab w:leader="none" w:pos="13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Except as provided below or in the applicable Order, in the event AT&amp;T terminates any Order for convenience, AT&amp;T shall pay Supplier, [***]</w:t>
      </w:r>
    </w:p>
    <w:p>
      <w:pPr>
        <w:spacing w:after="0" w:line="75" w:lineRule="exact"/>
        <w:rPr>
          <w:rFonts w:ascii="Arial" w:cs="Arial" w:eastAsia="Arial" w:hAnsi="Arial"/>
          <w:sz w:val="18"/>
          <w:szCs w:val="18"/>
          <w:color w:val="auto"/>
        </w:rPr>
      </w:pPr>
    </w:p>
    <w:p>
      <w:pPr>
        <w:ind w:left="1380" w:right="460" w:hanging="439"/>
        <w:spacing w:after="0" w:line="308" w:lineRule="auto"/>
        <w:tabs>
          <w:tab w:leader="none" w:pos="1380" w:val="left"/>
        </w:tabs>
        <w:numPr>
          <w:ilvl w:val="1"/>
          <w:numId w:val="156"/>
        </w:numPr>
        <w:rPr>
          <w:rFonts w:ascii="Arial" w:cs="Arial" w:eastAsia="Arial" w:hAnsi="Arial"/>
          <w:sz w:val="17"/>
          <w:szCs w:val="17"/>
          <w:color w:val="auto"/>
        </w:rPr>
      </w:pPr>
      <w:r>
        <w:rPr>
          <w:rFonts w:ascii="Arial" w:cs="Arial" w:eastAsia="Arial" w:hAnsi="Arial"/>
          <w:sz w:val="17"/>
          <w:szCs w:val="17"/>
          <w:color w:val="auto"/>
        </w:rPr>
        <w:t>AT&amp;T is not liable to Supplier for any detriment resulting from termination of an Order for Material not specially developed or purchased for AT&amp;T when termination of such Order occurs more than [***] days before the Delivery Date.</w:t>
      </w:r>
    </w:p>
    <w:p>
      <w:pPr>
        <w:spacing w:after="0" w:line="51" w:lineRule="exact"/>
        <w:rPr>
          <w:rFonts w:ascii="Arial" w:cs="Arial" w:eastAsia="Arial" w:hAnsi="Arial"/>
          <w:sz w:val="17"/>
          <w:szCs w:val="17"/>
          <w:color w:val="auto"/>
        </w:rPr>
      </w:pPr>
    </w:p>
    <w:p>
      <w:pPr>
        <w:ind w:left="1380" w:right="360" w:hanging="439"/>
        <w:spacing w:after="0" w:line="277" w:lineRule="auto"/>
        <w:tabs>
          <w:tab w:leader="none" w:pos="138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AT&amp;T is not liable for any termination charges in any case when termination results from the agreement of the Parties, except as otherwise agreed by the Parties.</w:t>
      </w:r>
    </w:p>
    <w:p>
      <w:pPr>
        <w:spacing w:after="0" w:line="76" w:lineRule="exact"/>
        <w:rPr>
          <w:sz w:val="20"/>
          <w:szCs w:val="20"/>
          <w:color w:val="auto"/>
        </w:rPr>
      </w:pPr>
    </w:p>
    <w:p>
      <w:pPr>
        <w:ind w:left="920" w:hanging="532"/>
        <w:spacing w:after="0"/>
        <w:tabs>
          <w:tab w:leader="none" w:pos="92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Obligations upon Expiration or Termination</w:t>
      </w:r>
    </w:p>
    <w:p>
      <w:pPr>
        <w:spacing w:after="0" w:line="130" w:lineRule="exact"/>
        <w:rPr>
          <w:rFonts w:ascii="Arial" w:cs="Arial" w:eastAsia="Arial" w:hAnsi="Arial"/>
          <w:sz w:val="18"/>
          <w:szCs w:val="18"/>
          <w:color w:val="auto"/>
        </w:rPr>
      </w:pPr>
    </w:p>
    <w:p>
      <w:pPr>
        <w:ind w:left="1380" w:right="260" w:hanging="439"/>
        <w:spacing w:after="0" w:line="286" w:lineRule="auto"/>
        <w:tabs>
          <w:tab w:leader="none" w:pos="1380" w:val="left"/>
        </w:tabs>
        <w:numPr>
          <w:ilvl w:val="1"/>
          <w:numId w:val="157"/>
        </w:numPr>
        <w:rPr>
          <w:rFonts w:ascii="Arial" w:cs="Arial" w:eastAsia="Arial" w:hAnsi="Arial"/>
          <w:sz w:val="17"/>
          <w:szCs w:val="17"/>
          <w:color w:val="auto"/>
        </w:rPr>
      </w:pPr>
      <w:r>
        <w:rPr>
          <w:rFonts w:ascii="Arial" w:cs="Arial" w:eastAsia="Arial" w:hAnsi="Arial"/>
          <w:sz w:val="17"/>
          <w:szCs w:val="17"/>
          <w:color w:val="auto"/>
        </w:rPr>
        <w:t>Upon expiration or termination of this Agreement or any Order, Supplier shall, upon the request of AT&amp;T: (i) return all papers, materials, and property of AT&amp;T held by Supplier and (ii) provide reasonable assistance as may be necessary for the orderly, non-disrupted continuation of AT&amp;T’s business. Supplier also agrees to assist AT&amp;T in coordinating the</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61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84" w:name="page185"/>
    <w:bookmarkEnd w:id="18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120"/>
        <w:spacing w:after="0" w:line="259" w:lineRule="auto"/>
        <w:rPr>
          <w:sz w:val="20"/>
          <w:szCs w:val="20"/>
          <w:color w:val="auto"/>
        </w:rPr>
      </w:pPr>
      <w:r>
        <w:rPr>
          <w:rFonts w:ascii="Arial" w:cs="Arial" w:eastAsia="Arial" w:hAnsi="Arial"/>
          <w:sz w:val="18"/>
          <w:szCs w:val="18"/>
          <w:color w:val="auto"/>
        </w:rPr>
        <w:t>transfer of the provision of the Services to a successor supplier, which shall include continuing to provide the required level of Services to the extent Supplier is able to maintain its level of personnel necessary to provide the required level of Services, until the date of expiration or termination and providing the successor supplier with all pertinent information about the Services, subject to Section 3.16, “Information”.</w:t>
      </w:r>
    </w:p>
    <w:p>
      <w:pPr>
        <w:spacing w:after="0" w:line="92" w:lineRule="exact"/>
        <w:rPr>
          <w:sz w:val="20"/>
          <w:szCs w:val="20"/>
          <w:color w:val="auto"/>
        </w:rPr>
      </w:pPr>
    </w:p>
    <w:p>
      <w:pPr>
        <w:ind w:left="1420" w:right="460" w:hanging="439"/>
        <w:spacing w:after="0" w:line="311" w:lineRule="auto"/>
        <w:tabs>
          <w:tab w:leader="none" w:pos="142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Upon expiration or termination of this Agreement or any Order, AT&amp;T shall, upon the request of Supplier, return all papers, materials, and property of Supplier held by AT&amp;T. Additionally, in the event of termination of an Order due to AT&amp;T’s breach, AT&amp;T shall return to Supplier all Material provided to AT&amp;T by Supplier under such Order that are not owned by AT&amp;T.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3.37  Third Party Administrative Services</w:t>
      </w:r>
    </w:p>
    <w:p>
      <w:pPr>
        <w:spacing w:after="0" w:line="131" w:lineRule="exact"/>
        <w:rPr>
          <w:sz w:val="20"/>
          <w:szCs w:val="20"/>
          <w:color w:val="auto"/>
        </w:rPr>
      </w:pPr>
    </w:p>
    <w:p>
      <w:pPr>
        <w:ind w:left="960" w:right="840" w:hanging="532"/>
        <w:spacing w:after="0" w:line="277" w:lineRule="auto"/>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Supplier acknowledges that a third party administrator will perform certain administrative functions for AT&amp;T in relation to this Agreement. Such administrative functions may include: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Collecting and verifying certificates of insurance;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Providing financial analysis;</w:t>
      </w:r>
    </w:p>
    <w:p>
      <w:pPr>
        <w:spacing w:after="0" w:line="130" w:lineRule="exact"/>
        <w:rPr>
          <w:rFonts w:ascii="Arial" w:cs="Arial" w:eastAsia="Arial" w:hAnsi="Arial"/>
          <w:sz w:val="18"/>
          <w:szCs w:val="18"/>
          <w:color w:val="auto"/>
        </w:rPr>
      </w:pPr>
    </w:p>
    <w:p>
      <w:pPr>
        <w:ind w:left="1420" w:right="760" w:hanging="439"/>
        <w:spacing w:after="0" w:line="277" w:lineRule="auto"/>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Verifying certifications under the Section entitled “Utilization of Minority, Women, and Disabled Veteran Owned Business Enterprises”;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59"/>
        </w:numPr>
        <w:rPr>
          <w:rFonts w:ascii="Arial" w:cs="Arial" w:eastAsia="Arial" w:hAnsi="Arial"/>
          <w:sz w:val="18"/>
          <w:szCs w:val="18"/>
          <w:color w:val="auto"/>
        </w:rPr>
      </w:pPr>
      <w:r>
        <w:rPr>
          <w:rFonts w:ascii="Arial" w:cs="Arial" w:eastAsia="Arial" w:hAnsi="Arial"/>
          <w:sz w:val="18"/>
          <w:szCs w:val="18"/>
          <w:color w:val="auto"/>
        </w:rPr>
        <w:t>Collecting and verifying Supplier profile information.</w:t>
      </w:r>
    </w:p>
    <w:p>
      <w:pPr>
        <w:spacing w:after="0" w:line="130" w:lineRule="exact"/>
        <w:rPr>
          <w:rFonts w:ascii="Arial" w:cs="Arial" w:eastAsia="Arial" w:hAnsi="Arial"/>
          <w:sz w:val="18"/>
          <w:szCs w:val="18"/>
          <w:color w:val="auto"/>
        </w:rPr>
      </w:pPr>
    </w:p>
    <w:p>
      <w:pPr>
        <w:ind w:left="960" w:right="60" w:hanging="532"/>
        <w:spacing w:after="0" w:line="254" w:lineRule="auto"/>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Supplier shall cooperate with such third party administrator in its performance of such administrative functions and shall provide such data as from time to time the third party administrator may reasonably request. Further, notwithstanding any other provision of this Agreement, Supplier agrees that AT&amp;T may provide any information regarding Supplier to such third party administrator. AT&amp;T shall contractually require the third party administrator to maintain confidentiality of Supplier’s information with rights to use it solely for purposes of the administrative functions it performs for AT&amp;T. Supplier agrees to pay the third party administrator an annual fee for the performance of these administrative functions, which annual fee shall not exceed three hundred dollars ($300.00), and a one-time set-up fee of thirty dollars ($30.00).</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3.38  Ownership of AT&amp;T Data and AT&amp;T Derived Data</w:t>
      </w:r>
    </w:p>
    <w:p>
      <w:pPr>
        <w:spacing w:after="0" w:line="131" w:lineRule="exact"/>
        <w:rPr>
          <w:sz w:val="20"/>
          <w:szCs w:val="20"/>
          <w:color w:val="auto"/>
        </w:rPr>
      </w:pPr>
    </w:p>
    <w:p>
      <w:pPr>
        <w:ind w:left="960" w:right="20" w:hanging="532"/>
        <w:spacing w:after="0" w:line="255" w:lineRule="auto"/>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AT&amp;T Data is the property of AT&amp;T. To the extent needed to perfect AT&amp;T’s ownership in AT&amp;T Data, Supplier hereby assigns all right, title, and interest in AT&amp;T Data to AT&amp;T. No transfer of title in AT&amp;T Data is implied or shall occur under this Agreement. AT&amp;T grants to Supplier and its approved Subcontractors a license to access, use, and copy the AT&amp;T Data, with no right to grant sublicenses, solely for the performance of Supplier’s obligations during the Term of this Agreement and solely in compliance with AT&amp;T’s privacy policies, including obligations relating to Customer Information as set forth in the Agreement. Supplier shall promptly return AT&amp;T Data, at no cost to AT&amp;T, and in the format and on the media</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62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85" w:name="page186"/>
    <w:bookmarkEnd w:id="18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80" w:right="40"/>
        <w:spacing w:after="0" w:line="291" w:lineRule="auto"/>
        <w:rPr>
          <w:sz w:val="20"/>
          <w:szCs w:val="20"/>
          <w:color w:val="auto"/>
        </w:rPr>
      </w:pPr>
      <w:r>
        <w:rPr>
          <w:rFonts w:ascii="Arial" w:cs="Arial" w:eastAsia="Arial" w:hAnsi="Arial"/>
          <w:sz w:val="16"/>
          <w:szCs w:val="16"/>
          <w:color w:val="auto"/>
        </w:rPr>
        <w:t>prescribed by AT&amp;T (i) at any time at AT&amp;T’s request, regardless of the expiration or termination of this Agreement, (ii) at the expiration or termination of this Agreement, or (iii) with respect to particular AT&amp;T Data, whenever such data is no longer needed by Supplier to perform its obligations under this Agreement. AT&amp;T Data shall not be (a) utilized by Supplier for any purpose other than as required to fulfill its obligations under this Agreement, (b) sold, assigned, leased, commercially exploited or otherwise provided to or accessed by third parties, whether by or on behalf of Supplier, (c) withheld from AT&amp;T by Supplier, or (d) used by Supplier to assert any lien or other right against or to it. Supplier shall promptly notify AT&amp;T if Supplier believes that any use of AT&amp;T Data by Supplier contemplated under this Agreement or to be undertaken as part of the performance of this Agreement is inconsistent with the preceding sentence.</w:t>
      </w:r>
    </w:p>
    <w:p>
      <w:pPr>
        <w:spacing w:after="0" w:line="72" w:lineRule="exact"/>
        <w:rPr>
          <w:sz w:val="20"/>
          <w:szCs w:val="20"/>
          <w:color w:val="auto"/>
        </w:rPr>
      </w:pPr>
    </w:p>
    <w:p>
      <w:pPr>
        <w:ind w:left="960" w:right="140" w:hanging="532"/>
        <w:spacing w:after="0" w:line="287" w:lineRule="auto"/>
        <w:tabs>
          <w:tab w:leader="none" w:pos="960" w:val="left"/>
        </w:tabs>
        <w:numPr>
          <w:ilvl w:val="0"/>
          <w:numId w:val="161"/>
        </w:numPr>
        <w:rPr>
          <w:rFonts w:ascii="Arial" w:cs="Arial" w:eastAsia="Arial" w:hAnsi="Arial"/>
          <w:sz w:val="16"/>
          <w:szCs w:val="16"/>
          <w:color w:val="auto"/>
        </w:rPr>
      </w:pPr>
      <w:r>
        <w:rPr>
          <w:rFonts w:ascii="Arial" w:cs="Arial" w:eastAsia="Arial" w:hAnsi="Arial"/>
          <w:sz w:val="16"/>
          <w:szCs w:val="16"/>
          <w:color w:val="auto"/>
        </w:rPr>
        <w:t>AT&amp;T shall own all right, title and interest to the AT&amp;T Derived Data. To the extent needed to perfect AT&amp;T’s ownership in AT&amp;T Derived Data, Supplier hereby assigns all right, title and interest in AT&amp;T Derived Data to AT&amp;T. AT&amp;T grants to Supplier and its approved Subcontractors a license to access, use, and copy the AT&amp;T Derived Data, with no right to grant sublicenses (except to an approved Supplier Subcontractor), solely for the performance of Supplier’s obligations during the Term of this Agreement and solely in compliance with AT&amp;T’s privacy policies, including obligations relating to Customer Information. Supplier shall deliver AT&amp;T Derived Data in the format, on the media, and in the timing prescribed by AT&amp;T. Such delivery shall be at no cost to AT&amp;T unless the format, media, or timing prescribed by AT&amp;T for delivery would cause Supplier to incur substantial additional costs, in which case Supplier shall so notify AT&amp;T and the Parties shall negotiate in good faith to determine whether the format, media, or timing can be changed to avoid Supplier’s incurring such costs or to determine whether AT&amp;T is willing to reimburse Supplier for such costs. If the Parties fail to agree, the Parties agree to use the dispute resolution procedures in the Agreement to resolve the dispute. For the avoidance of doubt, Supplier shall not create or develop AT&amp;T Derived Data after the expiration or termination of this Agreement.</w:t>
      </w:r>
    </w:p>
    <w:p>
      <w:pPr>
        <w:spacing w:after="0" w:line="77" w:lineRule="exact"/>
        <w:rPr>
          <w:rFonts w:ascii="Arial" w:cs="Arial" w:eastAsia="Arial" w:hAnsi="Arial"/>
          <w:sz w:val="16"/>
          <w:szCs w:val="16"/>
          <w:color w:val="auto"/>
        </w:rPr>
      </w:pPr>
    </w:p>
    <w:p>
      <w:pPr>
        <w:ind w:left="960" w:right="380" w:hanging="532"/>
        <w:spacing w:after="0" w:line="257" w:lineRule="auto"/>
        <w:tabs>
          <w:tab w:leader="none" w:pos="9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provisions of this Section shall apply to all AT&amp;T Data and AT&amp;T Derived Data disclosed or otherwise provided to, or created, developed, modified, recast or processed by, Supplier on or after the Effective Date of this Agreement. Supplier’s obligation to return AT&amp;T Data and AT&amp;T Derived Data upon AT&amp;T’s request shall survive the expiration or termination of this Agreement, but shall not apply to AT&amp;T Data and AT&amp;T Derived Data which, at the time of AT&amp;T’s request for return, is no longer retained by or on behalf of Supplier.</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3.39  Third Party Beneficiaries</w:t>
      </w:r>
    </w:p>
    <w:p>
      <w:pPr>
        <w:spacing w:after="0" w:line="117"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The provisions of this Agreement are solely for the benefit of the Parties hereto and are not intended to confer upon any person or entity, except the Parties hereto, any rights or remedies hereunder. There are no third party beneficiaries of this Agreement, and this Agreement shall not provide any third person or entity with any remedy, claim, liability, reimbursement, claim of action, or other right in excess of those existing without reference to this Agreement.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63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86" w:name="page187"/>
    <w:bookmarkEnd w:id="18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3.40  Risk of Loss</w:t>
      </w:r>
    </w:p>
    <w:p>
      <w:pPr>
        <w:spacing w:after="0" w:line="117" w:lineRule="exact"/>
        <w:rPr>
          <w:sz w:val="20"/>
          <w:szCs w:val="20"/>
          <w:color w:val="auto"/>
        </w:rPr>
      </w:pPr>
    </w:p>
    <w:p>
      <w:pPr>
        <w:ind w:left="440" w:right="200"/>
        <w:spacing w:after="0" w:line="263" w:lineRule="auto"/>
        <w:rPr>
          <w:sz w:val="20"/>
          <w:szCs w:val="20"/>
          <w:color w:val="auto"/>
        </w:rPr>
      </w:pPr>
      <w:r>
        <w:rPr>
          <w:rFonts w:ascii="Arial" w:cs="Arial" w:eastAsia="Arial" w:hAnsi="Arial"/>
          <w:sz w:val="18"/>
          <w:szCs w:val="18"/>
          <w:color w:val="auto"/>
        </w:rPr>
        <w:t>Risk of loss shall pass to AT&amp;T when possession of the Material passes, in the United States of America, (i) from Supplier or its intermediary to the carrier, if and when this Agreement or an Order requires Supplier to ship freight collect, and (ii) from the carrier to AT&amp;T, if and when this Agreement or the applicable Order requires Supplier to prepay for shipment.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3.41  Transaction Costs</w:t>
      </w:r>
    </w:p>
    <w:p>
      <w:pPr>
        <w:spacing w:after="0" w:line="117" w:lineRule="exact"/>
        <w:rPr>
          <w:sz w:val="20"/>
          <w:szCs w:val="20"/>
          <w:color w:val="auto"/>
        </w:rPr>
      </w:pPr>
    </w:p>
    <w:p>
      <w:pPr>
        <w:jc w:val="both"/>
        <w:ind w:left="440" w:right="220"/>
        <w:spacing w:after="0" w:line="263" w:lineRule="auto"/>
        <w:rPr>
          <w:sz w:val="20"/>
          <w:szCs w:val="20"/>
          <w:color w:val="auto"/>
        </w:rPr>
      </w:pPr>
      <w:r>
        <w:rPr>
          <w:rFonts w:ascii="Arial" w:cs="Arial" w:eastAsia="Arial" w:hAnsi="Arial"/>
          <w:sz w:val="18"/>
          <w:szCs w:val="18"/>
          <w:color w:val="auto"/>
        </w:rPr>
        <w:t>Except as expressly provided in this Agreement or an Order, each Party shall bear its own fees and expenses (including the fees and expenses of its agents, representatives, attorneys, and accountants) incurred in connection with the negotiation, drafting, execution, and performance of this Agreement and the transactions it contemplates.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3.42  Utilization of Minority, Women, and Disabled Veteran Owned Business Enterprises</w:t>
      </w:r>
    </w:p>
    <w:p>
      <w:pPr>
        <w:spacing w:after="0" w:line="131" w:lineRule="exact"/>
        <w:rPr>
          <w:sz w:val="20"/>
          <w:szCs w:val="20"/>
          <w:color w:val="auto"/>
        </w:rPr>
      </w:pPr>
    </w:p>
    <w:p>
      <w:pPr>
        <w:ind w:left="960" w:right="200" w:hanging="532"/>
        <w:spacing w:after="0" w:line="259" w:lineRule="auto"/>
        <w:tabs>
          <w:tab w:leader="none" w:pos="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AT&amp;T seeks to give minority-, women-, and Disabled Veteran-owned businesses the maximum opportunity to participate in the performance of its contracts; current goals are MBE-15%, WBE-5%, and DVBE-1.5%. Supplier commits to making good faith efforts to achieve goals for the participation of MBE/WBE and DVBE firms (as defined in Subsection e of this Section below entitled “MBE/WBE/DVBE Termination”).</w:t>
      </w:r>
    </w:p>
    <w:p>
      <w:pPr>
        <w:spacing w:after="0" w:line="92" w:lineRule="exact"/>
        <w:rPr>
          <w:rFonts w:ascii="Arial" w:cs="Arial" w:eastAsia="Arial" w:hAnsi="Arial"/>
          <w:sz w:val="18"/>
          <w:szCs w:val="18"/>
          <w:color w:val="auto"/>
        </w:rPr>
      </w:pPr>
    </w:p>
    <w:p>
      <w:pPr>
        <w:ind w:left="960" w:right="140" w:hanging="532"/>
        <w:spacing w:after="0" w:line="263" w:lineRule="auto"/>
        <w:tabs>
          <w:tab w:leader="none" w:pos="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For the avoidance of doubt, these goals apply to all annual expenditures by any AT&amp;T entity with Supplier. This includes all expenditures under all existing agreements between AT&amp;T and Supplier. Supplier agrees to meet in good faith to evaluate with AT&amp;T on annual basis whether Supplier can increase participation over the life of the Agreement.</w:t>
      </w:r>
    </w:p>
    <w:p>
      <w:pPr>
        <w:spacing w:after="0" w:line="89" w:lineRule="exact"/>
        <w:rPr>
          <w:rFonts w:ascii="Arial" w:cs="Arial" w:eastAsia="Arial" w:hAnsi="Arial"/>
          <w:sz w:val="18"/>
          <w:szCs w:val="18"/>
          <w:color w:val="auto"/>
        </w:rPr>
      </w:pPr>
    </w:p>
    <w:p>
      <w:pPr>
        <w:ind w:left="960" w:right="20" w:hanging="532"/>
        <w:spacing w:after="0" w:line="257" w:lineRule="auto"/>
        <w:tabs>
          <w:tab w:leader="none" w:pos="9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In the event Supplier Diversity subcontracting results cannot be met by Supplier due to significant legal, regulatory or business relationship changes that have a direct and substantive negative impact on the attainment of the Diversity commitments herein, AT&amp;T and Supplier will jointly review the results and known causes of the diversity subcontracting shortfall in order to reach a mutually acceptable Diversity subcontracting target. In the event the Parties cannot resolve the Diversity subcontracting targets, then the issue will be escalated as required through the following levels:</w:t>
      </w:r>
    </w:p>
    <w:p>
      <w:pPr>
        <w:spacing w:after="0" w:line="210" w:lineRule="exact"/>
        <w:rPr>
          <w:sz w:val="20"/>
          <w:szCs w:val="20"/>
          <w:color w:val="auto"/>
        </w:rPr>
      </w:pPr>
    </w:p>
    <w:tbl>
      <w:tblPr>
        <w:tblLayout w:type="fixed"/>
        <w:tblInd w:w="1320" w:type="dxa"/>
        <w:tblCellMar>
          <w:top w:w="0" w:type="dxa"/>
          <w:left w:w="0" w:type="dxa"/>
          <w:bottom w:w="0" w:type="dxa"/>
          <w:right w:w="0" w:type="dxa"/>
        </w:tblCellMar>
      </w:tblPr>
      <w:tr>
        <w:trPr>
          <w:trHeight w:val="187"/>
        </w:trPr>
        <w:tc>
          <w:tcPr>
            <w:tcW w:w="2160" w:type="dxa"/>
            <w:vAlign w:val="bottom"/>
            <w:gridSpan w:val="2"/>
          </w:tcPr>
          <w:p>
            <w:pPr>
              <w:spacing w:after="0"/>
              <w:rPr>
                <w:sz w:val="20"/>
                <w:szCs w:val="20"/>
                <w:color w:val="auto"/>
              </w:rPr>
            </w:pPr>
            <w:r>
              <w:rPr>
                <w:rFonts w:ascii="Arial" w:cs="Arial" w:eastAsia="Arial" w:hAnsi="Arial"/>
                <w:sz w:val="14"/>
                <w:szCs w:val="14"/>
                <w:color w:val="auto"/>
              </w:rPr>
              <w:t>Level</w:t>
            </w:r>
          </w:p>
        </w:tc>
        <w:tc>
          <w:tcPr>
            <w:tcW w:w="3680" w:type="dxa"/>
            <w:vAlign w:val="bottom"/>
            <w:gridSpan w:val="2"/>
          </w:tcPr>
          <w:p>
            <w:pPr>
              <w:ind w:left="1480"/>
              <w:spacing w:after="0"/>
              <w:rPr>
                <w:sz w:val="20"/>
                <w:szCs w:val="20"/>
                <w:color w:val="auto"/>
              </w:rPr>
            </w:pPr>
            <w:r>
              <w:rPr>
                <w:rFonts w:ascii="Arial" w:cs="Arial" w:eastAsia="Arial" w:hAnsi="Arial"/>
                <w:sz w:val="14"/>
                <w:szCs w:val="14"/>
                <w:color w:val="auto"/>
              </w:rPr>
              <w:t>Supplier</w:t>
            </w:r>
          </w:p>
        </w:tc>
        <w:tc>
          <w:tcPr>
            <w:tcW w:w="2480" w:type="dxa"/>
            <w:vAlign w:val="bottom"/>
            <w:gridSpan w:val="2"/>
          </w:tcPr>
          <w:p>
            <w:pPr>
              <w:jc w:val="right"/>
              <w:ind w:right="1060"/>
              <w:spacing w:after="0"/>
              <w:rPr>
                <w:sz w:val="20"/>
                <w:szCs w:val="20"/>
                <w:color w:val="auto"/>
              </w:rPr>
            </w:pPr>
            <w:r>
              <w:rPr>
                <w:rFonts w:ascii="Arial" w:cs="Arial" w:eastAsia="Arial" w:hAnsi="Arial"/>
                <w:sz w:val="14"/>
                <w:szCs w:val="14"/>
                <w:color w:val="auto"/>
              </w:rPr>
              <w:t>AT&amp;T</w:t>
            </w:r>
          </w:p>
        </w:tc>
      </w:tr>
      <w:tr>
        <w:trPr>
          <w:trHeight w:val="189"/>
        </w:trPr>
        <w:tc>
          <w:tcPr>
            <w:tcW w:w="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4"/>
              </w:rPr>
              <w:t>Level</w:t>
            </w:r>
          </w:p>
        </w:tc>
        <w:tc>
          <w:tcPr>
            <w:tcW w:w="1820" w:type="dxa"/>
            <w:vAlign w:val="bottom"/>
          </w:tcPr>
          <w:p>
            <w:pPr>
              <w:jc w:val="right"/>
              <w:ind w:right="1530"/>
              <w:spacing w:after="0" w:line="189" w:lineRule="exact"/>
              <w:rPr>
                <w:sz w:val="20"/>
                <w:szCs w:val="20"/>
                <w:color w:val="auto"/>
              </w:rPr>
            </w:pPr>
            <w:r>
              <w:rPr>
                <w:rFonts w:ascii="Arial" w:cs="Arial" w:eastAsia="Arial" w:hAnsi="Arial"/>
                <w:sz w:val="18"/>
                <w:szCs w:val="18"/>
                <w:color w:val="auto"/>
              </w:rPr>
              <w:t>1</w:t>
            </w:r>
          </w:p>
        </w:tc>
        <w:tc>
          <w:tcPr>
            <w:tcW w:w="34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Amdocs AT&amp;T Division President</w:t>
            </w:r>
          </w:p>
        </w:tc>
        <w:tc>
          <w:tcPr>
            <w:tcW w:w="220" w:type="dxa"/>
            <w:vAlign w:val="bottom"/>
          </w:tcPr>
          <w:p>
            <w:pPr>
              <w:spacing w:after="0"/>
              <w:rPr>
                <w:sz w:val="16"/>
                <w:szCs w:val="16"/>
                <w:color w:val="auto"/>
              </w:rPr>
            </w:pPr>
          </w:p>
        </w:tc>
        <w:tc>
          <w:tcPr>
            <w:tcW w:w="24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AVP-Global Supply Chain</w:t>
            </w:r>
          </w:p>
        </w:tc>
        <w:tc>
          <w:tcPr>
            <w:tcW w:w="20" w:type="dxa"/>
            <w:vAlign w:val="bottom"/>
          </w:tcPr>
          <w:p>
            <w:pPr>
              <w:spacing w:after="0"/>
              <w:rPr>
                <w:sz w:val="16"/>
                <w:szCs w:val="16"/>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Level 2</w:t>
            </w:r>
          </w:p>
        </w:tc>
        <w:tc>
          <w:tcPr>
            <w:tcW w:w="368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President –Amdocs Customer Business Unit</w:t>
            </w:r>
          </w:p>
        </w:tc>
        <w:tc>
          <w:tcPr>
            <w:tcW w:w="248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President-Global Supply Chain</w:t>
            </w:r>
          </w:p>
        </w:tc>
      </w:tr>
    </w:tbl>
    <w:p>
      <w:pPr>
        <w:spacing w:after="0" w:line="229" w:lineRule="exact"/>
        <w:rPr>
          <w:sz w:val="20"/>
          <w:szCs w:val="20"/>
          <w:color w:val="auto"/>
        </w:rPr>
      </w:pPr>
    </w:p>
    <w:p>
      <w:pPr>
        <w:ind w:left="960" w:right="220" w:hanging="532"/>
        <w:spacing w:after="0" w:line="257" w:lineRule="auto"/>
        <w:tabs>
          <w:tab w:leader="none" w:pos="9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Attached hereto and incorporated herein as Appendix E, Exhibit 1, is Supplier’s completed Participation Plan outlining its MBE/WBE/DVBE goals and specific and detailed plans to achieve those goals. Supplier will submit an updated Participation Plan annually by the first week in January. Supplier will submit MBE/WBE/DVBE Results Reports quarterly by the end of the first week following the close of each quarter, using the form attached hereto and incorporated herein as Appendix E, Exhibit 2. Participation Plans and Results Reports will be submitted to the Prime Supplier Program Manager.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64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87" w:name="page188"/>
    <w:bookmarkEnd w:id="187"/>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20" w:hanging="532"/>
        <w:spacing w:after="0"/>
        <w:tabs>
          <w:tab w:leader="none" w:pos="9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MBE/WBE/DVBE Termination</w:t>
      </w:r>
    </w:p>
    <w:p>
      <w:pPr>
        <w:spacing w:after="0" w:line="130" w:lineRule="exact"/>
        <w:rPr>
          <w:rFonts w:ascii="Arial" w:cs="Arial" w:eastAsia="Arial" w:hAnsi="Arial"/>
          <w:sz w:val="18"/>
          <w:szCs w:val="18"/>
          <w:color w:val="auto"/>
        </w:rPr>
      </w:pPr>
    </w:p>
    <w:p>
      <w:pPr>
        <w:ind w:left="1380" w:right="100" w:hanging="439"/>
        <w:spacing w:after="0" w:line="291" w:lineRule="auto"/>
        <w:tabs>
          <w:tab w:leader="none" w:pos="138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Supplier agrees that falsification or misrepresentation of, or failure to report a disqualifying change in, the MBE/WBE/DVBE status of Supplier or any Subcontractor utilized by Supplier, or Supplier’s failure to comply in good faith with any MBE/WBE/DVBE utilization goals established by Supplier, or Supplier’s failure to cooperate in any investigation conducted by AT&amp;T, or by AT&amp;T’s agent, to determine Supplier’s compliance with this Section will constitute a material breach of this Agreement. In the event of any such breach, AT&amp;T may, at its option, pursue termination through the dispute resolution procedures of Section 4.5 upon thirty (30) days’ notice where such breach remains uncured by Supplier at the end of the notice period. Supplier acknowledges and agrees that AT&amp;T shall not be subject to Liability, nor shall Supplier have any right to sue for damages, as a result of such termination.</w:t>
      </w:r>
    </w:p>
    <w:p>
      <w:pPr>
        <w:spacing w:after="0" w:line="71" w:lineRule="exact"/>
        <w:rPr>
          <w:rFonts w:ascii="Arial" w:cs="Arial" w:eastAsia="Arial" w:hAnsi="Arial"/>
          <w:sz w:val="16"/>
          <w:szCs w:val="16"/>
          <w:color w:val="auto"/>
        </w:rPr>
      </w:pPr>
    </w:p>
    <w:p>
      <w:pPr>
        <w:ind w:left="1380" w:right="60" w:hanging="439"/>
        <w:spacing w:after="0" w:line="257" w:lineRule="auto"/>
        <w:tabs>
          <w:tab w:leader="none" w:pos="13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For purchases under this Agreement by Pacific Bell, Pacific Bell Directory, Pacific Bell Mobile Services, Pacific Bell Information Services, Pacific Bell Communications, and any other entity operating principally in California (collectively “California Affiliates”), Minority and Women Business Enterprises (MBEs/WBEs) are defined as businesses which satisfy the requirements of Subsection iv of this Section below and are certified as MBEs/WBEs by the California Public Utilities Commission Clearinghouse (“CPUC-certified”).</w:t>
      </w:r>
    </w:p>
    <w:p>
      <w:pPr>
        <w:spacing w:after="0" w:line="93" w:lineRule="exact"/>
        <w:rPr>
          <w:rFonts w:ascii="Arial" w:cs="Arial" w:eastAsia="Arial" w:hAnsi="Arial"/>
          <w:sz w:val="18"/>
          <w:szCs w:val="18"/>
          <w:color w:val="auto"/>
        </w:rPr>
      </w:pPr>
    </w:p>
    <w:p>
      <w:pPr>
        <w:ind w:left="1380" w:right="240" w:hanging="439"/>
        <w:spacing w:after="0" w:line="263" w:lineRule="auto"/>
        <w:tabs>
          <w:tab w:leader="none" w:pos="138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For purchases under this Agreement by any entity that is not a California Affiliate, MBEs/WBEs are defined as businesses which satisfy the requirements of Subsection iv of this Section below and are either CPUC-certified or are certified as MBEs/WBEs by a certifying agency recognized by AT&amp;T.</w:t>
      </w:r>
    </w:p>
    <w:p>
      <w:pPr>
        <w:spacing w:after="0" w:line="89" w:lineRule="exact"/>
        <w:rPr>
          <w:rFonts w:ascii="Arial" w:cs="Arial" w:eastAsia="Arial" w:hAnsi="Arial"/>
          <w:sz w:val="18"/>
          <w:szCs w:val="18"/>
          <w:color w:val="auto"/>
        </w:rPr>
      </w:pPr>
    </w:p>
    <w:p>
      <w:pPr>
        <w:ind w:left="1380" w:right="140" w:hanging="439"/>
        <w:spacing w:after="0" w:line="269" w:lineRule="auto"/>
        <w:tabs>
          <w:tab w:leader="none" w:pos="1380" w:val="left"/>
        </w:tabs>
        <w:numPr>
          <w:ilvl w:val="1"/>
          <w:numId w:val="164"/>
        </w:numPr>
        <w:rPr>
          <w:rFonts w:ascii="Arial" w:cs="Arial" w:eastAsia="Arial" w:hAnsi="Arial"/>
          <w:sz w:val="17"/>
          <w:szCs w:val="17"/>
          <w:color w:val="auto"/>
        </w:rPr>
      </w:pPr>
      <w:r>
        <w:rPr>
          <w:rFonts w:ascii="Arial" w:cs="Arial" w:eastAsia="Arial" w:hAnsi="Arial"/>
          <w:sz w:val="17"/>
          <w:szCs w:val="17"/>
          <w:color w:val="auto"/>
        </w:rPr>
        <w:t>MBEs/WBEs must be at least fifty-one percent (51%) owned by a minority individual or group or by one or more women (for publicly-held businesses, at least fifty-one percent (51%) of the stock must be owned by one or more of those individuals), and the MBEs/WBEs’ management and daily business operations must be controlled by one or more of those individuals, and those individuals must be either U.S. citizens or legal aliens with permanent residence status. For the purpose of this definition, minority group members include male or female Asian Americans, Black Americans, Filipino Americans, Hispanic Americans, Native Americans (i.e., American Indians, Eskimos, Aleuts and Native Hawaiians), Polynesian Americans, and multi-ethnic (i.e., any combination of MBEs and WBEs where no one specific group has a fifty-one percent (51%) ownership and control of the business, but when aggregated, the ownership and control combination meets or exceeds the fifty-one percent (51%) rule). “Control” in this context means exercising the power to make policy decisions. “Operate” in this context means actively involved in the day-to-day management of the business and not merely acting as officers or directors.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65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88" w:name="page189"/>
    <w:bookmarkEnd w:id="18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40" w:hanging="439"/>
        <w:spacing w:after="0" w:line="259" w:lineRule="auto"/>
        <w:tabs>
          <w:tab w:leader="none" w:pos="14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Supplier has (i) satisfied all its obligations to any third parties with respect to all FOSS and the applicable FOSS licenses (including, of Subsection vii of this Section below and are certified as DVBEs by the California State Office of Small and Minority Business (OSMB). The DVBE must be a resident of the State of California, and must satisfy the requirements of Subsection vii of this Section below.</w:t>
      </w:r>
    </w:p>
    <w:p>
      <w:pPr>
        <w:spacing w:after="0" w:line="92" w:lineRule="exact"/>
        <w:rPr>
          <w:sz w:val="20"/>
          <w:szCs w:val="20"/>
          <w:color w:val="auto"/>
        </w:rPr>
      </w:pPr>
    </w:p>
    <w:p>
      <w:pPr>
        <w:ind w:left="1420" w:right="120" w:hanging="439"/>
        <w:spacing w:after="0" w:line="263" w:lineRule="auto"/>
        <w:tabs>
          <w:tab w:leader="none" w:pos="142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purchases under this Agreement by any entity that is not a California Affiliate, DVBEs are defined as any business concern that satisfies the requirements of Subsection vii of this Section below and is either a defined DVBE for purchases by California Affiliates, or is certified as a DVBE by a certifying agency recognized by AT&amp;T.</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0"/>
          <w:numId w:val="166"/>
        </w:numPr>
        <w:rPr>
          <w:rFonts w:ascii="Arial" w:cs="Arial" w:eastAsia="Arial" w:hAnsi="Arial"/>
          <w:sz w:val="16"/>
          <w:szCs w:val="16"/>
          <w:color w:val="auto"/>
        </w:rPr>
      </w:pPr>
      <w:r>
        <w:rPr>
          <w:rFonts w:ascii="Arial" w:cs="Arial" w:eastAsia="Arial" w:hAnsi="Arial"/>
          <w:sz w:val="16"/>
          <w:szCs w:val="16"/>
          <w:color w:val="auto"/>
        </w:rPr>
        <w:t>The DVBE must be (i) a non publicly-owned enterprise at least fifty-one percent (51%) owned by one or more disabled veterans; or</w:t>
      </w:r>
    </w:p>
    <w:p>
      <w:pPr>
        <w:spacing w:after="0" w:line="46" w:lineRule="exact"/>
        <w:rPr>
          <w:rFonts w:ascii="Arial" w:cs="Arial" w:eastAsia="Arial" w:hAnsi="Arial"/>
          <w:sz w:val="16"/>
          <w:szCs w:val="16"/>
          <w:color w:val="auto"/>
        </w:rPr>
      </w:pPr>
    </w:p>
    <w:p>
      <w:pPr>
        <w:ind w:left="1680" w:hanging="267"/>
        <w:spacing w:after="0"/>
        <w:tabs>
          <w:tab w:leader="none" w:pos="1680" w:val="left"/>
        </w:tabs>
        <w:numPr>
          <w:ilvl w:val="1"/>
          <w:numId w:val="166"/>
        </w:numPr>
        <w:rPr>
          <w:rFonts w:ascii="Arial" w:cs="Arial" w:eastAsia="Arial" w:hAnsi="Arial"/>
          <w:sz w:val="16"/>
          <w:szCs w:val="16"/>
          <w:color w:val="auto"/>
        </w:rPr>
      </w:pPr>
      <w:r>
        <w:rPr>
          <w:rFonts w:ascii="Arial" w:cs="Arial" w:eastAsia="Arial" w:hAnsi="Arial"/>
          <w:sz w:val="16"/>
          <w:szCs w:val="16"/>
          <w:color w:val="auto"/>
        </w:rPr>
        <w:t>a publicly-owned business in which at least fifty-one percent (51%) of the stock is owned by one or more disabled veterans; or</w:t>
      </w:r>
    </w:p>
    <w:p>
      <w:pPr>
        <w:spacing w:after="0" w:line="32" w:lineRule="exact"/>
        <w:rPr>
          <w:rFonts w:ascii="Arial" w:cs="Arial" w:eastAsia="Arial" w:hAnsi="Arial"/>
          <w:sz w:val="16"/>
          <w:szCs w:val="16"/>
          <w:color w:val="auto"/>
        </w:rPr>
      </w:pPr>
    </w:p>
    <w:p>
      <w:pPr>
        <w:ind w:left="1420" w:hanging="7"/>
        <w:spacing w:after="0" w:line="252" w:lineRule="auto"/>
        <w:tabs>
          <w:tab w:leader="none" w:pos="1735" w:val="left"/>
        </w:tabs>
        <w:numPr>
          <w:ilvl w:val="1"/>
          <w:numId w:val="166"/>
        </w:numPr>
        <w:rPr>
          <w:rFonts w:ascii="Arial" w:cs="Arial" w:eastAsia="Arial" w:hAnsi="Arial"/>
          <w:sz w:val="18"/>
          <w:szCs w:val="18"/>
          <w:color w:val="auto"/>
        </w:rPr>
      </w:pPr>
      <w:r>
        <w:rPr>
          <w:rFonts w:ascii="Arial" w:cs="Arial" w:eastAsia="Arial" w:hAnsi="Arial"/>
          <w:sz w:val="18"/>
          <w:szCs w:val="18"/>
          <w:color w:val="auto"/>
        </w:rPr>
        <w:t>a subsidiary which is wholly owned by a parent corporation, but only if at least fifty-one percent (51%) of the voting stock of the parent corporation is owned by one or more disabled veterans; or (iv) a joint venture in which at least fifty-one percent (51%) of the joint venture’s management and control and earnings are held by one or more disabled veterans. In each case, the management and control of the daily business operations must be by one or more disabled veterans. A disabled veteran is a veteran of the military, naval or air service of the United States with a service-connected disability. “Management and control” in this context means exercising the power to make policy decisions and actively involved in the day-to-day management of the business and not merely acting as officers or directors.</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3.43  Warranty</w:t>
      </w:r>
    </w:p>
    <w:p>
      <w:pPr>
        <w:spacing w:after="0" w:line="131" w:lineRule="exact"/>
        <w:rPr>
          <w:sz w:val="20"/>
          <w:szCs w:val="20"/>
          <w:color w:val="auto"/>
        </w:rPr>
      </w:pPr>
    </w:p>
    <w:p>
      <w:pPr>
        <w:jc w:val="both"/>
        <w:ind w:left="960" w:right="80" w:hanging="532"/>
        <w:spacing w:after="0" w:line="263" w:lineRule="auto"/>
        <w:tabs>
          <w:tab w:leader="none" w:pos="9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Warranty for Custom Software. Subject to the limitations set forth in Subsection 3.43e Supplier will fix at no charge to AT&amp;T any Error in the Custom Software created under an Order under this Agreement, which Error is identified during the Warranty Period and results solely from the negligent or intentionally wrongful acts or omissions of Supplier.</w:t>
      </w:r>
    </w:p>
    <w:p>
      <w:pPr>
        <w:spacing w:after="0" w:line="89" w:lineRule="exact"/>
        <w:rPr>
          <w:rFonts w:ascii="Arial" w:cs="Arial" w:eastAsia="Arial" w:hAnsi="Arial"/>
          <w:sz w:val="18"/>
          <w:szCs w:val="18"/>
          <w:color w:val="auto"/>
        </w:rPr>
      </w:pPr>
    </w:p>
    <w:p>
      <w:pPr>
        <w:ind w:left="1420" w:right="720" w:hanging="439"/>
        <w:spacing w:after="0" w:line="277" w:lineRule="auto"/>
        <w:tabs>
          <w:tab w:leader="none" w:pos="14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For purposes of this Agreement, the Warranty Period is [***] days commencing upon delivery into Acceptance Test, unless otherwise agreed in the applicable Order.</w:t>
      </w:r>
    </w:p>
    <w:p>
      <w:pPr>
        <w:spacing w:after="0" w:line="75" w:lineRule="exact"/>
        <w:rPr>
          <w:rFonts w:ascii="Arial" w:cs="Arial" w:eastAsia="Arial" w:hAnsi="Arial"/>
          <w:sz w:val="18"/>
          <w:szCs w:val="18"/>
          <w:color w:val="auto"/>
        </w:rPr>
      </w:pPr>
    </w:p>
    <w:p>
      <w:pPr>
        <w:ind w:left="1420" w:right="380" w:hanging="439"/>
        <w:spacing w:after="0" w:line="277" w:lineRule="auto"/>
        <w:tabs>
          <w:tab w:leader="none" w:pos="142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Upon agreement of the Parties, this Warranty for Custom Software development may be amended or supplemented in the Order, including via the implementation of a Service Level Agreement.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OnGoing Support Orders</w:t>
      </w:r>
    </w:p>
    <w:p>
      <w:pPr>
        <w:spacing w:after="0" w:line="130" w:lineRule="exact"/>
        <w:rPr>
          <w:rFonts w:ascii="Arial" w:cs="Arial" w:eastAsia="Arial" w:hAnsi="Arial"/>
          <w:sz w:val="18"/>
          <w:szCs w:val="18"/>
          <w:color w:val="auto"/>
        </w:rPr>
      </w:pPr>
    </w:p>
    <w:p>
      <w:pPr>
        <w:ind w:left="1420" w:hanging="439"/>
        <w:spacing w:after="0" w:line="311" w:lineRule="auto"/>
        <w:tabs>
          <w:tab w:leader="none" w:pos="1420" w:val="left"/>
        </w:tabs>
        <w:numPr>
          <w:ilvl w:val="1"/>
          <w:numId w:val="167"/>
        </w:numPr>
        <w:rPr>
          <w:rFonts w:ascii="Arial" w:cs="Arial" w:eastAsia="Arial" w:hAnsi="Arial"/>
          <w:sz w:val="16"/>
          <w:szCs w:val="16"/>
          <w:color w:val="auto"/>
        </w:rPr>
      </w:pPr>
      <w:r>
        <w:rPr>
          <w:rFonts w:ascii="Arial" w:cs="Arial" w:eastAsia="Arial" w:hAnsi="Arial"/>
          <w:sz w:val="16"/>
          <w:szCs w:val="16"/>
          <w:color w:val="auto"/>
        </w:rPr>
        <w:t>Subject to the limitations set forth in Section 3.43e, Supplier shall perform the OnGoing Support Services in a good and workmanlike manner, at or above industry standards. Under this warranty, Supplier shall fix Errors in the OnGoing Support Services which result solely from negligent or intentionally wrongful acts or omissions of Supplier, to the extent and in the manner as follows: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66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89" w:name="page190"/>
    <w:bookmarkEnd w:id="189"/>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920" w:right="100" w:hanging="533"/>
        <w:spacing w:after="0" w:line="259" w:lineRule="auto"/>
        <w:tabs>
          <w:tab w:leader="none" w:pos="192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For Supplier’s OnGoing Support personnel which augment AT&amp;T’s development teams by providing development work, AT&amp;T shall be entitled to require such personnel to reperform Services containing Custom Software Errors, at no charge to AT&amp;T, provided such Errors (i) are reported to Supplier within [***] days commencing upon delivery into Acceptance Test, and (ii) occur as the result of Supplier’s sole responsibility.</w:t>
      </w:r>
    </w:p>
    <w:p>
      <w:pPr>
        <w:spacing w:after="0" w:line="92" w:lineRule="exact"/>
        <w:rPr>
          <w:rFonts w:ascii="Arial" w:cs="Arial" w:eastAsia="Arial" w:hAnsi="Arial"/>
          <w:sz w:val="18"/>
          <w:szCs w:val="18"/>
          <w:color w:val="auto"/>
        </w:rPr>
      </w:pPr>
    </w:p>
    <w:p>
      <w:pPr>
        <w:ind w:left="1920" w:right="80" w:hanging="533"/>
        <w:spacing w:after="0" w:line="286" w:lineRule="auto"/>
        <w:tabs>
          <w:tab w:leader="none" w:pos="1920" w:val="left"/>
        </w:tabs>
        <w:numPr>
          <w:ilvl w:val="2"/>
          <w:numId w:val="168"/>
        </w:numPr>
        <w:rPr>
          <w:rFonts w:ascii="Arial" w:cs="Arial" w:eastAsia="Arial" w:hAnsi="Arial"/>
          <w:sz w:val="17"/>
          <w:szCs w:val="17"/>
          <w:color w:val="auto"/>
        </w:rPr>
      </w:pPr>
      <w:r>
        <w:rPr>
          <w:rFonts w:ascii="Arial" w:cs="Arial" w:eastAsia="Arial" w:hAnsi="Arial"/>
          <w:sz w:val="17"/>
          <w:szCs w:val="17"/>
          <w:color w:val="auto"/>
        </w:rPr>
        <w:t>OnGoing Support personnel providing Production Support in a defective manner shall reperform the defective Services until such Defects are corrected, at no charge to AT&amp;T, provided such Defect(s) are reported to Supplier within [***] days after the work was originally delivered to AT&amp;T, and provided AT&amp;T did not contribute to the Defect(s).</w:t>
      </w:r>
    </w:p>
    <w:p>
      <w:pPr>
        <w:spacing w:after="0" w:line="70" w:lineRule="exact"/>
        <w:rPr>
          <w:rFonts w:ascii="Arial" w:cs="Arial" w:eastAsia="Arial" w:hAnsi="Arial"/>
          <w:sz w:val="17"/>
          <w:szCs w:val="17"/>
          <w:color w:val="auto"/>
        </w:rPr>
      </w:pPr>
    </w:p>
    <w:p>
      <w:pPr>
        <w:ind w:left="1920" w:hanging="533"/>
        <w:spacing w:after="0"/>
        <w:tabs>
          <w:tab w:leader="none" w:pos="1920" w:val="left"/>
        </w:tabs>
        <w:numPr>
          <w:ilvl w:val="2"/>
          <w:numId w:val="168"/>
        </w:numPr>
        <w:rPr>
          <w:rFonts w:ascii="Arial" w:cs="Arial" w:eastAsia="Arial" w:hAnsi="Arial"/>
          <w:sz w:val="18"/>
          <w:szCs w:val="18"/>
          <w:color w:val="auto"/>
        </w:rPr>
      </w:pPr>
      <w:r>
        <w:rPr>
          <w:rFonts w:ascii="Arial" w:cs="Arial" w:eastAsia="Arial" w:hAnsi="Arial"/>
          <w:sz w:val="18"/>
          <w:szCs w:val="18"/>
          <w:color w:val="auto"/>
        </w:rPr>
        <w:t>Supplier’s OnGoing Support personnel shall [***]</w:t>
      </w:r>
    </w:p>
    <w:p>
      <w:pPr>
        <w:spacing w:after="0" w:line="130" w:lineRule="exact"/>
        <w:rPr>
          <w:rFonts w:ascii="Arial" w:cs="Arial" w:eastAsia="Arial" w:hAnsi="Arial"/>
          <w:sz w:val="18"/>
          <w:szCs w:val="18"/>
          <w:color w:val="auto"/>
        </w:rPr>
      </w:pPr>
    </w:p>
    <w:p>
      <w:pPr>
        <w:ind w:left="1380" w:right="40" w:hanging="439"/>
        <w:spacing w:after="0" w:line="263" w:lineRule="auto"/>
        <w:tabs>
          <w:tab w:leader="none" w:pos="1380" w:val="left"/>
        </w:tabs>
        <w:numPr>
          <w:ilvl w:val="1"/>
          <w:numId w:val="169"/>
        </w:numPr>
        <w:rPr>
          <w:rFonts w:ascii="Arial" w:cs="Arial" w:eastAsia="Arial" w:hAnsi="Arial"/>
          <w:sz w:val="18"/>
          <w:szCs w:val="18"/>
          <w:color w:val="auto"/>
        </w:rPr>
      </w:pPr>
      <w:r>
        <w:rPr>
          <w:rFonts w:ascii="Arial" w:cs="Arial" w:eastAsia="Arial" w:hAnsi="Arial"/>
          <w:sz w:val="18"/>
          <w:szCs w:val="18"/>
          <w:color w:val="auto"/>
        </w:rPr>
        <w:t>In addition to the above remedies, if any Supplier OnGoing Support personnel are not performing to AT&amp;T’s reasonable satisfaction, the Parties shall attempt to resolve problem within [***] after the date on which AT&amp;T escalates the matter to Supplier’s Project Manager. [***]</w:t>
      </w:r>
    </w:p>
    <w:p>
      <w:pPr>
        <w:spacing w:after="0" w:line="89" w:lineRule="exact"/>
        <w:rPr>
          <w:rFonts w:ascii="Arial" w:cs="Arial" w:eastAsia="Arial" w:hAnsi="Arial"/>
          <w:sz w:val="18"/>
          <w:szCs w:val="18"/>
          <w:color w:val="auto"/>
        </w:rPr>
      </w:pPr>
    </w:p>
    <w:p>
      <w:pPr>
        <w:ind w:left="920" w:right="180" w:hanging="532"/>
        <w:spacing w:after="0" w:line="286" w:lineRule="auto"/>
        <w:tabs>
          <w:tab w:leader="none" w:pos="92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Warranty for Standard Software. Warranty support for Standard Software licensed to AT&amp;T prior to the Effective Date of this Agreement shall be in accordance with the provisions of the applicable agreement under which it was originally licensed. Warranty for Standard Software licensed following the Effective Date of this Agreement will be specified in the applicable License Order.</w:t>
      </w:r>
    </w:p>
    <w:p>
      <w:pPr>
        <w:spacing w:after="0" w:line="70" w:lineRule="exact"/>
        <w:rPr>
          <w:rFonts w:ascii="Arial" w:cs="Arial" w:eastAsia="Arial" w:hAnsi="Arial"/>
          <w:sz w:val="17"/>
          <w:szCs w:val="17"/>
          <w:color w:val="auto"/>
        </w:rPr>
      </w:pPr>
    </w:p>
    <w:p>
      <w:pPr>
        <w:ind w:left="920" w:hanging="532"/>
        <w:spacing w:after="0"/>
        <w:tabs>
          <w:tab w:leader="none" w:pos="920" w:val="left"/>
        </w:tabs>
        <w:numPr>
          <w:ilvl w:val="0"/>
          <w:numId w:val="170"/>
        </w:numPr>
        <w:rPr>
          <w:rFonts w:ascii="Arial" w:cs="Arial" w:eastAsia="Arial" w:hAnsi="Arial"/>
          <w:sz w:val="16"/>
          <w:szCs w:val="16"/>
          <w:color w:val="auto"/>
        </w:rPr>
      </w:pPr>
      <w:r>
        <w:rPr>
          <w:rFonts w:ascii="Arial" w:cs="Arial" w:eastAsia="Arial" w:hAnsi="Arial"/>
          <w:sz w:val="16"/>
          <w:szCs w:val="16"/>
          <w:color w:val="auto"/>
        </w:rPr>
        <w:t>Additional Supplier Warranties. Subject to the limitations set forth in Subsection 3.43e, Supplier additionally represents and warrants that:</w:t>
      </w:r>
    </w:p>
    <w:p>
      <w:pPr>
        <w:spacing w:after="0" w:line="153" w:lineRule="exact"/>
        <w:rPr>
          <w:rFonts w:ascii="Arial" w:cs="Arial" w:eastAsia="Arial" w:hAnsi="Arial"/>
          <w:sz w:val="16"/>
          <w:szCs w:val="16"/>
          <w:color w:val="auto"/>
        </w:rPr>
      </w:pPr>
    </w:p>
    <w:p>
      <w:pPr>
        <w:ind w:left="1380" w:right="160" w:hanging="439"/>
        <w:spacing w:after="0" w:line="277" w:lineRule="auto"/>
        <w:tabs>
          <w:tab w:leader="none" w:pos="13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There are no actions, suits, or proceedings, pending or threatened, which will have a material adverse effect on Supplier’s ability to fulfill its obligations under this Agreement;</w:t>
      </w:r>
    </w:p>
    <w:p>
      <w:pPr>
        <w:spacing w:after="0" w:line="76" w:lineRule="exact"/>
        <w:rPr>
          <w:sz w:val="20"/>
          <w:szCs w:val="20"/>
          <w:color w:val="auto"/>
        </w:rPr>
      </w:pPr>
    </w:p>
    <w:p>
      <w:pPr>
        <w:ind w:left="1380" w:right="60" w:hanging="439"/>
        <w:spacing w:after="0" w:line="263" w:lineRule="auto"/>
        <w:tabs>
          <w:tab w:leader="none" w:pos="1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Supplier will promptly notify AT&amp;T if, during the term of this Agreement, Supplier becomes aware of any action, suit, or proceeding, pending or threatened, which may have a material adverse effect on Supplier’s ability to fulfill the obligations under this Agreement or any Order;</w:t>
      </w:r>
    </w:p>
    <w:p>
      <w:pPr>
        <w:spacing w:after="0" w:line="89" w:lineRule="exact"/>
        <w:rPr>
          <w:rFonts w:ascii="Arial" w:cs="Arial" w:eastAsia="Arial" w:hAnsi="Arial"/>
          <w:sz w:val="18"/>
          <w:szCs w:val="18"/>
          <w:color w:val="auto"/>
        </w:rPr>
      </w:pPr>
    </w:p>
    <w:p>
      <w:pPr>
        <w:ind w:left="1380" w:right="400" w:hanging="439"/>
        <w:spacing w:after="0" w:line="277" w:lineRule="auto"/>
        <w:tabs>
          <w:tab w:leader="none" w:pos="1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Supplier has all necessary skills, rights, financial resources, and authority to enter into this Agreement and related Orders and to provide or license the Material or Services;</w:t>
      </w:r>
    </w:p>
    <w:p>
      <w:pPr>
        <w:spacing w:after="0" w:line="75" w:lineRule="exact"/>
        <w:rPr>
          <w:rFonts w:ascii="Arial" w:cs="Arial" w:eastAsia="Arial" w:hAnsi="Arial"/>
          <w:sz w:val="18"/>
          <w:szCs w:val="18"/>
          <w:color w:val="auto"/>
        </w:rPr>
      </w:pPr>
    </w:p>
    <w:p>
      <w:pPr>
        <w:ind w:left="1380" w:right="160" w:hanging="439"/>
        <w:spacing w:after="0" w:line="277" w:lineRule="auto"/>
        <w:tabs>
          <w:tab w:leader="none" w:pos="1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No consent, approval or withholding of objection is required from any entity, including any governmental authority, with respect to the entering into or the performance of this Agreement or any Order;</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Material and Services will be provided free of any lien or encumbrance of any kind;</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Supplier shall not intentionally or knowingly insert into the Material any Harmful Code at any time; and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67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90" w:name="page191"/>
    <w:bookmarkEnd w:id="19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40" w:hanging="439"/>
        <w:spacing w:after="0" w:line="269" w:lineRule="auto"/>
        <w:tabs>
          <w:tab w:leader="none" w:pos="138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Supplier has (i) satisfied all its obligations to any third parties with respect to all FOSS and the applicable FOSS licenses (including,for example, any obligation to make publicly available the FOSS source code for modifications to such FOSS); (ii) that use of the FOSS in such form for such intent and purposes in no manner creates any added obligation on the part of AT&amp;T (including, for example, the payment of any additional monies), or diminishes, conditions, or eliminates any of the right, title, or interest that Supplier grants AT&amp;T in or to any deliverables or that Supplier may otherwise provide AT&amp;T under this Agreement; and (iii) that use of the FOSS in such form for such intent and purposes, including, but not limited to, AT&amp;T’s use or combination of the FOSS, in the form provided to AT&amp;T, with any proprietary software of AT&amp;T or AT&amp;T’s third-party suppliers, does not subject AT&amp;T to any obligation of disclosure or distribution to any third party or to the public of any such proprietary software, or otherwise make such proprietary software subject to the terms of any FOSS license or impair AT&amp;T’s or its third-party suppliers’ right, title, or interest in or to such proprietary software.</w:t>
      </w:r>
    </w:p>
    <w:p>
      <w:pPr>
        <w:spacing w:after="0" w:line="90" w:lineRule="exact"/>
        <w:rPr>
          <w:rFonts w:ascii="Arial" w:cs="Arial" w:eastAsia="Arial" w:hAnsi="Arial"/>
          <w:sz w:val="17"/>
          <w:szCs w:val="17"/>
          <w:color w:val="auto"/>
        </w:rPr>
      </w:pPr>
    </w:p>
    <w:p>
      <w:pPr>
        <w:ind w:left="920" w:hanging="532"/>
        <w:spacing w:after="0"/>
        <w:tabs>
          <w:tab w:leader="none" w:pos="9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Limitations on Supplier’s Warranties.</w:t>
      </w:r>
    </w:p>
    <w:p>
      <w:pPr>
        <w:spacing w:after="0" w:line="131" w:lineRule="exact"/>
        <w:rPr>
          <w:sz w:val="20"/>
          <w:szCs w:val="20"/>
          <w:color w:val="auto"/>
        </w:rPr>
      </w:pPr>
    </w:p>
    <w:p>
      <w:pPr>
        <w:ind w:left="1380" w:right="20" w:hanging="439"/>
        <w:spacing w:after="0" w:line="270" w:lineRule="auto"/>
        <w:tabs>
          <w:tab w:leader="none" w:pos="13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Supplier’s warranty obligations to correct Errors or re-perform Services pursuant to this Section or otherwise in the Agreement, coupled with any Liability for Liquidated Damages for breach of a Service Level Agreement pursuant to an Order, shall together be limited in each Order to a total amount equal to [***] percent [***] of the fees paid to Supplier under each Order. The Parties shall calculate such cap based upon the total value of the applicable Software Development Order. Any Services performed to fix an Error or otherwise remedy a breach of warranty above the aggregate cap shall be chargeable to AT&amp;T (i) at an hourly rate as stated in the Order; or (ii) at a derived hourly rate for fixed bid using the per resource fixed bid rate in the Order; provided, however, Appendix A, “Prices”, will be utilized if the Order does not specify the applicable rates. The Parties shall negotiate in good faith the required levels of allocated resources required under fixed bid Services Orders for the performance of support for non-warranty Services, including Production Support.</w:t>
      </w:r>
    </w:p>
    <w:p>
      <w:pPr>
        <w:spacing w:after="0" w:line="86" w:lineRule="exact"/>
        <w:rPr>
          <w:rFonts w:ascii="Arial" w:cs="Arial" w:eastAsia="Arial" w:hAnsi="Arial"/>
          <w:sz w:val="17"/>
          <w:szCs w:val="17"/>
          <w:color w:val="auto"/>
        </w:rPr>
      </w:pPr>
    </w:p>
    <w:p>
      <w:pPr>
        <w:ind w:left="1380" w:right="60" w:hanging="439"/>
        <w:spacing w:after="0" w:line="270" w:lineRule="auto"/>
        <w:tabs>
          <w:tab w:leader="none" w:pos="138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AT&amp;T acknowledges that the performance by Supplier of its obligations under this Agreement is dependent upon the performance by AT&amp;T of certain obligations and the AT&amp;T Responsibilities as defined in Section 3.43g (the “AT&amp;T Responsibilities”). To the extent that AT&amp;T fails to comply with the AT&amp;T Responsibilities, and such failure results in Supplier’s inability to perform its obligations, Supplier shall provide written notice to AT&amp;T of the failure to comply with the AT&amp;T Responsibilities. AT&amp;T shall be granted a period of [***] days to cure its failure to comply with the AT&amp;T Responsibilities. If AT&amp;T has not cured its failure within the cure period, then Supplier is entitled to refer the matter for dispute resolution pursuant to Section 4.5. During the cure period and the pendency of the dispute resolution process, Supplier shall be relieved of its obligations and Liability in the performance of the Services (including the warranty obligations stated above) for that portion of the Services which are impacted by AT&amp;T’s failure to fulfill the AT&amp;T Responsibilities.</w:t>
      </w:r>
    </w:p>
    <w:p>
      <w:pPr>
        <w:spacing w:after="0" w:line="86" w:lineRule="exact"/>
        <w:rPr>
          <w:rFonts w:ascii="Arial" w:cs="Arial" w:eastAsia="Arial" w:hAnsi="Arial"/>
          <w:sz w:val="17"/>
          <w:szCs w:val="17"/>
          <w:color w:val="auto"/>
        </w:rPr>
      </w:pPr>
    </w:p>
    <w:p>
      <w:pPr>
        <w:jc w:val="both"/>
        <w:ind w:left="1380" w:right="200" w:hanging="439"/>
        <w:spacing w:after="0" w:line="301" w:lineRule="auto"/>
        <w:tabs>
          <w:tab w:leader="none" w:pos="138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If at any time during the warranty period AT&amp;T believes there is a breach of any warranty, AT&amp;T will notify Supplier setting forth the nature of such claimed breach. Supplier shall promptly investigate such claimed breach, which investigation activities shall be conducted at no charge to AT&amp;T, and shall either (i) provide Information that no breach of warranty in fact occurred or (ii) [***], promptly use its best efforts to take such action as may be required to correct such breach under the Warranty.</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68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91" w:name="page192"/>
    <w:bookmarkEnd w:id="191"/>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60" w:hanging="439"/>
        <w:spacing w:after="0" w:line="289" w:lineRule="auto"/>
        <w:tabs>
          <w:tab w:leader="none" w:pos="1380" w:val="left"/>
        </w:tabs>
        <w:numPr>
          <w:ilvl w:val="1"/>
          <w:numId w:val="174"/>
        </w:numPr>
        <w:rPr>
          <w:rFonts w:ascii="Arial" w:cs="Arial" w:eastAsia="Arial" w:hAnsi="Arial"/>
          <w:sz w:val="16"/>
          <w:szCs w:val="16"/>
          <w:color w:val="auto"/>
        </w:rPr>
      </w:pPr>
      <w:r>
        <w:rPr>
          <w:rFonts w:ascii="Arial" w:cs="Arial" w:eastAsia="Arial" w:hAnsi="Arial"/>
          <w:sz w:val="16"/>
          <w:szCs w:val="16"/>
          <w:color w:val="auto"/>
        </w:rPr>
        <w:t>AT&amp;T’s sole remedy and Supplier’s sole obligation and Liability under the warranties stated in this Section and/or Agreement is for Supplier to correct the breach of warranty by fixing the Error, provided, however, (i) [***] in the Order [***] and (ii) where such fix fails to occur after reasonable opportunity to cure (as set forth in Sections 3.8, “Special Software Terms” and 3.9, “Acceptance or Rejection”) during Acceptance Tests, and [***] Agreement, [***], in the circumstances where (x) the uncured breach is Supplier’s sole responsibility and (y) the breach is such that the Custom Software cannot pass Acceptance Tests and cannot be placed into production. In the event of a refund under this Section, AT&amp;T shall return all deliverables associated with the Project. THE WARRANTIES STATED HEREIN ARE EXCLUSIVE AND ARE IN LIEU OF ALL OTHER WARRANTIES, WRITTEN OR ORAL, STATUTORY, EXPRESS, OR IMPLIED, INCLUDING WITHOUT LIMITATION, THE IMPLIED WARRANTIES OF MERCHANTABILITY AND FITNESS FOR A PARTICULAR PURPOSE, WHICH SUPPLIER EXPRESSLY DISCLAIMS.</w:t>
      </w:r>
    </w:p>
    <w:p>
      <w:pPr>
        <w:spacing w:after="0" w:line="71" w:lineRule="exact"/>
        <w:rPr>
          <w:rFonts w:ascii="Arial" w:cs="Arial" w:eastAsia="Arial" w:hAnsi="Arial"/>
          <w:sz w:val="16"/>
          <w:szCs w:val="16"/>
          <w:color w:val="auto"/>
        </w:rPr>
      </w:pPr>
    </w:p>
    <w:p>
      <w:pPr>
        <w:ind w:left="920" w:hanging="532"/>
        <w:spacing w:after="0"/>
        <w:tabs>
          <w:tab w:leader="none" w:pos="9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AT&amp;T represents and warrants that:</w:t>
      </w:r>
    </w:p>
    <w:p>
      <w:pPr>
        <w:spacing w:after="0" w:line="130" w:lineRule="exact"/>
        <w:rPr>
          <w:rFonts w:ascii="Arial" w:cs="Arial" w:eastAsia="Arial" w:hAnsi="Arial"/>
          <w:sz w:val="18"/>
          <w:szCs w:val="18"/>
          <w:color w:val="auto"/>
        </w:rPr>
      </w:pPr>
    </w:p>
    <w:p>
      <w:pPr>
        <w:ind w:left="1380" w:right="140" w:hanging="439"/>
        <w:spacing w:after="0" w:line="277" w:lineRule="auto"/>
        <w:tabs>
          <w:tab w:leader="none" w:pos="13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As of the Effective Date there are no actions, suits, or proceedings, pending or threatened, which will have a material adverse effect on AT&amp;T’s ability to fulfill its obligations under this Agreement.</w:t>
      </w:r>
    </w:p>
    <w:p>
      <w:pPr>
        <w:spacing w:after="0" w:line="75" w:lineRule="exact"/>
        <w:rPr>
          <w:rFonts w:ascii="Arial" w:cs="Arial" w:eastAsia="Arial" w:hAnsi="Arial"/>
          <w:sz w:val="18"/>
          <w:szCs w:val="18"/>
          <w:color w:val="auto"/>
        </w:rPr>
      </w:pPr>
    </w:p>
    <w:p>
      <w:pPr>
        <w:jc w:val="both"/>
        <w:ind w:left="1380" w:right="60" w:hanging="439"/>
        <w:spacing w:after="0" w:line="263" w:lineRule="auto"/>
        <w:tabs>
          <w:tab w:leader="none" w:pos="13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AT&amp;T will promptly notify Supplier if, during the term of this Agreement, AT&amp;T becomes aware of any action, suit, or proceeding, pending or threatened, which may have a material adverse effect on AT&amp;T’s ability to fulfill the obligations under this Agreement or any Order.</w:t>
      </w:r>
    </w:p>
    <w:p>
      <w:pPr>
        <w:spacing w:after="0" w:line="89" w:lineRule="exact"/>
        <w:rPr>
          <w:rFonts w:ascii="Arial" w:cs="Arial" w:eastAsia="Arial" w:hAnsi="Arial"/>
          <w:sz w:val="18"/>
          <w:szCs w:val="18"/>
          <w:color w:val="auto"/>
        </w:rPr>
      </w:pPr>
    </w:p>
    <w:p>
      <w:pPr>
        <w:ind w:left="1380" w:right="140" w:hanging="439"/>
        <w:spacing w:after="0" w:line="263" w:lineRule="auto"/>
        <w:tabs>
          <w:tab w:leader="none" w:pos="13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No consent, approval or withholding of objection is required (or, if such consent, approval or withholding of objection is required, AT&amp;T shall obtain it) from any entity, including any governmental authority, with respect to the entering into or the performance of this Agreement or any Order.</w:t>
      </w:r>
    </w:p>
    <w:p>
      <w:pPr>
        <w:spacing w:after="0" w:line="89" w:lineRule="exact"/>
        <w:rPr>
          <w:rFonts w:ascii="Arial" w:cs="Arial" w:eastAsia="Arial" w:hAnsi="Arial"/>
          <w:sz w:val="18"/>
          <w:szCs w:val="18"/>
          <w:color w:val="auto"/>
        </w:rPr>
      </w:pPr>
    </w:p>
    <w:p>
      <w:pPr>
        <w:ind w:left="920" w:right="600" w:hanging="532"/>
        <w:spacing w:after="0" w:line="277" w:lineRule="auto"/>
        <w:tabs>
          <w:tab w:leader="none" w:pos="92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AT&amp;T Responsibilities. AT&amp;T shall perform the AT&amp;T Responsibilities as specified in the Agreement and/or the applicable Order, including but not limited to the following:</w:t>
      </w:r>
    </w:p>
    <w:p>
      <w:pPr>
        <w:spacing w:after="0" w:line="75" w:lineRule="exact"/>
        <w:rPr>
          <w:rFonts w:ascii="Arial" w:cs="Arial" w:eastAsia="Arial" w:hAnsi="Arial"/>
          <w:sz w:val="18"/>
          <w:szCs w:val="18"/>
          <w:color w:val="auto"/>
        </w:rPr>
      </w:pPr>
    </w:p>
    <w:p>
      <w:pPr>
        <w:ind w:left="1380" w:right="340" w:hanging="439"/>
        <w:spacing w:after="0" w:line="308" w:lineRule="auto"/>
        <w:tabs>
          <w:tab w:leader="none" w:pos="1380" w:val="left"/>
        </w:tabs>
        <w:numPr>
          <w:ilvl w:val="1"/>
          <w:numId w:val="175"/>
        </w:numPr>
        <w:rPr>
          <w:rFonts w:ascii="Arial" w:cs="Arial" w:eastAsia="Arial" w:hAnsi="Arial"/>
          <w:sz w:val="17"/>
          <w:szCs w:val="17"/>
          <w:color w:val="auto"/>
        </w:rPr>
      </w:pPr>
      <w:r>
        <w:rPr>
          <w:rFonts w:ascii="Arial" w:cs="Arial" w:eastAsia="Arial" w:hAnsi="Arial"/>
          <w:sz w:val="17"/>
          <w:szCs w:val="17"/>
          <w:color w:val="auto"/>
        </w:rPr>
        <w:t>Any AT&amp;T personnel performing services in conjunction with Supplier’s Services (either OnGoing Support or Custom Software Development) shall possess appropriate training and experience in relation to their assigned tasks.</w:t>
      </w:r>
    </w:p>
    <w:p>
      <w:pPr>
        <w:spacing w:after="0" w:line="51" w:lineRule="exact"/>
        <w:rPr>
          <w:rFonts w:ascii="Arial" w:cs="Arial" w:eastAsia="Arial" w:hAnsi="Arial"/>
          <w:sz w:val="17"/>
          <w:szCs w:val="17"/>
          <w:color w:val="auto"/>
        </w:rPr>
      </w:pPr>
    </w:p>
    <w:p>
      <w:pPr>
        <w:ind w:left="1380" w:right="120" w:hanging="439"/>
        <w:spacing w:after="0" w:line="277" w:lineRule="auto"/>
        <w:tabs>
          <w:tab w:leader="none" w:pos="138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AT&amp;T shall provide the agreed upon number and type of personnel as specified in order for purposes of properly fulfilling the tasks that AT&amp;T undertakes in conjunction with a Project or Order.</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69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92" w:name="page193"/>
    <w:bookmarkEnd w:id="192"/>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460" w:hanging="439"/>
        <w:spacing w:after="0" w:line="277" w:lineRule="auto"/>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AT&amp;T shall perform its services in conjunction with any Order under this Agreement in a good and workmanlike manner, at or above industry standards.</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AT&amp;T shall correct at its expense any Error in the Software or deficiencies in the services which result solely from the negligent acts or omissions of AT&amp;T.</w:t>
      </w:r>
    </w:p>
    <w:p>
      <w:pPr>
        <w:spacing w:after="0" w:line="75" w:lineRule="exact"/>
        <w:rPr>
          <w:rFonts w:ascii="Arial" w:cs="Arial" w:eastAsia="Arial" w:hAnsi="Arial"/>
          <w:sz w:val="18"/>
          <w:szCs w:val="18"/>
          <w:color w:val="auto"/>
        </w:rPr>
      </w:pPr>
    </w:p>
    <w:p>
      <w:pPr>
        <w:ind w:left="1420" w:right="240" w:hanging="439"/>
        <w:spacing w:after="0" w:line="286" w:lineRule="auto"/>
        <w:tabs>
          <w:tab w:leader="none" w:pos="142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Subject to the limitations contained in Section 3.43e, and the requirement for AT&amp;T to maintain Production Support to cover non-warranty work contained in Section 3.43, Supplier and AT&amp;T shall negotiate in good faith (including using executive escalation procedures where necessary) to resolve any disputes over responsibility for correction of Errors or deficiencies.</w:t>
      </w:r>
    </w:p>
    <w:p>
      <w:pPr>
        <w:spacing w:after="0" w:line="70" w:lineRule="exact"/>
        <w:rPr>
          <w:rFonts w:ascii="Arial" w:cs="Arial" w:eastAsia="Arial" w:hAnsi="Arial"/>
          <w:sz w:val="17"/>
          <w:szCs w:val="17"/>
          <w:color w:val="auto"/>
        </w:rPr>
      </w:pPr>
    </w:p>
    <w:p>
      <w:pPr>
        <w:ind w:left="1420" w:right="500" w:hanging="439"/>
        <w:spacing w:after="0" w:line="277" w:lineRule="auto"/>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AT&amp;T shall reasonably provide necessary co-operation, information, decisions and approvals requested by Supplier during the course of the Services.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AT&amp;T shall install and maintain the environment for the System unless otherwise specified in the Order.</w:t>
      </w:r>
    </w:p>
    <w:p>
      <w:pPr>
        <w:spacing w:after="0" w:line="130" w:lineRule="exact"/>
        <w:rPr>
          <w:rFonts w:ascii="Arial" w:cs="Arial" w:eastAsia="Arial" w:hAnsi="Arial"/>
          <w:sz w:val="18"/>
          <w:szCs w:val="18"/>
          <w:color w:val="auto"/>
        </w:rPr>
      </w:pPr>
    </w:p>
    <w:p>
      <w:pPr>
        <w:ind w:left="1420" w:right="320" w:hanging="439"/>
        <w:spacing w:after="0" w:line="263" w:lineRule="auto"/>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AT&amp;T shall undertake reasonable efforts to ensure the co-operation of third-party vendors who are not under the direct control of Supplier, and to manage such third party vendors as required for the performance of the Services and the Custom Software development.</w:t>
      </w:r>
    </w:p>
    <w:p>
      <w:pPr>
        <w:spacing w:after="0" w:line="89" w:lineRule="exact"/>
        <w:rPr>
          <w:rFonts w:ascii="Arial" w:cs="Arial" w:eastAsia="Arial" w:hAnsi="Arial"/>
          <w:sz w:val="18"/>
          <w:szCs w:val="18"/>
          <w:color w:val="auto"/>
        </w:rPr>
      </w:pPr>
    </w:p>
    <w:p>
      <w:pPr>
        <w:ind w:left="1420" w:right="60" w:hanging="439"/>
        <w:spacing w:after="0" w:line="257" w:lineRule="auto"/>
        <w:tabs>
          <w:tab w:leader="none" w:pos="14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AT&amp;T shall provide, at no charge to Amdocs, office space suitable for Amdocs’ needs and the following services: computer terminals and associated peripherals including access to E-mail/Internet; a communication line from AT&amp;T’s premises to Supplier’s’ relevant development center with minimum capacity to be specified based on the number of users in the development center; reasonable use of telephone, fax, and e-mail for business purposes; and office supplies, equipment and consumables, at AT&amp;T’s normal standard.</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3.44  Work Done By Others</w:t>
      </w:r>
    </w:p>
    <w:p>
      <w:pPr>
        <w:spacing w:after="0" w:line="131" w:lineRule="exact"/>
        <w:rPr>
          <w:sz w:val="20"/>
          <w:szCs w:val="20"/>
          <w:color w:val="auto"/>
        </w:rPr>
      </w:pPr>
    </w:p>
    <w:p>
      <w:pPr>
        <w:ind w:left="960" w:right="120" w:hanging="532"/>
        <w:spacing w:after="0" w:line="279" w:lineRule="auto"/>
        <w:tabs>
          <w:tab w:leader="none" w:pos="9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If any part of Supplier’s Work is dependent upon work performed by others or subcontracted consistent with the terms herein, Supplier shall inspect and promptly report to AT&amp;T any known or discovered defect that renders such other work unsuitable for Supplier’s proper performance. Supplier’s failure to so report any such known or discovered defect to AT&amp;T shall constitute approval of such other work as fit, proper and suitable for Supplier’s performance of its Services or provision of Material.</w:t>
      </w:r>
    </w:p>
    <w:p>
      <w:pPr>
        <w:spacing w:after="0" w:line="76" w:lineRule="exact"/>
        <w:rPr>
          <w:rFonts w:ascii="Arial" w:cs="Arial" w:eastAsia="Arial" w:hAnsi="Arial"/>
          <w:sz w:val="17"/>
          <w:szCs w:val="17"/>
          <w:color w:val="auto"/>
        </w:rPr>
      </w:pPr>
    </w:p>
    <w:p>
      <w:pPr>
        <w:ind w:left="960" w:right="100" w:hanging="532"/>
        <w:spacing w:after="0" w:line="271" w:lineRule="auto"/>
        <w:tabs>
          <w:tab w:leader="none" w:pos="9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Where a portion of the Work is subcontracted, Supplier remains fully responsible for performance thereof and shall be responsible to AT&amp;T for the acts and omissions of any Subcontractor and any temporary worker engaged by Supplier. Any use of a Subcontractor which is not an Affiliate of Supplier (but not of a Temporary Worker (as defined below)) must be either set forth in the applicable Order or otherwise communicated to AT&amp;T before commencement of the Work. Supplier shall endeavor to obtain and maintain insurance for acts and omissions of Subcontractors in material conformity with the Insurance Section of this Agreement. Supplier agrees to execute a subcontract with every Subcontractor which materially conforms with the terms of this Agreement and, specifically, with the Insurance Section of this Agreement. Furthermore, Supplier agrees to have its Subcontractors under the Agreement execute the non-disclosure agreement attached as Appendix I, Exhibit 3.</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70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93" w:name="page194"/>
    <w:bookmarkEnd w:id="193"/>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20" w:hanging="532"/>
        <w:spacing w:after="0" w:line="279" w:lineRule="auto"/>
        <w:tabs>
          <w:tab w:leader="none" w:pos="9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The Parties agree that the Temporary Workers and Subcontractors engaged by Supplier may from time to time require access to the premises and facilities of AT&amp;T for their participation in the performance of this Agreement and the Orders issued hereunder and that, if so requested by Supplier, AT&amp;T shall deal with the personnel of the Subcontractors and with any reasonable requests of the Subcontractors in all respects as if such personnel were the personnel, and such requests were the requests, of Supplier.</w:t>
      </w:r>
    </w:p>
    <w:p>
      <w:pPr>
        <w:spacing w:after="0" w:line="76" w:lineRule="exact"/>
        <w:rPr>
          <w:rFonts w:ascii="Arial" w:cs="Arial" w:eastAsia="Arial" w:hAnsi="Arial"/>
          <w:sz w:val="17"/>
          <w:szCs w:val="17"/>
          <w:color w:val="auto"/>
        </w:rPr>
      </w:pPr>
    </w:p>
    <w:p>
      <w:pPr>
        <w:ind w:left="960" w:right="20" w:hanging="532"/>
        <w:spacing w:after="0" w:line="272" w:lineRule="auto"/>
        <w:tabs>
          <w:tab w:leader="none" w:pos="9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Supplier may, in the ordinary course of business, subcontract (i) for third party services or products that are not exclusively dedicated to AT&amp;T and that do not include regular direct contact with AT&amp;T or AT&amp;T Affiliate personnel or the performance of Services at AT&amp;T sites or (ii) with temporary personnel firms for the provision of temporary contract labor (collectively, “Temporary Workers”); provided, that such Temporary Workers possess the training and experience, competence, and skill to perform the work in a skilled and professional manner. AT&amp;T shall have no approval right with respect to such Temporary Workers. If, however, AT&amp;T expresses dissatisfaction with the services of a Temporary Worker, Supplier shall work in good faith to resolve AT&amp;T’s concerns on a mutually acceptable basis and, at AT&amp;T’s request, replace such Temporary Worker at no additional cost to AT&amp;T.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3.45  Supplier’s Compliance with Industry Standards</w:t>
      </w:r>
    </w:p>
    <w:p>
      <w:pPr>
        <w:spacing w:after="0" w:line="117" w:lineRule="exact"/>
        <w:rPr>
          <w:sz w:val="20"/>
          <w:szCs w:val="20"/>
          <w:color w:val="auto"/>
        </w:rPr>
      </w:pPr>
    </w:p>
    <w:p>
      <w:pPr>
        <w:ind w:left="440" w:right="220"/>
        <w:spacing w:after="0" w:line="275" w:lineRule="auto"/>
        <w:rPr>
          <w:sz w:val="20"/>
          <w:szCs w:val="20"/>
          <w:color w:val="auto"/>
        </w:rPr>
      </w:pPr>
      <w:r>
        <w:rPr>
          <w:rFonts w:ascii="Arial" w:cs="Arial" w:eastAsia="Arial" w:hAnsi="Arial"/>
          <w:sz w:val="17"/>
          <w:szCs w:val="17"/>
          <w:color w:val="auto"/>
        </w:rPr>
        <w:t>Supplier represents and warrants that Supplier complies with and will continue to comply with: (i) the International Organization for Standardization (ISO)/ International Electrotechnical Commission (IEC) standard ISO/IEC 27001 as it may be modified and maintain a valid certification thereof; and (ii) specific NIST SP 800-53 according to Amdocs’ best practices, where applicable and attendant upon Supplier’s performance under this Agreement. . In the event of an inconsistency or conflict between the requirements in this clause, the Specifications, and any other provisions in this Agreement, the most stringent requirements will control.</w:t>
      </w:r>
    </w:p>
    <w:p>
      <w:pPr>
        <w:spacing w:after="0" w:line="3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4.0</w:t>
      </w:r>
      <w:r>
        <w:rPr>
          <w:sz w:val="20"/>
          <w:szCs w:val="20"/>
          <w:color w:val="auto"/>
        </w:rPr>
        <w:tab/>
      </w:r>
      <w:r>
        <w:rPr>
          <w:rFonts w:ascii="Arial" w:cs="Arial" w:eastAsia="Arial" w:hAnsi="Arial"/>
          <w:sz w:val="17"/>
          <w:szCs w:val="17"/>
          <w:color w:val="auto"/>
        </w:rPr>
        <w:t>SPECIAL TERMS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Access to AT&amp;T Premises and Non-Public Information Systems</w:t>
      </w:r>
    </w:p>
    <w:p>
      <w:pPr>
        <w:spacing w:after="0" w:line="131" w:lineRule="exact"/>
        <w:rPr>
          <w:sz w:val="20"/>
          <w:szCs w:val="20"/>
          <w:color w:val="auto"/>
        </w:rPr>
      </w:pPr>
    </w:p>
    <w:p>
      <w:pPr>
        <w:ind w:left="960" w:right="220" w:hanging="532"/>
        <w:spacing w:after="0" w:line="259" w:lineRule="auto"/>
        <w:tabs>
          <w:tab w:leader="none" w:pos="9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When appropriate, Supplier Representatives shall have reasonable access to AT&amp;T’s premises during normal business hours, and at such other times as may be agreed upon by the Parties, to enable Supplier to perform its obligations under this Agreement. Supplier shall coordinate such access with AT&amp;T. Where required by governmental regulations, Supplier shall submit satisfactory clearance from the U.S. Department of Defense and/or other federal, state, or local authorities.</w:t>
      </w:r>
    </w:p>
    <w:p>
      <w:pPr>
        <w:spacing w:after="0" w:line="92" w:lineRule="exact"/>
        <w:rPr>
          <w:rFonts w:ascii="Arial" w:cs="Arial" w:eastAsia="Arial" w:hAnsi="Arial"/>
          <w:sz w:val="18"/>
          <w:szCs w:val="18"/>
          <w:color w:val="auto"/>
        </w:rPr>
      </w:pPr>
    </w:p>
    <w:p>
      <w:pPr>
        <w:ind w:left="960" w:right="360" w:hanging="532"/>
        <w:spacing w:after="0" w:line="286" w:lineRule="auto"/>
        <w:tabs>
          <w:tab w:leader="none" w:pos="9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Supplier shall ensure that Supplier Representatives, while on or off AT&amp;T’s premises, (i) protect AT&amp;T’s materials, buildings, and structures, (ii) perform Services which do not unreasonably interfere with AT&amp;T’s business operations, and (iii) perform such Services with care and due regard for the safety, convenience, and protection of AT&amp;T, its employees, and its property.</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71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94" w:name="page195"/>
    <w:bookmarkEnd w:id="19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hanging="532"/>
        <w:spacing w:after="0" w:line="270" w:lineRule="auto"/>
        <w:tabs>
          <w:tab w:leader="none" w:pos="96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AT&amp;T may require Supplier Representatives to exhibit identification credentials issued by AT&amp;T’s third party Vendor Management System (“VMS”) vendor to gain unescorted access to AT&amp;T’s premises for the performance of Services. In addition, if any Supplier Representatives requires access to AT&amp;T’s Nonpublic Information Resources (as defined in the AT&amp;T Supplier Information Security Requirements) Supplier must obtain from AT&amp;T an [***] for each such Supplier Representative. [***] are provisioned upon successful opening of a worker record within the VMS. Supplier Representatives shall also exhibit their company’s photo identification, if any. If, for any reason, any Supplier Representative is no longer performing Services or no longer has a need to have access to AT&amp;T’s Nonpublic Information Resources, then Supplier shall immediately close the Supplier Representatives record in the VMS and promptly return any identification credentials issued by the VMS. In cases where a Supplier Representative is being removed due to misconduct involving work at AT&amp;T, Supplier will immediately inform the AT&amp;T sponsoring manager of the nature of the misconduct.</w:t>
      </w:r>
    </w:p>
    <w:p>
      <w:pPr>
        <w:spacing w:after="0" w:line="86" w:lineRule="exact"/>
        <w:rPr>
          <w:rFonts w:ascii="Arial" w:cs="Arial" w:eastAsia="Arial" w:hAnsi="Arial"/>
          <w:sz w:val="17"/>
          <w:szCs w:val="17"/>
          <w:color w:val="auto"/>
        </w:rPr>
      </w:pPr>
    </w:p>
    <w:p>
      <w:pPr>
        <w:ind w:left="960" w:right="20" w:hanging="532"/>
        <w:spacing w:after="0" w:line="291" w:lineRule="auto"/>
        <w:tabs>
          <w:tab w:leader="none" w:pos="9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AT&amp;T currently uses a third-party VMS vendor and reserves the right to change the VMS vendor at any time and from time to time. Supplier shall enter into an agreement with AT&amp;T’s designated VMS vendor, at no cost to AT&amp;T, and supply any information about its Supplier Representatives reasonably required by the VMS vendor to create a worker record and enable provisioning of identification credentials and [***]. If Supplier fails to enter into an agreement with AT&amp;T’s VMS vendor to use the VMS, Supplier’s Supplier Representatives will not be allowed access to AT&amp;T’s premises (other than on an escorted basis) or to AT&amp;T’s Nonpublic Information Resources. AT&amp;T reserves the right to restrict Supplier or Supplier Representatives’ access to AT&amp;T’s facilities and/or Nonpublic Information Resources, without liability to AT&amp;T, until AT&amp;T is satisfied that Supplier is compliant with its obligations under this Section.</w:t>
      </w:r>
    </w:p>
    <w:p>
      <w:pPr>
        <w:spacing w:after="0" w:line="71" w:lineRule="exact"/>
        <w:rPr>
          <w:rFonts w:ascii="Arial" w:cs="Arial" w:eastAsia="Arial" w:hAnsi="Arial"/>
          <w:sz w:val="16"/>
          <w:szCs w:val="16"/>
          <w:color w:val="auto"/>
        </w:rPr>
      </w:pPr>
    </w:p>
    <w:p>
      <w:pPr>
        <w:ind w:left="960" w:right="60" w:hanging="532"/>
        <w:spacing w:after="0" w:line="291" w:lineRule="auto"/>
        <w:tabs>
          <w:tab w:leader="none" w:pos="9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Supplier shall ensure that information provided to AT&amp;T or the VMS vendor for its Supplier Representatives is 1) input accurately into the VMS (including the [***] for the Supplier Representatives, the Agreement number in the “Contract or PO #” field as it may be changed, the start and end dates (end date must not be after the expiration date of the Agreement), and the worker classification obtained from the AT&amp;T sponsoring manager), 2) maintained properly throughout the term of the engagement, and 3) closed on a timely basis upon the termination or expiration of the engagement or the need for the Supplier Representatives to have access to AT&amp;T’s premises or Nonpublic Information Resources. Supplier shall not enable or allow any Supplier Representatives to let anyone else use the AT&amp;T identification credentials or an [***] issued to that Supplier Representatives to gain access to AT&amp;T premises or Nonpublic Information Resources.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Background Checks/Drug Screening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72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95" w:name="page196"/>
    <w:bookmarkEnd w:id="19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Change Control</w:t>
      </w:r>
    </w:p>
    <w:p>
      <w:pPr>
        <w:spacing w:after="0" w:line="117" w:lineRule="exact"/>
        <w:rPr>
          <w:sz w:val="20"/>
          <w:szCs w:val="20"/>
          <w:color w:val="auto"/>
        </w:rPr>
      </w:pPr>
    </w:p>
    <w:p>
      <w:pPr>
        <w:ind w:left="440" w:right="420"/>
        <w:spacing w:after="0" w:line="342" w:lineRule="auto"/>
        <w:rPr>
          <w:sz w:val="20"/>
          <w:szCs w:val="20"/>
          <w:color w:val="auto"/>
        </w:rPr>
      </w:pPr>
      <w:r>
        <w:rPr>
          <w:rFonts w:ascii="Arial" w:cs="Arial" w:eastAsia="Arial" w:hAnsi="Arial"/>
          <w:sz w:val="16"/>
          <w:szCs w:val="16"/>
          <w:color w:val="auto"/>
        </w:rPr>
        <w:t>The Parties agree that all changes to this Agreement and to an Order must be in writing and signed by the Party against whom enforcement is sought. Any change to an Order shall take the form of an amendment as described in Section 3.8, “Special Software Terms”.</w:t>
      </w:r>
    </w:p>
    <w:p>
      <w:pPr>
        <w:spacing w:after="0" w:line="2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Customer Information</w:t>
      </w:r>
    </w:p>
    <w:p>
      <w:pPr>
        <w:spacing w:after="0" w:line="131" w:lineRule="exact"/>
        <w:rPr>
          <w:sz w:val="20"/>
          <w:szCs w:val="20"/>
          <w:color w:val="auto"/>
        </w:rPr>
      </w:pPr>
    </w:p>
    <w:p>
      <w:pPr>
        <w:ind w:left="960" w:right="100" w:hanging="532"/>
        <w:spacing w:after="0" w:line="286" w:lineRule="auto"/>
        <w:tabs>
          <w:tab w:leader="none" w:pos="960" w:val="left"/>
        </w:tabs>
        <w:numPr>
          <w:ilvl w:val="0"/>
          <w:numId w:val="181"/>
        </w:numPr>
        <w:rPr>
          <w:rFonts w:ascii="Arial" w:cs="Arial" w:eastAsia="Arial" w:hAnsi="Arial"/>
          <w:sz w:val="17"/>
          <w:szCs w:val="17"/>
          <w:color w:val="auto"/>
        </w:rPr>
      </w:pPr>
      <w:r>
        <w:rPr>
          <w:rFonts w:ascii="Arial" w:cs="Arial" w:eastAsia="Arial" w:hAnsi="Arial"/>
          <w:sz w:val="17"/>
          <w:szCs w:val="17"/>
          <w:color w:val="auto"/>
        </w:rPr>
        <w:t>As between Supplier and AT&amp;T, title to all Customer Information and customer proprietary network information (“CPNI”) (as that term is defined in Section 222 of the Communications Act of 1934, 47 U.S.C. §222, as amended, (“Section 222”) shall be in AT&amp;T. Except as otherwise provided herein, no license or rights to any Customer Information are granted to Supplier hereunder.</w:t>
      </w:r>
    </w:p>
    <w:p>
      <w:pPr>
        <w:spacing w:after="0" w:line="70" w:lineRule="exact"/>
        <w:rPr>
          <w:rFonts w:ascii="Arial" w:cs="Arial" w:eastAsia="Arial" w:hAnsi="Arial"/>
          <w:sz w:val="17"/>
          <w:szCs w:val="17"/>
          <w:color w:val="auto"/>
        </w:rPr>
      </w:pPr>
    </w:p>
    <w:p>
      <w:pPr>
        <w:ind w:left="960" w:right="80" w:hanging="532"/>
        <w:spacing w:after="0" w:line="301" w:lineRule="auto"/>
        <w:tabs>
          <w:tab w:leader="none" w:pos="960" w:val="left"/>
        </w:tabs>
        <w:numPr>
          <w:ilvl w:val="0"/>
          <w:numId w:val="181"/>
        </w:numPr>
        <w:rPr>
          <w:rFonts w:ascii="Arial" w:cs="Arial" w:eastAsia="Arial" w:hAnsi="Arial"/>
          <w:sz w:val="16"/>
          <w:szCs w:val="16"/>
          <w:color w:val="auto"/>
        </w:rPr>
      </w:pPr>
      <w:r>
        <w:rPr>
          <w:rFonts w:ascii="Arial" w:cs="Arial" w:eastAsia="Arial" w:hAnsi="Arial"/>
          <w:sz w:val="16"/>
          <w:szCs w:val="16"/>
          <w:color w:val="auto"/>
        </w:rPr>
        <w:t>Supplier acknowledges that Customer Information received may be subject to certain privacy laws and regulations and requirements, including requirements of AT&amp;T provided or made available to Supplier. Supplier shall consider Customer Information to be private, sensitive, and confidential. Accordingly, with respect to Customer Information, Supplier shall comply with all applicable privacy laws and regulations and requirements, including, but not limited to, the CPNI restrictions contained in Section 222. Accordingly, Supplier shall:</w:t>
      </w:r>
    </w:p>
    <w:p>
      <w:pPr>
        <w:spacing w:after="0" w:line="62" w:lineRule="exact"/>
        <w:rPr>
          <w:rFonts w:ascii="Arial" w:cs="Arial" w:eastAsia="Arial" w:hAnsi="Arial"/>
          <w:sz w:val="16"/>
          <w:szCs w:val="16"/>
          <w:color w:val="auto"/>
        </w:rPr>
      </w:pPr>
    </w:p>
    <w:p>
      <w:pPr>
        <w:ind w:left="1420" w:right="200" w:hanging="439"/>
        <w:spacing w:after="0" w:line="277" w:lineRule="auto"/>
        <w:tabs>
          <w:tab w:leader="none" w:pos="14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not use any CPNI to market or otherwise sell products to AT&amp;T’s customers, except to the extent necessary for the performance of Services for AT&amp;T or as otherwise approved or authorized by AT&amp;T in this Agreement or in writing;</w:t>
      </w:r>
    </w:p>
    <w:p>
      <w:pPr>
        <w:spacing w:after="0" w:line="75" w:lineRule="exact"/>
        <w:rPr>
          <w:rFonts w:ascii="Arial" w:cs="Arial" w:eastAsia="Arial" w:hAnsi="Arial"/>
          <w:sz w:val="18"/>
          <w:szCs w:val="18"/>
          <w:color w:val="auto"/>
        </w:rPr>
      </w:pPr>
    </w:p>
    <w:p>
      <w:pPr>
        <w:ind w:left="1420" w:right="300" w:hanging="439"/>
        <w:spacing w:after="0" w:line="273" w:lineRule="auto"/>
        <w:tabs>
          <w:tab w:leader="none" w:pos="142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make no disclosure of Customer Information to any party other than AT&amp;T, except to the extent necessary for the performance of Services for AT&amp;T or except such disclosure required under force of law; provided that Supplier shall provide AT&amp;T with notice immediately upon receipt of any legal request or demand by a judicial, regulatory, or other authority or third party to disclose or produce Customer Information; Supplier shall furnish only that portion of the Customer Information that it is legally required to furnish and shall provide reasonable cooperation to AT&amp;T should AT&amp;T exercise efforts to obtain a protective order or other confidential treatment with respect to such Customer Information;</w:t>
      </w:r>
    </w:p>
    <w:p>
      <w:pPr>
        <w:spacing w:after="0" w:line="83" w:lineRule="exact"/>
        <w:rPr>
          <w:rFonts w:ascii="Arial" w:cs="Arial" w:eastAsia="Arial" w:hAnsi="Arial"/>
          <w:sz w:val="17"/>
          <w:szCs w:val="17"/>
          <w:color w:val="auto"/>
        </w:rPr>
      </w:pPr>
    </w:p>
    <w:p>
      <w:pPr>
        <w:ind w:left="1420" w:right="540" w:hanging="439"/>
        <w:spacing w:after="0" w:line="277" w:lineRule="auto"/>
        <w:tabs>
          <w:tab w:leader="none" w:pos="14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not incorporate any Customer Information into any database other than in a database maintained exclusively for the storage of AT&amp;T’s Customer Information;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not incorporate any data from any of Supplier’s other customers, including Affiliates of AT&amp;T, into AT&amp;T’s customer database;</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1"/>
          <w:numId w:val="181"/>
        </w:numPr>
        <w:rPr>
          <w:rFonts w:ascii="Arial" w:cs="Arial" w:eastAsia="Arial" w:hAnsi="Arial"/>
          <w:sz w:val="17"/>
          <w:szCs w:val="17"/>
          <w:color w:val="auto"/>
        </w:rPr>
      </w:pPr>
      <w:r>
        <w:rPr>
          <w:rFonts w:ascii="Arial" w:cs="Arial" w:eastAsia="Arial" w:hAnsi="Arial"/>
          <w:sz w:val="17"/>
          <w:szCs w:val="17"/>
          <w:color w:val="auto"/>
        </w:rPr>
        <w:t>make no use whatsoever of any Customer Information for any purpose except to comply with the terms of this Agreement;</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make no sale, license, or lease of Customer Information to any other party;</w:t>
      </w:r>
    </w:p>
    <w:p>
      <w:pPr>
        <w:spacing w:after="0" w:line="130" w:lineRule="exact"/>
        <w:rPr>
          <w:rFonts w:ascii="Arial" w:cs="Arial" w:eastAsia="Arial" w:hAnsi="Arial"/>
          <w:sz w:val="18"/>
          <w:szCs w:val="18"/>
          <w:color w:val="auto"/>
        </w:rPr>
      </w:pPr>
    </w:p>
    <w:p>
      <w:pPr>
        <w:ind w:left="1420" w:right="20" w:hanging="439"/>
        <w:spacing w:after="0" w:line="277" w:lineRule="auto"/>
        <w:tabs>
          <w:tab w:leader="none" w:pos="142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restrict access to Customer Information to only those employees of Supplier or Subcontractors that require access in order to perform Services under this Agreement;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73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96" w:name="page197"/>
    <w:bookmarkEnd w:id="19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500" w:hanging="439"/>
        <w:spacing w:after="0" w:line="277" w:lineRule="auto"/>
        <w:tabs>
          <w:tab w:leader="none" w:pos="14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prohibit and restrict access or use of Customer Information by any of Supplier’s other customers, Supplier’s Affiliates, or third parties except as may be agreed otherwise by AT&amp;T;</w:t>
      </w:r>
    </w:p>
    <w:p>
      <w:pPr>
        <w:spacing w:after="0" w:line="75" w:lineRule="exact"/>
        <w:rPr>
          <w:rFonts w:ascii="Arial" w:cs="Arial" w:eastAsia="Arial" w:hAnsi="Arial"/>
          <w:sz w:val="18"/>
          <w:szCs w:val="18"/>
          <w:color w:val="auto"/>
        </w:rPr>
      </w:pPr>
    </w:p>
    <w:p>
      <w:pPr>
        <w:ind w:left="1420" w:right="460" w:hanging="439"/>
        <w:spacing w:after="0" w:line="277" w:lineRule="auto"/>
        <w:tabs>
          <w:tab w:leader="none" w:pos="142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promptly return all Customer Information to AT&amp;T upon expiration or termination of this Agreement or applicable schedule or Order, unless expressly agreed or instructed otherwise by AT&amp;T; and</w:t>
      </w:r>
    </w:p>
    <w:p>
      <w:pPr>
        <w:spacing w:after="0" w:line="75" w:lineRule="exact"/>
        <w:rPr>
          <w:rFonts w:ascii="Arial" w:cs="Arial" w:eastAsia="Arial" w:hAnsi="Arial"/>
          <w:sz w:val="18"/>
          <w:szCs w:val="18"/>
          <w:color w:val="auto"/>
        </w:rPr>
      </w:pPr>
    </w:p>
    <w:p>
      <w:pPr>
        <w:ind w:left="1420" w:right="40" w:hanging="439"/>
        <w:spacing w:after="0" w:line="270" w:lineRule="auto"/>
        <w:tabs>
          <w:tab w:leader="none" w:pos="142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immediately notify AT&amp;T upon Supplier’s awareness of (i) any breach of the above-referenced provisions, (ii) any disclosure (inadvertent or otherwise) of Customer Information to any third party not expressly permitted herein to receive or have access to such Customer Information, or (iii) a breach of, or other security incident involving, Supplier’s systems or network that could cause or permit access to Customer Information inconsistent with the above-referenced provisions, and such notice shall include the details of the breach, disclosure, or security incident. Supplier shall fully cooperate with AT&amp;T in determining, as may be necessary or appropriate, actions that need to be taken including, but not limited to, the full scope of the breach, disclosure, or security incident, corrective steps to be taken by Supplier, the nature and content of any customer notifications, law enforcement involvement, or news/press/media contact, etc., and Supplier shall not communicate directly with any AT&amp;T customer without AT&amp;T’s consent, which consent shall not be unreasonably withheld.</w:t>
      </w:r>
    </w:p>
    <w:p>
      <w:pPr>
        <w:spacing w:after="0" w:line="32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color w:val="auto"/>
        </w:rPr>
        <w:t>Dispute Resolution</w:t>
      </w:r>
    </w:p>
    <w:p>
      <w:pPr>
        <w:spacing w:after="0" w:line="131" w:lineRule="exact"/>
        <w:rPr>
          <w:sz w:val="20"/>
          <w:szCs w:val="20"/>
          <w:color w:val="auto"/>
        </w:rPr>
      </w:pPr>
    </w:p>
    <w:p>
      <w:pPr>
        <w:ind w:left="960" w:hanging="532"/>
        <w:spacing w:after="0"/>
        <w:tabs>
          <w:tab w:leader="none" w:pos="9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Informal Dispute Resolution.</w:t>
      </w:r>
    </w:p>
    <w:p>
      <w:pPr>
        <w:spacing w:after="0" w:line="117" w:lineRule="exact"/>
        <w:rPr>
          <w:rFonts w:ascii="Arial" w:cs="Arial" w:eastAsia="Arial" w:hAnsi="Arial"/>
          <w:sz w:val="18"/>
          <w:szCs w:val="18"/>
          <w:color w:val="auto"/>
        </w:rPr>
      </w:pPr>
    </w:p>
    <w:p>
      <w:pPr>
        <w:ind w:left="980" w:right="60"/>
        <w:spacing w:after="0" w:line="277" w:lineRule="auto"/>
        <w:rPr>
          <w:rFonts w:ascii="Arial" w:cs="Arial" w:eastAsia="Arial" w:hAnsi="Arial"/>
          <w:sz w:val="18"/>
          <w:szCs w:val="18"/>
          <w:color w:val="auto"/>
        </w:rPr>
      </w:pPr>
      <w:r>
        <w:rPr>
          <w:rFonts w:ascii="Arial" w:cs="Arial" w:eastAsia="Arial" w:hAnsi="Arial"/>
          <w:sz w:val="18"/>
          <w:szCs w:val="18"/>
          <w:color w:val="auto"/>
        </w:rPr>
        <w:t>Prior to the initiation of formal dispute resolution procedures with respect to any dispute, other than as provided in this Section, the Parties shall first attempt to resolve such dispute informally, as follows:</w:t>
      </w:r>
    </w:p>
    <w:p>
      <w:pPr>
        <w:spacing w:after="0" w:line="75" w:lineRule="exact"/>
        <w:rPr>
          <w:rFonts w:ascii="Arial" w:cs="Arial" w:eastAsia="Arial" w:hAnsi="Arial"/>
          <w:sz w:val="18"/>
          <w:szCs w:val="18"/>
          <w:color w:val="auto"/>
        </w:rPr>
      </w:pPr>
    </w:p>
    <w:p>
      <w:pPr>
        <w:jc w:val="both"/>
        <w:ind w:left="1420" w:right="180" w:hanging="439"/>
        <w:spacing w:after="0" w:line="286" w:lineRule="auto"/>
        <w:tabs>
          <w:tab w:leader="none" w:pos="142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Initial Effort. The Parties agree that they shall attempt in good faith to resolve all disputes by informal discussion. In the event of a dispute that is not resolved or resolvable through informal discussion, either Party may refer the dispute for resolution to the senior corporate executives specified in Section 4.5a.v. below upon written notice to the other Party.</w:t>
      </w:r>
    </w:p>
    <w:p>
      <w:pPr>
        <w:spacing w:after="0" w:line="70" w:lineRule="exact"/>
        <w:rPr>
          <w:rFonts w:ascii="Arial" w:cs="Arial" w:eastAsia="Arial" w:hAnsi="Arial"/>
          <w:sz w:val="17"/>
          <w:szCs w:val="17"/>
          <w:color w:val="auto"/>
        </w:rPr>
      </w:pPr>
    </w:p>
    <w:p>
      <w:pPr>
        <w:ind w:left="1420" w:right="20" w:hanging="439"/>
        <w:spacing w:after="0" w:line="269" w:lineRule="auto"/>
        <w:tabs>
          <w:tab w:leader="none" w:pos="142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Escalation. Within seven (7) business days of a notice under Section 4.5a.i. above referring a dispute for resolution by senior corporate executives, the AT&amp;T Contract Office and the Supplier Account Office will each prepare and provide to a Supplier Division President and to AT&amp;T Global Supply Chain and AT&amp;T Technology Development executive leadership, respectively, summaries of the relevant information and background of the dispute, along with any appropriate supporting documentation, for their review. The designated senior corporate executives will confer as often as they deem reasonably necessary in order to gather and furnish to the other all information with respect to the matter in issue which the Parties believe to be appropriate and germane in connection with its resolution. The designated senior corporate executives shall discuss the problem and negotiate in good faith in an effort to resolve the dispute without the necessity of any formal proceeding. The specific format for the discussions will be left to the discretion of the designated senior corporate executives, but may include the preparation of agreed-upon statements of fact or written statements of position.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74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97" w:name="page198"/>
    <w:bookmarkEnd w:id="197"/>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00" w:hanging="439"/>
        <w:spacing w:after="0" w:line="296" w:lineRule="auto"/>
        <w:tabs>
          <w:tab w:leader="none" w:pos="138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Provision of Information. During the course of negotiations under this Section, all reasonable requests made by one Party to another for non-privileged information, reasonably related to the dispute, will be honored in order that each of the Parties may be fully advised of the other’s position. All negotiation shall be strictly confidential and used solely for the purposes of settlement. Any materials prepared by one Party for these proceedings shall not be used as evidence by the other Party in any subsequent arbitration or litigation; provided, however, the underlying facts supporting such materials may be subject to discovery.</w:t>
      </w:r>
    </w:p>
    <w:p>
      <w:pPr>
        <w:spacing w:after="0" w:line="66" w:lineRule="exact"/>
        <w:rPr>
          <w:rFonts w:ascii="Arial" w:cs="Arial" w:eastAsia="Arial" w:hAnsi="Arial"/>
          <w:sz w:val="16"/>
          <w:szCs w:val="16"/>
          <w:color w:val="auto"/>
        </w:rPr>
      </w:pPr>
    </w:p>
    <w:p>
      <w:pPr>
        <w:ind w:left="1380" w:hanging="439"/>
        <w:spacing w:after="0"/>
        <w:tabs>
          <w:tab w:leader="none" w:pos="1380" w:val="left"/>
        </w:tabs>
        <w:numPr>
          <w:ilvl w:val="1"/>
          <w:numId w:val="184"/>
        </w:numPr>
        <w:rPr>
          <w:rFonts w:ascii="Arial" w:cs="Arial" w:eastAsia="Arial" w:hAnsi="Arial"/>
          <w:sz w:val="16"/>
          <w:szCs w:val="16"/>
          <w:color w:val="auto"/>
        </w:rPr>
      </w:pPr>
      <w:r>
        <w:rPr>
          <w:rFonts w:ascii="Arial" w:cs="Arial" w:eastAsia="Arial" w:hAnsi="Arial"/>
          <w:sz w:val="16"/>
          <w:szCs w:val="16"/>
          <w:color w:val="auto"/>
        </w:rPr>
        <w:t>Prerequisite to Formal Proceedings. Formal proceedings for the resolution of a dispute may not be commenced until the earlier of:</w:t>
      </w:r>
    </w:p>
    <w:p>
      <w:pPr>
        <w:spacing w:after="0" w:line="46" w:lineRule="exact"/>
        <w:rPr>
          <w:rFonts w:ascii="Arial" w:cs="Arial" w:eastAsia="Arial" w:hAnsi="Arial"/>
          <w:sz w:val="16"/>
          <w:szCs w:val="16"/>
          <w:color w:val="auto"/>
        </w:rPr>
      </w:pPr>
    </w:p>
    <w:p>
      <w:pPr>
        <w:ind w:left="1380" w:right="60"/>
        <w:spacing w:after="0" w:line="252" w:lineRule="auto"/>
        <w:rPr>
          <w:rFonts w:ascii="Arial" w:cs="Arial" w:eastAsia="Arial" w:hAnsi="Arial"/>
          <w:sz w:val="16"/>
          <w:szCs w:val="16"/>
          <w:color w:val="auto"/>
        </w:rPr>
      </w:pPr>
      <w:r>
        <w:rPr>
          <w:rFonts w:ascii="Arial" w:cs="Arial" w:eastAsia="Arial" w:hAnsi="Arial"/>
          <w:sz w:val="18"/>
          <w:szCs w:val="18"/>
          <w:color w:val="auto"/>
        </w:rPr>
        <w:t>(i) the designated senior corporate executives under Section 4.5a.i. above concluding in good faith that amicable resolution through continued negotiation of the matter does not appear likely; or (ii) [***] days after the notice under Section 4.5a.i. above referring the dispute to designated senior corporate executives. The time periods specified in this Section 4.5a. shall not be construed to prevent a Party from instituting, and a Party is authorized to institute, formal proceedings earlier to (A) avoid the expiration of any applicable limitations period, (B) preserve a superior position with respect to other creditors, or (C) address a dispute to the extent subject to equitable or injunctive relief.</w:t>
      </w:r>
    </w:p>
    <w:p>
      <w:pPr>
        <w:spacing w:after="0" w:line="99" w:lineRule="exact"/>
        <w:rPr>
          <w:rFonts w:ascii="Arial" w:cs="Arial" w:eastAsia="Arial" w:hAnsi="Arial"/>
          <w:sz w:val="16"/>
          <w:szCs w:val="16"/>
          <w:color w:val="auto"/>
        </w:rPr>
      </w:pPr>
    </w:p>
    <w:p>
      <w:pPr>
        <w:ind w:left="1380" w:right="20" w:hanging="439"/>
        <w:spacing w:after="0" w:line="257" w:lineRule="auto"/>
        <w:tabs>
          <w:tab w:leader="none" w:pos="1380" w:val="left"/>
        </w:tabs>
        <w:numPr>
          <w:ilvl w:val="1"/>
          <w:numId w:val="184"/>
        </w:numPr>
        <w:rPr>
          <w:rFonts w:ascii="Arial" w:cs="Arial" w:eastAsia="Arial" w:hAnsi="Arial"/>
          <w:sz w:val="18"/>
          <w:szCs w:val="18"/>
          <w:color w:val="auto"/>
        </w:rPr>
      </w:pPr>
      <w:r>
        <w:rPr>
          <w:rFonts w:ascii="Arial" w:cs="Arial" w:eastAsia="Arial" w:hAnsi="Arial"/>
          <w:sz w:val="18"/>
          <w:szCs w:val="18"/>
          <w:color w:val="auto"/>
        </w:rPr>
        <w:t>Additional Escalation. In addition to the dispute resolution provisions contained in this Section 4.5a., in connection with any exercise of its termination rights under Section 3.36, “Termination”, AT&amp;T will, no less than [***] days prior to the effective date of such termination, but without extending any applicable time frames specified in the Agreement, provide Supplier with the right to have its Chief Executive Officer address the relevant issues with AT&amp;T’s then-current Chief Strategy Officer/Division President – AT&amp;T Technology and Operations.</w:t>
      </w:r>
    </w:p>
    <w:p>
      <w:pPr>
        <w:spacing w:after="0" w:line="93" w:lineRule="exact"/>
        <w:rPr>
          <w:rFonts w:ascii="Arial" w:cs="Arial" w:eastAsia="Arial" w:hAnsi="Arial"/>
          <w:sz w:val="18"/>
          <w:szCs w:val="18"/>
          <w:color w:val="auto"/>
        </w:rPr>
      </w:pPr>
    </w:p>
    <w:p>
      <w:pPr>
        <w:ind w:left="920" w:hanging="532"/>
        <w:spacing w:after="0"/>
        <w:tabs>
          <w:tab w:leader="none" w:pos="9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Arbitration.</w:t>
      </w:r>
    </w:p>
    <w:p>
      <w:pPr>
        <w:spacing w:after="0" w:line="130" w:lineRule="exact"/>
        <w:rPr>
          <w:rFonts w:ascii="Arial" w:cs="Arial" w:eastAsia="Arial" w:hAnsi="Arial"/>
          <w:sz w:val="18"/>
          <w:szCs w:val="18"/>
          <w:color w:val="auto"/>
        </w:rPr>
      </w:pPr>
    </w:p>
    <w:p>
      <w:pPr>
        <w:ind w:left="1380" w:right="60" w:hanging="439"/>
        <w:spacing w:after="0" w:line="257" w:lineRule="auto"/>
        <w:tabs>
          <w:tab w:leader="none" w:pos="13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Except for a claim or controversy regarding the existence, validity or ownership of Intellectual Property Rights, and without limiting either Party’s right to seek appropriate injunctive relief in the event of a breach or threatened breach of this Agreement, any controversy or claim arising out of or relating to this Agreement, or any breach thereof, which cannot be resolved using the procedures set forth above in Section 4.5 a. shall be finally resolved under the Commercial Arbitration Rules of the American Arbitration Association then in effect.</w:t>
      </w:r>
    </w:p>
    <w:p>
      <w:pPr>
        <w:spacing w:after="0" w:line="93" w:lineRule="exact"/>
        <w:rPr>
          <w:rFonts w:ascii="Arial" w:cs="Arial" w:eastAsia="Arial" w:hAnsi="Arial"/>
          <w:sz w:val="18"/>
          <w:szCs w:val="18"/>
          <w:color w:val="auto"/>
        </w:rPr>
      </w:pPr>
    </w:p>
    <w:p>
      <w:pPr>
        <w:ind w:left="1380" w:right="180" w:hanging="439"/>
        <w:spacing w:after="0" w:line="254" w:lineRule="auto"/>
        <w:tabs>
          <w:tab w:leader="none" w:pos="13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The Arbitration shall take place in New York, New York, and shall apply the Laws of the State of Texas. The decision of the arbitrators shall be final and binding and judgment on the award may be entered in any court of competent jurisdiction. The arbitrators shall be instructed to state the reasons for their decisions in writing, including findings of fact and law. The arbitrators shall be bound by the warranties, limitations of liability, and other provisions of this Agreement. Except with respect to the provisions of this Agreement that provide for injunctive relief rights, such arbitration shall be a precondition to any application by either Party to any court of competent jurisdiction. Each Party waives any right it may have to a trial by jury in respect of any legal action arising out of or relating to this Agreement.</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75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98" w:name="page199"/>
    <w:bookmarkEnd w:id="19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80" w:hanging="439"/>
        <w:spacing w:after="0" w:line="291" w:lineRule="auto"/>
        <w:tabs>
          <w:tab w:leader="none" w:pos="14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Within twenty (20) business days after delivery of written notice (“</w:t>
      </w:r>
      <w:r>
        <w:rPr>
          <w:rFonts w:ascii="Arial" w:cs="Arial" w:eastAsia="Arial" w:hAnsi="Arial"/>
          <w:sz w:val="16"/>
          <w:szCs w:val="16"/>
          <w:u w:val="single" w:color="auto"/>
          <w:color w:val="auto"/>
        </w:rPr>
        <w:t>Notice of Dispute”</w:t>
      </w:r>
      <w:r>
        <w:rPr>
          <w:rFonts w:ascii="Arial" w:cs="Arial" w:eastAsia="Arial" w:hAnsi="Arial"/>
          <w:sz w:val="16"/>
          <w:szCs w:val="16"/>
          <w:color w:val="auto"/>
        </w:rPr>
        <w:t>) by one Party to the other in accordance with this Section, the Parties each shall use good faith efforts to agree upon one (1) arbitrator. If the Parties are not able to agree upon one</w:t>
      </w:r>
    </w:p>
    <w:p>
      <w:pPr>
        <w:ind w:left="1420" w:right="60"/>
        <w:spacing w:after="0" w:line="268" w:lineRule="auto"/>
        <w:rPr>
          <w:rFonts w:ascii="Arial" w:cs="Arial" w:eastAsia="Arial" w:hAnsi="Arial"/>
          <w:sz w:val="16"/>
          <w:szCs w:val="16"/>
          <w:color w:val="auto"/>
        </w:rPr>
      </w:pPr>
      <w:r>
        <w:rPr>
          <w:rFonts w:ascii="Arial" w:cs="Arial" w:eastAsia="Arial" w:hAnsi="Arial"/>
          <w:sz w:val="17"/>
          <w:szCs w:val="17"/>
          <w:color w:val="auto"/>
        </w:rPr>
        <w:t>(1) arbitrator within such period of time, the Parties each shall within ten (10) business days: (i) appoint one (1) arbitrator who has at no time ever represented or acted on behalf of either of the Parties, and is not otherwise affiliated with or interested in either of the Parties and (ii) deliver written notice of the identity of such arbitrator and a copy of his or her written acceptance of such appointment to the other Party. If either Party fails or refuses to appoint an arbitrator within such ten (10) business day period, the single arbitrator appointed by the other Party shall decide alone the issues set out in the Notice of Dispute. Within ten (10) business days after such appointment and notice, such arbitrators shall appoint a third arbitrator. In the event that the two (2) arbitrators fail to appoint a third arbitrator within ten (10) business days of the appointment of the second arbitrator, either arbitrator or either Party may apply for the appointment of a third arbitrator to the American Arbitration Association.</w:t>
      </w:r>
    </w:p>
    <w:p>
      <w:pPr>
        <w:spacing w:after="0" w:line="88" w:lineRule="exact"/>
        <w:rPr>
          <w:rFonts w:ascii="Arial" w:cs="Arial" w:eastAsia="Arial" w:hAnsi="Arial"/>
          <w:sz w:val="16"/>
          <w:szCs w:val="16"/>
          <w:color w:val="auto"/>
        </w:rPr>
      </w:pPr>
    </w:p>
    <w:p>
      <w:pPr>
        <w:ind w:left="1420" w:right="20" w:hanging="439"/>
        <w:spacing w:after="0" w:line="287" w:lineRule="auto"/>
        <w:tabs>
          <w:tab w:leader="none" w:pos="142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All arbitrators selected pursuant to this Section shall be practicing attorneys with at least five (5) years of experience in technology law applicable to the Services. Any such appointment shall be binding upon the Parties. The Parties shall use best efforts to set the arbitration within sixty (60) days after selection of the arbitrator or arbitrators, as applicable, but in no event shall the arbitration be set more than ninety (90) days after selection of the arbitrator or arbitrators, as applicable. Discovery as permitted by the Federal Rules of Civil Procedure then in effect will be allowed in connection with arbitration to the extent consistent with the purpose of the arbitration and as allowed by the arbitrator or arbitrators, as applicable. The decision or award of the arbitrator or the majority of the three arbitrators, as applicable, shall be rendered within fifteen (15) days after the conclusion of the hearing, shall be in writing, shall set forth the basis therefor, and shall be final, binding and nonappealable upon the Parties and may be enforced and executed upon in any court having jurisdiction over the Party against whom the enforcement of such decision or award is sought. Each Party shall bear its own arbitration costs and expenses and all other costs and expenses of the arbitration shall be divided equally between the Parties; provided, however, that the arbitrator or arbitrators, as applicable, may modify the allocation of fees, costs, and expenses in the award in those cases where fairness dictates other than such allocation between the Parties.</w:t>
      </w:r>
    </w:p>
    <w:p>
      <w:pPr>
        <w:spacing w:after="0" w:line="31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color w:val="auto"/>
        </w:rPr>
        <w:t>Electronic Data Interchange (EDI)</w:t>
      </w:r>
    </w:p>
    <w:p>
      <w:pPr>
        <w:spacing w:after="0" w:line="131" w:lineRule="exact"/>
        <w:rPr>
          <w:sz w:val="20"/>
          <w:szCs w:val="20"/>
          <w:color w:val="auto"/>
        </w:rPr>
      </w:pPr>
    </w:p>
    <w:p>
      <w:pPr>
        <w:jc w:val="both"/>
        <w:ind w:left="960" w:right="180" w:hanging="532"/>
        <w:spacing w:after="0" w:line="259" w:lineRule="auto"/>
        <w:tabs>
          <w:tab w:leader="none" w:pos="9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At the request of AT&amp;T, the Parties shall exchange Orders, payments, acknowledgements, invoices, remittance notices, and other records (“Data”) electronically, in place of tangible documents. In such case, AT&amp;T shall also designate whether the Parties shall exchange Data by direct electronic or computer systems communication between AT&amp;T and Supplier, or indirectly through third party service providers with which either Party may contract or a single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76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99" w:name="page200"/>
    <w:bookmarkEnd w:id="199"/>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00" w:right="100"/>
        <w:spacing w:after="0" w:line="259" w:lineRule="auto"/>
        <w:rPr>
          <w:sz w:val="20"/>
          <w:szCs w:val="20"/>
          <w:color w:val="auto"/>
        </w:rPr>
      </w:pPr>
      <w:r>
        <w:rPr>
          <w:rFonts w:ascii="Arial" w:cs="Arial" w:eastAsia="Arial" w:hAnsi="Arial"/>
          <w:sz w:val="18"/>
          <w:szCs w:val="18"/>
          <w:color w:val="auto"/>
        </w:rPr>
        <w:t>AT&amp;T-designated third party service provider with which each Party shall contract independently (“Provider”), to translate, forward, and/or store such Data. If the Parties exchange Data directly, they agree to exchange it in accordance with the Telecommunications Industry Forum EDI Guidelines for use of American National Standards Institute (ANSI) Accredited Standards Committee X12 transaction sets, unless they agree to a proprietary format or another standard such as Extensible Markup Language (XML).</w:t>
      </w:r>
    </w:p>
    <w:p>
      <w:pPr>
        <w:spacing w:after="0" w:line="92" w:lineRule="exact"/>
        <w:rPr>
          <w:sz w:val="20"/>
          <w:szCs w:val="20"/>
          <w:color w:val="auto"/>
        </w:rPr>
      </w:pPr>
    </w:p>
    <w:p>
      <w:pPr>
        <w:ind w:left="920" w:hanging="532"/>
        <w:spacing w:after="0"/>
        <w:tabs>
          <w:tab w:leader="none" w:pos="9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following additional conditions apply to any such exchanges:</w:t>
      </w:r>
    </w:p>
    <w:p>
      <w:pPr>
        <w:spacing w:after="0" w:line="130" w:lineRule="exact"/>
        <w:rPr>
          <w:rFonts w:ascii="Arial" w:cs="Arial" w:eastAsia="Arial" w:hAnsi="Arial"/>
          <w:sz w:val="18"/>
          <w:szCs w:val="18"/>
          <w:color w:val="auto"/>
        </w:rPr>
      </w:pPr>
    </w:p>
    <w:p>
      <w:pPr>
        <w:ind w:left="1380" w:right="240" w:hanging="439"/>
        <w:spacing w:after="0" w:line="263" w:lineRule="auto"/>
        <w:tabs>
          <w:tab w:leader="none" w:pos="13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Garbled Transmissions: If any Data is received in an unintelligible, electronically unreadable, or garbled form, the receiving Party shall promptly notify the originating Party (if identifiable from the received Data) in a reasonable manner. In the absence of such notice, the originating Party’s record of the contents of such Data shall control.</w:t>
      </w:r>
    </w:p>
    <w:p>
      <w:pPr>
        <w:spacing w:after="0" w:line="89" w:lineRule="exact"/>
        <w:rPr>
          <w:rFonts w:ascii="Arial" w:cs="Arial" w:eastAsia="Arial" w:hAnsi="Arial"/>
          <w:sz w:val="18"/>
          <w:szCs w:val="18"/>
          <w:color w:val="auto"/>
        </w:rPr>
      </w:pPr>
    </w:p>
    <w:p>
      <w:pPr>
        <w:ind w:left="1380" w:right="60" w:hanging="439"/>
        <w:spacing w:after="0" w:line="259" w:lineRule="auto"/>
        <w:tabs>
          <w:tab w:leader="none" w:pos="13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Signatures: Each Party will incorporate into each EDI transmission an electronic identification consisting of symbols or codes (“Signature”). Each Party agrees that any predetermined Signature of such Party included in or affixed to any EDI transmission shall be sufficient to verify that such Party originated, “signed” and “executed” such transmission. Neither Party shall disclose to any unauthorized person the Signatures of the Parties hereto.</w:t>
      </w:r>
    </w:p>
    <w:p>
      <w:pPr>
        <w:spacing w:after="0" w:line="92" w:lineRule="exact"/>
        <w:rPr>
          <w:rFonts w:ascii="Arial" w:cs="Arial" w:eastAsia="Arial" w:hAnsi="Arial"/>
          <w:sz w:val="18"/>
          <w:szCs w:val="18"/>
          <w:color w:val="auto"/>
        </w:rPr>
      </w:pPr>
    </w:p>
    <w:p>
      <w:pPr>
        <w:ind w:left="1380" w:right="140" w:hanging="439"/>
        <w:spacing w:after="0" w:line="296" w:lineRule="auto"/>
        <w:tabs>
          <w:tab w:leader="none" w:pos="138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Statute of Frauds: The Parties expressly agree that all Data transmitted pursuant to this Section shall be deemed to be a “writing” or “in writing” for purposes of Section 2-201 of the Uniform Commercial Code (“UCC”) or any other applicable Law requiring that certain agreements be in writing and signed by the party to be bound thereby. Any such Data containing or having affixed to it a Signature shall be deemed for all purposes: (i) to have been “signed” and “executed”; and (ii) to constitute an “original” when printed from electronic files or records established and maintained in the normal course of business.</w:t>
      </w:r>
    </w:p>
    <w:p>
      <w:pPr>
        <w:spacing w:after="0" w:line="66" w:lineRule="exact"/>
        <w:rPr>
          <w:rFonts w:ascii="Arial" w:cs="Arial" w:eastAsia="Arial" w:hAnsi="Arial"/>
          <w:sz w:val="16"/>
          <w:szCs w:val="16"/>
          <w:color w:val="auto"/>
        </w:rPr>
      </w:pPr>
    </w:p>
    <w:p>
      <w:pPr>
        <w:ind w:left="1380" w:right="20" w:hanging="439"/>
        <w:spacing w:after="0" w:line="255" w:lineRule="auto"/>
        <w:tabs>
          <w:tab w:leader="none" w:pos="13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Method of Exchange: Each Party shall be responsible for its own costs to provide and maintain the equipment, software, and services necessary to effectively and reliably transmit and receive Data, and the associated charges of any Provider with which it contracts. Supplier shall be solely responsible for the cost of storing its information or Data on a Provider’s computer network, which may be retrieved by AT&amp;T at no additional charge to AT&amp;T by Supplier. Either Party may change a Provider upon [***] days’ prior written notice to the other Party, except that if a single Provider for both Parties has been designated by AT&amp;T, then AT&amp;T may change the Provider upon [***] days’ prior written notice to Supplier.</w:t>
      </w:r>
    </w:p>
    <w:p>
      <w:pPr>
        <w:spacing w:after="0" w:line="97" w:lineRule="exact"/>
        <w:rPr>
          <w:rFonts w:ascii="Arial" w:cs="Arial" w:eastAsia="Arial" w:hAnsi="Arial"/>
          <w:sz w:val="18"/>
          <w:szCs w:val="18"/>
          <w:color w:val="auto"/>
        </w:rPr>
      </w:pPr>
    </w:p>
    <w:p>
      <w:pPr>
        <w:ind w:left="1380" w:right="60" w:hanging="439"/>
        <w:spacing w:after="0" w:line="259" w:lineRule="auto"/>
        <w:tabs>
          <w:tab w:leader="none" w:pos="13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Warranty of Data Integrity: Supplier represents and warrants that Data and/or information either transmitted to AT&amp;T by Supplier or stored by Supplier on a Provider’s network for access by AT&amp;T a) does not knowingly or intentionally contain any Harmful Code or Vulnerability, and b) does not knowingly or intentionally infringe or violate any third party’s copyright, patent, trademark, trade secret, or other proprietary rights or rights of publicity or privacy.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77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00" w:name="page201"/>
    <w:bookmarkEnd w:id="200"/>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Entry on AT&amp;T Property</w:t>
      </w:r>
    </w:p>
    <w:p>
      <w:pPr>
        <w:spacing w:after="0" w:line="131" w:lineRule="exact"/>
        <w:rPr>
          <w:sz w:val="20"/>
          <w:szCs w:val="20"/>
          <w:color w:val="auto"/>
        </w:rPr>
      </w:pPr>
    </w:p>
    <w:p>
      <w:pPr>
        <w:ind w:left="960" w:right="40" w:hanging="532"/>
        <w:spacing w:after="0" w:line="254" w:lineRule="auto"/>
        <w:tabs>
          <w:tab w:leader="none" w:pos="96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If the performance of the Services provided hereunder requires Supplier’s entry upon property owned or controlled by AT&amp;T, Supplier is hereby notified that AT&amp;T presumes for safety planning purposes that all tile and sheet/rolled vinyl flooring contains asbestos unless verified otherwise through sampling of the material and that AT&amp;T-owned buildings constructed prior to 1981 may contain other asbestos containing materials (“ACM”) and/or presumed asbestos containing materials (“PACM”). All AT&amp;T buildings, regardless of age, may also contain both natural and manmade conditions and/or activities involving risk of harm. AT&amp;T has not inspected such property for the purposes of this Agreement and has not taken any efforts to discover or make safe dangerous conditions or activities for the purpose of Supplier’s performance of Services.</w:t>
      </w:r>
    </w:p>
    <w:p>
      <w:pPr>
        <w:spacing w:after="0" w:line="100" w:lineRule="exact"/>
        <w:rPr>
          <w:rFonts w:ascii="Arial" w:cs="Arial" w:eastAsia="Arial" w:hAnsi="Arial"/>
          <w:sz w:val="18"/>
          <w:szCs w:val="18"/>
          <w:color w:val="auto"/>
        </w:rPr>
      </w:pPr>
    </w:p>
    <w:p>
      <w:pPr>
        <w:ind w:left="960" w:right="100" w:hanging="532"/>
        <w:spacing w:after="0" w:line="268" w:lineRule="auto"/>
        <w:tabs>
          <w:tab w:leader="none" w:pos="9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If the performance of the Services provided hereunder requires disturbance of ACM/PACM other than flooring material (surfacing/fireproofing coatings, thermal system insulation (TSI) or other suspect materials), then Supplier must contact the project manager and request records to determine the presence, location, and quantity of ACM/PACM in or adjacent to which Supplier’s employees may reasonably be expected to work. At AT&amp;T’s discretion, the project manager may supply records that indicate which areas, if any, of the premises contain ACM. If AT&amp;T does not provide records or does not know if the premises contain ACM, the material will be presumed to be asbestos containing until proven otherwise. If records regarding the presence, location, and quantity of ACM do not exist, the project manager may arrange for a survey of materials that may be disturbed to determine the presence, location, and quantity of asbestos. If AT&amp;T is aware that ACM or PACM is indicated in materials that may be disturbed, AT&amp;T will advise Supplier of the presence, location, and quantity of all known ACM and/or PACM at the work site. Supplier will have no obligation to provide Services in areas of premises containing ACM and/or PACM if its work could potentially disturb the ACM/PACM, except work requiring the drilling or cutting/lifting of asbestos containing flooring in accordance with paragraph e below. Supplier will not be liable for any liquidated damages related to any delay associated with AT&amp;T’s failure or delay in providing Supplier with information related to the presence, location, and quantity of ACM/PACM.</w:t>
      </w:r>
    </w:p>
    <w:p>
      <w:pPr>
        <w:spacing w:after="0" w:line="91" w:lineRule="exact"/>
        <w:rPr>
          <w:rFonts w:ascii="Arial" w:cs="Arial" w:eastAsia="Arial" w:hAnsi="Arial"/>
          <w:sz w:val="17"/>
          <w:szCs w:val="17"/>
          <w:color w:val="auto"/>
        </w:rPr>
      </w:pPr>
    </w:p>
    <w:p>
      <w:pPr>
        <w:ind w:left="960" w:right="180" w:hanging="532"/>
        <w:spacing w:after="0" w:line="301" w:lineRule="auto"/>
        <w:tabs>
          <w:tab w:leader="none" w:pos="960" w:val="left"/>
        </w:tabs>
        <w:numPr>
          <w:ilvl w:val="0"/>
          <w:numId w:val="189"/>
        </w:numPr>
        <w:rPr>
          <w:rFonts w:ascii="Arial" w:cs="Arial" w:eastAsia="Arial" w:hAnsi="Arial"/>
          <w:sz w:val="16"/>
          <w:szCs w:val="16"/>
          <w:color w:val="auto"/>
        </w:rPr>
      </w:pPr>
      <w:r>
        <w:rPr>
          <w:rFonts w:ascii="Arial" w:cs="Arial" w:eastAsia="Arial" w:hAnsi="Arial"/>
          <w:sz w:val="16"/>
          <w:szCs w:val="16"/>
          <w:color w:val="auto"/>
        </w:rPr>
        <w:t>If ACM or PACM is indicated on AT&amp;T’s premises, it is AT&amp;T’s responsibility to ensure that the ACM/PACM does not present a hazard while Supplier conducts work operations on the premises. If it is determined that Supplier’s work, other than drilling or cutting/lifting of asbestos-containing flooring, will potentially disturb ACM/PACM, releasing asbestos fibers into the air, AT&amp;T must have a contractor meeting the requirements of applicable Laws remove the asbestos prior to Supplier’s performing work in the area.</w:t>
      </w:r>
    </w:p>
    <w:p>
      <w:pPr>
        <w:spacing w:after="0" w:line="62" w:lineRule="exact"/>
        <w:rPr>
          <w:rFonts w:ascii="Arial" w:cs="Arial" w:eastAsia="Arial" w:hAnsi="Arial"/>
          <w:sz w:val="16"/>
          <w:szCs w:val="16"/>
          <w:color w:val="auto"/>
        </w:rPr>
      </w:pPr>
    </w:p>
    <w:p>
      <w:pPr>
        <w:ind w:left="960" w:right="160" w:hanging="532"/>
        <w:spacing w:after="0" w:line="279" w:lineRule="auto"/>
        <w:tabs>
          <w:tab w:leader="none" w:pos="960" w:val="left"/>
        </w:tabs>
        <w:numPr>
          <w:ilvl w:val="0"/>
          <w:numId w:val="189"/>
        </w:numPr>
        <w:rPr>
          <w:rFonts w:ascii="Arial" w:cs="Arial" w:eastAsia="Arial" w:hAnsi="Arial"/>
          <w:sz w:val="17"/>
          <w:szCs w:val="17"/>
          <w:color w:val="auto"/>
        </w:rPr>
      </w:pPr>
      <w:r>
        <w:rPr>
          <w:rFonts w:ascii="Arial" w:cs="Arial" w:eastAsia="Arial" w:hAnsi="Arial"/>
          <w:sz w:val="17"/>
          <w:szCs w:val="17"/>
          <w:color w:val="auto"/>
        </w:rPr>
        <w:t>Upon entering AT&amp;T’s premises, Supplier shall be responsible for inspecting the Services site for visually obvious unsafe conditions and taking the necessary safety precautions for protection of Supplier, its employees, and its agents and ensuring a safe place for performance of the Services. As a material condition of this Agreement, Supplier, for itself and its employees and agents, assumes all risk of visually obvious dangers associated with the property, and responsibility for the following OSHA notice requirements: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78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01" w:name="page202"/>
    <w:bookmarkEnd w:id="201"/>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jc w:val="both"/>
        <w:ind w:left="1380" w:right="180" w:hanging="439"/>
        <w:spacing w:after="0" w:line="311" w:lineRule="auto"/>
        <w:tabs>
          <w:tab w:leader="none" w:pos="138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informing its employees of the information provided by the AT&amp;T Asbestos Records Contact regarding the presence, location and quantity of ACM/PACM present in the property in or adjacent to which Supplier’s employees may reasonably be expected to work and the precautions to be taken to reasonably insure that airborne ACM/PACM is kept well below permissible exposure levels; and</w:t>
      </w:r>
    </w:p>
    <w:p>
      <w:pPr>
        <w:spacing w:after="0" w:line="54" w:lineRule="exact"/>
        <w:rPr>
          <w:rFonts w:ascii="Arial" w:cs="Arial" w:eastAsia="Arial" w:hAnsi="Arial"/>
          <w:sz w:val="16"/>
          <w:szCs w:val="16"/>
          <w:color w:val="auto"/>
        </w:rPr>
      </w:pPr>
    </w:p>
    <w:p>
      <w:pPr>
        <w:ind w:left="1380" w:right="260" w:hanging="439"/>
        <w:spacing w:after="0" w:line="342" w:lineRule="auto"/>
        <w:tabs>
          <w:tab w:leader="none" w:pos="1380" w:val="left"/>
        </w:tabs>
        <w:numPr>
          <w:ilvl w:val="1"/>
          <w:numId w:val="190"/>
        </w:numPr>
        <w:rPr>
          <w:rFonts w:ascii="Arial" w:cs="Arial" w:eastAsia="Arial" w:hAnsi="Arial"/>
          <w:sz w:val="16"/>
          <w:szCs w:val="16"/>
          <w:color w:val="auto"/>
        </w:rPr>
      </w:pPr>
      <w:r>
        <w:rPr>
          <w:rFonts w:ascii="Arial" w:cs="Arial" w:eastAsia="Arial" w:hAnsi="Arial"/>
          <w:sz w:val="16"/>
          <w:szCs w:val="16"/>
          <w:color w:val="auto"/>
        </w:rPr>
        <w:t>informing the appropriate AT&amp;T project manager and other employers of employees at the property of the presence, location, and quantity of any newly-discovered ACM/PACM identified by Supplier within twenty-four (24) hours of its discovery.</w:t>
      </w:r>
    </w:p>
    <w:p>
      <w:pPr>
        <w:spacing w:after="0" w:line="29" w:lineRule="exact"/>
        <w:rPr>
          <w:rFonts w:ascii="Arial" w:cs="Arial" w:eastAsia="Arial" w:hAnsi="Arial"/>
          <w:sz w:val="16"/>
          <w:szCs w:val="16"/>
          <w:color w:val="auto"/>
        </w:rPr>
      </w:pPr>
    </w:p>
    <w:p>
      <w:pPr>
        <w:ind w:left="920" w:right="100" w:hanging="532"/>
        <w:spacing w:after="0" w:line="255" w:lineRule="auto"/>
        <w:tabs>
          <w:tab w:leader="none" w:pos="9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Should Services require the drilling or cutting/lifting of presumed asbestos containing/asbestos-containing flooring (e.g., floor tile or sheet rolled goods such as linoleum), Supplier agrees that its employees and Subcontractors performing such drilling or cutting/lifting will use AT&amp;T’s Technical Practice 76300 (section G) Procedure for Drilling or Cutting/Lifting Asbestos-Containing/Presumed Asbestos Containing Flooring (“AT&amp;T’s Procedure”) which has a Negative Exposure Assessment when drilling or cutting/lifting such flooring and that only employees and Subcontractors who have received the annual training required to perform AT&amp;T’s Procedure will perform such drilling or cutting/lifting procedures.</w:t>
      </w:r>
    </w:p>
    <w:p>
      <w:pPr>
        <w:spacing w:after="0" w:line="97" w:lineRule="exact"/>
        <w:rPr>
          <w:rFonts w:ascii="Arial" w:cs="Arial" w:eastAsia="Arial" w:hAnsi="Arial"/>
          <w:sz w:val="18"/>
          <w:szCs w:val="18"/>
          <w:color w:val="auto"/>
        </w:rPr>
      </w:pPr>
    </w:p>
    <w:p>
      <w:pPr>
        <w:ind w:left="1380" w:right="60" w:hanging="439"/>
        <w:spacing w:after="0" w:line="263" w:lineRule="auto"/>
        <w:tabs>
          <w:tab w:leader="none" w:pos="13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In accordance with AT&amp;T’s Procedure, AT&amp;T shall either supply Supplier written documentation verifying the absence of ACM in states where asbestos disturbance is not allowed and Supplier shall proceed with drilling or cutting/lifting when the cuts or drills will be in non-asbestos containing floors.</w:t>
      </w:r>
    </w:p>
    <w:p>
      <w:pPr>
        <w:spacing w:after="0" w:line="89" w:lineRule="exact"/>
        <w:rPr>
          <w:rFonts w:ascii="Arial" w:cs="Arial" w:eastAsia="Arial" w:hAnsi="Arial"/>
          <w:sz w:val="18"/>
          <w:szCs w:val="18"/>
          <w:color w:val="auto"/>
        </w:rPr>
      </w:pPr>
    </w:p>
    <w:p>
      <w:pPr>
        <w:ind w:left="1380" w:right="40" w:hanging="439"/>
        <w:spacing w:after="0" w:line="259" w:lineRule="auto"/>
        <w:tabs>
          <w:tab w:leader="none" w:pos="138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If no information regarding asbestos content of the flooring is available, in accordance with AT&amp;T’s Procedure, the AT&amp;T project manager will arrange for either 1) a licensed asbestos building inspector to obtain a sample of the floor to determine asbestos content or lack thereof; or 2) a licensed asbestos abatement contractor to drill the holes or remove the asbestos-containing materials and properly dispose of the debris.</w:t>
      </w:r>
    </w:p>
    <w:p>
      <w:pPr>
        <w:spacing w:after="0" w:line="213" w:lineRule="exact"/>
        <w:rPr>
          <w:rFonts w:ascii="Arial" w:cs="Arial" w:eastAsia="Arial" w:hAnsi="Arial"/>
          <w:sz w:val="18"/>
          <w:szCs w:val="18"/>
          <w:color w:val="auto"/>
        </w:rPr>
      </w:pPr>
    </w:p>
    <w:p>
      <w:pPr>
        <w:ind w:left="1380" w:right="420" w:hanging="439"/>
        <w:spacing w:after="0" w:line="342" w:lineRule="auto"/>
        <w:tabs>
          <w:tab w:leader="none" w:pos="138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Supplier will not be liable for any liquidated damages related to any delay associated with AT&amp;T’s failure or delay in providing Supplier with the information, documentation, or work by a licensed asbestos contractor pursuant to this paragraph (e).</w:t>
      </w:r>
    </w:p>
    <w:p>
      <w:pPr>
        <w:spacing w:after="0" w:line="29" w:lineRule="exact"/>
        <w:rPr>
          <w:rFonts w:ascii="Arial" w:cs="Arial" w:eastAsia="Arial" w:hAnsi="Arial"/>
          <w:sz w:val="16"/>
          <w:szCs w:val="16"/>
          <w:color w:val="auto"/>
        </w:rPr>
      </w:pPr>
    </w:p>
    <w:p>
      <w:pPr>
        <w:ind w:left="920" w:right="60" w:hanging="532"/>
        <w:spacing w:after="0" w:line="259" w:lineRule="auto"/>
        <w:tabs>
          <w:tab w:leader="none" w:pos="9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Supplier hereby releases AT&amp;T from any and all claims or causes of action in connection with the responsibilities assumed by Supplier in paragraphs d.i, d.ii., and e. of this Section above, and agrees to indemnify, hold harmless, and defend AT&amp;T, its Affiliates, and its and their employees, agents, officers, and directors against any Loss arising therefrom or in connection therewith, in accordance with the Section of this Agreement entitled “Indemnity.”</w:t>
      </w:r>
    </w:p>
    <w:p>
      <w:pPr>
        <w:spacing w:after="0" w:line="92" w:lineRule="exact"/>
        <w:rPr>
          <w:rFonts w:ascii="Arial" w:cs="Arial" w:eastAsia="Arial" w:hAnsi="Arial"/>
          <w:sz w:val="18"/>
          <w:szCs w:val="18"/>
          <w:color w:val="auto"/>
        </w:rPr>
      </w:pPr>
    </w:p>
    <w:p>
      <w:pPr>
        <w:ind w:left="920" w:right="100" w:hanging="532"/>
        <w:spacing w:after="0" w:line="275" w:lineRule="auto"/>
        <w:tabs>
          <w:tab w:leader="none" w:pos="92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If, in Supplier’s judgment, the Services, other than Services requiring the drilling or cutting/lifting of asbestos-containing flooring, should not proceed due to the presence of ACM/PACM and/or any other unsafe condition, the correction of which may require changes or alterations in AT&amp;T’s operations or property, Supplier shall notify the AT&amp;T project manager immediately, and shall suspend the Services until Supplier and AT&amp;T agree on the corrections or alterations necessary for the safe performance of the Services. Supplier will not be liable for any liquidated damages related to any delay associated with such a suspension.</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79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6"/>
          <w:szCs w:val="16"/>
          <w:color w:val="auto"/>
        </w:rPr>
        <w:t>Error Severity Level Description And Resolution Plan</w:t>
      </w:r>
    </w:p>
    <w:p>
      <w:pPr>
        <w:spacing w:after="0" w:line="117" w:lineRule="exact"/>
        <w:rPr>
          <w:sz w:val="20"/>
          <w:szCs w:val="20"/>
          <w:color w:val="auto"/>
        </w:rPr>
      </w:pPr>
    </w:p>
    <w:p>
      <w:pPr>
        <w:ind w:left="440" w:right="220"/>
        <w:spacing w:after="0" w:line="263" w:lineRule="auto"/>
        <w:rPr>
          <w:sz w:val="20"/>
          <w:szCs w:val="20"/>
          <w:color w:val="auto"/>
        </w:rPr>
      </w:pPr>
      <w:r>
        <w:rPr>
          <w:rFonts w:ascii="Arial" w:cs="Arial" w:eastAsia="Arial" w:hAnsi="Arial"/>
          <w:sz w:val="18"/>
          <w:szCs w:val="18"/>
          <w:color w:val="auto"/>
        </w:rPr>
        <w:t>The Parties agree that the use of this Section, and/or the use of Section 4.9, Liquidated Damages for Delay in Delivery, may be applied as identified in the related Custom Software development Order. The Parties also agree that this Section 4.8, Error Severity Level Description And Resolution Plan, may also apply to OnGoing Support Orders following Warranty.</w:t>
      </w:r>
    </w:p>
    <w:p>
      <w:pPr>
        <w:spacing w:after="0" w:line="89" w:lineRule="exact"/>
        <w:rPr>
          <w:sz w:val="20"/>
          <w:szCs w:val="20"/>
          <w:color w:val="auto"/>
        </w:rPr>
      </w:pPr>
    </w:p>
    <w:p>
      <w:pPr>
        <w:ind w:left="960" w:right="300" w:hanging="532"/>
        <w:spacing w:after="0" w:line="263" w:lineRule="auto"/>
        <w:tabs>
          <w:tab w:leader="none" w:pos="9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During the Warranty Period of the applicable Custom Software development Order, if Custom Software fails to operate in conformance with the Specifications, or if any of the following specified errors (each an “Error”) occurs, Supplier agrees to respond and perform as follows:</w:t>
      </w:r>
    </w:p>
    <w:p>
      <w:pPr>
        <w:sectPr>
          <w:pgSz w:w="11900" w:h="16838" w:orient="portrait"/>
          <w:cols w:equalWidth="0" w:num="1">
            <w:col w:w="11020"/>
          </w:cols>
          <w:pgMar w:left="440" w:top="274" w:right="439" w:bottom="1440" w:gutter="0" w:footer="0" w:header="0"/>
        </w:sectPr>
      </w:pPr>
    </w:p>
    <w:p>
      <w:pPr>
        <w:spacing w:after="0" w:line="211" w:lineRule="exact"/>
        <w:rPr>
          <w:sz w:val="20"/>
          <w:szCs w:val="20"/>
          <w:color w:val="auto"/>
        </w:rPr>
      </w:pPr>
    </w:p>
    <w:p>
      <w:pPr>
        <w:ind w:left="360" w:hanging="359"/>
        <w:spacing w:after="0" w:line="257" w:lineRule="auto"/>
        <w:rPr>
          <w:sz w:val="20"/>
          <w:szCs w:val="20"/>
          <w:color w:val="auto"/>
        </w:rPr>
      </w:pPr>
      <w:r>
        <w:rPr>
          <w:rFonts w:ascii="Arial" w:cs="Arial" w:eastAsia="Arial" w:hAnsi="Arial"/>
          <w:sz w:val="18"/>
          <w:szCs w:val="18"/>
          <w:color w:val="auto"/>
        </w:rPr>
        <w:t>1    FATAL: Reported problems preventing all useful work from being done or potential data loss or corruption, or Software Functionality is inoperative; inability to use has a critical impact to AT&amp;T’s operations.</w:t>
      </w:r>
    </w:p>
    <w:p>
      <w:pPr>
        <w:spacing w:after="0" w:line="242" w:lineRule="exact"/>
        <w:rPr>
          <w:sz w:val="20"/>
          <w:szCs w:val="20"/>
          <w:color w:val="auto"/>
        </w:rPr>
      </w:pPr>
    </w:p>
    <w:p>
      <w:pPr>
        <w:ind w:left="360" w:right="20" w:hanging="359"/>
        <w:spacing w:after="0" w:line="279" w:lineRule="auto"/>
        <w:rPr>
          <w:sz w:val="20"/>
          <w:szCs w:val="20"/>
          <w:color w:val="auto"/>
        </w:rPr>
      </w:pPr>
      <w:r>
        <w:rPr>
          <w:rFonts w:ascii="Arial" w:cs="Arial" w:eastAsia="Arial" w:hAnsi="Arial"/>
          <w:sz w:val="17"/>
          <w:szCs w:val="17"/>
          <w:color w:val="auto"/>
        </w:rPr>
        <w:t>2    SEVERE IMPACT: Problems disable major Functionality required to do productive work or Software is partially inoperative and is considered as severely restrictive by AT&amp;T.</w:t>
      </w:r>
    </w:p>
    <w:p>
      <w:pPr>
        <w:spacing w:after="0" w:line="200" w:lineRule="exact"/>
        <w:rPr>
          <w:sz w:val="20"/>
          <w:szCs w:val="20"/>
          <w:color w:val="auto"/>
        </w:rPr>
      </w:pPr>
    </w:p>
    <w:p>
      <w:pPr>
        <w:spacing w:after="0" w:line="241" w:lineRule="exact"/>
        <w:rPr>
          <w:sz w:val="20"/>
          <w:szCs w:val="20"/>
          <w:color w:val="auto"/>
        </w:rPr>
      </w:pPr>
    </w:p>
    <w:p>
      <w:pPr>
        <w:ind w:left="360" w:right="140" w:hanging="359"/>
        <w:spacing w:after="0" w:line="255" w:lineRule="auto"/>
        <w:rPr>
          <w:sz w:val="20"/>
          <w:szCs w:val="20"/>
          <w:color w:val="auto"/>
        </w:rPr>
      </w:pPr>
      <w:r>
        <w:rPr>
          <w:rFonts w:ascii="Arial" w:cs="Arial" w:eastAsia="Arial" w:hAnsi="Arial"/>
          <w:sz w:val="18"/>
          <w:szCs w:val="18"/>
          <w:color w:val="auto"/>
        </w:rPr>
        <w:t>3    DEGRADED OPERATIONS: Reported problems disabling specific non-essential Functionality; Error condition is not critical to continuing operation and/or AT&amp;T has determined a work-around for the Error condition.</w:t>
      </w:r>
    </w:p>
    <w:p>
      <w:pPr>
        <w:spacing w:after="0" w:line="84" w:lineRule="exact"/>
        <w:rPr>
          <w:sz w:val="20"/>
          <w:szCs w:val="20"/>
          <w:color w:val="auto"/>
        </w:rPr>
      </w:pPr>
    </w:p>
    <w:p>
      <w:pPr>
        <w:jc w:val="both"/>
        <w:ind w:left="360" w:right="460" w:hanging="359"/>
        <w:spacing w:after="0" w:line="286" w:lineRule="auto"/>
        <w:rPr>
          <w:sz w:val="20"/>
          <w:szCs w:val="20"/>
          <w:color w:val="auto"/>
        </w:rPr>
      </w:pPr>
      <w:r>
        <w:rPr>
          <w:rFonts w:ascii="Arial" w:cs="Arial" w:eastAsia="Arial" w:hAnsi="Arial"/>
          <w:sz w:val="17"/>
          <w:szCs w:val="17"/>
          <w:color w:val="auto"/>
        </w:rPr>
        <w:t>4    MINIMAL IMPACT: Any deviation from Specifications not otherwise included in a Severity 1, 2, or 3 category.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•   Acknowledgment</w:t>
      </w:r>
      <w:r>
        <w:rPr>
          <w:sz w:val="20"/>
          <w:szCs w:val="20"/>
          <w:color w:val="auto"/>
        </w:rPr>
        <w:tab/>
      </w:r>
      <w:r>
        <w:rPr>
          <w:rFonts w:ascii="Arial" w:cs="Arial" w:eastAsia="Arial" w:hAnsi="Arial"/>
          <w:sz w:val="18"/>
          <w:szCs w:val="18"/>
          <w:color w:val="auto"/>
        </w:rPr>
        <w:t>• 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 Work Around, temporary fix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 Final fix, update, or new release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 Communications</w:t>
      </w:r>
    </w:p>
    <w:p>
      <w:pPr>
        <w:spacing w:after="0" w:line="131"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•   Acknowledgment</w:t>
      </w:r>
      <w:r>
        <w:rPr>
          <w:sz w:val="20"/>
          <w:szCs w:val="20"/>
          <w:color w:val="auto"/>
        </w:rPr>
        <w:tab/>
      </w:r>
      <w:r>
        <w:rPr>
          <w:rFonts w:ascii="Arial" w:cs="Arial" w:eastAsia="Arial" w:hAnsi="Arial"/>
          <w:sz w:val="18"/>
          <w:szCs w:val="18"/>
          <w:color w:val="auto"/>
        </w:rPr>
        <w:t>• 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 Work around, temporary fix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 Final fix, update, or new release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 Communications</w:t>
      </w:r>
    </w:p>
    <w:p>
      <w:pPr>
        <w:spacing w:after="0" w:line="131"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•   Acknowledgment</w:t>
      </w:r>
      <w:r>
        <w:rPr>
          <w:sz w:val="20"/>
          <w:szCs w:val="20"/>
          <w:color w:val="auto"/>
        </w:rPr>
        <w:tab/>
      </w:r>
      <w:r>
        <w:rPr>
          <w:rFonts w:ascii="Arial" w:cs="Arial" w:eastAsia="Arial" w:hAnsi="Arial"/>
          <w:sz w:val="18"/>
          <w:szCs w:val="18"/>
          <w:color w:val="auto"/>
        </w:rPr>
        <w:t>• 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 Work around, temporary fix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 Final fix, update, or new release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 Communications</w:t>
      </w:r>
    </w:p>
    <w:p>
      <w:pPr>
        <w:spacing w:after="0" w:line="185" w:lineRule="exact"/>
        <w:rPr>
          <w:sz w:val="20"/>
          <w:szCs w:val="20"/>
          <w:color w:val="auto"/>
        </w:rPr>
      </w:pPr>
    </w:p>
    <w:p>
      <w:pPr>
        <w:spacing w:after="0"/>
        <w:tabs>
          <w:tab w:leader="none" w:pos="3620" w:val="left"/>
        </w:tabs>
        <w:rPr>
          <w:sz w:val="20"/>
          <w:szCs w:val="20"/>
          <w:color w:val="auto"/>
        </w:rPr>
      </w:pPr>
      <w:r>
        <w:rPr>
          <w:rFonts w:ascii="Arial" w:cs="Arial" w:eastAsia="Arial" w:hAnsi="Arial"/>
          <w:sz w:val="18"/>
          <w:szCs w:val="18"/>
          <w:color w:val="auto"/>
        </w:rPr>
        <w:t>•   Acknowledgment</w:t>
      </w:r>
      <w:r>
        <w:rPr>
          <w:sz w:val="20"/>
          <w:szCs w:val="20"/>
          <w:color w:val="auto"/>
        </w:rPr>
        <w:tab/>
      </w:r>
      <w:r>
        <w:rPr>
          <w:rFonts w:ascii="Arial" w:cs="Arial" w:eastAsia="Arial" w:hAnsi="Arial"/>
          <w:sz w:val="18"/>
          <w:szCs w:val="18"/>
          <w:color w:val="auto"/>
        </w:rPr>
        <w:t>•   [***]</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 Work around, temporary fix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 Final Fix, update, or new release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 Communications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80 of 206</w:t>
      </w:r>
    </w:p>
    <w:p>
      <w:pPr>
        <w:spacing w:after="0" w:line="117" w:lineRule="exact"/>
        <w:rPr>
          <w:sz w:val="20"/>
          <w:szCs w:val="20"/>
          <w:color w:val="auto"/>
        </w:rPr>
      </w:pPr>
    </w:p>
    <w:p>
      <w:pPr>
        <w:sectPr>
          <w:pgSz w:w="11900" w:h="16838" w:orient="portrait"/>
          <w:cols w:equalWidth="0" w:num="2">
            <w:col w:w="3820" w:space="160"/>
            <w:col w:w="704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type w:val="continuous"/>
        </w:sectPr>
      </w:pPr>
    </w:p>
    <w:bookmarkStart w:id="203" w:name="page204"/>
    <w:bookmarkEnd w:id="203"/>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20" w:right="140" w:hanging="532"/>
        <w:spacing w:after="0" w:line="277" w:lineRule="auto"/>
        <w:tabs>
          <w:tab w:leader="none" w:pos="9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the case of a FATAL or SEVERE IMPACT Error condition, Supplier shall use its best efforts to acknowledge notification of such Error condition within the time frames indicated.</w:t>
      </w:r>
    </w:p>
    <w:p>
      <w:pPr>
        <w:spacing w:after="0" w:line="75" w:lineRule="exact"/>
        <w:rPr>
          <w:rFonts w:ascii="Arial" w:cs="Arial" w:eastAsia="Arial" w:hAnsi="Arial"/>
          <w:sz w:val="18"/>
          <w:szCs w:val="18"/>
          <w:color w:val="auto"/>
        </w:rPr>
      </w:pPr>
    </w:p>
    <w:p>
      <w:pPr>
        <w:ind w:left="920" w:right="80" w:hanging="532"/>
        <w:spacing w:after="0" w:line="342" w:lineRule="auto"/>
        <w:tabs>
          <w:tab w:leader="none" w:pos="92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Supplier shall correct any and all Errors in the Custom Software in accordance with the Error Severity Levels specified above. In addition, at any time during the Error correction or technical support process, AT&amp;T may invoke the below-listed escalation procedure:</w:t>
      </w:r>
    </w:p>
    <w:p>
      <w:pPr>
        <w:spacing w:after="0" w:line="29" w:lineRule="exact"/>
        <w:rPr>
          <w:rFonts w:ascii="Arial" w:cs="Arial" w:eastAsia="Arial" w:hAnsi="Arial"/>
          <w:sz w:val="16"/>
          <w:szCs w:val="16"/>
          <w:color w:val="auto"/>
        </w:rPr>
      </w:pPr>
    </w:p>
    <w:p>
      <w:pPr>
        <w:jc w:val="both"/>
        <w:ind w:left="1380" w:right="400" w:hanging="439"/>
        <w:spacing w:after="0" w:line="286" w:lineRule="auto"/>
        <w:tabs>
          <w:tab w:leader="none" w:pos="1380" w:val="left"/>
        </w:tabs>
        <w:numPr>
          <w:ilvl w:val="1"/>
          <w:numId w:val="193"/>
        </w:numPr>
        <w:rPr>
          <w:rFonts w:ascii="Arial" w:cs="Arial" w:eastAsia="Arial" w:hAnsi="Arial"/>
          <w:sz w:val="17"/>
          <w:szCs w:val="17"/>
          <w:color w:val="auto"/>
        </w:rPr>
      </w:pPr>
      <w:r>
        <w:rPr>
          <w:rFonts w:ascii="Arial" w:cs="Arial" w:eastAsia="Arial" w:hAnsi="Arial"/>
          <w:sz w:val="17"/>
          <w:szCs w:val="17"/>
          <w:color w:val="auto"/>
        </w:rPr>
        <w:t>Supplier’s escalation process is to ensure that when a problem is not being resolved in a satisfactory manner, (i) both AT&amp;T and Supplier have a common perception of the nature and criticality of the problem, (ii) the visibility of the problem is raised within Supplier’s organization, and (iii) appropriate Supplier resources are allocated toward solving the problem.</w:t>
      </w:r>
    </w:p>
    <w:p>
      <w:pPr>
        <w:spacing w:after="0" w:line="70" w:lineRule="exact"/>
        <w:rPr>
          <w:rFonts w:ascii="Arial" w:cs="Arial" w:eastAsia="Arial" w:hAnsi="Arial"/>
          <w:sz w:val="17"/>
          <w:szCs w:val="17"/>
          <w:color w:val="auto"/>
        </w:rPr>
      </w:pPr>
    </w:p>
    <w:p>
      <w:pPr>
        <w:jc w:val="both"/>
        <w:ind w:left="1380" w:right="240" w:hanging="439"/>
        <w:spacing w:after="0" w:line="263" w:lineRule="auto"/>
        <w:tabs>
          <w:tab w:leader="none" w:pos="13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following escalation process may be invoked by AT&amp;T when an Error, defect, non-conformity, or technical support issue has been reported to Supplier, the Error substantially affects AT&amp;T’s use of the Software, and Supplier has not yet provided a patch or bypass around the Error.</w:t>
      </w:r>
    </w:p>
    <w:p>
      <w:pPr>
        <w:spacing w:after="0" w:line="89" w:lineRule="exact"/>
        <w:rPr>
          <w:rFonts w:ascii="Arial" w:cs="Arial" w:eastAsia="Arial" w:hAnsi="Arial"/>
          <w:sz w:val="18"/>
          <w:szCs w:val="18"/>
          <w:color w:val="auto"/>
        </w:rPr>
      </w:pPr>
    </w:p>
    <w:p>
      <w:pPr>
        <w:ind w:left="1380" w:right="20" w:hanging="439"/>
        <w:spacing w:after="0" w:line="259" w:lineRule="auto"/>
        <w:tabs>
          <w:tab w:leader="none" w:pos="13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escalation processes can be initiated by contacting the next higher management level within Supplier’s organization. Such Supplier designate will work with AT&amp;T’s designated contact and management to bring a satisfactory solution to the situation. The effort will be focused on developing an action plan and coordinating whatever Supplier resources are required to meet AT&amp;T’s needs as rapidly as possible, within the policy stated above.</w:t>
      </w:r>
    </w:p>
    <w:p>
      <w:pPr>
        <w:spacing w:after="0" w:line="92" w:lineRule="exact"/>
        <w:rPr>
          <w:rFonts w:ascii="Arial" w:cs="Arial" w:eastAsia="Arial" w:hAnsi="Arial"/>
          <w:sz w:val="18"/>
          <w:szCs w:val="18"/>
          <w:color w:val="auto"/>
        </w:rPr>
      </w:pPr>
    </w:p>
    <w:p>
      <w:pPr>
        <w:ind w:left="1380" w:right="540" w:hanging="439"/>
        <w:spacing w:after="0" w:line="277" w:lineRule="auto"/>
        <w:tabs>
          <w:tab w:leader="none" w:pos="13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During the period of the action plan, regular status update communications will be established between AT&amp;T’s designate and Supplier’s designate.</w:t>
      </w:r>
    </w:p>
    <w:p>
      <w:pPr>
        <w:spacing w:after="0" w:line="75" w:lineRule="exact"/>
        <w:rPr>
          <w:rFonts w:ascii="Arial" w:cs="Arial" w:eastAsia="Arial" w:hAnsi="Arial"/>
          <w:sz w:val="18"/>
          <w:szCs w:val="18"/>
          <w:color w:val="auto"/>
        </w:rPr>
      </w:pPr>
    </w:p>
    <w:p>
      <w:pPr>
        <w:ind w:left="1380" w:right="100" w:hanging="439"/>
        <w:spacing w:after="0" w:line="277" w:lineRule="auto"/>
        <w:tabs>
          <w:tab w:leader="none" w:pos="138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If an action plan cannot be agreed to, or if the action plan fails to provide a satisfactory solution within the time frame defined in the action plan, the problem will be escalated to Supplier’s highest management level.</w:t>
      </w:r>
    </w:p>
    <w:p>
      <w:pPr>
        <w:spacing w:after="0" w:line="75" w:lineRule="exact"/>
        <w:rPr>
          <w:rFonts w:ascii="Arial" w:cs="Arial" w:eastAsia="Arial" w:hAnsi="Arial"/>
          <w:sz w:val="18"/>
          <w:szCs w:val="18"/>
          <w:color w:val="auto"/>
        </w:rPr>
      </w:pPr>
    </w:p>
    <w:p>
      <w:pPr>
        <w:ind w:left="920" w:right="200" w:hanging="532"/>
        <w:spacing w:after="0" w:line="263" w:lineRule="auto"/>
        <w:tabs>
          <w:tab w:leader="none" w:pos="9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If any FATAL or SEVERE IMPACT Custom Software Error cannot be corrected by Supplier within the indicated timeframes, Supplier shall provide [***] or a portion thereof that the FATAL or SEVERE IMPACT Error remains unresolved after the work around/temporary fix resolution period specified above. [***]</w:t>
      </w:r>
    </w:p>
    <w:p>
      <w:pPr>
        <w:spacing w:after="0" w:line="89" w:lineRule="exact"/>
        <w:rPr>
          <w:rFonts w:ascii="Arial" w:cs="Arial" w:eastAsia="Arial" w:hAnsi="Arial"/>
          <w:sz w:val="18"/>
          <w:szCs w:val="18"/>
          <w:color w:val="auto"/>
        </w:rPr>
      </w:pPr>
    </w:p>
    <w:p>
      <w:pPr>
        <w:ind w:left="920" w:right="20" w:hanging="532"/>
        <w:spacing w:after="0" w:line="263" w:lineRule="auto"/>
        <w:tabs>
          <w:tab w:leader="none" w:pos="9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In addition, if a FATAL Error remains unresolved [***] hours after reporting thereof by AT&amp;T or if a SEVERE IMPACT Error remains unresolved [***] hours after reporting by AT&amp;T, upon AT&amp;T’s request, Supplier shall provide a Software engineer at AT&amp;T’s site(s), at no additional charge, to resolve the Software Error.</w:t>
      </w:r>
    </w:p>
    <w:p>
      <w:pPr>
        <w:spacing w:after="0" w:line="89" w:lineRule="exact"/>
        <w:rPr>
          <w:rFonts w:ascii="Arial" w:cs="Arial" w:eastAsia="Arial" w:hAnsi="Arial"/>
          <w:sz w:val="18"/>
          <w:szCs w:val="18"/>
          <w:color w:val="auto"/>
        </w:rPr>
      </w:pPr>
    </w:p>
    <w:p>
      <w:pPr>
        <w:ind w:left="920" w:right="40" w:hanging="532"/>
        <w:spacing w:after="0" w:line="293" w:lineRule="auto"/>
        <w:tabs>
          <w:tab w:leader="none" w:pos="92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The Parties acknowledge that DEGRADED OPERATIONS and/or MINIMAL IMPACT Errors are generally less serious than FATAL or SEVERE IMPACT Errors. The Parties further acknowledge and agree that elongated resolution of such Errors can be detrimental to AT&amp;T’s use of the Software. Therefore, in the event that DEGRADED OPERATIONS Errors remain unresolved [***] days after AT&amp;T’s initial report of the Error and AT&amp;T’s notice of required resolution to Supplier, or MINIMAL IMPACT Errors remain unresolved [***] days after AT&amp;T’s report of the Error and AT&amp;T’s notice of required resolution to Supplier, Supplier shall [***] for each day beyond [***] days for DEGRADED OPERATIONS Errors and/or [***] days for MINIMAL IMPACT Errors that the Error remains unresolved. [***]</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81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04" w:name="page205"/>
    <w:bookmarkEnd w:id="20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40" w:hanging="532"/>
        <w:spacing w:after="0" w:line="257" w:lineRule="auto"/>
        <w:tabs>
          <w:tab w:leader="none" w:pos="9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Supplier shall provide AT&amp;T with toll-free telephone hotline assistance related to operation of the Software, including questions about individual features or suspected malfunctions. In addition, Supplier shall provide AT&amp;T with emergency after-hours or weekend contact numbers through which support can be obtained in the event of unavailability of the Software due to a FATAL or SEVERE IMPACT Error. If a FATAL Error is reported after hours, or during the weekend, Supplier shall begin workaround/temporary fix activities as soon as possible.</w:t>
      </w:r>
    </w:p>
    <w:p>
      <w:pPr>
        <w:spacing w:after="0" w:line="3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color w:val="auto"/>
        </w:rPr>
        <w:t>Liquidated Damages for Delay in Delivery</w:t>
      </w:r>
    </w:p>
    <w:p>
      <w:pPr>
        <w:spacing w:after="0" w:line="117"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The Parties agree that the use of this Section, and/or the use of Section 4.8, Error Severity Level Description And Resolution Plan, may be applied as identified in the related Custom Software development Services Order.</w:t>
      </w:r>
    </w:p>
    <w:p>
      <w:pPr>
        <w:spacing w:after="0" w:line="62" w:lineRule="exact"/>
        <w:rPr>
          <w:sz w:val="20"/>
          <w:szCs w:val="20"/>
          <w:color w:val="auto"/>
        </w:rPr>
      </w:pPr>
    </w:p>
    <w:p>
      <w:pPr>
        <w:ind w:left="440" w:right="20"/>
        <w:spacing w:after="0" w:line="254" w:lineRule="auto"/>
        <w:rPr>
          <w:sz w:val="20"/>
          <w:szCs w:val="20"/>
          <w:color w:val="auto"/>
        </w:rPr>
      </w:pPr>
      <w:r>
        <w:rPr>
          <w:rFonts w:ascii="Arial" w:cs="Arial" w:eastAsia="Arial" w:hAnsi="Arial"/>
          <w:sz w:val="18"/>
          <w:szCs w:val="18"/>
          <w:color w:val="auto"/>
        </w:rPr>
        <w:t>Upon discovery of anything indicating a reasonable certainty that Custom Software and/or Services will not be delivered by the scheduled Delivery Date, Supplier shall notify AT&amp;T and provide the estimated length of delay. The Parties shall work jointly toward resolving the delayed delivery. If the Parties reach agreement on an extended Delivery Date and Supplier fails to meet the extended Delivery Date, then AT&amp;T may (i) if such delay amounts to a material breach, exercise AT&amp;T’s termination rights under the Agreement with respect to the applicable Order, (ii) [***] hereunder, and/or (iii) further extend the Delivery Date. No payments, progress or otherwise, made by AT&amp;T to Supplier after any scheduled Delivery Date shall constitute a waiver of Liquidated Damages. Delivery Dates shall be extended as and to the extent Supplier is unable to meet the original Delivery Date due to causes outside of Supplier’s control. Such extension shall be proportionate to the delay caused by factors outside Supplier’s control.</w:t>
      </w:r>
    </w:p>
    <w:p>
      <w:pPr>
        <w:spacing w:after="0" w:line="84"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Notwithstanding anything to the contrary in the Agreement, in the event of Supplier’s failure to meet a Delivery Date as defined in the Services Order (as it may have been extended in accordance with the terms as set forth herein) AT&amp;T shall be entitled to Liquidated Damages according to the following schedule:</w:t>
      </w:r>
    </w:p>
    <w:p>
      <w:pPr>
        <w:spacing w:after="0" w:line="206"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Days Late</w:t>
            </w:r>
          </w:p>
        </w:tc>
        <w:tc>
          <w:tcPr>
            <w:tcW w:w="3460" w:type="dxa"/>
            <w:vAlign w:val="bottom"/>
          </w:tcPr>
          <w:p>
            <w:pPr>
              <w:spacing w:after="0"/>
              <w:rPr>
                <w:sz w:val="16"/>
                <w:szCs w:val="16"/>
                <w:color w:val="auto"/>
              </w:rPr>
            </w:pPr>
          </w:p>
        </w:tc>
        <w:tc>
          <w:tcPr>
            <w:tcW w:w="3420" w:type="dxa"/>
            <w:vAlign w:val="bottom"/>
          </w:tcPr>
          <w:p>
            <w:pPr>
              <w:ind w:left="1120"/>
              <w:spacing w:after="0"/>
              <w:rPr>
                <w:sz w:val="20"/>
                <w:szCs w:val="20"/>
                <w:color w:val="auto"/>
              </w:rPr>
            </w:pPr>
            <w:r>
              <w:rPr>
                <w:rFonts w:ascii="Arial" w:cs="Arial" w:eastAsia="Arial" w:hAnsi="Arial"/>
                <w:sz w:val="14"/>
                <w:szCs w:val="14"/>
                <w:color w:val="auto"/>
              </w:rPr>
              <w:t>Liquidated Damages</w:t>
            </w:r>
          </w:p>
        </w:tc>
      </w:tr>
      <w:tr>
        <w:trPr>
          <w:trHeight w:val="203"/>
        </w:trPr>
        <w:tc>
          <w:tcPr>
            <w:tcW w:w="6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0-14</w:t>
            </w:r>
          </w:p>
        </w:tc>
        <w:tc>
          <w:tcPr>
            <w:tcW w:w="3460" w:type="dxa"/>
            <w:vAlign w:val="bottom"/>
            <w:tcBorders>
              <w:top w:val="single" w:sz="8" w:color="CCEEFF"/>
            </w:tcBorders>
            <w:shd w:val="clear" w:color="auto" w:fill="CCEEFF"/>
          </w:tcPr>
          <w:p>
            <w:pPr>
              <w:spacing w:after="0"/>
              <w:rPr>
                <w:sz w:val="17"/>
                <w:szCs w:val="17"/>
                <w:color w:val="auto"/>
              </w:rPr>
            </w:pPr>
          </w:p>
        </w:tc>
        <w:tc>
          <w:tcPr>
            <w:tcW w:w="34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$0</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15-44</w:t>
            </w:r>
          </w:p>
        </w:tc>
        <w:tc>
          <w:tcPr>
            <w:tcW w:w="6880" w:type="dxa"/>
            <w:vAlign w:val="bottom"/>
            <w:gridSpan w:val="2"/>
          </w:tcPr>
          <w:p>
            <w:pPr>
              <w:ind w:left="3460"/>
              <w:spacing w:after="0"/>
              <w:rPr>
                <w:sz w:val="20"/>
                <w:szCs w:val="20"/>
                <w:color w:val="auto"/>
              </w:rPr>
            </w:pPr>
            <w:r>
              <w:rPr>
                <w:rFonts w:ascii="Arial" w:cs="Arial" w:eastAsia="Arial" w:hAnsi="Arial"/>
                <w:sz w:val="18"/>
                <w:szCs w:val="18"/>
                <w:color w:val="auto"/>
              </w:rPr>
              <w:t>10% of fees under the Services Order</w:t>
            </w:r>
          </w:p>
        </w:tc>
      </w:tr>
      <w:tr>
        <w:trPr>
          <w:trHeight w:val="216"/>
        </w:trPr>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45-74</w:t>
            </w:r>
          </w:p>
        </w:tc>
        <w:tc>
          <w:tcPr>
            <w:tcW w:w="6880" w:type="dxa"/>
            <w:vAlign w:val="bottom"/>
            <w:gridSpan w:val="2"/>
            <w:shd w:val="clear" w:color="auto" w:fill="CCEEFF"/>
          </w:tcPr>
          <w:p>
            <w:pPr>
              <w:ind w:left="3460"/>
              <w:spacing w:after="0"/>
              <w:rPr>
                <w:sz w:val="20"/>
                <w:szCs w:val="20"/>
                <w:color w:val="auto"/>
              </w:rPr>
            </w:pPr>
            <w:r>
              <w:rPr>
                <w:rFonts w:ascii="Arial" w:cs="Arial" w:eastAsia="Arial" w:hAnsi="Arial"/>
                <w:sz w:val="18"/>
                <w:szCs w:val="18"/>
                <w:color w:val="auto"/>
              </w:rPr>
              <w:t>10% of fees under the Services Order</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75+</w:t>
            </w:r>
          </w:p>
        </w:tc>
        <w:tc>
          <w:tcPr>
            <w:tcW w:w="6880" w:type="dxa"/>
            <w:vAlign w:val="bottom"/>
            <w:gridSpan w:val="2"/>
          </w:tcPr>
          <w:p>
            <w:pPr>
              <w:ind w:left="3460"/>
              <w:spacing w:after="0"/>
              <w:rPr>
                <w:sz w:val="20"/>
                <w:szCs w:val="20"/>
                <w:color w:val="auto"/>
              </w:rPr>
            </w:pPr>
            <w:r>
              <w:rPr>
                <w:rFonts w:ascii="Arial" w:cs="Arial" w:eastAsia="Arial" w:hAnsi="Arial"/>
                <w:sz w:val="18"/>
                <w:szCs w:val="18"/>
                <w:color w:val="auto"/>
              </w:rPr>
              <w:t>10% of fees under the Services Order</w:t>
            </w:r>
          </w:p>
        </w:tc>
      </w:tr>
    </w:tbl>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82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05" w:name="page206"/>
    <w:bookmarkEnd w:id="20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foregoing Liquidated Damages shall be calculated cumulatively and shall be capped at a total of thirty percent (30%) of the fees under the Services Order. AT&amp;T’s taking of Liquidated Damages for failure to meet a Delivery Date shall not preclude AT&amp;T from claiming actual damages in excess of the Liquidated Damages; provided, however, that the amount of Liquidated Damages taken by AT&amp;T shall be deducted from any damages awarded to AT&amp;T. Liquidated Damages taken by AT&amp;T for failure to meet a Delivery Date shall be excluded from the limitations of liability set forth in the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4.10 Independent Contractor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Supplier hereby represents and warrants to AT&amp;T that:</w:t>
      </w:r>
    </w:p>
    <w:p>
      <w:pPr>
        <w:spacing w:after="0" w:line="131" w:lineRule="exact"/>
        <w:rPr>
          <w:sz w:val="20"/>
          <w:szCs w:val="20"/>
          <w:color w:val="auto"/>
        </w:rPr>
      </w:pPr>
    </w:p>
    <w:p>
      <w:pPr>
        <w:ind w:left="960" w:right="40" w:hanging="532"/>
        <w:spacing w:after="0" w:line="277" w:lineRule="auto"/>
        <w:tabs>
          <w:tab w:leader="none" w:pos="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Supplier is engaged in an independent business and will perform all obligations under this Agreement as an independent contractor and not as the agent or employee of AT&amp;T;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Supplier’s personnel performing Services shall be considered solely the employees of Supplier and not employees or agents of AT&amp;T;</w:t>
      </w:r>
    </w:p>
    <w:p>
      <w:pPr>
        <w:spacing w:after="0" w:line="153" w:lineRule="exact"/>
        <w:rPr>
          <w:rFonts w:ascii="Arial" w:cs="Arial" w:eastAsia="Arial" w:hAnsi="Arial"/>
          <w:sz w:val="16"/>
          <w:szCs w:val="16"/>
          <w:color w:val="auto"/>
        </w:rPr>
      </w:pPr>
    </w:p>
    <w:p>
      <w:pPr>
        <w:ind w:left="960" w:right="160" w:hanging="532"/>
        <w:spacing w:after="0" w:line="277" w:lineRule="auto"/>
        <w:tabs>
          <w:tab w:leader="none" w:pos="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Supplier has and retains the right to exercise full control of and supervision over the performance of the Services and full control over the employment, direction, assignment, compensation, and discharge of all personnel performing the Services;</w:t>
      </w:r>
    </w:p>
    <w:p>
      <w:pPr>
        <w:spacing w:after="0" w:line="75" w:lineRule="exact"/>
        <w:rPr>
          <w:rFonts w:ascii="Arial" w:cs="Arial" w:eastAsia="Arial" w:hAnsi="Arial"/>
          <w:sz w:val="18"/>
          <w:szCs w:val="18"/>
          <w:color w:val="auto"/>
        </w:rPr>
      </w:pPr>
    </w:p>
    <w:p>
      <w:pPr>
        <w:ind w:left="960" w:right="20" w:hanging="532"/>
        <w:spacing w:after="0" w:line="273" w:lineRule="auto"/>
        <w:tabs>
          <w:tab w:leader="none" w:pos="9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Supplier is solely responsible for all matters relating to compensation and benefits for all of Supplier’s personnel who perform Services. This responsibility includes, but is not limited to, (i) timely payment of compensation and benefits, including, but not limited to, overtime, medical, dental, and any other benefit, and (ii) all matters relating to compliance with all employer obligations to withhold employee taxes, pay employee and employer taxes, and file payroll tax returns and information returns under local, state, and federal income tax Laws, unemployment compensation insurance and state disability insurance tax laws, social security and Medicare tax Laws, and all other payroll tax Laws or similar Laws with respect to all Supplier personnel providing Services;</w:t>
      </w:r>
    </w:p>
    <w:p>
      <w:pPr>
        <w:spacing w:after="0" w:line="83" w:lineRule="exact"/>
        <w:rPr>
          <w:rFonts w:ascii="Arial" w:cs="Arial" w:eastAsia="Arial" w:hAnsi="Arial"/>
          <w:sz w:val="17"/>
          <w:szCs w:val="17"/>
          <w:color w:val="auto"/>
        </w:rPr>
      </w:pPr>
    </w:p>
    <w:p>
      <w:pPr>
        <w:ind w:left="960" w:right="260" w:hanging="532"/>
        <w:spacing w:after="0" w:line="277" w:lineRule="auto"/>
        <w:tabs>
          <w:tab w:leader="none" w:pos="9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Supplier will indemnify, defend, and hold AT&amp;T harmless from all liabilities, costs, expenses, and claims related to Supplier’s failure to comply with the immediately preceding paragraph, in accordance with Section 3.15, “Indemnity”; and</w:t>
      </w:r>
    </w:p>
    <w:p>
      <w:pPr>
        <w:spacing w:after="0" w:line="75" w:lineRule="exact"/>
        <w:rPr>
          <w:rFonts w:ascii="Arial" w:cs="Arial" w:eastAsia="Arial" w:hAnsi="Arial"/>
          <w:sz w:val="18"/>
          <w:szCs w:val="18"/>
          <w:color w:val="auto"/>
        </w:rPr>
      </w:pPr>
    </w:p>
    <w:p>
      <w:pPr>
        <w:ind w:left="960" w:right="40" w:hanging="532"/>
        <w:spacing w:after="0" w:line="275" w:lineRule="auto"/>
        <w:tabs>
          <w:tab w:leader="none" w:pos="9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To the extent permissible under applicable Law, Supplier shall ensure that all individuals who provide Services under this Agreement sign an “Agreement Regarding Non-Employment Status with AT&amp;T” in the form attached hereto as Appendix G. Individuals currently providing Services shall sign no later than [***] days following the execution of this Agreement. Any individual who begins providing Services only in connection with new or amended Orders shall sign no later than [***] days following the date such individual commences providing Services. Supplier shall make available an executed copy to AT&amp;T upon AT&amp;T’s request.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83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06" w:name="page207"/>
    <w:bookmarkEnd w:id="20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4.11  Payment Card Industry Data Security Standards (PCI-DSS)</w:t>
      </w:r>
    </w:p>
    <w:p>
      <w:pPr>
        <w:spacing w:after="0" w:line="117" w:lineRule="exact"/>
        <w:rPr>
          <w:sz w:val="20"/>
          <w:szCs w:val="20"/>
          <w:color w:val="auto"/>
        </w:rPr>
      </w:pPr>
    </w:p>
    <w:p>
      <w:pPr>
        <w:ind w:left="440" w:right="120"/>
        <w:spacing w:after="0" w:line="263" w:lineRule="auto"/>
        <w:rPr>
          <w:sz w:val="20"/>
          <w:szCs w:val="20"/>
          <w:color w:val="auto"/>
        </w:rPr>
      </w:pPr>
      <w:r>
        <w:rPr>
          <w:rFonts w:ascii="Arial" w:cs="Arial" w:eastAsia="Arial" w:hAnsi="Arial"/>
          <w:sz w:val="18"/>
          <w:szCs w:val="18"/>
          <w:color w:val="auto"/>
        </w:rPr>
        <w:t>To the extent Supplier processes, transmits, and/or stores credit cardholder data and/or related transaction status for or on behalf of AT&amp;T, Supplier must be Payment Card Industry-Data Security Standards (PCI-DSS) compliant. Upon AT&amp;T’s request, Supplier shall promptly submit a copy of Supplier’s executed Attestation of Compliance (AOC) to g18906@</w:t>
      </w:r>
      <w:r>
        <w:rPr>
          <w:rFonts w:ascii="Arial" w:cs="Arial" w:eastAsia="Arial" w:hAnsi="Arial"/>
          <w:sz w:val="18"/>
          <w:szCs w:val="18"/>
          <w:u w:val="single" w:color="auto"/>
          <w:color w:val="auto"/>
        </w:rPr>
        <w:t>att.com.</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4.12  Previous Services for AT&amp;T</w:t>
      </w:r>
    </w:p>
    <w:p>
      <w:pPr>
        <w:spacing w:after="0" w:line="117"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Supplier will determine whether each individual who performs Services for AT&amp;T has performed Work as an employee or temporary worker for AT&amp;T, or any AT&amp;T Affiliate, in the six (6) months preceding the individual’s proposed commencement of Work for AT&amp;T. Supplier will provide AT&amp;T with written notice of any individuals who meet the foregoing criteria. AT&amp;T may require that Supplier provide another individual to perform the Work.</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4.13  Affordable Care Act</w:t>
      </w:r>
    </w:p>
    <w:p>
      <w:pPr>
        <w:spacing w:after="0" w:line="117" w:lineRule="exact"/>
        <w:rPr>
          <w:sz w:val="20"/>
          <w:szCs w:val="20"/>
          <w:color w:val="auto"/>
        </w:rPr>
      </w:pPr>
    </w:p>
    <w:p>
      <w:pPr>
        <w:ind w:left="440" w:right="60"/>
        <w:spacing w:after="0" w:line="296" w:lineRule="auto"/>
        <w:rPr>
          <w:sz w:val="20"/>
          <w:szCs w:val="20"/>
          <w:color w:val="auto"/>
        </w:rPr>
      </w:pPr>
      <w:r>
        <w:rPr>
          <w:rFonts w:ascii="Arial" w:cs="Arial" w:eastAsia="Arial" w:hAnsi="Arial"/>
          <w:sz w:val="16"/>
          <w:szCs w:val="16"/>
          <w:color w:val="auto"/>
        </w:rPr>
        <w:t>For purposes of the Affordable Care Act (ACA), and in particular for purposes of Section 4980H of the Internal Revenue Code of 1986, as amended, and the regulations thereunder, with respect to each individual provided by Supplier to work on AT&amp;T project(s) for at least thirty (30) hours per week for at least ninety (90) days, whether consecutive or not, Supplier represents and warrants that it or one of its Subcontractors is the common law employer of such individual and shall be responsible for either providing healthcare coverage as required by the ACA (to the extent applicable) or for paying any Section 4980H assessable payments that may be required for failure to provide to such individual:</w:t>
      </w:r>
    </w:p>
    <w:p>
      <w:pPr>
        <w:spacing w:after="0" w:line="67" w:lineRule="exact"/>
        <w:rPr>
          <w:sz w:val="20"/>
          <w:szCs w:val="20"/>
          <w:color w:val="auto"/>
        </w:rPr>
      </w:pPr>
    </w:p>
    <w:p>
      <w:pPr>
        <w:ind w:left="960" w:hanging="532"/>
        <w:spacing w:after="0"/>
        <w:tabs>
          <w:tab w:leader="none" w:pos="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health care coverage,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affordable healthcare coverage.</w:t>
      </w:r>
    </w:p>
    <w:p>
      <w:pPr>
        <w:spacing w:after="0" w:line="117" w:lineRule="exact"/>
        <w:rPr>
          <w:sz w:val="20"/>
          <w:szCs w:val="20"/>
          <w:color w:val="auto"/>
        </w:rPr>
      </w:pPr>
    </w:p>
    <w:p>
      <w:pPr>
        <w:ind w:left="440" w:right="320"/>
        <w:spacing w:after="0" w:line="263" w:lineRule="auto"/>
        <w:rPr>
          <w:sz w:val="20"/>
          <w:szCs w:val="20"/>
          <w:color w:val="auto"/>
        </w:rPr>
      </w:pPr>
      <w:r>
        <w:rPr>
          <w:rFonts w:ascii="Arial" w:cs="Arial" w:eastAsia="Arial" w:hAnsi="Arial"/>
          <w:sz w:val="18"/>
          <w:szCs w:val="18"/>
          <w:color w:val="auto"/>
        </w:rPr>
        <w:t>In no event will AT&amp;T be considered to be the common law employer of such individual for purposes of the ACA. Supplier is required to maintain for a period of ten (10) years from the effective date of the ACA Information to show compliance with the ACA notwithstanding any other provision in this Agreement to the contrary.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4.14  Supplier’s Audited Financial Statements</w:t>
      </w:r>
    </w:p>
    <w:p>
      <w:pPr>
        <w:spacing w:after="0" w:line="117" w:lineRule="exact"/>
        <w:rPr>
          <w:sz w:val="20"/>
          <w:szCs w:val="20"/>
          <w:color w:val="auto"/>
        </w:rPr>
      </w:pPr>
    </w:p>
    <w:p>
      <w:pPr>
        <w:ind w:left="440" w:right="120"/>
        <w:spacing w:after="0" w:line="254" w:lineRule="auto"/>
        <w:rPr>
          <w:sz w:val="20"/>
          <w:szCs w:val="20"/>
          <w:color w:val="auto"/>
        </w:rPr>
      </w:pPr>
      <w:r>
        <w:rPr>
          <w:rFonts w:ascii="Arial" w:cs="Arial" w:eastAsia="Arial" w:hAnsi="Arial"/>
          <w:sz w:val="18"/>
          <w:szCs w:val="18"/>
          <w:color w:val="auto"/>
        </w:rPr>
        <w:t>In the event that Supplier is not a publicly traded corporation, Supplier shall provide to AT&amp;T (or its third party delegate), upon request and at no charge, its bona fide and unedited audited fiscal year financial statements and other financial documents as reasonably requested by AT&amp;T to allow an assessment of Supplier’s financial condition. If Supplier is a subsidiary of, is owned by, has a majority of its interest held by, or is controlled by an entity (e.g., a parent company) that is not a publicly traded corporation, then Supplier shall furnish such documents for both Supplier and its owning, controlling or parent company. If Supplier is a subsidiary of, is owned by, has a majority of its interest held by, or is controlled by an entity (e.g., a parent company) that is a publicly traded corporation, then Supplier shall furnish publicly available documents regarding its parent company.</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84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07" w:name="page208"/>
    <w:bookmarkEnd w:id="207"/>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5.0</w:t>
      </w:r>
      <w:r>
        <w:rPr>
          <w:sz w:val="20"/>
          <w:szCs w:val="20"/>
          <w:color w:val="auto"/>
        </w:rPr>
        <w:tab/>
      </w:r>
      <w:r>
        <w:rPr>
          <w:rFonts w:ascii="Arial" w:cs="Arial" w:eastAsia="Arial" w:hAnsi="Arial"/>
          <w:sz w:val="17"/>
          <w:szCs w:val="17"/>
          <w:color w:val="auto"/>
        </w:rPr>
        <w:t>SPECIAL SOFTWARE TERMS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Modifications</w:t>
      </w:r>
    </w:p>
    <w:p>
      <w:pPr>
        <w:spacing w:after="0" w:line="117" w:lineRule="exact"/>
        <w:rPr>
          <w:sz w:val="20"/>
          <w:szCs w:val="20"/>
          <w:color w:val="auto"/>
        </w:rPr>
      </w:pPr>
    </w:p>
    <w:p>
      <w:pPr>
        <w:ind w:left="440" w:right="80"/>
        <w:spacing w:after="0" w:line="275" w:lineRule="auto"/>
        <w:rPr>
          <w:sz w:val="20"/>
          <w:szCs w:val="20"/>
          <w:color w:val="auto"/>
        </w:rPr>
      </w:pPr>
      <w:r>
        <w:rPr>
          <w:rFonts w:ascii="Arial" w:cs="Arial" w:eastAsia="Arial" w:hAnsi="Arial"/>
          <w:sz w:val="17"/>
          <w:szCs w:val="17"/>
          <w:color w:val="auto"/>
        </w:rPr>
        <w:t>AT&amp;T may alter, modify, add or make other changes to Custom Software provided hereunder at its own risk and expense or contract with third parties for such modifications. AT&amp;T shall notify such third parties of their non-disclosure obligations. The conditions and charges, if any, for Supplier support of such modifications shall be subject to separate agreement between AT&amp;T and Supplier. Supplier shall have no responsibility to warrant, maintain or support such modified portion of the Custom Software or any portion of the Custom Software that is adversely affected by such modification. Title to any such addition or modification shall remain with AT&amp;T.</w:t>
      </w:r>
    </w:p>
    <w:p>
      <w:pPr>
        <w:spacing w:after="0" w:line="8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Program Material</w:t>
      </w:r>
    </w:p>
    <w:p>
      <w:pPr>
        <w:spacing w:after="0" w:line="131" w:lineRule="exact"/>
        <w:rPr>
          <w:sz w:val="20"/>
          <w:szCs w:val="20"/>
          <w:color w:val="auto"/>
        </w:rPr>
      </w:pPr>
    </w:p>
    <w:p>
      <w:pPr>
        <w:ind w:left="960" w:right="80" w:hanging="532"/>
        <w:spacing w:after="0" w:line="277" w:lineRule="auto"/>
        <w:tabs>
          <w:tab w:leader="none" w:pos="9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At no additional cost, Supplier shall provide AT&amp;T with the Program Material. Supplier shall provide such Program Material no later than the originally scheduled Delivery Date.</w:t>
      </w:r>
    </w:p>
    <w:p>
      <w:pPr>
        <w:spacing w:after="0" w:line="75" w:lineRule="exact"/>
        <w:rPr>
          <w:rFonts w:ascii="Arial" w:cs="Arial" w:eastAsia="Arial" w:hAnsi="Arial"/>
          <w:sz w:val="18"/>
          <w:szCs w:val="18"/>
          <w:color w:val="auto"/>
        </w:rPr>
      </w:pPr>
    </w:p>
    <w:p>
      <w:pPr>
        <w:ind w:left="960" w:right="820" w:hanging="532"/>
        <w:spacing w:after="0" w:line="308" w:lineRule="auto"/>
        <w:tabs>
          <w:tab w:leader="none" w:pos="9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AT&amp;T shall have the right to reproduce all Program Material and all machine-readable forms of the Custom Software. Any such reproductions shall include any copyright or similar proprietary notices contained in the items being reproduced.</w:t>
      </w:r>
    </w:p>
    <w:p>
      <w:pPr>
        <w:spacing w:after="0" w:line="2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7"/>
          <w:szCs w:val="17"/>
          <w:color w:val="auto"/>
        </w:rPr>
        <w:t>MISCELLANEOUS PROVISIONS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Allowable Expenses</w:t>
      </w:r>
    </w:p>
    <w:p>
      <w:pPr>
        <w:spacing w:after="0" w:line="131" w:lineRule="exact"/>
        <w:rPr>
          <w:sz w:val="20"/>
          <w:szCs w:val="20"/>
          <w:color w:val="auto"/>
        </w:rPr>
      </w:pPr>
    </w:p>
    <w:p>
      <w:pPr>
        <w:ind w:left="960" w:right="140" w:hanging="532"/>
        <w:spacing w:after="0" w:line="290" w:lineRule="auto"/>
        <w:tabs>
          <w:tab w:leader="none" w:pos="96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AT&amp;T is not responsible for any travel, meal, or other business related expense incurred by Supplier whether or not incurred in its performance of its obligations under this Agreement, unless such expense complies with the requirements of AT&amp;T’s Vendor Expense Policy attached hereto and incorporated herein as Appendix H, and is not otherwise restricted under the terms of this Agreement or any applicable Order. Upon request by AT&amp;T, Supplier shall use commercially reasonable efforts to provide in a timely manner supporting documentation for any unusual or out of the ordinary expenses or in instances when the applicable AT&amp;T approver cannot make a reasonable determination on the propriety of the transaction without such documentation. The Parties further agree that for the purpose of determining when an expense is “incurred” pursuant to Section 2.1 of the Vendor Expense Policy, Supplier shall be deemed to incur such expense when the invoice or expense voucher for such expense is submitted to Supplier’s Accounts Payable department for payment.</w:t>
      </w:r>
    </w:p>
    <w:p>
      <w:pPr>
        <w:spacing w:after="0" w:line="70" w:lineRule="exact"/>
        <w:rPr>
          <w:rFonts w:ascii="Arial" w:cs="Arial" w:eastAsia="Arial" w:hAnsi="Arial"/>
          <w:sz w:val="16"/>
          <w:szCs w:val="16"/>
          <w:color w:val="auto"/>
        </w:rPr>
      </w:pPr>
    </w:p>
    <w:p>
      <w:pPr>
        <w:ind w:left="960" w:hanging="532"/>
        <w:spacing w:after="0"/>
        <w:tabs>
          <w:tab w:leader="none" w:pos="9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Additionally, the Parties agree as follows:</w:t>
      </w:r>
    </w:p>
    <w:p>
      <w:pPr>
        <w:spacing w:after="0" w:line="130" w:lineRule="exact"/>
        <w:rPr>
          <w:rFonts w:ascii="Arial" w:cs="Arial" w:eastAsia="Arial" w:hAnsi="Arial"/>
          <w:sz w:val="18"/>
          <w:szCs w:val="18"/>
          <w:color w:val="auto"/>
        </w:rPr>
      </w:pPr>
    </w:p>
    <w:p>
      <w:pPr>
        <w:ind w:left="1420" w:right="120" w:hanging="439"/>
        <w:spacing w:after="0" w:line="277" w:lineRule="auto"/>
        <w:tabs>
          <w:tab w:leader="none" w:pos="142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Travel and living expenses will not be paid for resources working at their primary work location or in the same metropolitan area as their primary work location.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Travel and living expenses for all Orders shall be limited to [***] unless agreed otherwise by the Parties in a specific Order.</w:t>
      </w:r>
    </w:p>
    <w:p>
      <w:pPr>
        <w:spacing w:after="0" w:line="14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Reporting</w:t>
      </w:r>
    </w:p>
    <w:p>
      <w:pPr>
        <w:spacing w:after="0" w:line="131" w:lineRule="exact"/>
        <w:rPr>
          <w:sz w:val="20"/>
          <w:szCs w:val="20"/>
          <w:color w:val="auto"/>
        </w:rPr>
      </w:pPr>
    </w:p>
    <w:p>
      <w:pPr>
        <w:ind w:left="960" w:hanging="532"/>
        <w:spacing w:after="0"/>
        <w:tabs>
          <w:tab w:leader="none" w:pos="9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All work whether on a time and materials or fixed bid basis will be reported in a standard billing format to be agreed upon.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85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08" w:name="page209"/>
    <w:bookmarkEnd w:id="20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320" w:hanging="532"/>
        <w:spacing w:after="0" w:line="259" w:lineRule="auto"/>
        <w:tabs>
          <w:tab w:leader="none" w:pos="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Supplier will follow reasonable time reporting practices and guidelines, as specified and/or modified by AT&amp;T from time to time and agreed with Supplier, for all time and materials engagements and Projects. In time and materials Projects (and not fixed price Projects), Supplier shall describe hours worked reported by personnel level; new development versus maintenance; domestic/offshore hours by release item; and employee, the hours worked and time incurred.</w:t>
      </w:r>
    </w:p>
    <w:p>
      <w:pPr>
        <w:spacing w:after="0" w:line="92" w:lineRule="exact"/>
        <w:rPr>
          <w:rFonts w:ascii="Arial" w:cs="Arial" w:eastAsia="Arial" w:hAnsi="Arial"/>
          <w:sz w:val="18"/>
          <w:szCs w:val="18"/>
          <w:color w:val="auto"/>
        </w:rPr>
      </w:pPr>
    </w:p>
    <w:p>
      <w:pPr>
        <w:ind w:left="960" w:right="120" w:hanging="532"/>
        <w:spacing w:after="0" w:line="255" w:lineRule="auto"/>
        <w:tabs>
          <w:tab w:leader="none" w:pos="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For all AT&amp;T Technology Development time and materials Orders, Supplier resources will report time in AT&amp;T’s Cost Management Project Management (CMPM) application, or the then-current time reporting system, by [***] and all hours shall be reported by the [***] before the CMPM application closes. AT&amp;T will provide PMT codes for all assigned/requested work to allow for Amdocs resources to charge their time accordingly. In the event that a PMT code is not available or has not been provided, AT&amp;T will provide an alternative PMT code to use until the correct PMT code can be identified at which point the hours will be moved over from the alternative to the correct PMT code.</w:t>
      </w:r>
    </w:p>
    <w:p>
      <w:pPr>
        <w:spacing w:after="0" w:line="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Disaster Recovery and Business Continuity Plan:</w:t>
      </w:r>
    </w:p>
    <w:p>
      <w:pPr>
        <w:spacing w:after="0" w:line="131" w:lineRule="exact"/>
        <w:rPr>
          <w:sz w:val="20"/>
          <w:szCs w:val="20"/>
          <w:color w:val="auto"/>
        </w:rPr>
      </w:pPr>
    </w:p>
    <w:p>
      <w:pPr>
        <w:ind w:left="960" w:right="220" w:hanging="532"/>
        <w:spacing w:after="0" w:line="259" w:lineRule="auto"/>
        <w:tabs>
          <w:tab w:leader="none" w:pos="9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Supplier will provide a Disaster Recovery and Business Continuity Plan at all times during the term of this Agreement for their offshore operations associated with each Project and or Application that is assigned to them by AT&amp;T as set forth in Appendix J, “Disaster Recovery and Business Continuity Plan”. Such Disaster Recovery and Business Continuity Plan shall be reviewed and agreed upon with AT&amp;T.</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This should include, but not be limited to:</w:t>
      </w:r>
    </w:p>
    <w:p>
      <w:pPr>
        <w:spacing w:after="0" w:line="130" w:lineRule="exact"/>
        <w:rPr>
          <w:rFonts w:ascii="Arial" w:cs="Arial" w:eastAsia="Arial" w:hAnsi="Arial"/>
          <w:sz w:val="18"/>
          <w:szCs w:val="18"/>
          <w:color w:val="auto"/>
        </w:rPr>
      </w:pPr>
    </w:p>
    <w:p>
      <w:pPr>
        <w:ind w:left="1420" w:right="220" w:hanging="439"/>
        <w:spacing w:after="0" w:line="277" w:lineRule="auto"/>
        <w:tabs>
          <w:tab w:leader="none" w:pos="14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Demonstrate the existence of a recovery strategy, which is without charge to AT&amp;T that is exercised with documented conclusions and recommended improvements.</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Ensure that failover processes and procedures are in place to support AT&amp;T applications and these failover processes and procedures are exercised annually (at a minimum).</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Ensure that adequate communication documents, processes, and procedures are readily available and kept up to date.</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color w:val="auto"/>
        </w:rPr>
        <w:t>Clauses Applicable to Call Center Work</w:t>
      </w:r>
    </w:p>
    <w:p>
      <w:pPr>
        <w:spacing w:after="0" w:line="3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event an Order involves Call Center Work, the following clauses shall apply.</w:t>
      </w:r>
    </w:p>
    <w:p>
      <w:pPr>
        <w:spacing w:after="0" w:line="131" w:lineRule="exact"/>
        <w:rPr>
          <w:sz w:val="20"/>
          <w:szCs w:val="20"/>
          <w:color w:val="auto"/>
        </w:rPr>
      </w:pPr>
    </w:p>
    <w:p>
      <w:pPr>
        <w:ind w:left="960" w:hanging="532"/>
        <w:spacing w:after="0"/>
        <w:tabs>
          <w:tab w:leader="none" w:pos="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AT&amp;T Clean Desk Policy</w:t>
      </w:r>
    </w:p>
    <w:p>
      <w:pPr>
        <w:spacing w:after="0" w:line="117" w:lineRule="exact"/>
        <w:rPr>
          <w:rFonts w:ascii="Arial" w:cs="Arial" w:eastAsia="Arial" w:hAnsi="Arial"/>
          <w:sz w:val="18"/>
          <w:szCs w:val="18"/>
          <w:color w:val="auto"/>
        </w:rPr>
      </w:pPr>
    </w:p>
    <w:p>
      <w:pPr>
        <w:ind w:left="980" w:right="600"/>
        <w:spacing w:after="0" w:line="263" w:lineRule="auto"/>
        <w:rPr>
          <w:rFonts w:ascii="Arial" w:cs="Arial" w:eastAsia="Arial" w:hAnsi="Arial"/>
          <w:sz w:val="18"/>
          <w:szCs w:val="18"/>
          <w:color w:val="auto"/>
        </w:rPr>
      </w:pPr>
      <w:r>
        <w:rPr>
          <w:rFonts w:ascii="Arial" w:cs="Arial" w:eastAsia="Arial" w:hAnsi="Arial"/>
          <w:sz w:val="18"/>
          <w:szCs w:val="18"/>
          <w:color w:val="auto"/>
        </w:rPr>
        <w:t>AT&amp;T Data, records, and Customer Information must always be protected from unauthorized access, use, or disclosure. Additional protections or exceptions mandated by unique circumstances with appropriate approvals may be added to this Standard Policy by agreement of the Parties per individual Order.</w:t>
      </w:r>
    </w:p>
    <w:p>
      <w:pPr>
        <w:spacing w:after="0" w:line="75" w:lineRule="exact"/>
        <w:rPr>
          <w:rFonts w:ascii="Arial" w:cs="Arial" w:eastAsia="Arial" w:hAnsi="Arial"/>
          <w:sz w:val="18"/>
          <w:szCs w:val="18"/>
          <w:color w:val="auto"/>
        </w:rPr>
      </w:pPr>
    </w:p>
    <w:p>
      <w:pPr>
        <w:ind w:left="980" w:right="40"/>
        <w:spacing w:after="0" w:line="259" w:lineRule="auto"/>
        <w:rPr>
          <w:rFonts w:ascii="Arial" w:cs="Arial" w:eastAsia="Arial" w:hAnsi="Arial"/>
          <w:sz w:val="18"/>
          <w:szCs w:val="18"/>
          <w:color w:val="auto"/>
        </w:rPr>
      </w:pPr>
      <w:r>
        <w:rPr>
          <w:rFonts w:ascii="Arial" w:cs="Arial" w:eastAsia="Arial" w:hAnsi="Arial"/>
          <w:sz w:val="18"/>
          <w:szCs w:val="18"/>
          <w:color w:val="auto"/>
        </w:rPr>
        <w:t>Supplier shall take all necessary steps to ensure that no Supplier person who has access to AT&amp;T Data, records, or information regarding any AT&amp;T customer (“Agent”) has the ability to record any AT&amp;T Customer Information either via written, electronic, or any other instrumentation. Accordingly, in all areas where AT&amp;T Data, records, or information regarding AT&amp;T customers is accessible or viewable, Supplier must ensure the following:</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86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09" w:name="page210"/>
    <w:bookmarkEnd w:id="209"/>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hanging="439"/>
        <w:spacing w:after="0"/>
        <w:tabs>
          <w:tab w:leader="none" w:pos="13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That all Agents are prevented access to any writing instruments or paper of any kind, within reason.</w:t>
      </w:r>
    </w:p>
    <w:p>
      <w:pPr>
        <w:spacing w:after="0" w:line="130" w:lineRule="exact"/>
        <w:rPr>
          <w:rFonts w:ascii="Arial" w:cs="Arial" w:eastAsia="Arial" w:hAnsi="Arial"/>
          <w:sz w:val="18"/>
          <w:szCs w:val="18"/>
          <w:color w:val="auto"/>
        </w:rPr>
      </w:pPr>
    </w:p>
    <w:p>
      <w:pPr>
        <w:ind w:left="1380" w:right="260" w:hanging="439"/>
        <w:spacing w:after="0" w:line="263" w:lineRule="auto"/>
        <w:tabs>
          <w:tab w:leader="none" w:pos="13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Electronic devices that may be used to record video, take photographs, or otherwise communicate information (examples include, but are not limited to, mobile phones, Bluetooth devices, e-Readers, gaming devices, wearable electronics, personal tablets, or laptops) are prohibited.</w:t>
      </w:r>
    </w:p>
    <w:p>
      <w:pPr>
        <w:spacing w:after="0" w:line="89" w:lineRule="exact"/>
        <w:rPr>
          <w:rFonts w:ascii="Arial" w:cs="Arial" w:eastAsia="Arial" w:hAnsi="Arial"/>
          <w:sz w:val="18"/>
          <w:szCs w:val="18"/>
          <w:color w:val="auto"/>
        </w:rPr>
      </w:pPr>
    </w:p>
    <w:p>
      <w:pPr>
        <w:ind w:left="1380" w:right="20" w:hanging="439"/>
        <w:spacing w:after="0" w:line="257" w:lineRule="auto"/>
        <w:tabs>
          <w:tab w:leader="none" w:pos="13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Notes displaying sensitive information such as user IDs, passwords, customer account numbers, or other sensitive personal information of AT&amp;T customers is strictly prohibited. AT&amp;T Customer Information must NEVER be written down, typed, recorded (voice or image), or transmitted. These prohibitions notwithstanding, Agents may type Customer Information into authorized AT&amp;T systems only where it is required; and Supplier shall record and retain customer calls and screen shots as required in accordance with this Agreement and its Orders.</w:t>
      </w:r>
    </w:p>
    <w:p>
      <w:pPr>
        <w:spacing w:after="0" w:line="93" w:lineRule="exact"/>
        <w:rPr>
          <w:rFonts w:ascii="Arial" w:cs="Arial" w:eastAsia="Arial" w:hAnsi="Arial"/>
          <w:sz w:val="18"/>
          <w:szCs w:val="18"/>
          <w:color w:val="auto"/>
        </w:rPr>
      </w:pPr>
    </w:p>
    <w:p>
      <w:pPr>
        <w:ind w:left="1380" w:right="140" w:hanging="439"/>
        <w:spacing w:after="0" w:line="277" w:lineRule="auto"/>
        <w:tabs>
          <w:tab w:leader="none" w:pos="13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Supplier shall disable all external storage ports (CD ROM, DVD, or USB drives) from all Agents’ desktop or laptop computers that are used to access AT&amp;T systems or data.</w:t>
      </w:r>
    </w:p>
    <w:p>
      <w:pPr>
        <w:spacing w:after="0" w:line="75" w:lineRule="exact"/>
        <w:rPr>
          <w:rFonts w:ascii="Arial" w:cs="Arial" w:eastAsia="Arial" w:hAnsi="Arial"/>
          <w:sz w:val="18"/>
          <w:szCs w:val="18"/>
          <w:color w:val="auto"/>
        </w:rPr>
      </w:pPr>
    </w:p>
    <w:p>
      <w:pPr>
        <w:ind w:left="1380" w:right="160" w:hanging="439"/>
        <w:spacing w:after="0" w:line="259" w:lineRule="auto"/>
        <w:tabs>
          <w:tab w:leader="none" w:pos="138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For all desktop, laptop, or tablet computers that are used by Agents to access AT&amp;T systems or Data, Supplier shall block access to all internet sites except those approved for use by AT&amp;T. Additionally, access to any websites that allow for webmail, file sharing, data storage, or online notepad capabilities (examples: gmail, yahoo mail, dropbox, one drive, etc.) is prohibited on any desktop or laptop computer that is used by Agents to access AT&amp;T systems or data.</w:t>
      </w:r>
    </w:p>
    <w:p>
      <w:pPr>
        <w:spacing w:after="0" w:line="7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Additionally, the following procedures must also be in place:</w:t>
      </w:r>
    </w:p>
    <w:p>
      <w:pPr>
        <w:spacing w:after="0" w:line="131" w:lineRule="exact"/>
        <w:rPr>
          <w:sz w:val="20"/>
          <w:szCs w:val="20"/>
          <w:color w:val="auto"/>
        </w:rPr>
      </w:pPr>
    </w:p>
    <w:p>
      <w:pPr>
        <w:ind w:left="1380" w:hanging="439"/>
        <w:spacing w:after="0"/>
        <w:tabs>
          <w:tab w:leader="none" w:pos="13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Clear fax machines, printers, and copiers of any AT&amp;T Data, records, or Customer Information immediately.</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Agents shall lock desktop and laptop computers when leaving their stations for any period of time.</w:t>
      </w:r>
    </w:p>
    <w:p>
      <w:pPr>
        <w:spacing w:after="0" w:line="130" w:lineRule="exact"/>
        <w:rPr>
          <w:rFonts w:ascii="Arial" w:cs="Arial" w:eastAsia="Arial" w:hAnsi="Arial"/>
          <w:sz w:val="18"/>
          <w:szCs w:val="18"/>
          <w:color w:val="auto"/>
        </w:rPr>
      </w:pPr>
    </w:p>
    <w:p>
      <w:pPr>
        <w:ind w:left="1380" w:right="200" w:hanging="439"/>
        <w:spacing w:after="0" w:line="277" w:lineRule="auto"/>
        <w:tabs>
          <w:tab w:leader="none" w:pos="13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Laptops and tablets that allow for access to AT&amp;T Data, records, or Customer Information must be physically secured in place and may not be removed from the Supplier location.</w:t>
      </w:r>
    </w:p>
    <w:p>
      <w:pPr>
        <w:spacing w:after="0" w:line="75" w:lineRule="exact"/>
        <w:rPr>
          <w:rFonts w:ascii="Arial" w:cs="Arial" w:eastAsia="Arial" w:hAnsi="Arial"/>
          <w:sz w:val="18"/>
          <w:szCs w:val="18"/>
          <w:color w:val="auto"/>
        </w:rPr>
      </w:pPr>
    </w:p>
    <w:p>
      <w:pPr>
        <w:ind w:left="1380" w:right="340" w:hanging="439"/>
        <w:spacing w:after="0" w:line="277" w:lineRule="auto"/>
        <w:tabs>
          <w:tab w:leader="none" w:pos="138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Supplier shall physically secure any area where AT&amp;T Data, records, or Customer Information is accessible to prevent access by unauthorized persons.</w:t>
      </w:r>
    </w:p>
    <w:p>
      <w:pPr>
        <w:spacing w:after="0" w:line="62" w:lineRule="exact"/>
        <w:rPr>
          <w:sz w:val="20"/>
          <w:szCs w:val="20"/>
          <w:color w:val="auto"/>
        </w:rPr>
      </w:pPr>
    </w:p>
    <w:p>
      <w:pPr>
        <w:ind w:left="940" w:right="20"/>
        <w:spacing w:after="0" w:line="263" w:lineRule="auto"/>
        <w:rPr>
          <w:sz w:val="20"/>
          <w:szCs w:val="20"/>
          <w:color w:val="auto"/>
        </w:rPr>
      </w:pPr>
      <w:r>
        <w:rPr>
          <w:rFonts w:ascii="Arial" w:cs="Arial" w:eastAsia="Arial" w:hAnsi="Arial"/>
          <w:sz w:val="18"/>
          <w:szCs w:val="18"/>
          <w:color w:val="auto"/>
        </w:rPr>
        <w:t>Supplier shall perform routine inspections to be completed no less than [***] to ensure adherence to these processes. If any inspection shows non-compliance with the processes as outlined herein, Supplier shall promptly take all actions necessary to immediately comply and shall bear the cost thereof.</w:t>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AT&amp;T Clean Desk Audits may be conducted as needed and at AT&amp;T’s sole discretion without advance notice.</w:t>
      </w:r>
    </w:p>
    <w:p>
      <w:pPr>
        <w:spacing w:after="0" w:line="131" w:lineRule="exact"/>
        <w:rPr>
          <w:sz w:val="20"/>
          <w:szCs w:val="20"/>
          <w:color w:val="auto"/>
        </w:rPr>
      </w:pPr>
    </w:p>
    <w:p>
      <w:pPr>
        <w:ind w:left="920" w:hanging="532"/>
        <w:spacing w:after="0"/>
        <w:tabs>
          <w:tab w:leader="none" w:pos="9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Customer Protection Policy</w:t>
      </w:r>
    </w:p>
    <w:p>
      <w:pPr>
        <w:spacing w:after="0" w:line="130" w:lineRule="exact"/>
        <w:rPr>
          <w:rFonts w:ascii="Arial" w:cs="Arial" w:eastAsia="Arial" w:hAnsi="Arial"/>
          <w:sz w:val="18"/>
          <w:szCs w:val="18"/>
          <w:color w:val="auto"/>
        </w:rPr>
      </w:pPr>
    </w:p>
    <w:p>
      <w:pPr>
        <w:ind w:left="1380" w:right="160" w:hanging="439"/>
        <w:spacing w:after="0" w:line="257" w:lineRule="auto"/>
        <w:tabs>
          <w:tab w:leader="none" w:pos="138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In addition to the reporting and notification requirements contained elsewhere in this Agreement, Supplier also agrees to take all appropriate steps to prevent and respond to these specific type of Incidents involving the mistreatment of AT&amp;T’s customers. To protect AT&amp;T’s customers, as well as AT&amp;T, its Affiliates, and its services, from the effects of such mistreatment, Supplier will not permit any of its Customer Service Representatives (CSRs) or other employees (e.g., trainers, supervisors, etc.) to engage in any of the following actions: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87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10" w:name="page211"/>
    <w:bookmarkEnd w:id="21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hanging="439"/>
        <w:spacing w:after="0"/>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Using vulgar, offensive, abusive, or sexually oriented language in communications with Customers.</w:t>
      </w:r>
    </w:p>
    <w:p>
      <w:pPr>
        <w:spacing w:after="0" w:line="130" w:lineRule="exact"/>
        <w:rPr>
          <w:rFonts w:ascii="Arial" w:cs="Arial" w:eastAsia="Arial" w:hAnsi="Arial"/>
          <w:sz w:val="18"/>
          <w:szCs w:val="18"/>
          <w:color w:val="auto"/>
        </w:rPr>
      </w:pPr>
    </w:p>
    <w:p>
      <w:pPr>
        <w:ind w:left="1380" w:right="140" w:hanging="439"/>
        <w:spacing w:after="0" w:line="277" w:lineRule="auto"/>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Making derogatory references to race, color, religion, national origin, sex, age, sexual orientation, marital status, veteran’s status, or disability in communications with Customers.</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Yelling, screaming, or making rude, argumentative, abrasive, or sarcastic comments in communications with Customers.</w:t>
      </w:r>
    </w:p>
    <w:p>
      <w:pPr>
        <w:spacing w:after="0" w:line="130" w:lineRule="exact"/>
        <w:rPr>
          <w:rFonts w:ascii="Arial" w:cs="Arial" w:eastAsia="Arial" w:hAnsi="Arial"/>
          <w:sz w:val="18"/>
          <w:szCs w:val="18"/>
          <w:color w:val="auto"/>
        </w:rPr>
      </w:pPr>
    </w:p>
    <w:p>
      <w:pPr>
        <w:ind w:left="1380" w:right="780" w:hanging="439"/>
        <w:spacing w:after="0" w:line="277" w:lineRule="auto"/>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Flirting or making social engagements with Customers or AT&amp;T representatives, including the exchange of personal email addresses.</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Intentional acts of call avoidance, including but not limited to:</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Intentional disconnection of a Customer during a call.</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Intentional transfer of a call that the CSR is trained to handle back into the queue.</w:t>
      </w:r>
    </w:p>
    <w:p>
      <w:pPr>
        <w:spacing w:after="0" w:line="130" w:lineRule="exact"/>
        <w:rPr>
          <w:rFonts w:ascii="Arial" w:cs="Arial" w:eastAsia="Arial" w:hAnsi="Arial"/>
          <w:sz w:val="18"/>
          <w:szCs w:val="18"/>
          <w:color w:val="auto"/>
        </w:rPr>
      </w:pPr>
    </w:p>
    <w:p>
      <w:pPr>
        <w:ind w:left="1920" w:right="280" w:hanging="533"/>
        <w:spacing w:after="0" w:line="277" w:lineRule="auto"/>
        <w:tabs>
          <w:tab w:leader="none" w:pos="19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Intentional dissemination of inaccurate information or troubleshooting steps in order to release a call without assisting the Customer.</w:t>
      </w:r>
    </w:p>
    <w:p>
      <w:pPr>
        <w:spacing w:after="0" w:line="75" w:lineRule="exact"/>
        <w:rPr>
          <w:rFonts w:ascii="Arial" w:cs="Arial" w:eastAsia="Arial" w:hAnsi="Arial"/>
          <w:sz w:val="18"/>
          <w:szCs w:val="18"/>
          <w:color w:val="auto"/>
        </w:rPr>
      </w:pPr>
    </w:p>
    <w:p>
      <w:pPr>
        <w:ind w:left="1920" w:hanging="533"/>
        <w:spacing w:after="0"/>
        <w:tabs>
          <w:tab w:leader="none" w:pos="1920" w:val="left"/>
        </w:tabs>
        <w:numPr>
          <w:ilvl w:val="1"/>
          <w:numId w:val="206"/>
        </w:numPr>
        <w:rPr>
          <w:rFonts w:ascii="Arial" w:cs="Arial" w:eastAsia="Arial" w:hAnsi="Arial"/>
          <w:sz w:val="18"/>
          <w:szCs w:val="18"/>
          <w:color w:val="auto"/>
        </w:rPr>
      </w:pPr>
      <w:r>
        <w:rPr>
          <w:rFonts w:ascii="Arial" w:cs="Arial" w:eastAsia="Arial" w:hAnsi="Arial"/>
          <w:sz w:val="18"/>
          <w:szCs w:val="18"/>
          <w:color w:val="auto"/>
        </w:rPr>
        <w:t>Intentionally ignoring a Customer that has been presented to the CSR from a call queue.</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Intentionally abandoning a Customer on hold for an excessive period of time without providing a status update to the Customer.</w:t>
      </w:r>
    </w:p>
    <w:p>
      <w:pPr>
        <w:spacing w:after="0" w:line="142" w:lineRule="exact"/>
        <w:rPr>
          <w:rFonts w:ascii="Arial" w:cs="Arial" w:eastAsia="Arial" w:hAnsi="Arial"/>
          <w:sz w:val="17"/>
          <w:szCs w:val="17"/>
          <w:color w:val="auto"/>
        </w:rPr>
      </w:pPr>
    </w:p>
    <w:p>
      <w:pPr>
        <w:ind w:left="1380" w:hanging="439"/>
        <w:spacing w:after="0"/>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Refusing to escalate to a supervisor at the Customer’s request.</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Refusing to assist Customers with requests that the CSR is trained to handle.</w:t>
      </w:r>
    </w:p>
    <w:p>
      <w:pPr>
        <w:spacing w:after="0" w:line="130" w:lineRule="exact"/>
        <w:rPr>
          <w:rFonts w:ascii="Arial" w:cs="Arial" w:eastAsia="Arial" w:hAnsi="Arial"/>
          <w:sz w:val="18"/>
          <w:szCs w:val="18"/>
          <w:color w:val="auto"/>
        </w:rPr>
      </w:pPr>
    </w:p>
    <w:p>
      <w:pPr>
        <w:ind w:left="1380" w:right="160" w:hanging="439"/>
        <w:spacing w:after="0" w:line="263" w:lineRule="auto"/>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unauthorized access, release, or use of confidential information, such as Customer account information. This shall include, but not be limited to, accessing a Customer’s email account without permission and/or creating a password for a Customer without authorization.</w:t>
      </w:r>
    </w:p>
    <w:p>
      <w:pPr>
        <w:spacing w:after="0" w:line="89" w:lineRule="exact"/>
        <w:rPr>
          <w:rFonts w:ascii="Arial" w:cs="Arial" w:eastAsia="Arial" w:hAnsi="Arial"/>
          <w:sz w:val="18"/>
          <w:szCs w:val="18"/>
          <w:color w:val="auto"/>
        </w:rPr>
      </w:pPr>
    </w:p>
    <w:p>
      <w:pPr>
        <w:ind w:left="1380" w:hanging="439"/>
        <w:spacing w:after="0"/>
        <w:tabs>
          <w:tab w:leader="none" w:pos="138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Retaining, collecting, accessing, and/or using Customer Information for reasons outside the scope of support of an Order.</w:t>
      </w:r>
    </w:p>
    <w:p>
      <w:pPr>
        <w:spacing w:after="0" w:line="142" w:lineRule="exact"/>
        <w:rPr>
          <w:rFonts w:ascii="Arial" w:cs="Arial" w:eastAsia="Arial" w:hAnsi="Arial"/>
          <w:sz w:val="17"/>
          <w:szCs w:val="17"/>
          <w:color w:val="auto"/>
        </w:rPr>
      </w:pPr>
    </w:p>
    <w:p>
      <w:pPr>
        <w:ind w:left="1380" w:hanging="439"/>
        <w:spacing w:after="0"/>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attempt to falsify AT&amp;T’s records or any record related to a Customer.</w:t>
      </w:r>
    </w:p>
    <w:p>
      <w:pPr>
        <w:spacing w:after="0" w:line="130" w:lineRule="exact"/>
        <w:rPr>
          <w:rFonts w:ascii="Arial" w:cs="Arial" w:eastAsia="Arial" w:hAnsi="Arial"/>
          <w:sz w:val="18"/>
          <w:szCs w:val="18"/>
          <w:color w:val="auto"/>
        </w:rPr>
      </w:pPr>
    </w:p>
    <w:p>
      <w:pPr>
        <w:ind w:left="1380" w:right="780" w:hanging="439"/>
        <w:spacing w:after="0" w:line="277" w:lineRule="auto"/>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statements that intentionally misrepresent, or provide misleading information about, AT&amp;T or its products, pricing, or promotions.</w:t>
      </w:r>
    </w:p>
    <w:p>
      <w:pPr>
        <w:spacing w:after="0" w:line="75" w:lineRule="exact"/>
        <w:rPr>
          <w:rFonts w:ascii="Arial" w:cs="Arial" w:eastAsia="Arial" w:hAnsi="Arial"/>
          <w:sz w:val="18"/>
          <w:szCs w:val="18"/>
          <w:color w:val="auto"/>
        </w:rPr>
      </w:pPr>
    </w:p>
    <w:p>
      <w:pPr>
        <w:jc w:val="both"/>
        <w:ind w:left="1380" w:right="120" w:hanging="439"/>
        <w:spacing w:after="0" w:line="263" w:lineRule="auto"/>
        <w:tabs>
          <w:tab w:leader="none" w:pos="138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Any intentional or reckless acts that create a risk of compromising the privacy of Customer Information, including failure to strictly comply with the “Clean Desk Policy,” as defined herein and in Appendix D, which requires that AT&amp;T Information be secured any time a CSR goes on a break or is away from the CSR’s work area.</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88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11" w:name="page212"/>
    <w:bookmarkEnd w:id="211"/>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20" w:hanging="439"/>
        <w:spacing w:after="0" w:line="255" w:lineRule="auto"/>
        <w:tabs>
          <w:tab w:leader="none" w:pos="14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Supplier shall submit a [***] report to AT&amp;T’s Vendor Manager identifying any instances where any of the prohibited conduct listed in Subsection a of this Section occurred at a Supplier facility during the preceding month. Supplier shall deliver the report to AT&amp;T’s Vendor Manager on the [***] or on the next business day if the [***] day is a weekend or holiday. This report shall include: (i) the name of the facility where the Incident occurred; (ii) the date of the Incident; (iii) a brief description of the Incident; and (iv) a brief description of the action taken by Supplier to address the Incident. Supplier shall not identify individual CSRs by name or identification number in such reports.</w:t>
      </w:r>
    </w:p>
    <w:p>
      <w:pPr>
        <w:spacing w:after="0" w:line="97" w:lineRule="exact"/>
        <w:rPr>
          <w:rFonts w:ascii="Arial" w:cs="Arial" w:eastAsia="Arial" w:hAnsi="Arial"/>
          <w:sz w:val="18"/>
          <w:szCs w:val="18"/>
          <w:color w:val="auto"/>
        </w:rPr>
      </w:pPr>
    </w:p>
    <w:p>
      <w:pPr>
        <w:ind w:left="1420" w:right="60" w:hanging="439"/>
        <w:spacing w:after="0" w:line="272" w:lineRule="auto"/>
        <w:tabs>
          <w:tab w:leader="none" w:pos="1420" w:val="left"/>
        </w:tabs>
        <w:numPr>
          <w:ilvl w:val="0"/>
          <w:numId w:val="207"/>
        </w:numPr>
        <w:rPr>
          <w:rFonts w:ascii="Arial" w:cs="Arial" w:eastAsia="Arial" w:hAnsi="Arial"/>
          <w:sz w:val="17"/>
          <w:szCs w:val="17"/>
          <w:color w:val="auto"/>
        </w:rPr>
      </w:pPr>
      <w:r>
        <w:rPr>
          <w:rFonts w:ascii="Arial" w:cs="Arial" w:eastAsia="Arial" w:hAnsi="Arial"/>
          <w:sz w:val="17"/>
          <w:szCs w:val="17"/>
          <w:color w:val="auto"/>
        </w:rPr>
        <w:t>Supplier and AT&amp;T agree that violations of this Customer Protection Policy will injure AT&amp;T’s relationships with its Customers and that the amount of such injury may be difficult to quantify. As a remedy for any such injury, Supplier and AT&amp;T agree that, in the event that a Supplier CSR or other employee violates any of the above provisions of this Customer Protection Policy, Supplier shall pay to AT&amp;T liquidated damages in the amount of [***] for each such violation. A violation is one provision one time. Multiple violations are those violations of the same provision more than once or of multiple provisions one or more times. AT&amp;T will be entitled to collect this [***] under this Agreement. Such liquidated damages are not a penalty but rather represent a reasonable estimate of the damages that would occur from Supplier’s breach of the foregoing obligation.</w:t>
      </w:r>
    </w:p>
    <w:p>
      <w:pPr>
        <w:spacing w:after="0" w:line="82" w:lineRule="exact"/>
        <w:rPr>
          <w:rFonts w:ascii="Arial" w:cs="Arial" w:eastAsia="Arial" w:hAnsi="Arial"/>
          <w:sz w:val="17"/>
          <w:szCs w:val="17"/>
          <w:color w:val="auto"/>
        </w:rPr>
      </w:pPr>
    </w:p>
    <w:p>
      <w:pPr>
        <w:ind w:left="1420" w:right="80" w:hanging="439"/>
        <w:spacing w:after="0" w:line="263" w:lineRule="auto"/>
        <w:tabs>
          <w:tab w:leader="none" w:pos="14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order to protect its customers from further mistreatment in circumstances involving any of the behaviors that fall within the scope of Subsection b.i. of this Section, AT&amp;T may request that Supplier immediately remove a CSR or any other employee of Supplier (e.g., trainers, supervisors, etc.) from all AT&amp;T Programs.</w:t>
      </w:r>
    </w:p>
    <w:p>
      <w:pPr>
        <w:spacing w:after="0" w:line="89" w:lineRule="exact"/>
        <w:rPr>
          <w:rFonts w:ascii="Arial" w:cs="Arial" w:eastAsia="Arial" w:hAnsi="Arial"/>
          <w:sz w:val="18"/>
          <w:szCs w:val="18"/>
          <w:color w:val="auto"/>
        </w:rPr>
      </w:pPr>
    </w:p>
    <w:p>
      <w:pPr>
        <w:ind w:left="1420" w:right="240" w:hanging="439"/>
        <w:spacing w:after="0" w:line="277" w:lineRule="auto"/>
        <w:tabs>
          <w:tab w:leader="none" w:pos="14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Supplier shall be wholly responsible for accepting or rejecting a request to remove pursuant to Subsection b.iv. of this Section and for any other remedial measures related to the CSR or other employee of Supplier. [***]</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7"/>
          <w:szCs w:val="17"/>
          <w:color w:val="auto"/>
        </w:rPr>
        <w:t>RELATIONSHIP MANAGEMENT</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Relationship Management</w:t>
      </w:r>
    </w:p>
    <w:p>
      <w:pPr>
        <w:spacing w:after="0" w:line="131" w:lineRule="exact"/>
        <w:rPr>
          <w:sz w:val="20"/>
          <w:szCs w:val="20"/>
          <w:color w:val="auto"/>
        </w:rPr>
      </w:pPr>
    </w:p>
    <w:p>
      <w:pPr>
        <w:ind w:left="960" w:right="160" w:hanging="532"/>
        <w:spacing w:after="0" w:line="259" w:lineRule="auto"/>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Parties shall approach the relationship with Supplier performing the Services in a close working relationship with AT&amp;T Technology Development, subject to Section 4.10, “Independent Contractor”, of this Agreement. Supplier will bring its expertise, knowledge, and technology solutions to AT&amp;T Technology Development executive leadership, and shall work in concert with the AT&amp;T Technology Development organization in bringing solutions to AT&amp;T Business Units.</w:t>
      </w:r>
    </w:p>
    <w:p>
      <w:pPr>
        <w:spacing w:after="0" w:line="92" w:lineRule="exact"/>
        <w:rPr>
          <w:rFonts w:ascii="Arial" w:cs="Arial" w:eastAsia="Arial" w:hAnsi="Arial"/>
          <w:sz w:val="18"/>
          <w:szCs w:val="18"/>
          <w:color w:val="auto"/>
        </w:rPr>
      </w:pPr>
    </w:p>
    <w:p>
      <w:pPr>
        <w:ind w:left="960" w:right="80" w:hanging="532"/>
        <w:spacing w:after="0" w:line="259" w:lineRule="auto"/>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Supplier will reasonably endeavor to solicit the active participation by AT&amp;T Global Supply Chain and AT&amp;T Technology Development representation, prior to presentation of Technology Development-related solutions to the AT&amp;T Business Unit, and Supplier will reasonably endeavor to include the AT&amp;T Global Supply Chain and AT&amp;T Technology Development representatives where appropriate in meetings with AT&amp;T Business Units.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89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2" w:name="page213"/>
    <w:bookmarkEnd w:id="212"/>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5"/>
          <w:szCs w:val="15"/>
          <w:color w:val="auto"/>
        </w:rPr>
        <w:t>Proposed Projects</w:t>
      </w:r>
    </w:p>
    <w:p>
      <w:pPr>
        <w:spacing w:after="0" w:line="131" w:lineRule="exact"/>
        <w:rPr>
          <w:sz w:val="20"/>
          <w:szCs w:val="20"/>
          <w:color w:val="auto"/>
        </w:rPr>
      </w:pPr>
    </w:p>
    <w:p>
      <w:pPr>
        <w:ind w:left="960" w:right="120" w:hanging="532"/>
        <w:spacing w:after="0" w:line="272" w:lineRule="auto"/>
        <w:tabs>
          <w:tab w:leader="none" w:pos="9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Whenever AT&amp;T is considering contracting with Supplier for a proposed Project, AT&amp;T’s and Supplier’s Leadership representatives shall make reasonable efforts to meet or otherwise discuss the Project. A draft describing the requirement of Software and the Functionality required for such proposed Project may be prepared and submitted by AT&amp;T to Supplier. Such description may include the name of the proposed Project, the name, address, and telephone number of AT&amp;T’s Project Manager, any special time requirements for the proposed Project, the platform on which the Software is to operate and the programming language desired, any methods or criteria for testing the Software (in addition to or different from those specified elsewhere in this Agreement), and any other conditions which are significant to AT&amp;T in considering the assignment of such Project.</w:t>
      </w:r>
    </w:p>
    <w:p>
      <w:pPr>
        <w:spacing w:after="0" w:line="82" w:lineRule="exact"/>
        <w:rPr>
          <w:rFonts w:ascii="Arial" w:cs="Arial" w:eastAsia="Arial" w:hAnsi="Arial"/>
          <w:sz w:val="17"/>
          <w:szCs w:val="17"/>
          <w:color w:val="auto"/>
        </w:rPr>
      </w:pPr>
    </w:p>
    <w:p>
      <w:pPr>
        <w:jc w:val="both"/>
        <w:ind w:left="960" w:right="380" w:hanging="532"/>
        <w:spacing w:after="0" w:line="263" w:lineRule="auto"/>
        <w:tabs>
          <w:tab w:leader="none" w:pos="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Upon reasonable time to review the requirements, Supplier shall notify AT&amp;T as to whether Supplier will submit to AT&amp;T a Proposal Statement for the proposed Project. If Supplier elects to submit a Proposal Statement, it shall include, but not be limited to, each of the following items whenever such item is applicable to the Project:</w:t>
      </w:r>
    </w:p>
    <w:p>
      <w:pPr>
        <w:spacing w:after="0" w:line="89"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Supplier’s interpretation of the initial scope of the functional specifications based on Supplier’s knowledge of AT&amp;T’s technology direction, hardware, and software standards for such Project, and any Standard Software which will be used as a part of the Software, if applicable;</w:t>
      </w:r>
    </w:p>
    <w:p>
      <w:pPr>
        <w:spacing w:after="0" w:line="89" w:lineRule="exact"/>
        <w:rPr>
          <w:rFonts w:ascii="Arial" w:cs="Arial" w:eastAsia="Arial" w:hAnsi="Arial"/>
          <w:sz w:val="18"/>
          <w:szCs w:val="18"/>
          <w:color w:val="auto"/>
        </w:rPr>
      </w:pPr>
    </w:p>
    <w:p>
      <w:pPr>
        <w:ind w:left="1420" w:right="720" w:hanging="439"/>
        <w:spacing w:after="0" w:line="277" w:lineRule="auto"/>
        <w:tabs>
          <w:tab w:leader="none" w:pos="14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Supplier’s license fees, and maintenance support fees, for any Standard Software which may be included in the Software, if applicable;</w:t>
      </w:r>
    </w:p>
    <w:p>
      <w:pPr>
        <w:spacing w:after="0" w:line="75" w:lineRule="exact"/>
        <w:rPr>
          <w:rFonts w:ascii="Arial" w:cs="Arial" w:eastAsia="Arial" w:hAnsi="Arial"/>
          <w:sz w:val="18"/>
          <w:szCs w:val="18"/>
          <w:color w:val="auto"/>
        </w:rPr>
      </w:pPr>
    </w:p>
    <w:p>
      <w:pPr>
        <w:ind w:left="1420" w:right="160" w:hanging="439"/>
        <w:spacing w:after="0" w:line="259" w:lineRule="auto"/>
        <w:tabs>
          <w:tab w:leader="none" w:pos="14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Supplier’s estimate of the costs for the development of the Custom Software. Such estimate shall be in sufficient detail that AT&amp;T may readily determine the costs applicable to the computer environment, Services, labor time, and Material. Such estimate shall provide either (i) a fixed fee, or (ii) an express statement that Supplier proposes to accomplish the development work on a time and charges basis; and</w:t>
      </w:r>
    </w:p>
    <w:p>
      <w:pPr>
        <w:spacing w:after="0" w:line="92" w:lineRule="exact"/>
        <w:rPr>
          <w:rFonts w:ascii="Arial" w:cs="Arial" w:eastAsia="Arial" w:hAnsi="Arial"/>
          <w:sz w:val="18"/>
          <w:szCs w:val="18"/>
          <w:color w:val="auto"/>
        </w:rPr>
      </w:pPr>
    </w:p>
    <w:p>
      <w:pPr>
        <w:ind w:left="1420" w:hanging="439"/>
        <w:spacing w:after="0"/>
        <w:tabs>
          <w:tab w:leader="none" w:pos="1420" w:val="left"/>
        </w:tabs>
        <w:numPr>
          <w:ilvl w:val="1"/>
          <w:numId w:val="209"/>
        </w:numPr>
        <w:rPr>
          <w:rFonts w:ascii="Arial" w:cs="Arial" w:eastAsia="Arial" w:hAnsi="Arial"/>
          <w:sz w:val="18"/>
          <w:szCs w:val="18"/>
          <w:color w:val="auto"/>
        </w:rPr>
      </w:pPr>
      <w:r>
        <w:rPr>
          <w:rFonts w:ascii="Arial" w:cs="Arial" w:eastAsia="Arial" w:hAnsi="Arial"/>
          <w:sz w:val="18"/>
          <w:szCs w:val="18"/>
          <w:color w:val="auto"/>
        </w:rPr>
        <w:t>The anticipated Delivery Date for the Software.</w:t>
      </w:r>
    </w:p>
    <w:p>
      <w:pPr>
        <w:spacing w:after="0" w:line="130" w:lineRule="exact"/>
        <w:rPr>
          <w:rFonts w:ascii="Arial" w:cs="Arial" w:eastAsia="Arial" w:hAnsi="Arial"/>
          <w:sz w:val="18"/>
          <w:szCs w:val="18"/>
          <w:color w:val="auto"/>
        </w:rPr>
      </w:pPr>
    </w:p>
    <w:p>
      <w:pPr>
        <w:jc w:val="both"/>
        <w:ind w:left="960" w:right="40" w:hanging="532"/>
        <w:spacing w:after="0" w:line="263" w:lineRule="auto"/>
        <w:tabs>
          <w:tab w:leader="none" w:pos="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Such proposals shall include a breakdown of the estimated hours and expenses, where applicable. Estimates are provided based upon then-current information, and factors arising during the preparation of the Services Order or License Order may necessitate proposed changes in resource estimates and/or expenses.</w:t>
      </w:r>
    </w:p>
    <w:p>
      <w:pPr>
        <w:spacing w:after="0" w:line="89"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Each such Proposal Statement shall be subject to AT&amp;T’s written acceptance, and any such Proposal Statement may be modified as agreed by the Parties prior to placing a Services Order.</w:t>
      </w:r>
    </w:p>
    <w:p>
      <w:pPr>
        <w:spacing w:after="0" w:line="75" w:lineRule="exact"/>
        <w:rPr>
          <w:rFonts w:ascii="Arial" w:cs="Arial" w:eastAsia="Arial" w:hAnsi="Arial"/>
          <w:sz w:val="18"/>
          <w:szCs w:val="18"/>
          <w:color w:val="auto"/>
        </w:rPr>
      </w:pPr>
    </w:p>
    <w:p>
      <w:pPr>
        <w:jc w:val="both"/>
        <w:ind w:left="960" w:right="80" w:hanging="532"/>
        <w:spacing w:after="0" w:line="263" w:lineRule="auto"/>
        <w:tabs>
          <w:tab w:leader="none" w:pos="9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Within a reasonable time after receiving Supplier’s written Proposal Statement covering any proposed Project, AT&amp;T shall notify Supplier in writing of AT&amp;T’s acceptance or rejection of such Proposal Statement. AT&amp;T shall also identify any requirements that have not already been addressed by Supplier in the Proposal Statement.</w:t>
      </w:r>
    </w:p>
    <w:p>
      <w:pPr>
        <w:spacing w:after="0" w:line="89" w:lineRule="exact"/>
        <w:rPr>
          <w:rFonts w:ascii="Arial" w:cs="Arial" w:eastAsia="Arial" w:hAnsi="Arial"/>
          <w:sz w:val="18"/>
          <w:szCs w:val="18"/>
          <w:color w:val="auto"/>
        </w:rPr>
      </w:pPr>
    </w:p>
    <w:p>
      <w:pPr>
        <w:ind w:left="960" w:right="140" w:hanging="532"/>
        <w:spacing w:after="0" w:line="279" w:lineRule="auto"/>
        <w:tabs>
          <w:tab w:leader="none" w:pos="96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If the Proposal Statement is accepted, the Parties shall prepare an Order for Software and/or Services substantially similar to the Forms of Order in Appendix B, as applicable. Unless otherwise agreed in the Order, AT&amp;T shall incur no obligation, cost, or expense as a result of Supplier’s preparation of a Proposal Statement or AT&amp;T’s rejection of same. Supplier shall have no Liability in connection with (i) a Proposal Statement; (ii) an Order unless executed by both Parties; or (iii) rejection of a draft Order.</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90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3" w:name="page214"/>
    <w:bookmarkEnd w:id="213"/>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hanging="532"/>
        <w:spacing w:after="0"/>
        <w:tabs>
          <w:tab w:leader="none" w:pos="960" w:val="left"/>
        </w:tabs>
        <w:numPr>
          <w:ilvl w:val="0"/>
          <w:numId w:val="210"/>
        </w:numPr>
        <w:rPr>
          <w:rFonts w:ascii="Arial" w:cs="Arial" w:eastAsia="Arial" w:hAnsi="Arial"/>
          <w:sz w:val="16"/>
          <w:szCs w:val="16"/>
          <w:color w:val="auto"/>
        </w:rPr>
      </w:pPr>
      <w:r>
        <w:rPr>
          <w:rFonts w:ascii="Arial" w:cs="Arial" w:eastAsia="Arial" w:hAnsi="Arial"/>
          <w:sz w:val="16"/>
          <w:szCs w:val="16"/>
          <w:color w:val="auto"/>
        </w:rPr>
        <w:t>AT&amp;T shall have no obligation under this Agreement to compensate Supplier for any Services rendered absent the execution of an Order.</w:t>
      </w:r>
    </w:p>
    <w:p>
      <w:pPr>
        <w:spacing w:after="0" w:line="153" w:lineRule="exact"/>
        <w:rPr>
          <w:rFonts w:ascii="Arial" w:cs="Arial" w:eastAsia="Arial" w:hAnsi="Arial"/>
          <w:sz w:val="16"/>
          <w:szCs w:val="16"/>
          <w:color w:val="auto"/>
        </w:rPr>
      </w:pPr>
    </w:p>
    <w:p>
      <w:pPr>
        <w:ind w:left="1380" w:right="20" w:hanging="952"/>
        <w:spacing w:after="0" w:line="277" w:lineRule="auto"/>
        <w:tabs>
          <w:tab w:leader="none" w:pos="96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When such an Order is executed by AT&amp;T and Supplier, Supplier shall proceed to develop such Custom Software or provide the applicable Services in compliance with the Specifications contained within such Order.</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Project Management</w:t>
      </w:r>
    </w:p>
    <w:p>
      <w:pPr>
        <w:spacing w:after="0" w:line="131" w:lineRule="exact"/>
        <w:rPr>
          <w:sz w:val="20"/>
          <w:szCs w:val="20"/>
          <w:color w:val="auto"/>
        </w:rPr>
      </w:pPr>
    </w:p>
    <w:p>
      <w:pPr>
        <w:ind w:left="960" w:right="100" w:hanging="532"/>
        <w:spacing w:after="0" w:line="259" w:lineRule="auto"/>
        <w:tabs>
          <w:tab w:leader="none" w:pos="9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Supplier and AT&amp;T shall each designate a Project Manager, and shall identify those individuals on the Order. The Project Managers shall act as the primary interface between the Parties during the development of Custom Software and Delivery of Services by Supplier. The Parties’ respective Project Managers shall be responsible for ensuring the continuity of communications between the Parties as the Project proceeds.</w:t>
      </w:r>
    </w:p>
    <w:p>
      <w:pPr>
        <w:spacing w:after="0" w:line="92" w:lineRule="exact"/>
        <w:rPr>
          <w:rFonts w:ascii="Arial" w:cs="Arial" w:eastAsia="Arial" w:hAnsi="Arial"/>
          <w:sz w:val="18"/>
          <w:szCs w:val="18"/>
          <w:color w:val="auto"/>
        </w:rPr>
      </w:pPr>
    </w:p>
    <w:p>
      <w:pPr>
        <w:ind w:left="960" w:right="40" w:hanging="532"/>
        <w:spacing w:after="0" w:line="293" w:lineRule="auto"/>
        <w:tabs>
          <w:tab w:leader="none" w:pos="960" w:val="left"/>
        </w:tabs>
        <w:numPr>
          <w:ilvl w:val="0"/>
          <w:numId w:val="211"/>
        </w:numPr>
        <w:rPr>
          <w:rFonts w:ascii="Arial" w:cs="Arial" w:eastAsia="Arial" w:hAnsi="Arial"/>
          <w:sz w:val="16"/>
          <w:szCs w:val="16"/>
          <w:color w:val="auto"/>
        </w:rPr>
      </w:pPr>
      <w:r>
        <w:rPr>
          <w:rFonts w:ascii="Arial" w:cs="Arial" w:eastAsia="Arial" w:hAnsi="Arial"/>
          <w:sz w:val="16"/>
          <w:szCs w:val="16"/>
          <w:color w:val="auto"/>
        </w:rPr>
        <w:t>On a periodic basis during the development of Custom Software, the Parties shall meet for Supplier to inform AT&amp;T of the Project status. Such meetings shall include each Party’s Project Manager as well as appropriate additional personnel and, where appropriate upon request, Supplier shall provide AT&amp;T at each such meeting with a written status report on the work being performed by Supplier. Alternatively, the Parties may elect to forego all, or some, of such meetings and may agree that Supplier may simply provide AT&amp;T with periodic written reports on the status of the Projects being undertaken by Supplier under this Agreement and related Orders, including appropriate financial information. The frequency of meetings and status reports shall be determined by the Project Managers.</w:t>
      </w:r>
    </w:p>
    <w:p>
      <w:pPr>
        <w:spacing w:after="0" w:line="69" w:lineRule="exact"/>
        <w:rPr>
          <w:rFonts w:ascii="Arial" w:cs="Arial" w:eastAsia="Arial" w:hAnsi="Arial"/>
          <w:sz w:val="16"/>
          <w:szCs w:val="16"/>
          <w:color w:val="auto"/>
        </w:rPr>
      </w:pPr>
    </w:p>
    <w:p>
      <w:pPr>
        <w:ind w:left="960" w:right="80" w:hanging="532"/>
        <w:spacing w:after="0" w:line="263" w:lineRule="auto"/>
        <w:tabs>
          <w:tab w:leader="none" w:pos="9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AT&amp;T may inspect any work and all related data and Documentation being performed by Supplier, including work being performed at Supplier’s premises, upon reasonable prior notice, as set forth in Section 3.31. AT&amp;T shall conduct any such inspection in a manner which causes no delay or material disruption to the performance of the Project.</w:t>
      </w:r>
    </w:p>
    <w:p>
      <w:pPr>
        <w:spacing w:after="0" w:line="89" w:lineRule="exact"/>
        <w:rPr>
          <w:rFonts w:ascii="Arial" w:cs="Arial" w:eastAsia="Arial" w:hAnsi="Arial"/>
          <w:sz w:val="18"/>
          <w:szCs w:val="18"/>
          <w:color w:val="auto"/>
        </w:rPr>
      </w:pPr>
    </w:p>
    <w:p>
      <w:pPr>
        <w:ind w:left="960" w:right="140" w:hanging="532"/>
        <w:spacing w:after="0" w:line="279" w:lineRule="auto"/>
        <w:tabs>
          <w:tab w:leader="none" w:pos="9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 Party shall notify the other in a timely fashion of any anticipated or known delay in the performance of any of its responsibilities and shall include all relevant information concerning the delay or potential delay. Any delay by AT&amp;T shall increase any dependent Supplier deadline or milestone by a period at least equal to the amount of the AT&amp;T delay. In such event the Parties will employ the agreed change management protocols to document the resultant changes to the Project Plan and anticipated fees and expenses.</w:t>
      </w:r>
    </w:p>
    <w:p>
      <w:pPr>
        <w:spacing w:after="0" w:line="76" w:lineRule="exact"/>
        <w:rPr>
          <w:rFonts w:ascii="Arial" w:cs="Arial" w:eastAsia="Arial" w:hAnsi="Arial"/>
          <w:sz w:val="17"/>
          <w:szCs w:val="17"/>
          <w:color w:val="auto"/>
        </w:rPr>
      </w:pPr>
    </w:p>
    <w:p>
      <w:pPr>
        <w:ind w:left="960" w:right="20" w:hanging="532"/>
        <w:spacing w:after="0" w:line="286" w:lineRule="auto"/>
        <w:tabs>
          <w:tab w:leader="none" w:pos="960" w:val="left"/>
        </w:tabs>
        <w:numPr>
          <w:ilvl w:val="0"/>
          <w:numId w:val="211"/>
        </w:numPr>
        <w:rPr>
          <w:rFonts w:ascii="Arial" w:cs="Arial" w:eastAsia="Arial" w:hAnsi="Arial"/>
          <w:sz w:val="17"/>
          <w:szCs w:val="17"/>
          <w:color w:val="auto"/>
        </w:rPr>
      </w:pPr>
      <w:r>
        <w:rPr>
          <w:rFonts w:ascii="Arial" w:cs="Arial" w:eastAsia="Arial" w:hAnsi="Arial"/>
          <w:sz w:val="17"/>
          <w:szCs w:val="17"/>
          <w:color w:val="auto"/>
        </w:rPr>
        <w:t>Any Project change that reflects a material change in price or schedule must so specifically state in writing and be approved by both Parties in writing before a change is implemented by a Party. For avoidance of doubt, the changes agreed upon in writing between the Parties will be memorialized as an amendment to the applicable Order under which there is a material change to the Project.</w:t>
      </w:r>
    </w:p>
    <w:p>
      <w:pPr>
        <w:spacing w:after="0" w:line="70" w:lineRule="exact"/>
        <w:rPr>
          <w:rFonts w:ascii="Arial" w:cs="Arial" w:eastAsia="Arial" w:hAnsi="Arial"/>
          <w:sz w:val="17"/>
          <w:szCs w:val="17"/>
          <w:color w:val="auto"/>
        </w:rPr>
      </w:pPr>
    </w:p>
    <w:p>
      <w:pPr>
        <w:ind w:left="960" w:right="80" w:hanging="532"/>
        <w:spacing w:after="0" w:line="259" w:lineRule="auto"/>
        <w:tabs>
          <w:tab w:leader="none" w:pos="9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the event there is a dispute that will materially impact a Project that is not resolved by the Parties’ Project Managers, each Party shall be entitled to submit notice of the dispute to the other Party in writing, described in complete detail, and signed by an authorized representative of the disputing Party. Within fifteen (15) days after a Party receives a written description of the dispute, a meeting shall be conducted between the Parties’ respective account managers to</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91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4" w:name="page215"/>
    <w:bookmarkEnd w:id="21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80" w:right="100"/>
        <w:spacing w:after="0" w:line="311" w:lineRule="auto"/>
        <w:rPr>
          <w:sz w:val="20"/>
          <w:szCs w:val="20"/>
          <w:color w:val="auto"/>
        </w:rPr>
      </w:pPr>
      <w:r>
        <w:rPr>
          <w:rFonts w:ascii="Arial" w:cs="Arial" w:eastAsia="Arial" w:hAnsi="Arial"/>
          <w:sz w:val="16"/>
          <w:szCs w:val="16"/>
          <w:color w:val="auto"/>
        </w:rPr>
        <w:t>resolve the dispute. If the dispute is not resolved within fifteen (15) days after the initial dispute resolution meeting, the dispute shall be escalated to the higher management levels of the respective organizations. If the issue is not resolved within thirty (30) days following the meeting at the management levels, the dispute may be escalated to executive leadership defined in Section 4.5, “Dispute Resolution”.</w:t>
      </w:r>
    </w:p>
    <w:p>
      <w:pPr>
        <w:spacing w:after="0" w:line="54" w:lineRule="exact"/>
        <w:rPr>
          <w:sz w:val="20"/>
          <w:szCs w:val="20"/>
          <w:color w:val="auto"/>
        </w:rPr>
      </w:pPr>
    </w:p>
    <w:p>
      <w:pPr>
        <w:ind w:left="960" w:right="100" w:hanging="532"/>
        <w:spacing w:after="0" w:line="255" w:lineRule="auto"/>
        <w:tabs>
          <w:tab w:leader="none" w:pos="9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If AT&amp;T, within [***] days after commencement of work by an individual provided by Supplier, determines, in its sole discretion, that the individual does not demonstrate the training or the skills to perform the Services in a satisfactory fashion or is not performing the Services in a professional, effective, and efficient manner, the Parties’ Project Managers will attempt to resolve the matter within [***] days. If the Parties [***] Supplier shall [***] In addition to the above remedies, if any Supplier OnGoing Support personnel are not performing to AT&amp;T’s reasonable satisfaction, the Parties shall attempt to resolve the problem within [***] days after the date on which AT&amp;T escalates the matter to Supplier’s Project Manager. [***] shall be [***].</w:t>
      </w:r>
    </w:p>
    <w:p>
      <w:pPr>
        <w:spacing w:after="0" w:line="97" w:lineRule="exact"/>
        <w:rPr>
          <w:rFonts w:ascii="Arial" w:cs="Arial" w:eastAsia="Arial" w:hAnsi="Arial"/>
          <w:sz w:val="18"/>
          <w:szCs w:val="18"/>
          <w:color w:val="auto"/>
        </w:rPr>
      </w:pPr>
    </w:p>
    <w:p>
      <w:pPr>
        <w:ind w:left="960" w:right="20" w:hanging="532"/>
        <w:spacing w:after="0" w:line="270" w:lineRule="auto"/>
        <w:tabs>
          <w:tab w:leader="none" w:pos="9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In the event that Supplier subcontracts all or a portion of the Project to a Subcontractor the following will apply. Supplier shall notify AT&amp;T in advance of utilizing a Subcontractor in accordance with Section 3.44, “Work Done By Others”, and such Subcontractors shall be identified by company name and work location on the Services Order. AT&amp;T reserves the right to reasonably review and approve any or all Subcontractors used. Where required under the terms of the applicable Services Order, Supplier shall be responsible for all Acceptance testing including unit, chain, stress, and end-to-end production validation as part of the Delivery of the Subcontractor’s Material and/or Services to Supplier and Supplier shall review and/or audit the activities and work product(s) of the Subcontractor for managing the Custom Software subcontract and reporting results to AT&amp;T, in accordance with the Order. Notwithstanding the foregoing, Supplier will not be required to identify to AT&amp;T the name of a Subcontractor that is an Affiliate of Supplier, provided that Supplier will be responsible for performance by such Subcontractor as specified in this Section.</w:t>
      </w:r>
    </w:p>
    <w:p>
      <w:pPr>
        <w:spacing w:after="0" w:line="86" w:lineRule="exact"/>
        <w:rPr>
          <w:rFonts w:ascii="Arial" w:cs="Arial" w:eastAsia="Arial" w:hAnsi="Arial"/>
          <w:sz w:val="17"/>
          <w:szCs w:val="17"/>
          <w:color w:val="auto"/>
        </w:rPr>
      </w:pPr>
    </w:p>
    <w:p>
      <w:pPr>
        <w:ind w:left="960" w:right="20" w:hanging="532"/>
        <w:spacing w:after="0" w:line="259" w:lineRule="auto"/>
        <w:tabs>
          <w:tab w:leader="none" w:pos="9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Knowledge transfer to the AT&amp;T-named team is to be included as a part of every Project to the extent and in the manner specified in the applicable Order. This may include, but is not limited to, design walkthroughs, detailed design reviews, test result walkthroughs, processing and job flow review, operational and architectural review, environment review, and any other reasonable request at AT&amp;T’s sole discretion, and the appropriate documentation as provided by Supplier.</w:t>
      </w:r>
    </w:p>
    <w:p>
      <w:pPr>
        <w:spacing w:after="0" w:line="92" w:lineRule="exact"/>
        <w:rPr>
          <w:rFonts w:ascii="Arial" w:cs="Arial" w:eastAsia="Arial" w:hAnsi="Arial"/>
          <w:sz w:val="18"/>
          <w:szCs w:val="18"/>
          <w:color w:val="auto"/>
        </w:rPr>
      </w:pPr>
    </w:p>
    <w:p>
      <w:pPr>
        <w:ind w:left="960" w:right="200" w:hanging="532"/>
        <w:spacing w:after="0" w:line="311" w:lineRule="auto"/>
        <w:tabs>
          <w:tab w:leader="none" w:pos="960"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If required by AT&amp;T and specified in the Services Order, Supplier shall supply Project-related personnel for a post-termination transition period during which Supplier’s personnel remain on site, or available for consultation. The fees shall be no more than Supplier’s then-current standard rates, and the time frame for such a transition period shall be determined by AT&amp;T and specified in the Services Order.</w:t>
      </w:r>
    </w:p>
    <w:p>
      <w:pPr>
        <w:spacing w:after="0" w:line="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Hardware and Third Party Software Considerations</w:t>
      </w:r>
    </w:p>
    <w:p>
      <w:pPr>
        <w:spacing w:after="0" w:line="131" w:lineRule="exact"/>
        <w:rPr>
          <w:sz w:val="20"/>
          <w:szCs w:val="20"/>
          <w:color w:val="auto"/>
        </w:rPr>
      </w:pPr>
    </w:p>
    <w:p>
      <w:pPr>
        <w:ind w:left="960" w:right="340" w:hanging="532"/>
        <w:spacing w:after="0" w:line="277" w:lineRule="auto"/>
        <w:tabs>
          <w:tab w:leader="none" w:pos="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AT&amp;T does not accept bundled Hardware and Software costs. Where a solution is proposed containing Hardware resale from Supplier, Supplier shall break out the Hardware component.</w:t>
      </w:r>
    </w:p>
    <w:p>
      <w:pPr>
        <w:spacing w:after="0" w:line="75" w:lineRule="exact"/>
        <w:rPr>
          <w:rFonts w:ascii="Arial" w:cs="Arial" w:eastAsia="Arial" w:hAnsi="Arial"/>
          <w:sz w:val="18"/>
          <w:szCs w:val="18"/>
          <w:color w:val="auto"/>
        </w:rPr>
      </w:pPr>
    </w:p>
    <w:p>
      <w:pPr>
        <w:jc w:val="both"/>
        <w:ind w:left="960" w:right="160" w:hanging="532"/>
        <w:spacing w:after="0" w:line="263" w:lineRule="auto"/>
        <w:tabs>
          <w:tab w:leader="none" w:pos="9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All Hardware and Third Party Software acquisitions by AT&amp;T through Supplier should either align with AT&amp;T’s corporate standards and strategic direction or be supported by an authorized Technology Strategies and Standards (“TSS”) exception, in either case as determined by AT&amp;T and as such determination is communicated to Supplier.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92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5" w:name="page216"/>
    <w:bookmarkEnd w:id="21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hanging="532"/>
        <w:spacing w:after="0"/>
        <w:tabs>
          <w:tab w:leader="none" w:pos="9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All Hardware and Third Party Software purchases by AT&amp;T through Supplier will be managed through its defined acquisition process.</w:t>
      </w:r>
    </w:p>
    <w:p>
      <w:pPr>
        <w:spacing w:after="0" w:line="142" w:lineRule="exact"/>
        <w:rPr>
          <w:rFonts w:ascii="Arial" w:cs="Arial" w:eastAsia="Arial" w:hAnsi="Arial"/>
          <w:sz w:val="17"/>
          <w:szCs w:val="17"/>
          <w:color w:val="auto"/>
        </w:rPr>
      </w:pPr>
    </w:p>
    <w:p>
      <w:pPr>
        <w:ind w:left="960" w:right="40" w:hanging="532"/>
        <w:spacing w:after="0" w:line="263" w:lineRule="auto"/>
        <w:tabs>
          <w:tab w:leader="none" w:pos="9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Except as otherwise agreed and provided in the Order, the terms and conditions governing the supply, warranty and maintenance, and other aspects of Hardware and Third Party Software purchases by AT&amp;T through Supplier will be the terms and conditions offered by the relevant manufacturer(s) or vendor(s).</w:t>
      </w:r>
    </w:p>
    <w:p>
      <w:pPr>
        <w:spacing w:after="0" w:line="89"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Supplier has, from time to time, reseller agreements with manufacturers and/or vendors of Hardware and Third Party Software. AT&amp;T may allow Supplier to submit bids to AT&amp;T to purchase such components through Supplier.</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8.0</w:t>
      </w:r>
      <w:r>
        <w:rPr>
          <w:sz w:val="20"/>
          <w:szCs w:val="20"/>
          <w:color w:val="auto"/>
        </w:rPr>
        <w:tab/>
      </w:r>
      <w:r>
        <w:rPr>
          <w:rFonts w:ascii="Arial" w:cs="Arial" w:eastAsia="Arial" w:hAnsi="Arial"/>
          <w:sz w:val="16"/>
          <w:szCs w:val="16"/>
          <w:color w:val="auto"/>
        </w:rPr>
        <w:t>Standard Software License</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License Grant</w:t>
      </w:r>
    </w:p>
    <w:p>
      <w:pPr>
        <w:spacing w:after="0" w:line="117" w:lineRule="exact"/>
        <w:rPr>
          <w:sz w:val="20"/>
          <w:szCs w:val="20"/>
          <w:color w:val="auto"/>
        </w:rPr>
      </w:pPr>
    </w:p>
    <w:p>
      <w:pPr>
        <w:ind w:left="440" w:right="20"/>
        <w:spacing w:after="0" w:line="291" w:lineRule="auto"/>
        <w:rPr>
          <w:sz w:val="20"/>
          <w:szCs w:val="20"/>
          <w:color w:val="auto"/>
        </w:rPr>
      </w:pPr>
      <w:r>
        <w:rPr>
          <w:rFonts w:ascii="Arial" w:cs="Arial" w:eastAsia="Arial" w:hAnsi="Arial"/>
          <w:sz w:val="16"/>
          <w:szCs w:val="16"/>
          <w:color w:val="auto"/>
        </w:rPr>
        <w:t>Supplier grants to AT&amp;T a non-exclusive, non-transferable (except as set forth in Section 3.4 or in the License Order), perpetual, irrevocable (subject to full payment (except of amounts in good faith dispute)) license to copy (as expressly permitted herein), Modify (as expressly permitted herein), and operate (collectively, “Use”) (i) the Standard Software identified in a License Order, and (ii) all New Releases, Restorals, Resolutions, and Updates, and all Revisions or similar types of deliverables relating to them that are covered under or to be provided under the applicable Maintenance Order, that Supplier shall make to such Standard Software which are provided by Supplier to AT&amp;T under this Agreement. A license granted under this Agreement does not convey or transfer ownership of any copy of Standard Software. AT&amp;T promises to limit its Use of the Standard Software as set forth in the following Section 8.3 entitled “Limitations on Use” and in the applicable License Order.</w:t>
      </w:r>
    </w:p>
    <w:p>
      <w:pPr>
        <w:spacing w:after="0" w:line="7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License Fee</w:t>
      </w:r>
    </w:p>
    <w:p>
      <w:pPr>
        <w:spacing w:after="0" w:line="131" w:lineRule="exact"/>
        <w:rPr>
          <w:sz w:val="20"/>
          <w:szCs w:val="20"/>
          <w:color w:val="auto"/>
        </w:rPr>
      </w:pPr>
    </w:p>
    <w:p>
      <w:pPr>
        <w:ind w:left="960" w:right="80" w:hanging="532"/>
        <w:spacing w:after="0" w:line="259"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license fee shall be specified in the applicable License Order. If the license fee is based upon a limitation on the number of Users, Named Users, or Concurrent Users authorized to use the Software and servers (as all may be detailed in the Order) (the “Use Parameters”) then AT&amp;T may amend the License Order at any time to increase such Use Parameters by paying an additional fee, as agreed by the Parties, which shall be set forth in an amendment to the applicable License Order.</w:t>
      </w:r>
    </w:p>
    <w:p>
      <w:pPr>
        <w:spacing w:after="0" w:line="92" w:lineRule="exact"/>
        <w:rPr>
          <w:rFonts w:ascii="Arial" w:cs="Arial" w:eastAsia="Arial" w:hAnsi="Arial"/>
          <w:sz w:val="18"/>
          <w:szCs w:val="18"/>
          <w:color w:val="auto"/>
        </w:rPr>
      </w:pPr>
    </w:p>
    <w:p>
      <w:pPr>
        <w:ind w:left="960" w:right="80" w:hanging="532"/>
        <w:spacing w:after="0" w:line="272" w:lineRule="auto"/>
        <w:tabs>
          <w:tab w:leader="none" w:pos="9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AT&amp;T’s Use Parameters, if applicable, will be reviewed every [***], commencing on the first business day of the last calendar month of the first full calendar quarter following execution of this Agreement and on [***] thereafter (the “Verification Date”) to verify whether AT&amp;T’s Use has exceeded the Use Parameters set forth in the applicable License Order. The Use levels as of each Verification Date shall be notified by AT&amp;T to Supplier and, upon Supplier’s request, certified to Supplier by an authorized representative of AT&amp;T within [***] of the Verification Date. If the level of AT&amp;T’s Use at the time of such review, as compared to the level of Use at the previous Verification Date, has increased, then AT&amp;T will pay Supplier subsequent license fees if and to the extent specified in the applicable License Order, in accordance with such increase. [***], Supplier shall have the right, through an independent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93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6" w:name="page217"/>
    <w:bookmarkEnd w:id="21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80" w:right="120"/>
        <w:spacing w:after="0" w:line="254" w:lineRule="auto"/>
        <w:rPr>
          <w:sz w:val="20"/>
          <w:szCs w:val="20"/>
          <w:color w:val="auto"/>
        </w:rPr>
      </w:pPr>
      <w:r>
        <w:rPr>
          <w:rFonts w:ascii="Arial" w:cs="Arial" w:eastAsia="Arial" w:hAnsi="Arial"/>
          <w:sz w:val="18"/>
          <w:szCs w:val="18"/>
          <w:color w:val="auto"/>
        </w:rPr>
        <w:t>auditor of national standing reasonably acceptable to AT&amp;T to be appointed by Supplier [***], to audit during normal business hours AT&amp;T’s records relating to AT&amp;T’s Use levels relating to the Standard Software solely for the purpose of confirming AT&amp;T’s Use levels. Such audit shall be subject to AT&amp;T’s standard confidentiality and security requirements. If the Use level revealed by such audit is [***] larger than the level provided to Supplier by AT&amp;T, then without derogating from Supplier’s rights hereunder, [***]. Supplier may issue an invoice to AT&amp;T for, and AT&amp;T will pay against such invoice, subsequent license fees to Supplier no later than [***] following the Verification Date or, if applicable, [***] after an audit report issued in accordance with this Section showing that such subsequent license fees are due.</w:t>
      </w:r>
    </w:p>
    <w:p>
      <w:pPr>
        <w:spacing w:after="0" w:line="10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Limitations on Use</w:t>
      </w:r>
    </w:p>
    <w:p>
      <w:pPr>
        <w:spacing w:after="0" w:line="131" w:lineRule="exact"/>
        <w:rPr>
          <w:sz w:val="20"/>
          <w:szCs w:val="20"/>
          <w:color w:val="auto"/>
        </w:rPr>
      </w:pPr>
    </w:p>
    <w:p>
      <w:pPr>
        <w:ind w:left="960" w:right="20" w:hanging="532"/>
        <w:spacing w:after="0" w:line="270" w:lineRule="auto"/>
        <w:tabs>
          <w:tab w:leader="none" w:pos="9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Internal Use – AT&amp;T will Use the Standard Software only to perform and record the transactions of AT&amp;T and AT&amp;T Affiliates relating to AT&amp;T’s and AT&amp;T Affiliates’ business for AT&amp;T’s and AT&amp;T Affiliates’ customers with a presence in the United States, including their transactions and obligations involving Permitted Third Parties. AT&amp;T will not Use the Standard Software to operate a commercial time-sharing service or commercial service bureau (i.e., providing transaction services as a part of an independent revenue-creating business) for anyone other than AT&amp;T Affiliates. AT&amp;T may Use the Standard Software to serve every AT&amp;T Affiliate, except to the extent that a License Order expressly limits the group of AT&amp;T Affiliates that the Standard Software may be used to serve. Notwithstanding the foregoing, AT&amp;T may Use the Software for AT&amp;T-branded or bundled products, which may include communications products of AT&amp;T Affiliates and third parties. For the avoidance of doubt, the Parties may increase or reduce the limitations on permitted Use of Standard Software in the License Order for such Standard Software.</w:t>
      </w:r>
    </w:p>
    <w:p>
      <w:pPr>
        <w:spacing w:after="0" w:line="86" w:lineRule="exact"/>
        <w:rPr>
          <w:rFonts w:ascii="Arial" w:cs="Arial" w:eastAsia="Arial" w:hAnsi="Arial"/>
          <w:sz w:val="17"/>
          <w:szCs w:val="17"/>
          <w:color w:val="auto"/>
        </w:rPr>
      </w:pPr>
    </w:p>
    <w:p>
      <w:pPr>
        <w:ind w:left="960" w:right="100" w:hanging="532"/>
        <w:spacing w:after="0" w:line="288" w:lineRule="auto"/>
        <w:tabs>
          <w:tab w:leader="none" w:pos="9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Designated Site – AT&amp;T may Use the Standard Software at [***] locations where AT&amp;T and AT&amp;T Affiliates conduct business activities unless the License Order limits such Use to a Designated Site. If AT&amp;T moves the work operations previously performed at a Designated Site to a new location, then, if the applicable License Order limits Use to the Designated Site, AT&amp;T may nevertheless transfer the license to the new location, which shall thereupon become the new Designated Site in place of the location that was formerly the Designated Site and, during a reasonable transition period, not to exceed [***], AT&amp;T may Use the Standard Software at both locations. Users and Permitted Third Parties may access the Standard Software from locations other than the Designated Site. AT&amp;T may maintain backup and archival copies of the Software at a location other than the Designated Site. AT&amp;T may conduct Acceptance Tests at a location other than the Designated Site. If a License Order identifies both a Designated Site and a Designated System, the license granted under the License Order shall be a Designated System license and not a Designated Site license. In such a case, the information concerning the Designated Site shall be deemed to be included only for the purpose of identifying the location of the Designated System at the time of Delivery.</w:t>
      </w:r>
    </w:p>
    <w:p>
      <w:pPr>
        <w:spacing w:after="0" w:line="73" w:lineRule="exact"/>
        <w:rPr>
          <w:rFonts w:ascii="Arial" w:cs="Arial" w:eastAsia="Arial" w:hAnsi="Arial"/>
          <w:sz w:val="16"/>
          <w:szCs w:val="16"/>
          <w:color w:val="auto"/>
        </w:rPr>
      </w:pPr>
    </w:p>
    <w:p>
      <w:pPr>
        <w:ind w:left="960" w:right="300" w:hanging="532"/>
        <w:spacing w:after="0" w:line="257" w:lineRule="auto"/>
        <w:tabs>
          <w:tab w:leader="none" w:pos="9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Designated System – Subject to the scope of license specified in a License Order, AT&amp;T may Use the Standard Software on [***] machines, systems, or networks, unless the License Order expressly limits such Use on a Designated System. If AT&amp;T moves the work operations previously performed on a Designated System to a new machine, system, or network, then AT&amp;T may transfer the license to such new machine, system, or network, which shall thereupon become the new Designated System in place of the former Designated System.</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94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7" w:name="page218"/>
    <w:bookmarkEnd w:id="217"/>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80" w:right="60"/>
        <w:spacing w:after="0" w:line="263" w:lineRule="auto"/>
        <w:rPr>
          <w:sz w:val="20"/>
          <w:szCs w:val="20"/>
          <w:color w:val="auto"/>
        </w:rPr>
      </w:pPr>
      <w:r>
        <w:rPr>
          <w:rFonts w:ascii="Arial" w:cs="Arial" w:eastAsia="Arial" w:hAnsi="Arial"/>
          <w:sz w:val="18"/>
          <w:szCs w:val="18"/>
          <w:color w:val="auto"/>
        </w:rPr>
        <w:t>During a reasonable transition period, which shall not exceed [***], AT&amp;T may Use the Standard Software on both the former Designated System and the new Designated System. Users and Permitted Third Parties may access the Standard Software from machines, systems, and networks other than those located at the Designated Site.</w:t>
      </w:r>
    </w:p>
    <w:p>
      <w:pPr>
        <w:spacing w:after="0" w:line="89" w:lineRule="exact"/>
        <w:rPr>
          <w:sz w:val="20"/>
          <w:szCs w:val="20"/>
          <w:color w:val="auto"/>
        </w:rPr>
      </w:pPr>
    </w:p>
    <w:p>
      <w:pPr>
        <w:ind w:left="960" w:right="40" w:hanging="532"/>
        <w:spacing w:after="0" w:line="254" w:lineRule="auto"/>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Users – AT&amp;T may permit [***] Users to access and operate the Standard Software on its behalf, unless the License Order expressly limits the maximum number of Users who may Use the Standard Software. AT&amp;T may permit [***] Users to access and operate the Standard Software concurrently, unless the License Order limits the number of Concurrent Users. AT&amp;T may permit any User to access and operate the Standard Software, unless the License Order expressly promises to limit operation to Named Users. AT&amp;T may reassign Named User passwords as long as they do not exceed the limit of Named Users. AT&amp;T may permit Permitted Third Parties to access the Standard Software in order to complete their transactions with AT&amp;T, subject to any limit a License Order may place on the numbers or types of Users.</w:t>
      </w:r>
    </w:p>
    <w:p>
      <w:pPr>
        <w:spacing w:after="0" w:line="100"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Processing Speed – AT&amp;T may install and operate the Standard Software on [***] machines having any processing aggregate capacity to process data at any speed, unless a License Order expressly limits the aggregate processing speed of all machines on which the Standard Software may be installed and Used.</w:t>
      </w:r>
    </w:p>
    <w:p>
      <w:pPr>
        <w:spacing w:after="0" w:line="89" w:lineRule="exact"/>
        <w:rPr>
          <w:rFonts w:ascii="Arial" w:cs="Arial" w:eastAsia="Arial" w:hAnsi="Arial"/>
          <w:sz w:val="18"/>
          <w:szCs w:val="18"/>
          <w:color w:val="auto"/>
        </w:rPr>
      </w:pPr>
    </w:p>
    <w:p>
      <w:pPr>
        <w:ind w:left="960" w:right="80" w:hanging="532"/>
        <w:spacing w:after="0" w:line="259" w:lineRule="auto"/>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Number of Copies – AT&amp;T may make, store, and operate [***] copies of the Standard Software, unless a License Order expressly promises to limit the number of copies that AT&amp;T may operate under the license. If a License Order expressly limits the number of copies that AT&amp;T may operate, then AT&amp;T may make and store a reasonable number of additional copies, above that limit, solely for backup and archival purposes.</w:t>
      </w:r>
    </w:p>
    <w:p>
      <w:pPr>
        <w:spacing w:after="0" w:line="92" w:lineRule="exact"/>
        <w:rPr>
          <w:rFonts w:ascii="Arial" w:cs="Arial" w:eastAsia="Arial" w:hAnsi="Arial"/>
          <w:sz w:val="18"/>
          <w:szCs w:val="18"/>
          <w:color w:val="auto"/>
        </w:rPr>
      </w:pPr>
    </w:p>
    <w:p>
      <w:pPr>
        <w:ind w:left="960" w:right="20" w:hanging="532"/>
        <w:spacing w:after="0" w:line="263" w:lineRule="auto"/>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Distribution and Transfer – Except as permitted in Section 3.4, AT&amp;T will not distribute any copy of any Standard Software or transfer any license granted under this Agreement to any unlicensed entity, or grant a sublicense to any other party, without the prior written consent of Supplier.</w:t>
      </w:r>
    </w:p>
    <w:p>
      <w:pPr>
        <w:spacing w:after="0" w:line="89" w:lineRule="exact"/>
        <w:rPr>
          <w:rFonts w:ascii="Arial" w:cs="Arial" w:eastAsia="Arial" w:hAnsi="Arial"/>
          <w:sz w:val="18"/>
          <w:szCs w:val="18"/>
          <w:color w:val="auto"/>
        </w:rPr>
      </w:pPr>
    </w:p>
    <w:p>
      <w:pPr>
        <w:ind w:left="960" w:right="440" w:hanging="532"/>
        <w:spacing w:after="0" w:line="263" w:lineRule="auto"/>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Modification – AT&amp;T may Modify the Standard Software only by use of the capabilities provided within the Standard Software itself unless the provisions of this Agreement or a License Order expressly entitle AT&amp;T to receive and use source code and other Design Materials associated with the Standard Software.</w:t>
      </w:r>
    </w:p>
    <w:p>
      <w:pPr>
        <w:spacing w:after="0" w:line="89" w:lineRule="exact"/>
        <w:rPr>
          <w:rFonts w:ascii="Arial" w:cs="Arial" w:eastAsia="Arial" w:hAnsi="Arial"/>
          <w:sz w:val="18"/>
          <w:szCs w:val="18"/>
          <w:color w:val="auto"/>
        </w:rPr>
      </w:pPr>
    </w:p>
    <w:p>
      <w:pPr>
        <w:ind w:left="960" w:right="160" w:hanging="532"/>
        <w:spacing w:after="0" w:line="301" w:lineRule="auto"/>
        <w:tabs>
          <w:tab w:leader="none" w:pos="9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Reverse Engineering – AT&amp;T will not engage in any reverse engineering process intended to uncover and disclose the source code, when the modification capabilities provided within the Standard Software do not enable it to do so, unless provisions of this Agreement or the License Order expressly provide that AT&amp;T has the right to receive source code or other Design Materials associated with the Standard Software and Supplier or its escrow agent have failed to turn them over following a proper demand from AT&amp;T.</w:t>
      </w:r>
    </w:p>
    <w:p>
      <w:pPr>
        <w:spacing w:after="0" w:line="6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Modification</w:t>
      </w:r>
    </w:p>
    <w:p>
      <w:pPr>
        <w:spacing w:after="0" w:line="131" w:lineRule="exact"/>
        <w:rPr>
          <w:sz w:val="20"/>
          <w:szCs w:val="20"/>
          <w:color w:val="auto"/>
        </w:rPr>
      </w:pPr>
    </w:p>
    <w:p>
      <w:pPr>
        <w:ind w:left="960" w:right="40" w:hanging="532"/>
        <w:spacing w:after="0" w:line="259" w:lineRule="auto"/>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AT&amp;T may alter, modify, add to, or make other changes to Standard Software provided hereunder at its own risk and expense or, subject to Section 3.16(f), contract with third parties for such modifications. AT&amp;T shall notify such third parties of their non-disclosure obligations. The conditions and charges, if any, for Supplier support of such modifications shall be subject to separate agreement between AT&amp;T and Supplier. Title to any such addition or Modification shall remain with AT&amp;T.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95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8" w:name="page219"/>
    <w:bookmarkEnd w:id="21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100" w:hanging="532"/>
        <w:spacing w:after="0" w:line="268" w:lineRule="auto"/>
        <w:tabs>
          <w:tab w:leader="none" w:pos="960" w:val="left"/>
        </w:tabs>
        <w:numPr>
          <w:ilvl w:val="0"/>
          <w:numId w:val="219"/>
        </w:numPr>
        <w:rPr>
          <w:rFonts w:ascii="Arial" w:cs="Arial" w:eastAsia="Arial" w:hAnsi="Arial"/>
          <w:sz w:val="17"/>
          <w:szCs w:val="17"/>
          <w:color w:val="auto"/>
        </w:rPr>
      </w:pPr>
      <w:r>
        <w:rPr>
          <w:rFonts w:ascii="Arial" w:cs="Arial" w:eastAsia="Arial" w:hAnsi="Arial"/>
          <w:sz w:val="17"/>
          <w:szCs w:val="17"/>
          <w:color w:val="auto"/>
        </w:rPr>
        <w:t>Supplier shall not be obligated to correct problems in Computer Programs or Software developed or modified by AT&amp;T or any third party, including Computer Programs added to or interoperating with the Standard Software or arising from Use inconsistent with requirements stated in the Documentation; provided, however, that Supplier shall be required to respond to service calls reporting such problems and to determine to AT&amp;T’s reasonable satisfaction that the Standard Software is not responsible for the problem or the inconsistent Use giving rise to the reported problem. Supplier may correct an Error by providing AT&amp;T with reasonable operating instructions that correct the Error if such operating instructions do not conflict with, and are not inconsistent with, the terms of this Agreement or the applicable License Order. All corrections to the Standard Software will be performed only by Supplier or its Subcontractors. Supplier shall not be responsible to the extent any party other than Supplier or its Subcontractors corrects the Standard Software in any manner. Additionally, Maintenance does not encompass the remediation of problems or bugs determined by Supplier to have been caused by the failure or malfunction of any software, tools, equipment, or facilities not provided by Supplier. In the event a problem has been reported to Supplier and it is found that the problem is not an Error, Supplier shall have no obligation to correct such problem; provided, however, that, if Supplier incurs any out-of-pocket expenses in dispatching a Supplier employee to work on-site at AT&amp;T to fix a problem that is found not to be an Error, AT&amp;T shall reimburse Supplier for such documented expenses incurred, in accordance with AT&amp;T’s expense policy. Supplier shall only be required to provide Maintenance for supported releases of the Standard Software (as defined in the applicable Maintenance Order).</w:t>
      </w:r>
    </w:p>
    <w:p>
      <w:pPr>
        <w:spacing w:after="0" w:line="8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6"/>
          <w:szCs w:val="16"/>
          <w:color w:val="auto"/>
        </w:rPr>
        <w:t>Source Code Availability</w:t>
      </w:r>
    </w:p>
    <w:p>
      <w:pPr>
        <w:spacing w:after="0" w:line="131" w:lineRule="exact"/>
        <w:rPr>
          <w:sz w:val="20"/>
          <w:szCs w:val="20"/>
          <w:color w:val="auto"/>
        </w:rPr>
      </w:pPr>
    </w:p>
    <w:p>
      <w:pPr>
        <w:ind w:left="960" w:right="20" w:hanging="532"/>
        <w:spacing w:after="0" w:line="257" w:lineRule="auto"/>
        <w:tabs>
          <w:tab w:leader="none" w:pos="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If a License Order so provides, Supplier shall provide AT&amp;T with a complete copy of the current version of the source code for the Standard Software and any other Design Material necessary to enable AT&amp;T to maintain such Standard Software. Supplier shall provide, at no additional charge, such source code and Information prior to the originally scheduled Delivery Date and, during the term of this Agreement, Supplier shall promptly provide AT&amp;T with copies of any changes in or additions to such source code or other Design Material.</w:t>
      </w:r>
    </w:p>
    <w:p>
      <w:pPr>
        <w:spacing w:after="0" w:line="93" w:lineRule="exact"/>
        <w:rPr>
          <w:rFonts w:ascii="Arial" w:cs="Arial" w:eastAsia="Arial" w:hAnsi="Arial"/>
          <w:sz w:val="18"/>
          <w:szCs w:val="18"/>
          <w:color w:val="auto"/>
        </w:rPr>
      </w:pPr>
    </w:p>
    <w:p>
      <w:pPr>
        <w:ind w:left="960" w:right="40" w:hanging="532"/>
        <w:spacing w:after="0" w:line="259" w:lineRule="auto"/>
        <w:tabs>
          <w:tab w:leader="none" w:pos="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Supplier shall cause AT&amp;T to be named as a preferred beneficiary of Supplier’s Three-Party Master Depositor Escrow Services Agreement dated October 16, 2009, (the “Escrow Agreement”) between Amdocs Software Systems Limited and Iron Mountain Intellectual Property Management, Inc. (the “Escrow Agent”) subject to and in accordance with the terms of Appendix M. Within [***] of execution of a License Order for Standard Software, Supplier shall [***].</w:t>
      </w:r>
    </w:p>
    <w:p>
      <w:pPr>
        <w:spacing w:after="0" w:line="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Title</w:t>
      </w:r>
    </w:p>
    <w:p>
      <w:pPr>
        <w:spacing w:after="0" w:line="117" w:lineRule="exact"/>
        <w:rPr>
          <w:sz w:val="20"/>
          <w:szCs w:val="20"/>
          <w:color w:val="auto"/>
        </w:rPr>
      </w:pPr>
    </w:p>
    <w:p>
      <w:pPr>
        <w:ind w:left="440" w:right="240"/>
        <w:spacing w:after="0" w:line="286" w:lineRule="auto"/>
        <w:rPr>
          <w:sz w:val="20"/>
          <w:szCs w:val="20"/>
          <w:color w:val="auto"/>
        </w:rPr>
      </w:pPr>
      <w:r>
        <w:rPr>
          <w:rFonts w:ascii="Arial" w:cs="Arial" w:eastAsia="Arial" w:hAnsi="Arial"/>
          <w:sz w:val="17"/>
          <w:szCs w:val="17"/>
          <w:color w:val="auto"/>
        </w:rPr>
        <w:t>AT&amp;T acknowledges Supplier’s representation and agrees that, as between the Parties, all right, title, and interest to, and all copyrights, patents, trade secrets, and/or any other intellectual property rights in, the Standard Software are and will remain solely the property of Supplier and/or Supplier’s licensors (or affiliates). AT&amp;T is granted no title or ownership rights in the Standard Software.</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96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9" w:name="page220"/>
    <w:bookmarkEnd w:id="219"/>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9.0</w:t>
      </w:r>
      <w:r>
        <w:rPr>
          <w:sz w:val="20"/>
          <w:szCs w:val="20"/>
          <w:color w:val="auto"/>
        </w:rPr>
        <w:tab/>
      </w:r>
      <w:r>
        <w:rPr>
          <w:rFonts w:ascii="Arial" w:cs="Arial" w:eastAsia="Arial" w:hAnsi="Arial"/>
          <w:sz w:val="16"/>
          <w:szCs w:val="16"/>
          <w:color w:val="auto"/>
        </w:rPr>
        <w:t>Execution of Agreement</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Transmission of Original Signatures and Executing Multiple Counterparts</w:t>
      </w:r>
    </w:p>
    <w:p>
      <w:pPr>
        <w:spacing w:after="0" w:line="117" w:lineRule="exact"/>
        <w:rPr>
          <w:sz w:val="20"/>
          <w:szCs w:val="20"/>
          <w:color w:val="auto"/>
        </w:rPr>
      </w:pPr>
    </w:p>
    <w:p>
      <w:pPr>
        <w:ind w:left="440" w:right="120"/>
        <w:spacing w:after="0" w:line="259" w:lineRule="auto"/>
        <w:rPr>
          <w:sz w:val="20"/>
          <w:szCs w:val="20"/>
          <w:color w:val="auto"/>
        </w:rPr>
      </w:pPr>
      <w:r>
        <w:rPr>
          <w:rFonts w:ascii="Arial" w:cs="Arial" w:eastAsia="Arial" w:hAnsi="Arial"/>
          <w:sz w:val="18"/>
          <w:szCs w:val="18"/>
          <w:color w:val="auto"/>
        </w:rPr>
        <w:t>Original signatures transmitted and received via facsimile or other electronic transmission of a scanned document (e.g., pdf or similar format) are true and valid signatures for all purposes hereunder and shall bind the Parties to the same extent as that of original signatures. This Agreement may be executed in multiple counterparts, each of which shall be deemed to constitute an original but all of which together shall constitute only one document.</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AGREEMENT CONTAINS A BINDING ARBITRATION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PROCEDURE WHICH MAY BE ENFORCED BY THE PARTIES.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Agreement to be executed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Amdocs Development Limited</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AT&amp;T Services,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Steven Kennedy</w:t>
            </w: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Steve Wehde</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Steven Kennedy</w:t>
            </w:r>
          </w:p>
        </w:tc>
        <w:tc>
          <w:tcPr>
            <w:tcW w:w="1240" w:type="dxa"/>
            <w:vAlign w:val="bottom"/>
          </w:tcPr>
          <w:p>
            <w:pPr>
              <w:ind w:left="700"/>
              <w:spacing w:after="0" w:line="195" w:lineRule="exact"/>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line="195" w:lineRule="exact"/>
              <w:rPr>
                <w:sz w:val="20"/>
                <w:szCs w:val="20"/>
                <w:color w:val="auto"/>
              </w:rPr>
            </w:pPr>
            <w:r>
              <w:rPr>
                <w:rFonts w:ascii="Arial" w:cs="Arial" w:eastAsia="Arial" w:hAnsi="Arial"/>
                <w:sz w:val="18"/>
                <w:szCs w:val="18"/>
                <w:color w:val="auto"/>
              </w:rPr>
              <w:t>Steve Wehde</w:t>
            </w:r>
          </w:p>
        </w:tc>
      </w:tr>
      <w:tr>
        <w:trPr>
          <w:trHeight w:val="216"/>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Authorized Signatory</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Lead Sourcing Manager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Pr>
          <w:p>
            <w:pPr>
              <w:ind w:left="100"/>
              <w:spacing w:after="0"/>
              <w:rPr>
                <w:sz w:val="20"/>
                <w:szCs w:val="20"/>
                <w:color w:val="auto"/>
              </w:rPr>
            </w:pPr>
            <w:r>
              <w:rPr>
                <w:rFonts w:ascii="Arial" w:cs="Arial" w:eastAsia="Arial" w:hAnsi="Arial"/>
                <w:sz w:val="18"/>
                <w:szCs w:val="18"/>
                <w:color w:val="auto"/>
              </w:rPr>
              <w:t>October 14, 2021</w:t>
            </w:r>
          </w:p>
        </w:tc>
        <w:tc>
          <w:tcPr>
            <w:tcW w:w="1240" w:type="dxa"/>
            <w:vAlign w:val="bottom"/>
          </w:tcPr>
          <w:p>
            <w:pPr>
              <w:ind w:left="700"/>
              <w:spacing w:after="0"/>
              <w:rPr>
                <w:sz w:val="20"/>
                <w:szCs w:val="20"/>
                <w:color w:val="auto"/>
              </w:rPr>
            </w:pPr>
            <w:r>
              <w:rPr>
                <w:rFonts w:ascii="Arial" w:cs="Arial" w:eastAsia="Arial" w:hAnsi="Arial"/>
                <w:sz w:val="18"/>
                <w:szCs w:val="18"/>
                <w:color w:val="auto"/>
              </w:rPr>
              <w:t>Date:</w:t>
            </w:r>
          </w:p>
        </w:tc>
        <w:tc>
          <w:tcPr>
            <w:tcW w:w="4620" w:type="dxa"/>
            <w:vAlign w:val="bottom"/>
          </w:tcPr>
          <w:p>
            <w:pPr>
              <w:ind w:left="100"/>
              <w:spacing w:after="0"/>
              <w:rPr>
                <w:sz w:val="20"/>
                <w:szCs w:val="20"/>
                <w:color w:val="auto"/>
              </w:rPr>
            </w:pPr>
            <w:r>
              <w:rPr>
                <w:rFonts w:ascii="Arial" w:cs="Arial" w:eastAsia="Arial" w:hAnsi="Arial"/>
                <w:sz w:val="18"/>
                <w:szCs w:val="18"/>
                <w:color w:val="auto"/>
              </w:rPr>
              <w:t>October 14, 2021</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97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20" w:name="page221"/>
    <w:bookmarkEnd w:id="22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APPENDICES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98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21" w:name="page222"/>
    <w:bookmarkEnd w:id="221"/>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Appendix A – Supplier’s Price(s)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Supplier shall provide Services, if any, including any applicable deliverables, for the following prices defined within this Appendix A.</w:t>
      </w:r>
    </w:p>
    <w:p>
      <w:pPr>
        <w:spacing w:after="0" w:line="131" w:lineRule="exact"/>
        <w:rPr>
          <w:sz w:val="20"/>
          <w:szCs w:val="20"/>
          <w:color w:val="auto"/>
        </w:rPr>
      </w:pPr>
    </w:p>
    <w:p>
      <w:pPr>
        <w:ind w:left="424" w:hanging="424"/>
        <w:spacing w:after="0"/>
        <w:tabs>
          <w:tab w:leader="none" w:pos="42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Job Classification Descriptions Examples</w:t>
      </w:r>
    </w:p>
    <w:p>
      <w:pPr>
        <w:spacing w:after="0" w:line="117" w:lineRule="exact"/>
        <w:rPr>
          <w:rFonts w:ascii="Arial" w:cs="Arial" w:eastAsia="Arial" w:hAnsi="Arial"/>
          <w:sz w:val="18"/>
          <w:szCs w:val="18"/>
          <w:color w:val="auto"/>
        </w:rPr>
      </w:pPr>
    </w:p>
    <w:p>
      <w:pPr>
        <w:ind w:left="444" w:right="80"/>
        <w:spacing w:after="0" w:line="263" w:lineRule="auto"/>
        <w:rPr>
          <w:rFonts w:ascii="Arial" w:cs="Arial" w:eastAsia="Arial" w:hAnsi="Arial"/>
          <w:sz w:val="18"/>
          <w:szCs w:val="18"/>
          <w:color w:val="auto"/>
        </w:rPr>
      </w:pPr>
      <w:r>
        <w:rPr>
          <w:rFonts w:ascii="Arial" w:cs="Arial" w:eastAsia="Arial" w:hAnsi="Arial"/>
          <w:sz w:val="18"/>
          <w:szCs w:val="18"/>
          <w:u w:val="single" w:color="auto"/>
          <w:color w:val="auto"/>
        </w:rPr>
        <w:t>Senior Project Manager/Senior Team Lead</w:t>
      </w:r>
      <w:r>
        <w:rPr>
          <w:rFonts w:ascii="Arial" w:cs="Arial" w:eastAsia="Arial" w:hAnsi="Arial"/>
          <w:sz w:val="18"/>
          <w:szCs w:val="18"/>
          <w:color w:val="auto"/>
        </w:rPr>
        <w:t>: [***] or more years’ experience in information technology with at least [***] in a Project Manager or Team Lead role. Proven ability to manage and lead projects of a large scale. Project Management Certification or Degree. Leadership and communication skills.</w:t>
      </w:r>
    </w:p>
    <w:p>
      <w:pPr>
        <w:spacing w:after="0" w:line="75" w:lineRule="exact"/>
        <w:rPr>
          <w:rFonts w:ascii="Arial" w:cs="Arial" w:eastAsia="Arial" w:hAnsi="Arial"/>
          <w:sz w:val="18"/>
          <w:szCs w:val="18"/>
          <w:color w:val="auto"/>
        </w:rPr>
      </w:pPr>
    </w:p>
    <w:p>
      <w:pPr>
        <w:ind w:left="444" w:right="20"/>
        <w:spacing w:after="0" w:line="263" w:lineRule="auto"/>
        <w:rPr>
          <w:rFonts w:ascii="Arial" w:cs="Arial" w:eastAsia="Arial" w:hAnsi="Arial"/>
          <w:sz w:val="18"/>
          <w:szCs w:val="18"/>
          <w:color w:val="auto"/>
        </w:rPr>
      </w:pPr>
      <w:r>
        <w:rPr>
          <w:rFonts w:ascii="Arial" w:cs="Arial" w:eastAsia="Arial" w:hAnsi="Arial"/>
          <w:sz w:val="18"/>
          <w:szCs w:val="18"/>
          <w:u w:val="single" w:color="auto"/>
          <w:color w:val="auto"/>
        </w:rPr>
        <w:t>Project Manager/Team Leader</w:t>
      </w:r>
      <w:r>
        <w:rPr>
          <w:rFonts w:ascii="Arial" w:cs="Arial" w:eastAsia="Arial" w:hAnsi="Arial"/>
          <w:sz w:val="18"/>
          <w:szCs w:val="18"/>
          <w:color w:val="auto"/>
        </w:rPr>
        <w:t>: [***] or more years’ experience in information technology with at least [***] in a Project Manager or Team Lead role. Supplier Certified as a specialist in at least two applications or systems areas relevant to the Project. Demonstrated leadership experience, and solid communication skills; able to work independently and manage other employees.</w:t>
      </w:r>
    </w:p>
    <w:p>
      <w:pPr>
        <w:spacing w:after="0" w:line="75" w:lineRule="exact"/>
        <w:rPr>
          <w:rFonts w:ascii="Arial" w:cs="Arial" w:eastAsia="Arial" w:hAnsi="Arial"/>
          <w:sz w:val="18"/>
          <w:szCs w:val="18"/>
          <w:color w:val="auto"/>
        </w:rPr>
      </w:pPr>
    </w:p>
    <w:p>
      <w:pPr>
        <w:ind w:left="444" w:right="140"/>
        <w:spacing w:after="0" w:line="263" w:lineRule="auto"/>
        <w:rPr>
          <w:rFonts w:ascii="Arial" w:cs="Arial" w:eastAsia="Arial" w:hAnsi="Arial"/>
          <w:sz w:val="18"/>
          <w:szCs w:val="18"/>
          <w:color w:val="auto"/>
        </w:rPr>
      </w:pPr>
      <w:r>
        <w:rPr>
          <w:rFonts w:ascii="Arial" w:cs="Arial" w:eastAsia="Arial" w:hAnsi="Arial"/>
          <w:sz w:val="18"/>
          <w:szCs w:val="18"/>
          <w:u w:val="single" w:color="auto"/>
          <w:color w:val="auto"/>
        </w:rPr>
        <w:t>Senior Developer/Analyst</w:t>
      </w:r>
      <w:r>
        <w:rPr>
          <w:rFonts w:ascii="Arial" w:cs="Arial" w:eastAsia="Arial" w:hAnsi="Arial"/>
          <w:sz w:val="18"/>
          <w:szCs w:val="18"/>
          <w:color w:val="auto"/>
        </w:rPr>
        <w:t>: [***] or more years’ programming or equivalent technical experience; good communication skills; application design experience. Supplier Certified as a specialist in at least one application or system relevant to the Project. Ability to create clear, concise, and detailed design documents.</w:t>
      </w:r>
    </w:p>
    <w:p>
      <w:pPr>
        <w:spacing w:after="0" w:line="75" w:lineRule="exact"/>
        <w:rPr>
          <w:rFonts w:ascii="Arial" w:cs="Arial" w:eastAsia="Arial" w:hAnsi="Arial"/>
          <w:sz w:val="18"/>
          <w:szCs w:val="18"/>
          <w:color w:val="auto"/>
        </w:rPr>
      </w:pPr>
    </w:p>
    <w:p>
      <w:pPr>
        <w:ind w:left="444" w:right="80"/>
        <w:spacing w:after="0" w:line="277" w:lineRule="auto"/>
        <w:rPr>
          <w:rFonts w:ascii="Arial" w:cs="Arial" w:eastAsia="Arial" w:hAnsi="Arial"/>
          <w:sz w:val="18"/>
          <w:szCs w:val="18"/>
          <w:color w:val="auto"/>
        </w:rPr>
      </w:pPr>
      <w:r>
        <w:rPr>
          <w:rFonts w:ascii="Arial" w:cs="Arial" w:eastAsia="Arial" w:hAnsi="Arial"/>
          <w:sz w:val="18"/>
          <w:szCs w:val="18"/>
          <w:u w:val="single" w:color="auto"/>
          <w:color w:val="auto"/>
        </w:rPr>
        <w:t>Developer/Analyst</w:t>
      </w:r>
      <w:r>
        <w:rPr>
          <w:rFonts w:ascii="Arial" w:cs="Arial" w:eastAsia="Arial" w:hAnsi="Arial"/>
          <w:sz w:val="18"/>
          <w:szCs w:val="18"/>
          <w:color w:val="auto"/>
        </w:rPr>
        <w:t>: [***] or more years’ experience, program design and development experience; knowledge of applications or systems relevant to the Project; ability to write documentation and conduct unit and system level tests.</w:t>
      </w:r>
    </w:p>
    <w:p>
      <w:pPr>
        <w:spacing w:after="0" w:line="62" w:lineRule="exact"/>
        <w:rPr>
          <w:rFonts w:ascii="Arial" w:cs="Arial" w:eastAsia="Arial" w:hAnsi="Arial"/>
          <w:sz w:val="18"/>
          <w:szCs w:val="18"/>
          <w:color w:val="auto"/>
        </w:rPr>
      </w:pPr>
    </w:p>
    <w:p>
      <w:pPr>
        <w:ind w:left="444" w:right="880"/>
        <w:spacing w:after="0" w:line="342" w:lineRule="auto"/>
        <w:rPr>
          <w:rFonts w:ascii="Arial" w:cs="Arial" w:eastAsia="Arial" w:hAnsi="Arial"/>
          <w:sz w:val="18"/>
          <w:szCs w:val="18"/>
          <w:color w:val="auto"/>
        </w:rPr>
      </w:pPr>
      <w:r>
        <w:rPr>
          <w:rFonts w:ascii="Arial" w:cs="Arial" w:eastAsia="Arial" w:hAnsi="Arial"/>
          <w:sz w:val="16"/>
          <w:szCs w:val="16"/>
          <w:u w:val="single" w:color="auto"/>
          <w:color w:val="auto"/>
        </w:rPr>
        <w:t>Entry Level Developer</w:t>
      </w:r>
      <w:r>
        <w:rPr>
          <w:rFonts w:ascii="Arial" w:cs="Arial" w:eastAsia="Arial" w:hAnsi="Arial"/>
          <w:sz w:val="16"/>
          <w:szCs w:val="16"/>
          <w:color w:val="auto"/>
        </w:rPr>
        <w:t>: Entry Level, typically with a university degree or equivalent qualifications, with one year or less programming experience, knowledgeable of structured programming and computer science principles require to meet the needs of AT&amp;T.</w:t>
      </w:r>
    </w:p>
    <w:p>
      <w:pPr>
        <w:spacing w:after="0" w:line="15" w:lineRule="exact"/>
        <w:rPr>
          <w:rFonts w:ascii="Arial" w:cs="Arial" w:eastAsia="Arial" w:hAnsi="Arial"/>
          <w:sz w:val="18"/>
          <w:szCs w:val="18"/>
          <w:color w:val="auto"/>
        </w:rPr>
      </w:pPr>
    </w:p>
    <w:p>
      <w:pPr>
        <w:ind w:left="444" w:right="20"/>
        <w:spacing w:after="0" w:line="291" w:lineRule="auto"/>
        <w:rPr>
          <w:rFonts w:ascii="Arial" w:cs="Arial" w:eastAsia="Arial" w:hAnsi="Arial"/>
          <w:sz w:val="18"/>
          <w:szCs w:val="18"/>
          <w:color w:val="auto"/>
        </w:rPr>
      </w:pPr>
      <w:r>
        <w:rPr>
          <w:rFonts w:ascii="Arial" w:cs="Arial" w:eastAsia="Arial" w:hAnsi="Arial"/>
          <w:sz w:val="16"/>
          <w:szCs w:val="16"/>
          <w:u w:val="single" w:color="auto"/>
          <w:color w:val="auto"/>
        </w:rPr>
        <w:t>Senior System Architect</w:t>
      </w:r>
      <w:r>
        <w:rPr>
          <w:rFonts w:ascii="Arial" w:cs="Arial" w:eastAsia="Arial" w:hAnsi="Arial"/>
          <w:sz w:val="16"/>
          <w:szCs w:val="16"/>
          <w:color w:val="auto"/>
        </w:rPr>
        <w:t>: The Senior System Architect is responsible for the same activities as the System Architect but has a broader scope of responsibilities and more in-depth business and technical knowledge. Responsible for multiple Projects or large complex Projects with cross-functional teams and business processes. Demonstrates expert knowledge in multiple technical and business functional areas as well as performing a larger leadership role in the organization. Applies broad in-depth business and technical knowledge to establish technical direction and priorities. Resolves and works on issues across multiple functional areas. Effectively monitors and takes action to ensure coordination and effectiveness of all components and activities and decides on issues requiring escalation. Incumbents understand the system flow for a Project throughout an entire functional area (e.g., Billing, Customer Care), not just a subsystem area. He or she has medium to long range planning responsibilities.</w:t>
      </w:r>
    </w:p>
    <w:p>
      <w:pPr>
        <w:spacing w:after="0" w:line="58" w:lineRule="exact"/>
        <w:rPr>
          <w:rFonts w:ascii="Arial" w:cs="Arial" w:eastAsia="Arial" w:hAnsi="Arial"/>
          <w:sz w:val="18"/>
          <w:szCs w:val="18"/>
          <w:color w:val="auto"/>
        </w:rPr>
      </w:pPr>
    </w:p>
    <w:p>
      <w:pPr>
        <w:ind w:left="444" w:right="80"/>
        <w:spacing w:after="0" w:line="263" w:lineRule="auto"/>
        <w:rPr>
          <w:rFonts w:ascii="Arial" w:cs="Arial" w:eastAsia="Arial" w:hAnsi="Arial"/>
          <w:sz w:val="18"/>
          <w:szCs w:val="18"/>
          <w:color w:val="auto"/>
        </w:rPr>
      </w:pPr>
      <w:r>
        <w:rPr>
          <w:rFonts w:ascii="Arial" w:cs="Arial" w:eastAsia="Arial" w:hAnsi="Arial"/>
          <w:sz w:val="18"/>
          <w:szCs w:val="18"/>
          <w:u w:val="single" w:color="auto"/>
          <w:color w:val="auto"/>
        </w:rPr>
        <w:t>System Architect</w:t>
      </w:r>
      <w:r>
        <w:rPr>
          <w:rFonts w:ascii="Arial" w:cs="Arial" w:eastAsia="Arial" w:hAnsi="Arial"/>
          <w:sz w:val="18"/>
          <w:szCs w:val="18"/>
          <w:color w:val="auto"/>
        </w:rPr>
        <w:t>: Responsible for providing technical system solutions and determining overall design direction. Provides technical leadership and is responsible for the technical integrity within a subsystem or application. Also provides technical expertise to generate maintainable, quality solutions. Includes documenting system requirements, creating application designs, validating high</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99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22" w:name="page223"/>
    <w:bookmarkEnd w:id="222"/>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44" w:right="260"/>
        <w:spacing w:after="0" w:line="259" w:lineRule="auto"/>
        <w:rPr>
          <w:sz w:val="20"/>
          <w:szCs w:val="20"/>
          <w:color w:val="auto"/>
        </w:rPr>
      </w:pPr>
      <w:r>
        <w:rPr>
          <w:rFonts w:ascii="Arial" w:cs="Arial" w:eastAsia="Arial" w:hAnsi="Arial"/>
          <w:sz w:val="18"/>
          <w:szCs w:val="18"/>
          <w:color w:val="auto"/>
        </w:rPr>
        <w:t>level designs to ensure accuracy and completeness against the business requirements, and programming the solutions. Attends Project meetings when technical advice is needed and communicates the Project design to other architects. May resolve design issues and develop strategies to make ongoing improvements that support system flexibility and performance. Assesses the technical feasibility of new technologies to enable integration into existing processes.</w:t>
      </w:r>
    </w:p>
    <w:p>
      <w:pPr>
        <w:spacing w:after="0" w:line="79" w:lineRule="exact"/>
        <w:rPr>
          <w:sz w:val="20"/>
          <w:szCs w:val="20"/>
          <w:color w:val="auto"/>
        </w:rPr>
      </w:pPr>
    </w:p>
    <w:p>
      <w:pPr>
        <w:ind w:left="444" w:right="20"/>
        <w:spacing w:after="0" w:line="269" w:lineRule="auto"/>
        <w:rPr>
          <w:sz w:val="20"/>
          <w:szCs w:val="20"/>
          <w:color w:val="auto"/>
        </w:rPr>
      </w:pPr>
      <w:r>
        <w:rPr>
          <w:rFonts w:ascii="Arial" w:cs="Arial" w:eastAsia="Arial" w:hAnsi="Arial"/>
          <w:sz w:val="17"/>
          <w:szCs w:val="17"/>
          <w:u w:val="single" w:color="auto"/>
          <w:color w:val="auto"/>
        </w:rPr>
        <w:t>Senior Data Base Administrator</w:t>
      </w:r>
      <w:r>
        <w:rPr>
          <w:rFonts w:ascii="Arial" w:cs="Arial" w:eastAsia="Arial" w:hAnsi="Arial"/>
          <w:sz w:val="17"/>
          <w:szCs w:val="17"/>
          <w:color w:val="auto"/>
        </w:rPr>
        <w:t>: Responsible for high level database administration and related tasks on multiple DMBS platforms. Participates in the evaluation, selection, and implementation of appropriate DBMS based on client requirements. May create logical model and transform logical design into efficient physical databases, performing data normalization/denormalization, and considering volume, capacity, and requirements for performance, data conversion, purge/archive, and operation viability. Responsible for implementing database architecture strategies. Manages database administration projects that may span across parts of the enterprise and ensures that deliverables are completed on time. Strives to drive overall costs lower for database performance, data conversion, and administration services. Acts as consultant to clients and other IT organizations on database-related issues. Leads efforts to implement standards across the enterprise for ease of support and recovery in relation to database administration (database security, disaster recovery, scripts, and database documentation). Evaluates and deploys new technology to improve database efficiency and recoverability. Performs advanced problem determination and recoveries. Mentors Database Administrators and Associate Analysts.</w:t>
      </w:r>
    </w:p>
    <w:p>
      <w:pPr>
        <w:spacing w:after="0" w:line="77" w:lineRule="exact"/>
        <w:rPr>
          <w:sz w:val="20"/>
          <w:szCs w:val="20"/>
          <w:color w:val="auto"/>
        </w:rPr>
      </w:pPr>
    </w:p>
    <w:p>
      <w:pPr>
        <w:ind w:left="444" w:right="20"/>
        <w:spacing w:after="0" w:line="291" w:lineRule="auto"/>
        <w:rPr>
          <w:sz w:val="20"/>
          <w:szCs w:val="20"/>
          <w:color w:val="auto"/>
        </w:rPr>
      </w:pPr>
      <w:r>
        <w:rPr>
          <w:rFonts w:ascii="Arial" w:cs="Arial" w:eastAsia="Arial" w:hAnsi="Arial"/>
          <w:sz w:val="16"/>
          <w:szCs w:val="16"/>
          <w:u w:val="single" w:color="auto"/>
          <w:color w:val="auto"/>
        </w:rPr>
        <w:t>Database Administrator</w:t>
      </w:r>
      <w:r>
        <w:rPr>
          <w:rFonts w:ascii="Arial" w:cs="Arial" w:eastAsia="Arial" w:hAnsi="Arial"/>
          <w:sz w:val="16"/>
          <w:szCs w:val="16"/>
          <w:color w:val="auto"/>
        </w:rPr>
        <w:t>: Responsible for database administration and related tasks on one or more DMBS platforms. Under the guidance of the Sr. DBA, may create logical model and transform logical design into efficient physical databases, performing data normalization/denormalization, and considering volume, capacity, and requirements for performance, data conversion, purge/archive and operation viability. Responsible for meeting assigned deliverables. Responsible for assisting in driving overall costs lower for database performance, data conversion, and administration services. Works with clients and other IT organizations to ensure positive impact. May consult with clients on database admin-related issues and design considerations. Implements standards across the enterprise for ease of support and recovery in relation to database administration (database security, disaster recovery, scripts, and database documentation standards).</w:t>
      </w:r>
    </w:p>
    <w:p>
      <w:pPr>
        <w:spacing w:after="0" w:line="72" w:lineRule="exact"/>
        <w:rPr>
          <w:sz w:val="20"/>
          <w:szCs w:val="20"/>
          <w:color w:val="auto"/>
        </w:rPr>
      </w:pPr>
    </w:p>
    <w:p>
      <w:pPr>
        <w:ind w:left="424" w:hanging="424"/>
        <w:spacing w:after="0"/>
        <w:tabs>
          <w:tab w:leader="none" w:pos="424" w:val="left"/>
        </w:tabs>
        <w:numPr>
          <w:ilvl w:val="0"/>
          <w:numId w:val="222"/>
        </w:numPr>
        <w:rPr>
          <w:rFonts w:ascii="Arial" w:cs="Arial" w:eastAsia="Arial" w:hAnsi="Arial"/>
          <w:sz w:val="18"/>
          <w:szCs w:val="18"/>
          <w:color w:val="auto"/>
        </w:rPr>
      </w:pPr>
      <w:r>
        <w:rPr>
          <w:rFonts w:ascii="Arial" w:cs="Arial" w:eastAsia="Arial" w:hAnsi="Arial"/>
          <w:sz w:val="18"/>
          <w:szCs w:val="18"/>
          <w:color w:val="auto"/>
        </w:rPr>
        <w:t>Rates</w:t>
      </w:r>
    </w:p>
    <w:p>
      <w:pPr>
        <w:spacing w:after="0" w:line="130" w:lineRule="exact"/>
        <w:rPr>
          <w:rFonts w:ascii="Arial" w:cs="Arial" w:eastAsia="Arial" w:hAnsi="Arial"/>
          <w:sz w:val="18"/>
          <w:szCs w:val="18"/>
          <w:color w:val="auto"/>
        </w:rPr>
      </w:pPr>
    </w:p>
    <w:p>
      <w:pPr>
        <w:ind w:left="964" w:right="580" w:hanging="532"/>
        <w:spacing w:after="0" w:line="277" w:lineRule="auto"/>
        <w:tabs>
          <w:tab w:leader="none" w:pos="9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All rates defined below are based on a fixed price monthly amount of [***], and are applicable to new Orders, additions of scope to existing Orders, and extensions of existing Orders executed between the Parties against this Agreement.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Consulting Services</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The fixed price for Consulting Services is a [***] of [***]</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Non-Consulting and Requirements Services</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The fixed price for Non-Consulting and Requirements Services is a [***] of [***]</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Production Support Services</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The fixed price for Production Support Services is a [***] of [***]</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Development Services</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The fixed price for Development Services is a [***] of [***]</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Testing Services</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The fixed price for Testing Services is a [***] of [***]</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100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Supplier Material prices will be handled in an Order.</w:t>
      </w:r>
    </w:p>
    <w:p>
      <w:pPr>
        <w:spacing w:after="0" w:line="131" w:lineRule="exact"/>
        <w:rPr>
          <w:sz w:val="20"/>
          <w:szCs w:val="20"/>
          <w:color w:val="auto"/>
        </w:rPr>
      </w:pPr>
    </w:p>
    <w:p>
      <w:pPr>
        <w:ind w:left="424" w:hanging="424"/>
        <w:spacing w:after="0"/>
        <w:tabs>
          <w:tab w:leader="none" w:pos="424"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Maintenance Fees: Maintenance Fees shall be set forth in the applicable Order.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101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Appendix B – Forms of Order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102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Appendix B, Exhibit 1 – For Orders Requiring Signature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103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Order</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 53258.W.&lt;XXX&gt;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Between</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Amdocs Development Limited</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AT&amp;T Services, Inc.</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104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Order</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Order is by and between Amdocs Development Limited, a Cyprus corporation (“Supplier” or “Amdocs”), and AT&amp;T Services, Inc., a Delaware corporation (“AT&amp;T”), and shall be governed pursuant to the terms and conditions of Master Services Agreement Number 53258.C (as amended, the “Master Services Agreement”), which by this reference are incorporated as if fully set forth herein. Any terms and conditions in this Order that vary from or are inconsistent with the terms and conditions of the Master Services Agreement shall apply to this Order only, and shall survive the termination or expiration of the Master Services Agreement.</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avoidance of doubt, terms and conditions preprinted on any Purchase Order or Purchase Order acceptance or acknowledgement (if any) shall not be given any effect as they are superseded by the terms and conditions herein.</w:t>
      </w:r>
    </w:p>
    <w:p>
      <w:pPr>
        <w:spacing w:after="0" w:line="76" w:lineRule="exact"/>
        <w:rPr>
          <w:sz w:val="20"/>
          <w:szCs w:val="20"/>
          <w:color w:val="auto"/>
        </w:rPr>
      </w:pPr>
    </w:p>
    <w:p>
      <w:pPr>
        <w:ind w:left="960" w:hanging="532"/>
        <w:spacing w:after="0"/>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AT&amp;T Agreement Number: 53258.W.&lt;XXX&gt; must appear on all invoices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Amdocs Order Number: &lt;Enter No.&gt;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Term of Services: Effective dates are &lt;Month, DD, YYYY&gt;, through &lt;Month, DD, YYYY&gt;.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Project Name and Description: &lt;Enter Details&gt;</w:t>
      </w:r>
    </w:p>
    <w:p>
      <w:pPr>
        <w:spacing w:after="0" w:line="130" w:lineRule="exact"/>
        <w:rPr>
          <w:rFonts w:ascii="Arial" w:cs="Arial" w:eastAsia="Arial" w:hAnsi="Arial"/>
          <w:sz w:val="18"/>
          <w:szCs w:val="18"/>
          <w:color w:val="auto"/>
        </w:rPr>
      </w:pPr>
    </w:p>
    <w:p>
      <w:pPr>
        <w:ind w:left="980" w:right="3880" w:hanging="552"/>
        <w:spacing w:after="0" w:line="383" w:lineRule="auto"/>
        <w:tabs>
          <w:tab w:leader="none" w:pos="961"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The Custom Software and Program Material and/or Scope of Other Services Ordered: This Order is to &lt;Enter specific details&gt;</w:t>
      </w:r>
    </w:p>
    <w:p>
      <w:pPr>
        <w:ind w:left="960" w:hanging="532"/>
        <w:spacing w:after="0"/>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Third Party Software: &lt;Enter here if any; “None” is acceptable&gt;</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Additional Items Ordered: &lt;Enter here if any; “None” is acceptable&gt;</w:t>
      </w:r>
    </w:p>
    <w:p>
      <w:pPr>
        <w:spacing w:after="0" w:line="130" w:lineRule="exact"/>
        <w:rPr>
          <w:rFonts w:ascii="Arial" w:cs="Arial" w:eastAsia="Arial" w:hAnsi="Arial"/>
          <w:sz w:val="18"/>
          <w:szCs w:val="18"/>
          <w:color w:val="auto"/>
        </w:rPr>
      </w:pPr>
    </w:p>
    <w:p>
      <w:pPr>
        <w:ind w:left="980" w:right="8420" w:hanging="552"/>
        <w:spacing w:after="0" w:line="431" w:lineRule="auto"/>
        <w:tabs>
          <w:tab w:leader="none" w:pos="967" w:val="left"/>
        </w:tabs>
        <w:numPr>
          <w:ilvl w:val="0"/>
          <w:numId w:val="224"/>
        </w:numPr>
        <w:rPr>
          <w:rFonts w:ascii="Arial" w:cs="Arial" w:eastAsia="Arial" w:hAnsi="Arial"/>
          <w:sz w:val="16"/>
          <w:szCs w:val="16"/>
          <w:color w:val="auto"/>
        </w:rPr>
      </w:pPr>
      <w:r>
        <w:rPr>
          <w:rFonts w:ascii="Arial" w:cs="Arial" w:eastAsia="Arial" w:hAnsi="Arial"/>
          <w:sz w:val="16"/>
          <w:szCs w:val="16"/>
          <w:color w:val="auto"/>
        </w:rPr>
        <w:t>Milestones/Resources: a. Milestones:</w:t>
      </w:r>
    </w:p>
    <w:p>
      <w:pPr>
        <w:ind w:left="1420" w:right="4400"/>
        <w:spacing w:after="0" w:line="483" w:lineRule="auto"/>
        <w:rPr>
          <w:rFonts w:ascii="Arial" w:cs="Arial" w:eastAsia="Arial" w:hAnsi="Arial"/>
          <w:sz w:val="16"/>
          <w:szCs w:val="16"/>
          <w:color w:val="auto"/>
        </w:rPr>
      </w:pPr>
      <w:r>
        <w:rPr>
          <w:rFonts w:ascii="Arial" w:cs="Arial" w:eastAsia="Arial" w:hAnsi="Arial"/>
          <w:sz w:val="16"/>
          <w:szCs w:val="16"/>
          <w:color w:val="auto"/>
        </w:rPr>
        <w:t>Planned milestones as of the Effective Date of this Order are as follows: &lt;Table below is an example and may be modified as required&gt;</w:t>
      </w:r>
    </w:p>
    <w:p>
      <w:pPr>
        <w:spacing w:after="0" w:line="38" w:lineRule="exact"/>
        <w:rPr>
          <w:sz w:val="20"/>
          <w:szCs w:val="20"/>
          <w:color w:val="auto"/>
        </w:rPr>
      </w:pPr>
    </w:p>
    <w:p>
      <w:pPr>
        <w:ind w:left="1320"/>
        <w:spacing w:after="0"/>
        <w:tabs>
          <w:tab w:leader="none" w:pos="7960" w:val="left"/>
          <w:tab w:leader="none" w:pos="9360" w:val="left"/>
        </w:tabs>
        <w:rPr>
          <w:sz w:val="20"/>
          <w:szCs w:val="20"/>
          <w:color w:val="auto"/>
        </w:rPr>
      </w:pPr>
      <w:r>
        <w:rPr>
          <w:rFonts w:ascii="Arial" w:cs="Arial" w:eastAsia="Arial" w:hAnsi="Arial"/>
          <w:sz w:val="14"/>
          <w:szCs w:val="14"/>
          <w:u w:val="single" w:color="auto"/>
          <w:color w:val="auto"/>
        </w:rPr>
        <w:t>Milestone No.</w:t>
      </w:r>
      <w:r>
        <w:rPr>
          <w:sz w:val="20"/>
          <w:szCs w:val="20"/>
          <w:color w:val="auto"/>
        </w:rPr>
        <w:tab/>
      </w:r>
      <w:r>
        <w:rPr>
          <w:rFonts w:ascii="Arial" w:cs="Arial" w:eastAsia="Arial" w:hAnsi="Arial"/>
          <w:sz w:val="14"/>
          <w:szCs w:val="14"/>
          <w:u w:val="single" w:color="auto"/>
          <w:color w:val="auto"/>
        </w:rPr>
        <w:t>Description</w:t>
      </w:r>
      <w:r>
        <w:rPr>
          <w:sz w:val="20"/>
          <w:szCs w:val="20"/>
          <w:color w:val="auto"/>
        </w:rPr>
        <w:tab/>
      </w:r>
      <w:r>
        <w:rPr>
          <w:rFonts w:ascii="Arial" w:cs="Arial" w:eastAsia="Arial" w:hAnsi="Arial"/>
          <w:sz w:val="12"/>
          <w:szCs w:val="12"/>
          <w:u w:val="single" w:color="auto"/>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12700</wp:posOffset>
            </wp:positionV>
            <wp:extent cx="5314950" cy="13716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1"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w:t>
      </w:r>
    </w:p>
    <w:p>
      <w:pPr>
        <w:spacing w:after="0" w:line="115" w:lineRule="exact"/>
        <w:rPr>
          <w:sz w:val="20"/>
          <w:szCs w:val="20"/>
          <w:color w:val="auto"/>
        </w:rPr>
      </w:pPr>
    </w:p>
    <w:p>
      <w:pPr>
        <w:ind w:left="1420" w:hanging="439"/>
        <w:spacing w:after="0"/>
        <w:tabs>
          <w:tab w:leader="none" w:pos="142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Offshore Resources:</w:t>
      </w:r>
    </w:p>
    <w:p>
      <w:pPr>
        <w:spacing w:after="0" w:line="117" w:lineRule="exact"/>
        <w:rPr>
          <w:sz w:val="20"/>
          <w:szCs w:val="20"/>
          <w:color w:val="auto"/>
        </w:rPr>
      </w:pPr>
    </w:p>
    <w:p>
      <w:pPr>
        <w:ind w:left="1420" w:right="600"/>
        <w:spacing w:after="0" w:line="277" w:lineRule="auto"/>
        <w:rPr>
          <w:sz w:val="20"/>
          <w:szCs w:val="20"/>
          <w:color w:val="auto"/>
        </w:rPr>
      </w:pPr>
      <w:r>
        <w:rPr>
          <w:rFonts w:ascii="Arial" w:cs="Arial" w:eastAsia="Arial" w:hAnsi="Arial"/>
          <w:sz w:val="18"/>
          <w:szCs w:val="18"/>
          <w:color w:val="auto"/>
        </w:rPr>
        <w:t>Amdocs Offshore resources working on this Order may be located at AT&amp;T-approved locations found in the Master Services Agreement, and at the following address(es):</w:t>
      </w:r>
    </w:p>
    <w:p>
      <w:pPr>
        <w:spacing w:after="0" w:line="6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&lt;Address Number Street and Room&gt;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&lt;City, State/Province Zip&gt;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&lt;Country&gt;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105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28" w:name="page229"/>
    <w:bookmarkEnd w:id="228"/>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80"/>
        <w:spacing w:after="0" w:line="277" w:lineRule="auto"/>
        <w:rPr>
          <w:sz w:val="20"/>
          <w:szCs w:val="20"/>
          <w:color w:val="auto"/>
        </w:rPr>
      </w:pPr>
      <w:r>
        <w:rPr>
          <w:rFonts w:ascii="Arial" w:cs="Arial" w:eastAsia="Arial" w:hAnsi="Arial"/>
          <w:sz w:val="18"/>
          <w:szCs w:val="18"/>
          <w:color w:val="auto"/>
        </w:rPr>
        <w:t>Amdocs Offshore resources can only access AT&amp;T Systems/data in accordance with the Master Services Agreement, Appendix D, “Security and Offshore Requirements”.</w:t>
      </w:r>
    </w:p>
    <w:p>
      <w:pPr>
        <w:spacing w:after="0" w:line="76" w:lineRule="exact"/>
        <w:rPr>
          <w:sz w:val="20"/>
          <w:szCs w:val="20"/>
          <w:color w:val="auto"/>
        </w:rPr>
      </w:pPr>
    </w:p>
    <w:p>
      <w:pPr>
        <w:ind w:left="1380" w:hanging="439"/>
        <w:spacing w:after="0"/>
        <w:tabs>
          <w:tab w:leader="none" w:pos="13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USA-Based Resources:</w:t>
      </w:r>
    </w:p>
    <w:p>
      <w:pPr>
        <w:spacing w:after="0" w:line="117" w:lineRule="exact"/>
        <w:rPr>
          <w:rFonts w:ascii="Arial" w:cs="Arial" w:eastAsia="Arial" w:hAnsi="Arial"/>
          <w:sz w:val="18"/>
          <w:szCs w:val="18"/>
          <w:color w:val="auto"/>
        </w:rPr>
      </w:pPr>
    </w:p>
    <w:p>
      <w:pPr>
        <w:ind w:left="1380" w:right="360"/>
        <w:spacing w:after="0" w:line="277" w:lineRule="auto"/>
        <w:rPr>
          <w:rFonts w:ascii="Arial" w:cs="Arial" w:eastAsia="Arial" w:hAnsi="Arial"/>
          <w:sz w:val="18"/>
          <w:szCs w:val="18"/>
          <w:color w:val="auto"/>
        </w:rPr>
      </w:pPr>
      <w:r>
        <w:rPr>
          <w:rFonts w:ascii="Arial" w:cs="Arial" w:eastAsia="Arial" w:hAnsi="Arial"/>
          <w:sz w:val="18"/>
          <w:szCs w:val="18"/>
          <w:color w:val="auto"/>
        </w:rPr>
        <w:t>Amdocs USA-based resources shall work pursuant to the general directions provided by AT&amp;T to Amdocs towards the assigned milestones but shall not in any way be deemed to be employees of AT&amp;T.</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Staffing Details:</w:t>
      </w:r>
    </w:p>
    <w:p>
      <w:pPr>
        <w:spacing w:after="0" w:line="117" w:lineRule="exact"/>
        <w:rPr>
          <w:rFonts w:ascii="Arial" w:cs="Arial" w:eastAsia="Arial" w:hAnsi="Arial"/>
          <w:sz w:val="18"/>
          <w:szCs w:val="18"/>
          <w:color w:val="auto"/>
        </w:rPr>
      </w:pPr>
    </w:p>
    <w:p>
      <w:pPr>
        <w:ind w:left="1380"/>
        <w:spacing w:after="0"/>
        <w:rPr>
          <w:rFonts w:ascii="Arial" w:cs="Arial" w:eastAsia="Arial" w:hAnsi="Arial"/>
          <w:sz w:val="18"/>
          <w:szCs w:val="18"/>
          <w:color w:val="auto"/>
        </w:rPr>
      </w:pPr>
      <w:r>
        <w:rPr>
          <w:rFonts w:ascii="Arial" w:cs="Arial" w:eastAsia="Arial" w:hAnsi="Arial"/>
          <w:sz w:val="18"/>
          <w:szCs w:val="18"/>
          <w:color w:val="auto"/>
        </w:rPr>
        <w:t>Planned roles and full time equivalent (“FTE”) resources needed:</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126" w:lineRule="exact"/>
        <w:rPr>
          <w:sz w:val="20"/>
          <w:szCs w:val="20"/>
          <w:color w:val="auto"/>
        </w:rPr>
      </w:pPr>
    </w:p>
    <w:p>
      <w:pPr>
        <w:ind w:left="840"/>
        <w:spacing w:after="0"/>
        <w:tabs>
          <w:tab w:leader="none" w:pos="6200" w:val="left"/>
          <w:tab w:leader="none" w:pos="8060" w:val="left"/>
          <w:tab w:leader="none" w:pos="9740" w:val="left"/>
        </w:tabs>
        <w:rPr>
          <w:sz w:val="20"/>
          <w:szCs w:val="20"/>
          <w:color w:val="auto"/>
        </w:rPr>
      </w:pPr>
      <w:r>
        <w:rPr>
          <w:rFonts w:ascii="Arial" w:cs="Arial" w:eastAsia="Arial" w:hAnsi="Arial"/>
          <w:sz w:val="14"/>
          <w:szCs w:val="14"/>
          <w:u w:val="single" w:color="auto"/>
          <w:color w:val="auto"/>
        </w:rPr>
        <w:t>Role</w:t>
      </w:r>
      <w:r>
        <w:rPr>
          <w:sz w:val="20"/>
          <w:szCs w:val="20"/>
          <w:color w:val="auto"/>
        </w:rPr>
        <w:tab/>
      </w:r>
      <w:r>
        <w:rPr>
          <w:rFonts w:ascii="Arial" w:cs="Arial" w:eastAsia="Arial" w:hAnsi="Arial"/>
          <w:sz w:val="14"/>
          <w:szCs w:val="14"/>
          <w:u w:val="single" w:color="auto"/>
          <w:color w:val="auto"/>
        </w:rPr>
        <w:t>USA-Based FTEs</w:t>
      </w:r>
      <w:r>
        <w:rPr>
          <w:sz w:val="20"/>
          <w:szCs w:val="20"/>
          <w:color w:val="auto"/>
        </w:rPr>
        <w:tab/>
      </w:r>
      <w:r>
        <w:rPr>
          <w:rFonts w:ascii="Arial" w:cs="Arial" w:eastAsia="Arial" w:hAnsi="Arial"/>
          <w:sz w:val="14"/>
          <w:szCs w:val="14"/>
          <w:u w:val="single" w:color="auto"/>
          <w:color w:val="auto"/>
        </w:rPr>
        <w:t>Offshore FTEs</w:t>
      </w:r>
      <w:r>
        <w:rPr>
          <w:sz w:val="20"/>
          <w:szCs w:val="20"/>
          <w:color w:val="auto"/>
        </w:rPr>
        <w:tab/>
      </w:r>
      <w:r>
        <w:rPr>
          <w:rFonts w:ascii="Arial" w:cs="Arial" w:eastAsia="Arial" w:hAnsi="Arial"/>
          <w:sz w:val="12"/>
          <w:szCs w:val="12"/>
          <w:u w:val="single" w:color="auto"/>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12700</wp:posOffset>
            </wp:positionV>
            <wp:extent cx="5871845" cy="1371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323" w:lineRule="exact"/>
        <w:rPr>
          <w:sz w:val="20"/>
          <w:szCs w:val="20"/>
          <w:color w:val="auto"/>
        </w:rPr>
      </w:pPr>
    </w:p>
    <w:p>
      <w:pPr>
        <w:ind w:left="920" w:hanging="532"/>
        <w:spacing w:after="0"/>
        <w:tabs>
          <w:tab w:leader="none" w:pos="920" w:val="left"/>
        </w:tabs>
        <w:numPr>
          <w:ilvl w:val="0"/>
          <w:numId w:val="227"/>
        </w:numPr>
        <w:rPr>
          <w:rFonts w:ascii="Arial" w:cs="Arial" w:eastAsia="Arial" w:hAnsi="Arial"/>
          <w:sz w:val="18"/>
          <w:szCs w:val="18"/>
          <w:color w:val="auto"/>
        </w:rPr>
      </w:pPr>
      <w:r>
        <w:rPr>
          <w:rFonts w:ascii="Arial" w:cs="Arial" w:eastAsia="Arial" w:hAnsi="Arial"/>
          <w:sz w:val="18"/>
          <w:szCs w:val="18"/>
          <w:color w:val="auto"/>
        </w:rPr>
        <w:t>Deliverables/Release Items:</w:t>
      </w:r>
    </w:p>
    <w:p>
      <w:pPr>
        <w:spacing w:after="0" w:line="117" w:lineRule="exact"/>
        <w:rPr>
          <w:rFonts w:ascii="Arial" w:cs="Arial" w:eastAsia="Arial" w:hAnsi="Arial"/>
          <w:sz w:val="18"/>
          <w:szCs w:val="18"/>
          <w:color w:val="auto"/>
        </w:rPr>
      </w:pPr>
    </w:p>
    <w:p>
      <w:pPr>
        <w:ind w:left="1380" w:right="1440" w:hanging="441"/>
        <w:spacing w:after="0" w:line="380" w:lineRule="auto"/>
        <w:rPr>
          <w:rFonts w:ascii="Arial" w:cs="Arial" w:eastAsia="Arial" w:hAnsi="Arial"/>
          <w:sz w:val="18"/>
          <w:szCs w:val="18"/>
          <w:color w:val="auto"/>
        </w:rPr>
      </w:pPr>
      <w:r>
        <w:rPr>
          <w:rFonts w:ascii="Arial" w:cs="Arial" w:eastAsia="Arial" w:hAnsi="Arial"/>
          <w:sz w:val="18"/>
          <w:szCs w:val="18"/>
          <w:color w:val="auto"/>
        </w:rPr>
        <w:t>Amdocs will provide the deliverables and/or release items for the Project as defined in this Section and the table below. &lt;Table below is an example and may be modified as required&gt;</w:t>
      </w:r>
    </w:p>
    <w:tbl>
      <w:tblPr>
        <w:tblLayout w:type="fixed"/>
        <w:tblInd w:w="840" w:type="dxa"/>
        <w:tblCellMar>
          <w:top w:w="0" w:type="dxa"/>
          <w:left w:w="0" w:type="dxa"/>
          <w:bottom w:w="0" w:type="dxa"/>
          <w:right w:w="0" w:type="dxa"/>
        </w:tblCellMar>
      </w:tblPr>
      <w:tr>
        <w:trPr>
          <w:trHeight w:val="150"/>
        </w:trPr>
        <w:tc>
          <w:tcPr>
            <w:tcW w:w="840" w:type="dxa"/>
            <w:vAlign w:val="bottom"/>
            <w:vMerge w:val="restart"/>
          </w:tcPr>
          <w:p>
            <w:pPr>
              <w:spacing w:after="0"/>
              <w:rPr>
                <w:sz w:val="20"/>
                <w:szCs w:val="20"/>
                <w:color w:val="auto"/>
              </w:rPr>
            </w:pPr>
            <w:r>
              <w:rPr>
                <w:rFonts w:ascii="Arial" w:cs="Arial" w:eastAsia="Arial" w:hAnsi="Arial"/>
                <w:sz w:val="14"/>
                <w:szCs w:val="14"/>
                <w:color w:val="auto"/>
                <w:w w:val="95"/>
              </w:rPr>
              <w:t>Milestone No.</w:t>
            </w:r>
          </w:p>
        </w:tc>
        <w:tc>
          <w:tcPr>
            <w:tcW w:w="4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940" w:type="dxa"/>
            <w:vAlign w:val="bottom"/>
            <w:gridSpan w:val="2"/>
          </w:tcPr>
          <w:p>
            <w:pPr>
              <w:jc w:val="center"/>
              <w:ind w:left="728"/>
              <w:spacing w:after="0" w:line="150" w:lineRule="exact"/>
              <w:rPr>
                <w:sz w:val="20"/>
                <w:szCs w:val="20"/>
                <w:color w:val="auto"/>
              </w:rPr>
            </w:pPr>
            <w:r>
              <w:rPr>
                <w:rFonts w:ascii="Arial" w:cs="Arial" w:eastAsia="Arial" w:hAnsi="Arial"/>
                <w:sz w:val="14"/>
                <w:szCs w:val="14"/>
                <w:color w:val="auto"/>
                <w:w w:val="94"/>
              </w:rPr>
              <w:t>Estimated Delivery</w:t>
            </w:r>
          </w:p>
        </w:tc>
        <w:tc>
          <w:tcPr>
            <w:tcW w:w="0" w:type="dxa"/>
            <w:vAlign w:val="bottom"/>
          </w:tcPr>
          <w:p>
            <w:pPr>
              <w:spacing w:after="0"/>
              <w:rPr>
                <w:sz w:val="1"/>
                <w:szCs w:val="1"/>
                <w:color w:val="auto"/>
              </w:rPr>
            </w:pPr>
          </w:p>
        </w:tc>
      </w:tr>
      <w:tr>
        <w:trPr>
          <w:trHeight w:val="154"/>
        </w:trPr>
        <w:tc>
          <w:tcPr>
            <w:tcW w:w="840" w:type="dxa"/>
            <w:vAlign w:val="bottom"/>
            <w:vMerge w:val="continue"/>
          </w:tcPr>
          <w:p>
            <w:pPr>
              <w:spacing w:after="0"/>
              <w:rPr>
                <w:sz w:val="13"/>
                <w:szCs w:val="13"/>
                <w:color w:val="auto"/>
              </w:rPr>
            </w:pPr>
          </w:p>
        </w:tc>
        <w:tc>
          <w:tcPr>
            <w:tcW w:w="5000" w:type="dxa"/>
            <w:vAlign w:val="bottom"/>
            <w:gridSpan w:val="2"/>
          </w:tcPr>
          <w:p>
            <w:pPr>
              <w:ind w:left="4320"/>
              <w:spacing w:after="0" w:line="154" w:lineRule="exact"/>
              <w:rPr>
                <w:sz w:val="20"/>
                <w:szCs w:val="20"/>
                <w:color w:val="auto"/>
              </w:rPr>
            </w:pPr>
            <w:r>
              <w:rPr>
                <w:rFonts w:ascii="Arial" w:cs="Arial" w:eastAsia="Arial" w:hAnsi="Arial"/>
                <w:sz w:val="14"/>
                <w:szCs w:val="14"/>
                <w:color w:val="auto"/>
                <w:w w:val="94"/>
              </w:rPr>
              <w:t>Deliverable</w:t>
            </w:r>
          </w:p>
        </w:tc>
        <w:tc>
          <w:tcPr>
            <w:tcW w:w="1480" w:type="dxa"/>
            <w:vAlign w:val="bottom"/>
            <w:gridSpan w:val="2"/>
          </w:tcPr>
          <w:p>
            <w:pPr>
              <w:ind w:left="800"/>
              <w:spacing w:after="0" w:line="154" w:lineRule="exact"/>
              <w:rPr>
                <w:sz w:val="20"/>
                <w:szCs w:val="20"/>
                <w:color w:val="auto"/>
              </w:rPr>
            </w:pPr>
            <w:r>
              <w:rPr>
                <w:rFonts w:ascii="Arial" w:cs="Arial" w:eastAsia="Arial" w:hAnsi="Arial"/>
                <w:sz w:val="14"/>
                <w:szCs w:val="14"/>
                <w:color w:val="auto"/>
                <w:w w:val="94"/>
              </w:rPr>
              <w:t>Description</w:t>
            </w:r>
          </w:p>
        </w:tc>
        <w:tc>
          <w:tcPr>
            <w:tcW w:w="820" w:type="dxa"/>
            <w:vAlign w:val="bottom"/>
          </w:tcPr>
          <w:p>
            <w:pPr>
              <w:spacing w:after="0"/>
              <w:rPr>
                <w:sz w:val="13"/>
                <w:szCs w:val="13"/>
                <w:color w:val="auto"/>
              </w:rPr>
            </w:pPr>
          </w:p>
        </w:tc>
        <w:tc>
          <w:tcPr>
            <w:tcW w:w="1120" w:type="dxa"/>
            <w:vAlign w:val="bottom"/>
          </w:tcPr>
          <w:p>
            <w:pPr>
              <w:jc w:val="center"/>
              <w:spacing w:after="0" w:line="154" w:lineRule="exact"/>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27"/>
        </w:trPr>
        <w:tc>
          <w:tcPr>
            <w:tcW w:w="840" w:type="dxa"/>
            <w:vAlign w:val="bottom"/>
            <w:shd w:val="clear" w:color="auto" w:fill="000000"/>
          </w:tcPr>
          <w:p>
            <w:pPr>
              <w:spacing w:after="0"/>
              <w:rPr>
                <w:sz w:val="2"/>
                <w:szCs w:val="2"/>
                <w:color w:val="auto"/>
              </w:rPr>
            </w:pPr>
          </w:p>
        </w:tc>
        <w:tc>
          <w:tcPr>
            <w:tcW w:w="43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920" w:right="420" w:hanging="532"/>
        <w:spacing w:after="0" w:line="277" w:lineRule="auto"/>
        <w:tabs>
          <w:tab w:leader="none" w:pos="920"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Application Components: &lt;Enter details below, “None” is acceptable and delete table&gt; The following applications are included in the scope of this Order.</w:t>
      </w:r>
    </w:p>
    <w:p>
      <w:pPr>
        <w:spacing w:after="0" w:line="71" w:lineRule="exact"/>
        <w:rPr>
          <w:sz w:val="20"/>
          <w:szCs w:val="20"/>
          <w:color w:val="auto"/>
        </w:rPr>
      </w:pPr>
    </w:p>
    <w:tbl>
      <w:tblPr>
        <w:tblLayout w:type="fixed"/>
        <w:tblInd w:w="1280" w:type="dxa"/>
        <w:tblCellMar>
          <w:top w:w="0" w:type="dxa"/>
          <w:left w:w="0" w:type="dxa"/>
          <w:bottom w:w="0" w:type="dxa"/>
          <w:right w:w="0" w:type="dxa"/>
        </w:tblCellMar>
      </w:tblPr>
      <w:tr>
        <w:trPr>
          <w:trHeight w:val="167"/>
        </w:trPr>
        <w:tc>
          <w:tcPr>
            <w:tcW w:w="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9"/>
              </w:rPr>
              <w:t>MOTS ID</w:t>
            </w:r>
          </w:p>
        </w:tc>
        <w:tc>
          <w:tcPr>
            <w:tcW w:w="360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color w:val="auto"/>
              </w:rPr>
              <w:t>Application Name</w:t>
            </w:r>
          </w:p>
        </w:tc>
        <w:tc>
          <w:tcPr>
            <w:tcW w:w="1980" w:type="dxa"/>
            <w:vAlign w:val="bottom"/>
            <w:gridSpan w:val="2"/>
          </w:tcPr>
          <w:p>
            <w:pPr>
              <w:jc w:val="right"/>
              <w:ind w:right="200"/>
              <w:spacing w:after="0"/>
              <w:rPr>
                <w:sz w:val="20"/>
                <w:szCs w:val="20"/>
                <w:color w:val="auto"/>
              </w:rPr>
            </w:pPr>
            <w:r>
              <w:rPr>
                <w:rFonts w:ascii="Arial" w:cs="Arial" w:eastAsia="Arial" w:hAnsi="Arial"/>
                <w:sz w:val="14"/>
                <w:szCs w:val="14"/>
                <w:color w:val="auto"/>
                <w:w w:val="93"/>
              </w:rPr>
              <w:t>% of time spent on Application</w:t>
            </w:r>
          </w:p>
        </w:tc>
        <w:tc>
          <w:tcPr>
            <w:tcW w:w="0" w:type="dxa"/>
            <w:vAlign w:val="bottom"/>
          </w:tcPr>
          <w:p>
            <w:pPr>
              <w:spacing w:after="0"/>
              <w:rPr>
                <w:sz w:val="1"/>
                <w:szCs w:val="1"/>
                <w:color w:val="auto"/>
              </w:rPr>
            </w:pPr>
          </w:p>
        </w:tc>
      </w:tr>
      <w:tr>
        <w:trPr>
          <w:trHeight w:val="20"/>
        </w:trPr>
        <w:tc>
          <w:tcPr>
            <w:tcW w:w="6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w:t>
            </w:r>
          </w:p>
        </w:tc>
        <w:tc>
          <w:tcPr>
            <w:tcW w:w="360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0" w:type="dxa"/>
            <w:vAlign w:val="bottom"/>
            <w:vMerge w:val="continue"/>
            <w:shd w:val="clear" w:color="auto" w:fill="CCEEFF"/>
          </w:tcPr>
          <w:p>
            <w:pPr>
              <w:spacing w:after="0"/>
              <w:rPr>
                <w:sz w:val="17"/>
                <w:szCs w:val="17"/>
                <w:color w:val="auto"/>
              </w:rPr>
            </w:pPr>
          </w:p>
        </w:tc>
        <w:tc>
          <w:tcPr>
            <w:tcW w:w="36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98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920" w:hanging="532"/>
        <w:spacing w:after="0"/>
        <w:tabs>
          <w:tab w:leader="none" w:pos="9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Amdocs Responsibilities: &lt;Enter details below, “None” is acceptable&gt;</w:t>
      </w:r>
    </w:p>
    <w:p>
      <w:pPr>
        <w:spacing w:after="0" w:line="117"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In addition to providing the deliverables herein, Amdocs will be responsible for the following:</w:t>
      </w:r>
    </w:p>
    <w:p>
      <w:pPr>
        <w:spacing w:after="0" w:line="130" w:lineRule="exact"/>
        <w:rPr>
          <w:rFonts w:ascii="Arial" w:cs="Arial" w:eastAsia="Arial" w:hAnsi="Arial"/>
          <w:sz w:val="18"/>
          <w:szCs w:val="18"/>
          <w:color w:val="auto"/>
        </w:rPr>
      </w:pPr>
    </w:p>
    <w:p>
      <w:pPr>
        <w:ind w:left="2040" w:hanging="545"/>
        <w:spacing w:after="0"/>
        <w:tabs>
          <w:tab w:leader="none" w:pos="20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&lt;List additional Amdocs Responsibilities&gt;</w:t>
      </w:r>
    </w:p>
    <w:p>
      <w:pPr>
        <w:spacing w:after="0" w:line="130" w:lineRule="exact"/>
        <w:rPr>
          <w:rFonts w:ascii="Arial" w:cs="Arial" w:eastAsia="Arial" w:hAnsi="Arial"/>
          <w:sz w:val="18"/>
          <w:szCs w:val="18"/>
          <w:color w:val="auto"/>
        </w:rPr>
      </w:pPr>
    </w:p>
    <w:p>
      <w:pPr>
        <w:ind w:left="920" w:hanging="532"/>
        <w:spacing w:after="0"/>
        <w:tabs>
          <w:tab w:leader="none" w:pos="92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AT&amp;T Responsibilities: &lt;Enter details below, “None” is acceptable&gt;</w:t>
      </w:r>
    </w:p>
    <w:p>
      <w:pPr>
        <w:spacing w:after="0" w:line="117" w:lineRule="exact"/>
        <w:rPr>
          <w:rFonts w:ascii="Arial" w:cs="Arial" w:eastAsia="Arial" w:hAnsi="Arial"/>
          <w:sz w:val="18"/>
          <w:szCs w:val="18"/>
          <w:color w:val="auto"/>
        </w:rPr>
      </w:pPr>
    </w:p>
    <w:p>
      <w:pPr>
        <w:ind w:left="940" w:right="560"/>
        <w:spacing w:after="0" w:line="277" w:lineRule="auto"/>
        <w:rPr>
          <w:rFonts w:ascii="Arial" w:cs="Arial" w:eastAsia="Arial" w:hAnsi="Arial"/>
          <w:sz w:val="18"/>
          <w:szCs w:val="18"/>
          <w:color w:val="auto"/>
        </w:rPr>
      </w:pPr>
      <w:r>
        <w:rPr>
          <w:rFonts w:ascii="Arial" w:cs="Arial" w:eastAsia="Arial" w:hAnsi="Arial"/>
          <w:sz w:val="18"/>
          <w:szCs w:val="18"/>
          <w:color w:val="auto"/>
        </w:rPr>
        <w:t>In addition to AT&amp;T Responsibilities defined in Section 3.43g of the Master Services Agreement, AT&amp;T will be responsible for the following:</w:t>
      </w:r>
    </w:p>
    <w:p>
      <w:pPr>
        <w:spacing w:after="0" w:line="75" w:lineRule="exact"/>
        <w:rPr>
          <w:rFonts w:ascii="Arial" w:cs="Arial" w:eastAsia="Arial" w:hAnsi="Arial"/>
          <w:sz w:val="18"/>
          <w:szCs w:val="18"/>
          <w:color w:val="auto"/>
        </w:rPr>
      </w:pPr>
    </w:p>
    <w:p>
      <w:pPr>
        <w:ind w:left="2040" w:hanging="545"/>
        <w:spacing w:after="0"/>
        <w:tabs>
          <w:tab w:leader="none" w:pos="204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&lt;List additional AT&amp;T Responsibilities&gt;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106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920" w:hanging="532"/>
        <w:spacing w:after="0"/>
        <w:tabs>
          <w:tab w:leader="none" w:pos="9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Compensation:</w:t>
      </w:r>
    </w:p>
    <w:p>
      <w:pPr>
        <w:spacing w:after="0" w:line="117" w:lineRule="exact"/>
        <w:rPr>
          <w:rFonts w:ascii="Arial" w:cs="Arial" w:eastAsia="Arial" w:hAnsi="Arial"/>
          <w:sz w:val="18"/>
          <w:szCs w:val="18"/>
          <w:color w:val="auto"/>
        </w:rPr>
      </w:pPr>
    </w:p>
    <w:p>
      <w:pPr>
        <w:ind w:left="940" w:right="140"/>
        <w:spacing w:after="0" w:line="342" w:lineRule="auto"/>
        <w:rPr>
          <w:rFonts w:ascii="Arial" w:cs="Arial" w:eastAsia="Arial" w:hAnsi="Arial"/>
          <w:sz w:val="18"/>
          <w:szCs w:val="18"/>
          <w:color w:val="auto"/>
        </w:rPr>
      </w:pPr>
      <w:r>
        <w:rPr>
          <w:rFonts w:ascii="Arial" w:cs="Arial" w:eastAsia="Arial" w:hAnsi="Arial"/>
          <w:sz w:val="16"/>
          <w:szCs w:val="16"/>
          <w:color w:val="auto"/>
        </w:rPr>
        <w:t>This is a &lt;fixed price or Time and Materials (“T&amp;M”)&gt; Order for the &lt;total amount or not-to-exceed amount&gt; of &lt;Enter amount&gt; for the Work effort. The total price is based on &lt;Enter basis for pricing, e.g. rate, monthly or hourly, any proration, and/or assumed hours&gt;.</w:t>
      </w:r>
    </w:p>
    <w:p>
      <w:pPr>
        <w:spacing w:after="0" w:line="16" w:lineRule="exact"/>
        <w:rPr>
          <w:sz w:val="20"/>
          <w:szCs w:val="20"/>
          <w:color w:val="auto"/>
        </w:rPr>
      </w:pPr>
    </w:p>
    <w:p>
      <w:pPr>
        <w:ind w:left="940" w:right="620"/>
        <w:spacing w:after="0" w:line="277" w:lineRule="auto"/>
        <w:rPr>
          <w:sz w:val="20"/>
          <w:szCs w:val="20"/>
          <w:color w:val="auto"/>
        </w:rPr>
      </w:pPr>
      <w:r>
        <w:rPr>
          <w:rFonts w:ascii="Arial" w:cs="Arial" w:eastAsia="Arial" w:hAnsi="Arial"/>
          <w:sz w:val="18"/>
          <w:szCs w:val="18"/>
          <w:color w:val="auto"/>
        </w:rPr>
        <w:t>&lt;Enter Travel and living expenses language in accordance with the Master Services Agreement, if applicable&gt; The following table represents the payment schedule for this Order:</w:t>
      </w:r>
    </w:p>
    <w:p>
      <w:pPr>
        <w:spacing w:after="0" w:line="6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PaymentSchedule:</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235"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color w:val="auto"/>
              </w:rPr>
              <w:t>Activity During</w:t>
            </w:r>
          </w:p>
        </w:tc>
        <w:tc>
          <w:tcPr>
            <w:tcW w:w="6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2"/>
          </w:tcPr>
          <w:p>
            <w:pPr>
              <w:jc w:val="center"/>
              <w:ind w:right="580"/>
              <w:spacing w:after="0"/>
              <w:rPr>
                <w:sz w:val="20"/>
                <w:szCs w:val="20"/>
                <w:color w:val="auto"/>
              </w:rPr>
            </w:pPr>
            <w:r>
              <w:rPr>
                <w:rFonts w:ascii="Arial" w:cs="Arial" w:eastAsia="Arial" w:hAnsi="Arial"/>
                <w:sz w:val="14"/>
                <w:szCs w:val="14"/>
                <w:color w:val="auto"/>
                <w:w w:val="96"/>
              </w:rPr>
              <w:t>Total</w:t>
            </w:r>
          </w:p>
        </w:tc>
        <w:tc>
          <w:tcPr>
            <w:tcW w:w="460" w:type="dxa"/>
            <w:vAlign w:val="bottom"/>
            <w:gridSpan w:val="2"/>
          </w:tcPr>
          <w:p>
            <w:pPr>
              <w:jc w:val="center"/>
              <w:ind w:right="40"/>
              <w:spacing w:after="0"/>
              <w:rPr>
                <w:sz w:val="20"/>
                <w:szCs w:val="20"/>
                <w:color w:val="auto"/>
              </w:rPr>
            </w:pPr>
            <w:r>
              <w:rPr>
                <w:rFonts w:ascii="Arial" w:cs="Arial" w:eastAsia="Arial" w:hAnsi="Arial"/>
                <w:sz w:val="14"/>
                <w:szCs w:val="14"/>
                <w:color w:val="auto"/>
                <w:w w:val="94"/>
              </w:rPr>
              <w:t>Invoice</w:t>
            </w:r>
          </w:p>
        </w:tc>
        <w:tc>
          <w:tcPr>
            <w:tcW w:w="0" w:type="dxa"/>
            <w:vAlign w:val="bottom"/>
          </w:tcPr>
          <w:p>
            <w:pPr>
              <w:spacing w:after="0"/>
              <w:rPr>
                <w:sz w:val="1"/>
                <w:szCs w:val="1"/>
                <w:color w:val="auto"/>
              </w:rPr>
            </w:pPr>
          </w:p>
        </w:tc>
      </w:tr>
      <w:tr>
        <w:trPr>
          <w:trHeight w:val="161"/>
        </w:trPr>
        <w:tc>
          <w:tcPr>
            <w:tcW w:w="920" w:type="dxa"/>
            <w:vAlign w:val="bottom"/>
            <w:vMerge w:val="continue"/>
          </w:tcPr>
          <w:p>
            <w:pPr>
              <w:spacing w:after="0"/>
              <w:rPr>
                <w:sz w:val="13"/>
                <w:szCs w:val="13"/>
                <w:color w:val="auto"/>
              </w:rPr>
            </w:pPr>
          </w:p>
        </w:tc>
        <w:tc>
          <w:tcPr>
            <w:tcW w:w="6040" w:type="dxa"/>
            <w:vAlign w:val="bottom"/>
          </w:tcPr>
          <w:p>
            <w:pPr>
              <w:spacing w:after="0"/>
              <w:rPr>
                <w:sz w:val="13"/>
                <w:szCs w:val="13"/>
                <w:color w:val="auto"/>
              </w:rPr>
            </w:pPr>
          </w:p>
        </w:tc>
        <w:tc>
          <w:tcPr>
            <w:tcW w:w="880" w:type="dxa"/>
            <w:vAlign w:val="bottom"/>
            <w:gridSpan w:val="2"/>
          </w:tcPr>
          <w:p>
            <w:pPr>
              <w:spacing w:after="0" w:line="154" w:lineRule="exact"/>
              <w:rPr>
                <w:sz w:val="20"/>
                <w:szCs w:val="20"/>
                <w:color w:val="auto"/>
              </w:rPr>
            </w:pPr>
            <w:r>
              <w:rPr>
                <w:rFonts w:ascii="Arial" w:cs="Arial" w:eastAsia="Arial" w:hAnsi="Arial"/>
                <w:sz w:val="14"/>
                <w:szCs w:val="14"/>
                <w:color w:val="auto"/>
              </w:rPr>
              <w:t>FTEs</w:t>
            </w:r>
          </w:p>
        </w:tc>
        <w:tc>
          <w:tcPr>
            <w:tcW w:w="820" w:type="dxa"/>
            <w:vAlign w:val="bottom"/>
            <w:gridSpan w:val="2"/>
          </w:tcPr>
          <w:p>
            <w:pPr>
              <w:spacing w:after="0" w:line="154" w:lineRule="exact"/>
              <w:rPr>
                <w:sz w:val="20"/>
                <w:szCs w:val="20"/>
                <w:color w:val="auto"/>
              </w:rPr>
            </w:pPr>
            <w:r>
              <w:rPr>
                <w:rFonts w:ascii="Arial" w:cs="Arial" w:eastAsia="Arial" w:hAnsi="Arial"/>
                <w:sz w:val="14"/>
                <w:szCs w:val="14"/>
                <w:color w:val="auto"/>
              </w:rPr>
              <w:t>Rate</w:t>
            </w:r>
          </w:p>
        </w:tc>
        <w:tc>
          <w:tcPr>
            <w:tcW w:w="1000" w:type="dxa"/>
            <w:vAlign w:val="bottom"/>
            <w:gridSpan w:val="2"/>
          </w:tcPr>
          <w:p>
            <w:pPr>
              <w:jc w:val="center"/>
              <w:ind w:right="580"/>
              <w:spacing w:after="0" w:line="154" w:lineRule="exact"/>
              <w:rPr>
                <w:sz w:val="20"/>
                <w:szCs w:val="20"/>
                <w:color w:val="auto"/>
              </w:rPr>
            </w:pPr>
            <w:r>
              <w:rPr>
                <w:rFonts w:ascii="Arial" w:cs="Arial" w:eastAsia="Arial" w:hAnsi="Arial"/>
                <w:sz w:val="14"/>
                <w:szCs w:val="14"/>
                <w:color w:val="auto"/>
                <w:w w:val="94"/>
              </w:rPr>
              <w:t>Invoice</w:t>
            </w:r>
          </w:p>
        </w:tc>
        <w:tc>
          <w:tcPr>
            <w:tcW w:w="460" w:type="dxa"/>
            <w:vAlign w:val="bottom"/>
            <w:gridSpan w:val="2"/>
          </w:tcPr>
          <w:p>
            <w:pPr>
              <w:jc w:val="center"/>
              <w:ind w:right="40"/>
              <w:spacing w:after="0" w:line="154" w:lineRule="exact"/>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203"/>
        </w:trPr>
        <w:tc>
          <w:tcPr>
            <w:tcW w:w="920" w:type="dxa"/>
            <w:vAlign w:val="bottom"/>
            <w:tcBorders>
              <w:top w:val="single" w:sz="8" w:color="auto"/>
            </w:tcBorders>
            <w:shd w:val="clear" w:color="auto" w:fill="CCEEFF"/>
          </w:tcPr>
          <w:p>
            <w:pPr>
              <w:spacing w:after="0"/>
              <w:rPr>
                <w:sz w:val="17"/>
                <w:szCs w:val="17"/>
                <w:color w:val="auto"/>
              </w:rPr>
            </w:pPr>
          </w:p>
        </w:tc>
        <w:tc>
          <w:tcPr>
            <w:tcW w:w="60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760"/>
        <w:spacing w:after="0"/>
        <w:rPr>
          <w:sz w:val="20"/>
          <w:szCs w:val="20"/>
          <w:color w:val="auto"/>
        </w:rPr>
      </w:pPr>
      <w:r>
        <w:rPr>
          <w:rFonts w:ascii="Arial" w:cs="Arial" w:eastAsia="Arial" w:hAnsi="Arial"/>
          <w:sz w:val="18"/>
          <w:szCs w:val="18"/>
          <w:color w:val="auto"/>
        </w:rPr>
        <w:t>Total</w:t>
      </w:r>
    </w:p>
    <w:p>
      <w:pPr>
        <w:spacing w:after="0" w:line="116" w:lineRule="exact"/>
        <w:rPr>
          <w:sz w:val="20"/>
          <w:szCs w:val="20"/>
          <w:color w:val="auto"/>
        </w:rPr>
      </w:pPr>
    </w:p>
    <w:p>
      <w:pPr>
        <w:ind w:left="1380" w:right="8740" w:hanging="992"/>
        <w:spacing w:after="0" w:line="422" w:lineRule="auto"/>
        <w:tabs>
          <w:tab w:leader="none" w:pos="920" w:val="left"/>
        </w:tabs>
        <w:numPr>
          <w:ilvl w:val="0"/>
          <w:numId w:val="231"/>
        </w:numPr>
        <w:rPr>
          <w:rFonts w:ascii="Arial" w:cs="Arial" w:eastAsia="Arial" w:hAnsi="Arial"/>
          <w:sz w:val="16"/>
          <w:szCs w:val="16"/>
          <w:color w:val="auto"/>
        </w:rPr>
      </w:pPr>
      <w:r>
        <w:rPr>
          <w:rFonts w:ascii="Arial" w:cs="Arial" w:eastAsia="Arial" w:hAnsi="Arial"/>
          <w:sz w:val="16"/>
          <w:szCs w:val="16"/>
          <w:color w:val="auto"/>
        </w:rPr>
        <w:t>Project Managers: AT&amp;T:</w:t>
      </w:r>
    </w:p>
    <w:p>
      <w:pPr>
        <w:spacing w:after="0" w:line="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&lt;AT&amp;T Contact Name&gt;</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email@att.com&gt;</w:t>
      </w:r>
    </w:p>
    <w:p>
      <w:pPr>
        <w:spacing w:after="0" w:line="10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Amdocs:</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&lt;Amdocs PM Contact Name&gt;</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email@amdocs.com&gt;</w:t>
      </w:r>
    </w:p>
    <w:p>
      <w:pPr>
        <w:spacing w:after="0" w:line="116" w:lineRule="exact"/>
        <w:rPr>
          <w:sz w:val="20"/>
          <w:szCs w:val="20"/>
          <w:color w:val="auto"/>
        </w:rPr>
      </w:pPr>
    </w:p>
    <w:p>
      <w:pPr>
        <w:ind w:left="940" w:right="7840" w:hanging="552"/>
        <w:spacing w:after="0" w:line="406" w:lineRule="auto"/>
        <w:tabs>
          <w:tab w:leader="none" w:pos="927" w:val="left"/>
        </w:tabs>
        <w:numPr>
          <w:ilvl w:val="0"/>
          <w:numId w:val="232"/>
        </w:numPr>
        <w:rPr>
          <w:rFonts w:ascii="Arial" w:cs="Arial" w:eastAsia="Arial" w:hAnsi="Arial"/>
          <w:sz w:val="17"/>
          <w:szCs w:val="17"/>
          <w:color w:val="auto"/>
        </w:rPr>
      </w:pPr>
      <w:r>
        <w:rPr>
          <w:rFonts w:ascii="Arial" w:cs="Arial" w:eastAsia="Arial" w:hAnsi="Arial"/>
          <w:sz w:val="17"/>
          <w:szCs w:val="17"/>
          <w:color w:val="auto"/>
        </w:rPr>
        <w:t>Special Terms and Conditions: a. Invoice/Billing</w:t>
      </w:r>
    </w:p>
    <w:p>
      <w:pPr>
        <w:ind w:left="1380"/>
        <w:spacing w:after="0"/>
        <w:rPr>
          <w:rFonts w:ascii="Arial" w:cs="Arial" w:eastAsia="Arial" w:hAnsi="Arial"/>
          <w:sz w:val="17"/>
          <w:szCs w:val="17"/>
          <w:color w:val="auto"/>
        </w:rPr>
      </w:pPr>
      <w:r>
        <w:rPr>
          <w:rFonts w:ascii="Arial" w:cs="Arial" w:eastAsia="Arial" w:hAnsi="Arial"/>
          <w:sz w:val="18"/>
          <w:szCs w:val="18"/>
          <w:color w:val="auto"/>
        </w:rPr>
        <w:t>Invoices and billing information are to be sent electronically to:</w:t>
      </w:r>
    </w:p>
    <w:p>
      <w:pPr>
        <w:spacing w:after="0" w:line="117" w:lineRule="exact"/>
        <w:rPr>
          <w:rFonts w:ascii="Arial" w:cs="Arial" w:eastAsia="Arial" w:hAnsi="Arial"/>
          <w:sz w:val="17"/>
          <w:szCs w:val="17"/>
          <w:color w:val="auto"/>
        </w:rPr>
      </w:pPr>
    </w:p>
    <w:p>
      <w:pPr>
        <w:ind w:left="1940"/>
        <w:spacing w:after="0"/>
        <w:rPr>
          <w:rFonts w:ascii="Arial" w:cs="Arial" w:eastAsia="Arial" w:hAnsi="Arial"/>
          <w:sz w:val="17"/>
          <w:szCs w:val="17"/>
          <w:color w:val="auto"/>
        </w:rPr>
      </w:pPr>
      <w:r>
        <w:rPr>
          <w:rFonts w:ascii="Arial" w:cs="Arial" w:eastAsia="Arial" w:hAnsi="Arial"/>
          <w:sz w:val="18"/>
          <w:szCs w:val="18"/>
          <w:color w:val="auto"/>
        </w:rPr>
        <w:t>&lt;Enter applicable AT&amp;T Business Unit/Finance Name&gt;: &lt;email</w:t>
      </w:r>
      <w:r>
        <w:rPr>
          <w:rFonts w:ascii="Arial" w:cs="Arial" w:eastAsia="Arial" w:hAnsi="Arial"/>
          <w:sz w:val="18"/>
          <w:szCs w:val="18"/>
          <w:u w:val="single" w:color="auto"/>
          <w:color w:val="auto"/>
        </w:rPr>
        <w:t>@att.com&gt;</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Copies of all invoices are to be sent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&lt;AT&amp;T Contact Name&gt;</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email@att.com&gt;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107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30" w:name="page231"/>
    <w:bookmarkEnd w:id="23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200"/>
        <w:spacing w:after="0" w:line="277" w:lineRule="auto"/>
        <w:rPr>
          <w:sz w:val="20"/>
          <w:szCs w:val="20"/>
          <w:color w:val="auto"/>
        </w:rPr>
      </w:pPr>
      <w:r>
        <w:rPr>
          <w:rFonts w:ascii="Arial" w:cs="Arial" w:eastAsia="Arial" w:hAnsi="Arial"/>
          <w:sz w:val="18"/>
          <w:szCs w:val="18"/>
          <w:color w:val="auto"/>
        </w:rPr>
        <w:t>AT&amp;T will notify Amdocs of any changes regarding invoices and billing information at &lt;Enter Phone Number (xxx)xxx-xxxx&gt; or email: &lt;</w:t>
      </w:r>
      <w:r>
        <w:rPr>
          <w:rFonts w:ascii="Arial" w:cs="Arial" w:eastAsia="Arial" w:hAnsi="Arial"/>
          <w:sz w:val="18"/>
          <w:szCs w:val="18"/>
          <w:u w:val="single" w:color="auto"/>
          <w:color w:val="auto"/>
        </w:rPr>
        <w:t>NAME@amdocs.com&gt;</w:t>
      </w:r>
      <w:r>
        <w:rPr>
          <w:rFonts w:ascii="Arial" w:cs="Arial" w:eastAsia="Arial" w:hAnsi="Arial"/>
          <w:sz w:val="18"/>
          <w:szCs w:val="18"/>
          <w:color w:val="auto"/>
        </w:rPr>
        <w:t>.</w:t>
      </w:r>
    </w:p>
    <w:p>
      <w:pPr>
        <w:spacing w:after="0" w:line="76" w:lineRule="exact"/>
        <w:rPr>
          <w:sz w:val="20"/>
          <w:szCs w:val="20"/>
          <w:color w:val="auto"/>
        </w:rPr>
      </w:pPr>
    </w:p>
    <w:p>
      <w:pPr>
        <w:ind w:left="1380" w:hanging="439"/>
        <w:spacing w:after="0"/>
        <w:tabs>
          <w:tab w:leader="none" w:pos="13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following terms and conditions shall be applicable to the deliverables to be provided by Amdocs under this Order:</w:t>
      </w:r>
    </w:p>
    <w:p>
      <w:pPr>
        <w:spacing w:after="0" w:line="131" w:lineRule="exact"/>
        <w:rPr>
          <w:sz w:val="20"/>
          <w:szCs w:val="20"/>
          <w:color w:val="auto"/>
        </w:rPr>
      </w:pPr>
    </w:p>
    <w:p>
      <w:pPr>
        <w:ind w:left="1920" w:right="100" w:hanging="533"/>
        <w:spacing w:after="0" w:line="287" w:lineRule="auto"/>
        <w:tabs>
          <w:tab w:leader="none" w:pos="19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Amdocs shall provide the deliverables set forth in this Order on a project/deliverables basis for the not-to-exceed amount set forth in Section 12. The scope of the project shall not be changed without agreement of the Parties in accordance with the Change Management Process. The Parties anticipate that the Work will be completed and/or the deliverables provided</w:t>
      </w:r>
    </w:p>
    <w:p>
      <w:pPr>
        <w:spacing w:after="0" w:line="2" w:lineRule="exact"/>
        <w:rPr>
          <w:sz w:val="20"/>
          <w:szCs w:val="20"/>
          <w:color w:val="auto"/>
        </w:rPr>
      </w:pPr>
    </w:p>
    <w:p>
      <w:pPr>
        <w:ind w:left="1920"/>
        <w:spacing w:after="0"/>
        <w:tabs>
          <w:tab w:leader="none" w:pos="26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 202_. Should either Party reasonably believe that the scope of the project or deliverables has changed or that,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-4445</wp:posOffset>
            </wp:positionV>
            <wp:extent cx="34290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12" w:lineRule="exact"/>
        <w:rPr>
          <w:sz w:val="20"/>
          <w:szCs w:val="20"/>
          <w:color w:val="auto"/>
        </w:rPr>
      </w:pPr>
    </w:p>
    <w:p>
      <w:pPr>
        <w:ind w:left="1920" w:right="60"/>
        <w:spacing w:after="0" w:line="253" w:lineRule="auto"/>
        <w:rPr>
          <w:sz w:val="20"/>
          <w:szCs w:val="20"/>
          <w:color w:val="auto"/>
        </w:rPr>
      </w:pPr>
      <w:r>
        <w:rPr>
          <w:rFonts w:ascii="Arial" w:cs="Arial" w:eastAsia="Arial" w:hAnsi="Arial"/>
          <w:sz w:val="18"/>
          <w:szCs w:val="18"/>
          <w:color w:val="auto"/>
        </w:rPr>
        <w:t>to unforeseen difficulties, the project cannot be completed and/or the deliverables provided by that date, that Party shall have the right to request that the Parties negotiate in good faith to change the scope of the project or deliverables, the time frame within which the project will be completed and/or the deliverables provided, and/or the compensation to be paid to Amdocs for the deliverables.</w:t>
      </w:r>
    </w:p>
    <w:p>
      <w:pPr>
        <w:spacing w:after="0" w:line="98" w:lineRule="exact"/>
        <w:rPr>
          <w:sz w:val="20"/>
          <w:szCs w:val="20"/>
          <w:color w:val="auto"/>
        </w:rPr>
      </w:pPr>
    </w:p>
    <w:p>
      <w:pPr>
        <w:ind w:left="1920" w:hanging="533"/>
        <w:spacing w:after="0"/>
        <w:tabs>
          <w:tab w:leader="none" w:pos="19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Amdocs shall be responsible for providing the deliverables in accordance with the descriptions set forth in this Order.</w:t>
      </w:r>
    </w:p>
    <w:p>
      <w:pPr>
        <w:spacing w:after="0" w:line="142" w:lineRule="exact"/>
        <w:rPr>
          <w:rFonts w:ascii="Arial" w:cs="Arial" w:eastAsia="Arial" w:hAnsi="Arial"/>
          <w:sz w:val="17"/>
          <w:szCs w:val="17"/>
          <w:color w:val="auto"/>
        </w:rPr>
      </w:pPr>
    </w:p>
    <w:p>
      <w:pPr>
        <w:ind w:left="1920" w:right="100" w:hanging="533"/>
        <w:spacing w:after="0" w:line="311" w:lineRule="auto"/>
        <w:tabs>
          <w:tab w:leader="none" w:pos="1920"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Amdocs agrees that all dates for provision of the deliverables are firm, and Amdocs will complete performance in material conformance with the specifications and requirements set forth above. Deliverables provided by Amdocs shall be deemed to be accepted by AT&amp;T when they are provided in accordance with such specification and requirements (“Acceptance”).</w:t>
      </w:r>
    </w:p>
    <w:p>
      <w:pPr>
        <w:spacing w:after="0" w:line="54" w:lineRule="exact"/>
        <w:rPr>
          <w:rFonts w:ascii="Arial" w:cs="Arial" w:eastAsia="Arial" w:hAnsi="Arial"/>
          <w:sz w:val="16"/>
          <w:szCs w:val="16"/>
          <w:color w:val="auto"/>
        </w:rPr>
      </w:pPr>
    </w:p>
    <w:p>
      <w:pPr>
        <w:ind w:left="1920" w:right="20" w:hanging="533"/>
        <w:spacing w:after="0" w:line="270" w:lineRule="auto"/>
        <w:tabs>
          <w:tab w:leader="none" w:pos="19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Amdocs shall be solely responsible for the resources it uses to provide the deliverables. Amdocs shall be responsible to select the resources to provide the deliverables, and AT&amp;T shall not have the right to, and shall not, select, interview, or otherwise influence Amdocs in the selection process. It shall be Amdocs’ responsibility to select resources with the appropriate skills and experience to provide the deliverables. Amdocs shall be responsible at its own expense to ensure that all resources are properly trained. Supplier shall supervise the resources in such a manner as to ensure that the deliverables are timely provided in accordance with the specifications and requirements set forth herein. Amdocs shall designate a point of contact to be the liaison between Amdocs’ resources and AT&amp;T. That point of contact shall be responsible for clarifying any issues about the deliverables with AT&amp;T, and AT&amp;T shall not have any right to control any of the resources or the means or method of Amdocs’ provision of the deliverables.</w:t>
      </w:r>
    </w:p>
    <w:p>
      <w:pPr>
        <w:spacing w:after="0" w:line="86" w:lineRule="exact"/>
        <w:rPr>
          <w:rFonts w:ascii="Arial" w:cs="Arial" w:eastAsia="Arial" w:hAnsi="Arial"/>
          <w:sz w:val="17"/>
          <w:szCs w:val="17"/>
          <w:color w:val="auto"/>
        </w:rPr>
      </w:pPr>
    </w:p>
    <w:p>
      <w:pPr>
        <w:ind w:left="1920" w:right="80" w:hanging="533"/>
        <w:spacing w:after="0" w:line="277" w:lineRule="auto"/>
        <w:tabs>
          <w:tab w:leader="none" w:pos="19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Amdocs shall set the work schedule of its resources in order to timely complete the deliverables, and shall be responsible for any modifications to the work schedule.</w:t>
      </w:r>
    </w:p>
    <w:p>
      <w:pPr>
        <w:spacing w:after="0" w:line="75" w:lineRule="exact"/>
        <w:rPr>
          <w:rFonts w:ascii="Arial" w:cs="Arial" w:eastAsia="Arial" w:hAnsi="Arial"/>
          <w:sz w:val="18"/>
          <w:szCs w:val="18"/>
          <w:color w:val="auto"/>
        </w:rPr>
      </w:pPr>
    </w:p>
    <w:p>
      <w:pPr>
        <w:ind w:left="1920" w:right="140" w:hanging="533"/>
        <w:spacing w:after="0" w:line="259" w:lineRule="auto"/>
        <w:tabs>
          <w:tab w:leader="none" w:pos="19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Amdocs is solely responsible for all matters relating to compensation and benefits, including payroll taxes, unemployment compensation, disability insurance, and health and welfare benefits, of all resources who provide the deliverables. Amdocs shall also be responsible for compliance with all Laws dealing with working conditions, including payment of any overtime worked by Amdocs’ resources required by such Laws.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108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1920" w:right="660" w:hanging="533"/>
        <w:spacing w:after="0" w:line="277" w:lineRule="auto"/>
        <w:tabs>
          <w:tab w:leader="none" w:pos="1920" w:val="left"/>
        </w:tabs>
        <w:numPr>
          <w:ilvl w:val="1"/>
          <w:numId w:val="236"/>
        </w:numPr>
        <w:rPr>
          <w:rFonts w:ascii="Arial" w:cs="Arial" w:eastAsia="Arial" w:hAnsi="Arial"/>
          <w:sz w:val="18"/>
          <w:szCs w:val="18"/>
          <w:color w:val="auto"/>
        </w:rPr>
      </w:pPr>
      <w:r>
        <w:rPr>
          <w:rFonts w:ascii="Arial" w:cs="Arial" w:eastAsia="Arial" w:hAnsi="Arial"/>
          <w:sz w:val="18"/>
          <w:szCs w:val="18"/>
          <w:color w:val="auto"/>
        </w:rPr>
        <w:t>Amdocs agrees that it is providing the deliverables as described in this Order and Amdocs is managing the resources providing the deliverables.</w:t>
      </w:r>
    </w:p>
    <w:p>
      <w:pPr>
        <w:spacing w:after="0" w:line="75" w:lineRule="exact"/>
        <w:rPr>
          <w:rFonts w:ascii="Arial" w:cs="Arial" w:eastAsia="Arial" w:hAnsi="Arial"/>
          <w:sz w:val="18"/>
          <w:szCs w:val="18"/>
          <w:color w:val="auto"/>
        </w:rPr>
      </w:pPr>
    </w:p>
    <w:p>
      <w:pPr>
        <w:jc w:val="both"/>
        <w:ind w:left="1920" w:right="60" w:hanging="533"/>
        <w:spacing w:after="0" w:line="342" w:lineRule="auto"/>
        <w:tabs>
          <w:tab w:leader="none" w:pos="1920" w:val="left"/>
        </w:tabs>
        <w:numPr>
          <w:ilvl w:val="1"/>
          <w:numId w:val="236"/>
        </w:numPr>
        <w:rPr>
          <w:rFonts w:ascii="Arial" w:cs="Arial" w:eastAsia="Arial" w:hAnsi="Arial"/>
          <w:sz w:val="16"/>
          <w:szCs w:val="16"/>
          <w:color w:val="auto"/>
        </w:rPr>
      </w:pPr>
      <w:r>
        <w:rPr>
          <w:rFonts w:ascii="Arial" w:cs="Arial" w:eastAsia="Arial" w:hAnsi="Arial"/>
          <w:sz w:val="16"/>
          <w:szCs w:val="16"/>
          <w:color w:val="auto"/>
        </w:rPr>
        <w:t>Amdocs shall manage its resources data in AT&amp;T’s selected vendor management systems as it relates to assignment start and end dates, contract/PO # and deliverables-based classification. Resource end dates must correspond to the term of this Order.</w:t>
      </w:r>
    </w:p>
    <w:p>
      <w:pPr>
        <w:spacing w:after="0" w:line="29" w:lineRule="exact"/>
        <w:rPr>
          <w:rFonts w:ascii="Arial" w:cs="Arial" w:eastAsia="Arial" w:hAnsi="Arial"/>
          <w:sz w:val="16"/>
          <w:szCs w:val="16"/>
          <w:color w:val="auto"/>
        </w:rPr>
      </w:pPr>
    </w:p>
    <w:p>
      <w:pPr>
        <w:ind w:left="920" w:hanging="532"/>
        <w:spacing w:after="0"/>
        <w:tabs>
          <w:tab w:leader="none" w:pos="9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Liquidated Damages for Delay in Delivery: &lt;Will be applied only if relevant&gt;</w:t>
      </w:r>
    </w:p>
    <w:p>
      <w:pPr>
        <w:spacing w:after="0" w:line="117" w:lineRule="exact"/>
        <w:rPr>
          <w:rFonts w:ascii="Arial" w:cs="Arial" w:eastAsia="Arial" w:hAnsi="Arial"/>
          <w:sz w:val="18"/>
          <w:szCs w:val="18"/>
          <w:color w:val="auto"/>
        </w:rPr>
      </w:pPr>
    </w:p>
    <w:p>
      <w:pPr>
        <w:ind w:left="940" w:right="40"/>
        <w:spacing w:after="0" w:line="277" w:lineRule="auto"/>
        <w:rPr>
          <w:rFonts w:ascii="Arial" w:cs="Arial" w:eastAsia="Arial" w:hAnsi="Arial"/>
          <w:sz w:val="18"/>
          <w:szCs w:val="18"/>
          <w:color w:val="auto"/>
        </w:rPr>
      </w:pPr>
      <w:r>
        <w:rPr>
          <w:rFonts w:ascii="Arial" w:cs="Arial" w:eastAsia="Arial" w:hAnsi="Arial"/>
          <w:sz w:val="18"/>
          <w:szCs w:val="18"/>
          <w:color w:val="auto"/>
        </w:rPr>
        <w:t>Delayed Delivery Dates under this Order shall be handled in accordance with Section 4.9, “Liquidated Damages for Delay in Delivery,” of the Master Services Agreement.</w:t>
      </w:r>
    </w:p>
    <w:p>
      <w:pPr>
        <w:spacing w:after="0" w:line="75" w:lineRule="exact"/>
        <w:rPr>
          <w:rFonts w:ascii="Arial" w:cs="Arial" w:eastAsia="Arial" w:hAnsi="Arial"/>
          <w:sz w:val="18"/>
          <w:szCs w:val="18"/>
          <w:color w:val="auto"/>
        </w:rPr>
      </w:pPr>
    </w:p>
    <w:p>
      <w:pPr>
        <w:ind w:left="920" w:hanging="532"/>
        <w:spacing w:after="0"/>
        <w:tabs>
          <w:tab w:leader="none" w:pos="9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Error Severity Level Description And Resolution Plan: &lt;Will be applied only if relevant&gt;</w:t>
      </w:r>
    </w:p>
    <w:p>
      <w:pPr>
        <w:spacing w:after="0" w:line="117" w:lineRule="exact"/>
        <w:rPr>
          <w:rFonts w:ascii="Arial" w:cs="Arial" w:eastAsia="Arial" w:hAnsi="Arial"/>
          <w:sz w:val="18"/>
          <w:szCs w:val="18"/>
          <w:color w:val="auto"/>
        </w:rPr>
      </w:pPr>
    </w:p>
    <w:p>
      <w:pPr>
        <w:ind w:left="940" w:right="460"/>
        <w:spacing w:after="0" w:line="277" w:lineRule="auto"/>
        <w:rPr>
          <w:rFonts w:ascii="Arial" w:cs="Arial" w:eastAsia="Arial" w:hAnsi="Arial"/>
          <w:sz w:val="18"/>
          <w:szCs w:val="18"/>
          <w:color w:val="auto"/>
        </w:rPr>
      </w:pPr>
      <w:r>
        <w:rPr>
          <w:rFonts w:ascii="Arial" w:cs="Arial" w:eastAsia="Arial" w:hAnsi="Arial"/>
          <w:sz w:val="18"/>
          <w:szCs w:val="18"/>
          <w:color w:val="auto"/>
        </w:rPr>
        <w:t>Errors found in the Custom Software or Ongoing Support provided under this Order shall be handled in accordance with Section 4.8, “Error Severity Level Description And Resolution Plan,” of the Master Services Agreement.</w:t>
      </w:r>
    </w:p>
    <w:p>
      <w:pPr>
        <w:spacing w:after="0" w:line="75" w:lineRule="exact"/>
        <w:rPr>
          <w:rFonts w:ascii="Arial" w:cs="Arial" w:eastAsia="Arial" w:hAnsi="Arial"/>
          <w:sz w:val="18"/>
          <w:szCs w:val="18"/>
          <w:color w:val="auto"/>
        </w:rPr>
      </w:pPr>
    </w:p>
    <w:p>
      <w:pPr>
        <w:ind w:left="920" w:hanging="532"/>
        <w:spacing w:after="0"/>
        <w:tabs>
          <w:tab w:leader="none" w:pos="9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Payment Terms:</w:t>
      </w:r>
    </w:p>
    <w:p>
      <w:pPr>
        <w:spacing w:after="0" w:line="117" w:lineRule="exact"/>
        <w:rPr>
          <w:rFonts w:ascii="Arial" w:cs="Arial" w:eastAsia="Arial" w:hAnsi="Arial"/>
          <w:sz w:val="18"/>
          <w:szCs w:val="18"/>
          <w:color w:val="auto"/>
        </w:rPr>
      </w:pPr>
    </w:p>
    <w:p>
      <w:pPr>
        <w:ind w:left="940" w:right="420"/>
        <w:spacing w:after="0" w:line="342" w:lineRule="auto"/>
        <w:rPr>
          <w:rFonts w:ascii="Arial" w:cs="Arial" w:eastAsia="Arial" w:hAnsi="Arial"/>
          <w:sz w:val="18"/>
          <w:szCs w:val="18"/>
          <w:color w:val="auto"/>
        </w:rPr>
      </w:pPr>
      <w:r>
        <w:rPr>
          <w:rFonts w:ascii="Arial" w:cs="Arial" w:eastAsia="Arial" w:hAnsi="Arial"/>
          <w:sz w:val="16"/>
          <w:szCs w:val="16"/>
          <w:color w:val="auto"/>
        </w:rPr>
        <w:t>Payment terms for invoices issued under this Order shall be in accordance with Section 3.19, “Invoicing and Payment,” of the Master Services Agreement, which are, as of the Effective Date of this Order, net [***] days from the date of receipt of the invoice.</w:t>
      </w:r>
    </w:p>
    <w:p>
      <w:pPr>
        <w:spacing w:after="0" w:line="29" w:lineRule="exact"/>
        <w:rPr>
          <w:rFonts w:ascii="Arial" w:cs="Arial" w:eastAsia="Arial" w:hAnsi="Arial"/>
          <w:sz w:val="18"/>
          <w:szCs w:val="18"/>
          <w:color w:val="auto"/>
        </w:rPr>
      </w:pPr>
    </w:p>
    <w:p>
      <w:pPr>
        <w:ind w:left="920" w:hanging="532"/>
        <w:spacing w:after="0"/>
        <w:tabs>
          <w:tab w:leader="none" w:pos="9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Ownership of Paid-For Development:</w:t>
      </w:r>
    </w:p>
    <w:p>
      <w:pPr>
        <w:spacing w:after="0" w:line="117" w:lineRule="exact"/>
        <w:rPr>
          <w:rFonts w:ascii="Arial" w:cs="Arial" w:eastAsia="Arial" w:hAnsi="Arial"/>
          <w:sz w:val="18"/>
          <w:szCs w:val="18"/>
          <w:color w:val="auto"/>
        </w:rPr>
      </w:pPr>
    </w:p>
    <w:p>
      <w:pPr>
        <w:ind w:left="940" w:right="60"/>
        <w:spacing w:after="0" w:line="286" w:lineRule="auto"/>
        <w:rPr>
          <w:rFonts w:ascii="Arial" w:cs="Arial" w:eastAsia="Arial" w:hAnsi="Arial"/>
          <w:sz w:val="18"/>
          <w:szCs w:val="18"/>
          <w:color w:val="auto"/>
        </w:rPr>
      </w:pPr>
      <w:r>
        <w:rPr>
          <w:rFonts w:ascii="Arial" w:cs="Arial" w:eastAsia="Arial" w:hAnsi="Arial"/>
          <w:sz w:val="17"/>
          <w:szCs w:val="17"/>
          <w:color w:val="auto"/>
        </w:rPr>
        <w:t>For the avoidance of doubt, and for purposes of interpreting AT&amp;T’s right to Program Material and Documentation created hereunder, title to all Work output hereunder shall be determined in accordance with the Master Services Agreement, Section 3.27, “Ownership of Paid-For Development, Use and Reservation of Rights”. &lt;Replace with other terms if agreed by the Parties&gt;</w:t>
      </w:r>
    </w:p>
    <w:p>
      <w:pPr>
        <w:spacing w:after="0" w:line="70" w:lineRule="exact"/>
        <w:rPr>
          <w:rFonts w:ascii="Arial" w:cs="Arial" w:eastAsia="Arial" w:hAnsi="Arial"/>
          <w:sz w:val="18"/>
          <w:szCs w:val="18"/>
          <w:color w:val="auto"/>
        </w:rPr>
      </w:pPr>
    </w:p>
    <w:p>
      <w:pPr>
        <w:ind w:left="920" w:hanging="532"/>
        <w:spacing w:after="0"/>
        <w:tabs>
          <w:tab w:leader="none" w:pos="9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Information:</w:t>
      </w:r>
    </w:p>
    <w:p>
      <w:pPr>
        <w:spacing w:after="0" w:line="117" w:lineRule="exact"/>
        <w:rPr>
          <w:rFonts w:ascii="Arial" w:cs="Arial" w:eastAsia="Arial" w:hAnsi="Arial"/>
          <w:sz w:val="18"/>
          <w:szCs w:val="18"/>
          <w:color w:val="auto"/>
        </w:rPr>
      </w:pPr>
    </w:p>
    <w:p>
      <w:pPr>
        <w:ind w:left="940" w:right="140"/>
        <w:spacing w:after="0" w:line="259" w:lineRule="auto"/>
        <w:rPr>
          <w:rFonts w:ascii="Arial" w:cs="Arial" w:eastAsia="Arial" w:hAnsi="Arial"/>
          <w:sz w:val="18"/>
          <w:szCs w:val="18"/>
          <w:color w:val="auto"/>
        </w:rPr>
      </w:pPr>
      <w:r>
        <w:rPr>
          <w:rFonts w:ascii="Arial" w:cs="Arial" w:eastAsia="Arial" w:hAnsi="Arial"/>
          <w:sz w:val="18"/>
          <w:szCs w:val="18"/>
          <w:color w:val="auto"/>
        </w:rPr>
        <w:t>In addition to all other rights provided by Section 3.16, “Information”, pursuant to the Master Services Agreement, any Information received by Amdocs from AT&amp;T or other parties engaged in this Work shall be considered and treated as confidential Information under the Order, regardless of any requirement to put it in writing under the Master Services Agreement or separate Non-Disclosure Agreement (NDA).</w:t>
      </w:r>
    </w:p>
    <w:p>
      <w:pPr>
        <w:spacing w:after="0" w:line="92" w:lineRule="exact"/>
        <w:rPr>
          <w:rFonts w:ascii="Arial" w:cs="Arial" w:eastAsia="Arial" w:hAnsi="Arial"/>
          <w:sz w:val="18"/>
          <w:szCs w:val="18"/>
          <w:color w:val="auto"/>
        </w:rPr>
      </w:pPr>
    </w:p>
    <w:p>
      <w:pPr>
        <w:ind w:left="920" w:hanging="532"/>
        <w:spacing w:after="0"/>
        <w:tabs>
          <w:tab w:leader="none" w:pos="92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17" w:lineRule="exact"/>
        <w:rPr>
          <w:rFonts w:ascii="Arial" w:cs="Arial" w:eastAsia="Arial" w:hAnsi="Arial"/>
          <w:sz w:val="18"/>
          <w:szCs w:val="18"/>
          <w:color w:val="auto"/>
        </w:rPr>
      </w:pPr>
    </w:p>
    <w:p>
      <w:pPr>
        <w:ind w:left="940" w:right="240"/>
        <w:spacing w:after="0" w:line="277" w:lineRule="auto"/>
        <w:rPr>
          <w:rFonts w:ascii="Arial" w:cs="Arial" w:eastAsia="Arial" w:hAnsi="Arial"/>
          <w:sz w:val="18"/>
          <w:szCs w:val="18"/>
          <w:color w:val="auto"/>
        </w:rPr>
      </w:pPr>
      <w:r>
        <w:rPr>
          <w:rFonts w:ascii="Arial" w:cs="Arial" w:eastAsia="Arial" w:hAnsi="Arial"/>
          <w:sz w:val="18"/>
          <w:szCs w:val="18"/>
          <w:color w:val="auto"/>
        </w:rPr>
        <w:t>The Termination and Partial Termination provisions applicable to this Order are contained in Section 3.36, “Termination”, of the Master Services Agreement. &lt;Replace with other terms if agreed by the Parties&gt;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109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32" w:name="page233"/>
    <w:bookmarkEnd w:id="232"/>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Parties have caused this Order to be executed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Amdocs Development Limited</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AT&amp;T Services, Inc.</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&lt;Supplier Signatory Name&gt;</w:t>
            </w:r>
          </w:p>
        </w:tc>
        <w:tc>
          <w:tcPr>
            <w:tcW w:w="1240" w:type="dxa"/>
            <w:vAlign w:val="bottom"/>
          </w:tcPr>
          <w:p>
            <w:pPr>
              <w:ind w:left="700"/>
              <w:spacing w:after="0"/>
              <w:rPr>
                <w:sz w:val="20"/>
                <w:szCs w:val="20"/>
                <w:color w:val="auto"/>
              </w:rPr>
            </w:pPr>
            <w:r>
              <w:rPr>
                <w:rFonts w:ascii="Arial" w:cs="Arial" w:eastAsia="Arial" w:hAnsi="Arial"/>
                <w:sz w:val="18"/>
                <w:szCs w:val="18"/>
                <w:color w:val="auto"/>
                <w:w w:val="98"/>
              </w:rPr>
              <w:t>Name:</w:t>
            </w:r>
          </w:p>
        </w:tc>
        <w:tc>
          <w:tcPr>
            <w:tcW w:w="4620" w:type="dxa"/>
            <w:vAlign w:val="bottom"/>
          </w:tcPr>
          <w:p>
            <w:pPr>
              <w:ind w:left="100"/>
              <w:spacing w:after="0"/>
              <w:rPr>
                <w:sz w:val="20"/>
                <w:szCs w:val="20"/>
                <w:color w:val="auto"/>
              </w:rPr>
            </w:pPr>
            <w:r>
              <w:rPr>
                <w:rFonts w:ascii="Arial" w:cs="Arial" w:eastAsia="Arial" w:hAnsi="Arial"/>
                <w:sz w:val="18"/>
                <w:szCs w:val="18"/>
                <w:color w:val="auto"/>
              </w:rPr>
              <w:t>Steve Wehde</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&lt;Supplier Signatory Title&gt;</w:t>
            </w:r>
          </w:p>
        </w:tc>
        <w:tc>
          <w:tcPr>
            <w:tcW w:w="1240" w:type="dxa"/>
            <w:vAlign w:val="bottom"/>
          </w:tcPr>
          <w:p>
            <w:pPr>
              <w:ind w:left="700"/>
              <w:spacing w:after="0"/>
              <w:rPr>
                <w:sz w:val="20"/>
                <w:szCs w:val="20"/>
                <w:color w:val="auto"/>
              </w:rPr>
            </w:pPr>
            <w:r>
              <w:rPr>
                <w:rFonts w:ascii="Arial" w:cs="Arial" w:eastAsia="Arial" w:hAnsi="Arial"/>
                <w:sz w:val="18"/>
                <w:szCs w:val="18"/>
                <w:color w:val="auto"/>
              </w:rPr>
              <w:t>Title:</w:t>
            </w:r>
          </w:p>
        </w:tc>
        <w:tc>
          <w:tcPr>
            <w:tcW w:w="4620" w:type="dxa"/>
            <w:vAlign w:val="bottom"/>
          </w:tcPr>
          <w:p>
            <w:pPr>
              <w:ind w:left="100"/>
              <w:spacing w:after="0"/>
              <w:rPr>
                <w:sz w:val="20"/>
                <w:szCs w:val="20"/>
                <w:color w:val="auto"/>
              </w:rPr>
            </w:pPr>
            <w:r>
              <w:rPr>
                <w:rFonts w:ascii="Arial" w:cs="Arial" w:eastAsia="Arial" w:hAnsi="Arial"/>
                <w:sz w:val="18"/>
                <w:szCs w:val="18"/>
                <w:color w:val="auto"/>
              </w:rPr>
              <w:t>Lead Sourcing Manager</w:t>
            </w:r>
          </w:p>
        </w:tc>
      </w:tr>
      <w:tr>
        <w:trPr>
          <w:trHeight w:val="21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18"/>
                <w:szCs w:val="18"/>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110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Appendix B, Exhibit 2 – For Use When Issuing A Purchase Order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111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34" w:name="page235"/>
    <w:bookmarkEnd w:id="234"/>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 of Work</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No. 53258.Z.&lt;XXX&gt;</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Between</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Amdocs Development Limited.</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And</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AT&amp;T Services, Inc.</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112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35" w:name="page236"/>
    <w:bookmarkEnd w:id="235"/>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Statement of Work</w:t>
      </w:r>
    </w:p>
    <w:p>
      <w:pPr>
        <w:spacing w:after="0" w:line="225"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This Statement of Work (“SOW”) is by and between Amdocs Development Limited, a Cyprus corporation (“Supplier” or “Amdocs”), and AT&amp;T Services, Inc., a Delaware corporation (“AT&amp;T”), and shall become a part of a Purchase Order which is governed pursuant to the terms and conditions of Master Services Agreement Number 53258.C (as amended, the “Master Services Agreement”), which by this reference are incorporated as if fully set forth herein. Any terms and conditions in this SOW that vary from or are inconsistent with the terms and conditions of the Master Services Agreement shall apply to this SOW only, and shall survive the Termination or expiration of the Master Services Agreement.</w:t>
      </w:r>
    </w:p>
    <w:p>
      <w:pPr>
        <w:spacing w:after="0" w:line="176"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For the avoidance of doubt, terms and conditions preprinted on any Purchase Order or Purchase Order acceptance or acknowledgement (if any) shall not be given any effect as they are superseded by the terms and conditions herein.</w:t>
      </w:r>
    </w:p>
    <w:p>
      <w:pPr>
        <w:spacing w:after="0" w:line="76" w:lineRule="exact"/>
        <w:rPr>
          <w:sz w:val="20"/>
          <w:szCs w:val="20"/>
          <w:color w:val="auto"/>
        </w:rPr>
      </w:pPr>
    </w:p>
    <w:p>
      <w:pPr>
        <w:ind w:left="424" w:hanging="424"/>
        <w:spacing w:after="0"/>
        <w:tabs>
          <w:tab w:leader="none" w:pos="42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AT&amp;T Agreement Number: 53258. Z.&lt;XXX&gt; must appear on all invoices</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Amdocs Order Number: &lt;Enter No.&gt;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Term of Services: Effective dates are &lt;Month, DD, YYYY&gt;, through &lt;Month, DD, YYYY&gt;.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Project Name and Description: &lt;Enter Details&gt;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The Custom Software and Program Material and/or Scope of Other Services Ordered: This SOW is to &lt;Enter specific details&gt;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Third Party Software: &lt;Enter here if any; “None” is acceptable&gt;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Additional Items Ordered: &lt;Enter here if any; “None” is acceptable&gt;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38"/>
        </w:numPr>
        <w:rPr>
          <w:rFonts w:ascii="Arial" w:cs="Arial" w:eastAsia="Arial" w:hAnsi="Arial"/>
          <w:sz w:val="18"/>
          <w:szCs w:val="18"/>
          <w:color w:val="auto"/>
        </w:rPr>
      </w:pPr>
      <w:r>
        <w:rPr>
          <w:rFonts w:ascii="Arial" w:cs="Arial" w:eastAsia="Arial" w:hAnsi="Arial"/>
          <w:sz w:val="18"/>
          <w:szCs w:val="18"/>
          <w:color w:val="auto"/>
        </w:rPr>
        <w:t>Milestones/Resources:</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Milestones:</w:t>
      </w:r>
    </w:p>
    <w:p>
      <w:pPr>
        <w:spacing w:after="0" w:line="117" w:lineRule="exact"/>
        <w:rPr>
          <w:rFonts w:ascii="Arial" w:cs="Arial" w:eastAsia="Arial" w:hAnsi="Arial"/>
          <w:sz w:val="18"/>
          <w:szCs w:val="18"/>
          <w:color w:val="auto"/>
        </w:rPr>
      </w:pPr>
    </w:p>
    <w:p>
      <w:pPr>
        <w:ind w:left="984"/>
        <w:spacing w:after="0"/>
        <w:rPr>
          <w:rFonts w:ascii="Arial" w:cs="Arial" w:eastAsia="Arial" w:hAnsi="Arial"/>
          <w:sz w:val="18"/>
          <w:szCs w:val="18"/>
          <w:color w:val="auto"/>
        </w:rPr>
      </w:pPr>
      <w:r>
        <w:rPr>
          <w:rFonts w:ascii="Arial" w:cs="Arial" w:eastAsia="Arial" w:hAnsi="Arial"/>
          <w:sz w:val="18"/>
          <w:szCs w:val="18"/>
          <w:color w:val="auto"/>
        </w:rPr>
        <w:t>Planned milestones as of the Effective Date of this SOW are as follows: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126" w:lineRule="exact"/>
        <w:rPr>
          <w:sz w:val="20"/>
          <w:szCs w:val="20"/>
          <w:color w:val="auto"/>
        </w:rPr>
      </w:pPr>
    </w:p>
    <w:p>
      <w:pPr>
        <w:ind w:left="1324"/>
        <w:spacing w:after="0"/>
        <w:tabs>
          <w:tab w:leader="none" w:pos="7964" w:val="left"/>
          <w:tab w:leader="none" w:pos="9364" w:val="left"/>
        </w:tabs>
        <w:rPr>
          <w:sz w:val="20"/>
          <w:szCs w:val="20"/>
          <w:color w:val="auto"/>
        </w:rPr>
      </w:pPr>
      <w:r>
        <w:rPr>
          <w:rFonts w:ascii="Arial" w:cs="Arial" w:eastAsia="Arial" w:hAnsi="Arial"/>
          <w:sz w:val="14"/>
          <w:szCs w:val="14"/>
          <w:u w:val="single" w:color="auto"/>
          <w:color w:val="auto"/>
        </w:rPr>
        <w:t>Milestone No.</w:t>
      </w:r>
      <w:r>
        <w:rPr>
          <w:sz w:val="20"/>
          <w:szCs w:val="20"/>
          <w:color w:val="auto"/>
        </w:rPr>
        <w:tab/>
      </w:r>
      <w:r>
        <w:rPr>
          <w:rFonts w:ascii="Arial" w:cs="Arial" w:eastAsia="Arial" w:hAnsi="Arial"/>
          <w:sz w:val="14"/>
          <w:szCs w:val="14"/>
          <w:u w:val="single" w:color="auto"/>
          <w:color w:val="auto"/>
        </w:rPr>
        <w:t>Description</w:t>
      </w:r>
      <w:r>
        <w:rPr>
          <w:sz w:val="20"/>
          <w:szCs w:val="20"/>
          <w:color w:val="auto"/>
        </w:rPr>
        <w:tab/>
      </w:r>
      <w:r>
        <w:rPr>
          <w:rFonts w:ascii="Arial" w:cs="Arial" w:eastAsia="Arial" w:hAnsi="Arial"/>
          <w:sz w:val="12"/>
          <w:szCs w:val="12"/>
          <w:u w:val="single" w:color="auto"/>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12700</wp:posOffset>
            </wp:positionV>
            <wp:extent cx="531495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1"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1</w:t>
      </w:r>
    </w:p>
    <w:p>
      <w:pPr>
        <w:spacing w:after="0" w:line="115" w:lineRule="exact"/>
        <w:rPr>
          <w:sz w:val="20"/>
          <w:szCs w:val="20"/>
          <w:color w:val="auto"/>
        </w:rPr>
      </w:pPr>
    </w:p>
    <w:p>
      <w:pPr>
        <w:ind w:left="964" w:hanging="532"/>
        <w:spacing w:after="0"/>
        <w:tabs>
          <w:tab w:leader="none" w:pos="964"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Offshore Resources:</w:t>
      </w:r>
    </w:p>
    <w:p>
      <w:pPr>
        <w:spacing w:after="0" w:line="117" w:lineRule="exact"/>
        <w:rPr>
          <w:sz w:val="20"/>
          <w:szCs w:val="20"/>
          <w:color w:val="auto"/>
        </w:rPr>
      </w:pPr>
    </w:p>
    <w:p>
      <w:pPr>
        <w:ind w:left="444" w:right="240"/>
        <w:spacing w:after="0" w:line="277" w:lineRule="auto"/>
        <w:rPr>
          <w:sz w:val="20"/>
          <w:szCs w:val="20"/>
          <w:color w:val="auto"/>
        </w:rPr>
      </w:pPr>
      <w:r>
        <w:rPr>
          <w:rFonts w:ascii="Arial" w:cs="Arial" w:eastAsia="Arial" w:hAnsi="Arial"/>
          <w:sz w:val="18"/>
          <w:szCs w:val="18"/>
          <w:color w:val="auto"/>
        </w:rPr>
        <w:t>Amdocs Offshore resources working on this SOW may be located at AT&amp;T-approved locations found in the Master Services Agreement, and at the following address(es):</w:t>
      </w:r>
    </w:p>
    <w:p>
      <w:pPr>
        <w:spacing w:after="0" w:line="62"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&lt;Address Number Street and Room&gt;</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&lt;City, State/Province Zip&gt;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&lt;Country&gt;</w:t>
      </w:r>
    </w:p>
    <w:p>
      <w:pPr>
        <w:spacing w:after="0" w:line="103" w:lineRule="exact"/>
        <w:rPr>
          <w:sz w:val="20"/>
          <w:szCs w:val="20"/>
          <w:color w:val="auto"/>
        </w:rPr>
      </w:pPr>
    </w:p>
    <w:p>
      <w:pPr>
        <w:ind w:left="444" w:right="140"/>
        <w:spacing w:after="0" w:line="277" w:lineRule="auto"/>
        <w:rPr>
          <w:sz w:val="20"/>
          <w:szCs w:val="20"/>
          <w:color w:val="auto"/>
        </w:rPr>
      </w:pPr>
      <w:r>
        <w:rPr>
          <w:rFonts w:ascii="Arial" w:cs="Arial" w:eastAsia="Arial" w:hAnsi="Arial"/>
          <w:sz w:val="18"/>
          <w:szCs w:val="18"/>
          <w:color w:val="auto"/>
        </w:rPr>
        <w:t>Amdocs Offshore resources can only access AT&amp;T Systems/data in accordance with the Master Services Agreement, Appendix D, “Security and Offshore Requirements”.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113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36" w:name="page237"/>
    <w:bookmarkEnd w:id="236"/>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4" w:hanging="532"/>
        <w:spacing w:after="0"/>
        <w:tabs>
          <w:tab w:leader="none" w:pos="96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USA-Based Resources:</w:t>
      </w:r>
    </w:p>
    <w:p>
      <w:pPr>
        <w:spacing w:after="0" w:line="117" w:lineRule="exact"/>
        <w:rPr>
          <w:rFonts w:ascii="Arial" w:cs="Arial" w:eastAsia="Arial" w:hAnsi="Arial"/>
          <w:sz w:val="18"/>
          <w:szCs w:val="18"/>
          <w:color w:val="auto"/>
        </w:rPr>
      </w:pPr>
    </w:p>
    <w:p>
      <w:pPr>
        <w:ind w:left="984" w:right="800"/>
        <w:spacing w:after="0" w:line="277" w:lineRule="auto"/>
        <w:rPr>
          <w:rFonts w:ascii="Arial" w:cs="Arial" w:eastAsia="Arial" w:hAnsi="Arial"/>
          <w:sz w:val="18"/>
          <w:szCs w:val="18"/>
          <w:color w:val="auto"/>
        </w:rPr>
      </w:pPr>
      <w:r>
        <w:rPr>
          <w:rFonts w:ascii="Arial" w:cs="Arial" w:eastAsia="Arial" w:hAnsi="Arial"/>
          <w:sz w:val="18"/>
          <w:szCs w:val="18"/>
          <w:color w:val="auto"/>
        </w:rPr>
        <w:t>Amdocs USA-based resources shall work pursuant to the general directions provided by AT&amp;T to Amdocs towards the assigned milestones but shall not in any way be deemed to be employees of AT&amp;T.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40"/>
        </w:numPr>
        <w:rPr>
          <w:rFonts w:ascii="Arial" w:cs="Arial" w:eastAsia="Arial" w:hAnsi="Arial"/>
          <w:sz w:val="18"/>
          <w:szCs w:val="18"/>
          <w:color w:val="auto"/>
        </w:rPr>
      </w:pPr>
      <w:r>
        <w:rPr>
          <w:rFonts w:ascii="Arial" w:cs="Arial" w:eastAsia="Arial" w:hAnsi="Arial"/>
          <w:sz w:val="18"/>
          <w:szCs w:val="18"/>
          <w:color w:val="auto"/>
        </w:rPr>
        <w:t>Staffing Details:</w:t>
      </w:r>
    </w:p>
    <w:p>
      <w:pPr>
        <w:spacing w:after="0" w:line="117" w:lineRule="exact"/>
        <w:rPr>
          <w:rFonts w:ascii="Arial" w:cs="Arial" w:eastAsia="Arial" w:hAnsi="Arial"/>
          <w:sz w:val="18"/>
          <w:szCs w:val="18"/>
          <w:color w:val="auto"/>
        </w:rPr>
      </w:pPr>
    </w:p>
    <w:p>
      <w:pPr>
        <w:ind w:left="984" w:right="5320"/>
        <w:spacing w:after="0" w:line="428" w:lineRule="auto"/>
        <w:rPr>
          <w:rFonts w:ascii="Arial" w:cs="Arial" w:eastAsia="Arial" w:hAnsi="Arial"/>
          <w:sz w:val="18"/>
          <w:szCs w:val="18"/>
          <w:color w:val="auto"/>
        </w:rPr>
      </w:pPr>
      <w:r>
        <w:rPr>
          <w:rFonts w:ascii="Arial" w:cs="Arial" w:eastAsia="Arial" w:hAnsi="Arial"/>
          <w:sz w:val="16"/>
          <w:szCs w:val="16"/>
          <w:color w:val="auto"/>
        </w:rPr>
        <w:t>Planned roles and full time equivalent (“FTE”) resources needed: &lt;Table below is an example and may be modified as required&gt;</w:t>
      </w:r>
    </w:p>
    <w:tbl>
      <w:tblPr>
        <w:tblLayout w:type="fixed"/>
        <w:tblInd w:w="884" w:type="dxa"/>
        <w:tblCellMar>
          <w:top w:w="0" w:type="dxa"/>
          <w:left w:w="0" w:type="dxa"/>
          <w:bottom w:w="0" w:type="dxa"/>
          <w:right w:w="0" w:type="dxa"/>
        </w:tblCellMar>
      </w:tblPr>
      <w:tr>
        <w:trPr>
          <w:trHeight w:val="149"/>
        </w:trPr>
        <w:tc>
          <w:tcPr>
            <w:tcW w:w="300" w:type="dxa"/>
            <w:vAlign w:val="bottom"/>
            <w:vMerge w:val="restart"/>
          </w:tcPr>
          <w:p>
            <w:pPr>
              <w:spacing w:after="0"/>
              <w:rPr>
                <w:sz w:val="20"/>
                <w:szCs w:val="20"/>
                <w:color w:val="auto"/>
              </w:rPr>
            </w:pPr>
            <w:r>
              <w:rPr>
                <w:rFonts w:ascii="Arial" w:cs="Arial" w:eastAsia="Arial" w:hAnsi="Arial"/>
                <w:sz w:val="14"/>
                <w:szCs w:val="14"/>
                <w:color w:val="auto"/>
                <w:w w:val="97"/>
              </w:rPr>
              <w:t>Role</w:t>
            </w:r>
          </w:p>
        </w:tc>
        <w:tc>
          <w:tcPr>
            <w:tcW w:w="534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rPr>
              <w:t>USA-</w:t>
            </w: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00" w:type="dxa"/>
            <w:vAlign w:val="bottom"/>
            <w:vMerge w:val="continue"/>
          </w:tcPr>
          <w:p>
            <w:pPr>
              <w:spacing w:after="0"/>
              <w:rPr>
                <w:sz w:val="13"/>
                <w:szCs w:val="13"/>
                <w:color w:val="auto"/>
              </w:rPr>
            </w:pPr>
          </w:p>
        </w:tc>
        <w:tc>
          <w:tcPr>
            <w:tcW w:w="6060" w:type="dxa"/>
            <w:vAlign w:val="bottom"/>
            <w:gridSpan w:val="2"/>
          </w:tcPr>
          <w:p>
            <w:pPr>
              <w:jc w:val="center"/>
              <w:ind w:left="5248"/>
              <w:spacing w:after="0" w:line="154" w:lineRule="exact"/>
              <w:rPr>
                <w:sz w:val="20"/>
                <w:szCs w:val="20"/>
                <w:color w:val="auto"/>
              </w:rPr>
            </w:pPr>
            <w:r>
              <w:rPr>
                <w:rFonts w:ascii="Arial" w:cs="Arial" w:eastAsia="Arial" w:hAnsi="Arial"/>
                <w:sz w:val="14"/>
                <w:szCs w:val="14"/>
                <w:color w:val="auto"/>
                <w:w w:val="90"/>
              </w:rPr>
              <w:t>Based FTEs</w:t>
            </w:r>
          </w:p>
        </w:tc>
        <w:tc>
          <w:tcPr>
            <w:tcW w:w="1700" w:type="dxa"/>
            <w:vAlign w:val="bottom"/>
            <w:gridSpan w:val="2"/>
          </w:tcPr>
          <w:p>
            <w:pPr>
              <w:ind w:left="840"/>
              <w:spacing w:after="0" w:line="154" w:lineRule="exact"/>
              <w:rPr>
                <w:sz w:val="20"/>
                <w:szCs w:val="20"/>
                <w:color w:val="auto"/>
              </w:rPr>
            </w:pPr>
            <w:r>
              <w:rPr>
                <w:rFonts w:ascii="Arial" w:cs="Arial" w:eastAsia="Arial" w:hAnsi="Arial"/>
                <w:sz w:val="14"/>
                <w:szCs w:val="14"/>
                <w:color w:val="auto"/>
                <w:w w:val="92"/>
              </w:rPr>
              <w:t>Offshore FTEs</w:t>
            </w:r>
          </w:p>
        </w:tc>
        <w:tc>
          <w:tcPr>
            <w:tcW w:w="1200" w:type="dxa"/>
            <w:vAlign w:val="bottom"/>
            <w:gridSpan w:val="3"/>
          </w:tcPr>
          <w:p>
            <w:pPr>
              <w:ind w:left="860"/>
              <w:spacing w:after="0" w:line="154"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3"/>
        </w:trPr>
        <w:tc>
          <w:tcPr>
            <w:tcW w:w="300" w:type="dxa"/>
            <w:vAlign w:val="bottom"/>
            <w:tcBorders>
              <w:top w:val="single" w:sz="8" w:color="auto"/>
            </w:tcBorders>
            <w:shd w:val="clear" w:color="auto" w:fill="CCEEFF"/>
          </w:tcPr>
          <w:p>
            <w:pPr>
              <w:spacing w:after="0"/>
              <w:rPr>
                <w:sz w:val="17"/>
                <w:szCs w:val="17"/>
                <w:color w:val="auto"/>
              </w:rPr>
            </w:pPr>
          </w:p>
        </w:tc>
        <w:tc>
          <w:tcPr>
            <w:tcW w:w="53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4" w:hanging="424"/>
        <w:spacing w:after="0"/>
        <w:tabs>
          <w:tab w:leader="none" w:pos="424"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Deliverables/Release Items:</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Amdocs will provide the deliverables and/or release items for the Project as defined in this Section and the table below.</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99"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color w:val="auto"/>
                <w:w w:val="95"/>
              </w:rPr>
              <w:t>Milestone No.</w:t>
            </w:r>
          </w:p>
        </w:tc>
        <w:tc>
          <w:tcPr>
            <w:tcW w:w="4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0" w:type="dxa"/>
            <w:vAlign w:val="bottom"/>
            <w:gridSpan w:val="3"/>
          </w:tcPr>
          <w:p>
            <w:pPr>
              <w:jc w:val="center"/>
              <w:ind w:left="688"/>
              <w:spacing w:after="0"/>
              <w:rPr>
                <w:sz w:val="20"/>
                <w:szCs w:val="20"/>
                <w:color w:val="auto"/>
              </w:rPr>
            </w:pPr>
            <w:r>
              <w:rPr>
                <w:rFonts w:ascii="Arial" w:cs="Arial" w:eastAsia="Arial" w:hAnsi="Arial"/>
                <w:sz w:val="14"/>
                <w:szCs w:val="14"/>
                <w:color w:val="auto"/>
                <w:w w:val="95"/>
              </w:rPr>
              <w:t>Estimated Delivery</w:t>
            </w:r>
          </w:p>
        </w:tc>
        <w:tc>
          <w:tcPr>
            <w:tcW w:w="0" w:type="dxa"/>
            <w:vAlign w:val="bottom"/>
          </w:tcPr>
          <w:p>
            <w:pPr>
              <w:spacing w:after="0"/>
              <w:rPr>
                <w:sz w:val="1"/>
                <w:szCs w:val="1"/>
                <w:color w:val="auto"/>
              </w:rPr>
            </w:pPr>
          </w:p>
        </w:tc>
      </w:tr>
      <w:tr>
        <w:trPr>
          <w:trHeight w:val="161"/>
        </w:trPr>
        <w:tc>
          <w:tcPr>
            <w:tcW w:w="840" w:type="dxa"/>
            <w:vAlign w:val="bottom"/>
            <w:vMerge w:val="continue"/>
          </w:tcPr>
          <w:p>
            <w:pPr>
              <w:spacing w:after="0"/>
              <w:rPr>
                <w:sz w:val="13"/>
                <w:szCs w:val="13"/>
                <w:color w:val="auto"/>
              </w:rPr>
            </w:pPr>
          </w:p>
        </w:tc>
        <w:tc>
          <w:tcPr>
            <w:tcW w:w="4900" w:type="dxa"/>
            <w:vAlign w:val="bottom"/>
            <w:gridSpan w:val="2"/>
          </w:tcPr>
          <w:p>
            <w:pPr>
              <w:ind w:left="4220"/>
              <w:spacing w:after="0" w:line="154" w:lineRule="exact"/>
              <w:rPr>
                <w:sz w:val="20"/>
                <w:szCs w:val="20"/>
                <w:color w:val="auto"/>
              </w:rPr>
            </w:pPr>
            <w:r>
              <w:rPr>
                <w:rFonts w:ascii="Arial" w:cs="Arial" w:eastAsia="Arial" w:hAnsi="Arial"/>
                <w:sz w:val="14"/>
                <w:szCs w:val="14"/>
                <w:color w:val="auto"/>
                <w:w w:val="94"/>
              </w:rPr>
              <w:t>Deliverable</w:t>
            </w:r>
          </w:p>
        </w:tc>
        <w:tc>
          <w:tcPr>
            <w:tcW w:w="1520" w:type="dxa"/>
            <w:vAlign w:val="bottom"/>
            <w:gridSpan w:val="2"/>
          </w:tcPr>
          <w:p>
            <w:pPr>
              <w:ind w:left="840"/>
              <w:spacing w:after="0" w:line="154" w:lineRule="exact"/>
              <w:rPr>
                <w:sz w:val="20"/>
                <w:szCs w:val="20"/>
                <w:color w:val="auto"/>
              </w:rPr>
            </w:pPr>
            <w:r>
              <w:rPr>
                <w:rFonts w:ascii="Arial" w:cs="Arial" w:eastAsia="Arial" w:hAnsi="Arial"/>
                <w:sz w:val="14"/>
                <w:szCs w:val="14"/>
                <w:color w:val="auto"/>
                <w:w w:val="94"/>
              </w:rPr>
              <w:t>Description</w:t>
            </w:r>
          </w:p>
        </w:tc>
        <w:tc>
          <w:tcPr>
            <w:tcW w:w="840" w:type="dxa"/>
            <w:vAlign w:val="bottom"/>
          </w:tcPr>
          <w:p>
            <w:pPr>
              <w:spacing w:after="0"/>
              <w:rPr>
                <w:sz w:val="13"/>
                <w:szCs w:val="13"/>
                <w:color w:val="auto"/>
              </w:rPr>
            </w:pPr>
          </w:p>
        </w:tc>
        <w:tc>
          <w:tcPr>
            <w:tcW w:w="1160" w:type="dxa"/>
            <w:vAlign w:val="bottom"/>
            <w:gridSpan w:val="2"/>
          </w:tcPr>
          <w:p>
            <w:pPr>
              <w:jc w:val="center"/>
              <w:ind w:right="60"/>
              <w:spacing w:after="0" w:line="154" w:lineRule="exact"/>
              <w:rPr>
                <w:sz w:val="20"/>
                <w:szCs w:val="20"/>
                <w:color w:val="auto"/>
              </w:rPr>
            </w:pPr>
            <w:r>
              <w:rPr>
                <w:rFonts w:ascii="Arial" w:cs="Arial" w:eastAsia="Arial" w:hAnsi="Arial"/>
                <w:sz w:val="14"/>
                <w:szCs w:val="14"/>
                <w:color w:val="auto"/>
                <w:w w:val="87"/>
              </w:rPr>
              <w:t>Date</w:t>
            </w:r>
          </w:p>
        </w:tc>
        <w:tc>
          <w:tcPr>
            <w:tcW w:w="0" w:type="dxa"/>
            <w:vAlign w:val="bottom"/>
          </w:tcPr>
          <w:p>
            <w:pPr>
              <w:spacing w:after="0"/>
              <w:rPr>
                <w:sz w:val="1"/>
                <w:szCs w:val="1"/>
                <w:color w:val="auto"/>
              </w:rPr>
            </w:pPr>
          </w:p>
        </w:tc>
      </w:tr>
      <w:tr>
        <w:trPr>
          <w:trHeight w:val="203"/>
        </w:trPr>
        <w:tc>
          <w:tcPr>
            <w:tcW w:w="840" w:type="dxa"/>
            <w:vAlign w:val="bottom"/>
            <w:tcBorders>
              <w:top w:val="single" w:sz="8" w:color="auto"/>
            </w:tcBorders>
            <w:shd w:val="clear" w:color="auto" w:fill="CCEEFF"/>
          </w:tcPr>
          <w:p>
            <w:pPr>
              <w:spacing w:after="0"/>
              <w:rPr>
                <w:sz w:val="17"/>
                <w:szCs w:val="17"/>
                <w:color w:val="auto"/>
              </w:rPr>
            </w:pPr>
          </w:p>
        </w:tc>
        <w:tc>
          <w:tcPr>
            <w:tcW w:w="42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424" w:hanging="424"/>
        <w:spacing w:after="0"/>
        <w:tabs>
          <w:tab w:leader="none" w:pos="424"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Application Components: &lt;Enter details below, “None” is acceptable and delete table&gt;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applications are included in the scope of this SOW.</w:t>
      </w:r>
    </w:p>
    <w:p>
      <w:pPr>
        <w:spacing w:after="0" w:line="126" w:lineRule="exact"/>
        <w:rPr>
          <w:sz w:val="20"/>
          <w:szCs w:val="20"/>
          <w:color w:val="auto"/>
        </w:rPr>
      </w:pPr>
    </w:p>
    <w:p>
      <w:pPr>
        <w:ind w:left="1324"/>
        <w:spacing w:after="0"/>
        <w:tabs>
          <w:tab w:leader="none" w:pos="5764" w:val="left"/>
          <w:tab w:leader="none" w:pos="7884" w:val="left"/>
        </w:tabs>
        <w:rPr>
          <w:sz w:val="20"/>
          <w:szCs w:val="20"/>
          <w:color w:val="auto"/>
        </w:rPr>
      </w:pPr>
      <w:r>
        <w:rPr>
          <w:rFonts w:ascii="Arial" w:cs="Arial" w:eastAsia="Arial" w:hAnsi="Arial"/>
          <w:sz w:val="14"/>
          <w:szCs w:val="14"/>
          <w:u w:val="single" w:color="auto"/>
          <w:color w:val="auto"/>
        </w:rPr>
        <w:t>MOTS ID</w:t>
      </w:r>
      <w:r>
        <w:rPr>
          <w:sz w:val="20"/>
          <w:szCs w:val="20"/>
          <w:color w:val="auto"/>
        </w:rPr>
        <w:tab/>
      </w:r>
      <w:r>
        <w:rPr>
          <w:rFonts w:ascii="Arial" w:cs="Arial" w:eastAsia="Arial" w:hAnsi="Arial"/>
          <w:sz w:val="14"/>
          <w:szCs w:val="14"/>
          <w:u w:val="single" w:color="auto"/>
          <w:color w:val="auto"/>
        </w:rPr>
        <w:t>Application Name</w:t>
      </w:r>
      <w:r>
        <w:rPr>
          <w:sz w:val="20"/>
          <w:szCs w:val="20"/>
          <w:color w:val="auto"/>
        </w:rPr>
        <w:tab/>
      </w:r>
      <w:r>
        <w:rPr>
          <w:rFonts w:ascii="Arial" w:cs="Arial" w:eastAsia="Arial" w:hAnsi="Arial"/>
          <w:sz w:val="13"/>
          <w:szCs w:val="13"/>
          <w:u w:val="single" w:color="auto"/>
          <w:color w:val="auto"/>
        </w:rPr>
        <w:t>% of time spent on Application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12700</wp:posOffset>
            </wp:positionV>
            <wp:extent cx="5314950" cy="14541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15" w:lineRule="exact"/>
        <w:rPr>
          <w:sz w:val="20"/>
          <w:szCs w:val="20"/>
          <w:color w:val="auto"/>
        </w:rPr>
      </w:pPr>
    </w:p>
    <w:p>
      <w:pPr>
        <w:ind w:left="6484"/>
        <w:spacing w:after="0"/>
        <w:tabs>
          <w:tab w:leader="none" w:pos="8564"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100%</w:t>
      </w:r>
    </w:p>
    <w:p>
      <w:pPr>
        <w:spacing w:after="0" w:line="115" w:lineRule="exact"/>
        <w:rPr>
          <w:sz w:val="20"/>
          <w:szCs w:val="20"/>
          <w:color w:val="auto"/>
        </w:rPr>
      </w:pPr>
    </w:p>
    <w:p>
      <w:pPr>
        <w:ind w:left="424" w:right="860" w:hanging="424"/>
        <w:spacing w:after="0" w:line="277" w:lineRule="auto"/>
        <w:tabs>
          <w:tab w:leader="none" w:pos="42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Amdocs Responsibilities: &lt;Enter details below, “None” is acceptable&gt; In addition to providing the deliverables herein, Amdocs will be responsible for the following:</w:t>
      </w:r>
    </w:p>
    <w:p>
      <w:pPr>
        <w:spacing w:after="0" w:line="75" w:lineRule="exact"/>
        <w:rPr>
          <w:rFonts w:ascii="Arial" w:cs="Arial" w:eastAsia="Arial" w:hAnsi="Arial"/>
          <w:sz w:val="18"/>
          <w:szCs w:val="18"/>
          <w:color w:val="auto"/>
        </w:rPr>
      </w:pPr>
    </w:p>
    <w:p>
      <w:pPr>
        <w:ind w:left="964" w:hanging="424"/>
        <w:spacing w:after="0"/>
        <w:tabs>
          <w:tab w:leader="none" w:pos="96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&lt;List additional Amdocs Responsibilities&gt;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43"/>
        </w:numPr>
        <w:rPr>
          <w:rFonts w:ascii="Arial" w:cs="Arial" w:eastAsia="Arial" w:hAnsi="Arial"/>
          <w:sz w:val="18"/>
          <w:szCs w:val="18"/>
          <w:color w:val="auto"/>
        </w:rPr>
      </w:pPr>
      <w:r>
        <w:rPr>
          <w:rFonts w:ascii="Arial" w:cs="Arial" w:eastAsia="Arial" w:hAnsi="Arial"/>
          <w:sz w:val="18"/>
          <w:szCs w:val="18"/>
          <w:color w:val="auto"/>
        </w:rPr>
        <w:t>AT&amp;T Responsibilities: &lt;Enter details below, “None” is acceptable&gt;</w:t>
      </w:r>
    </w:p>
    <w:p>
      <w:pPr>
        <w:spacing w:after="0" w:line="117" w:lineRule="exact"/>
        <w:rPr>
          <w:sz w:val="20"/>
          <w:szCs w:val="20"/>
          <w:color w:val="auto"/>
        </w:rPr>
      </w:pPr>
    </w:p>
    <w:p>
      <w:pPr>
        <w:ind w:left="444" w:right="700" w:firstLine="423"/>
        <w:spacing w:after="0" w:line="277" w:lineRule="auto"/>
        <w:rPr>
          <w:sz w:val="20"/>
          <w:szCs w:val="20"/>
          <w:color w:val="auto"/>
        </w:rPr>
      </w:pPr>
      <w:r>
        <w:rPr>
          <w:rFonts w:ascii="Arial" w:cs="Arial" w:eastAsia="Arial" w:hAnsi="Arial"/>
          <w:sz w:val="18"/>
          <w:szCs w:val="18"/>
          <w:color w:val="auto"/>
        </w:rPr>
        <w:t>In addition to AT&amp;T Responsibilities defined in Section 3.43g of the Master Services Agreement, AT&amp;T will be responsible for the following:</w:t>
      </w:r>
    </w:p>
    <w:p>
      <w:pPr>
        <w:spacing w:after="0" w:line="76" w:lineRule="exact"/>
        <w:rPr>
          <w:sz w:val="20"/>
          <w:szCs w:val="20"/>
          <w:color w:val="auto"/>
        </w:rPr>
      </w:pPr>
    </w:p>
    <w:p>
      <w:pPr>
        <w:ind w:left="964" w:hanging="424"/>
        <w:spacing w:after="0"/>
        <w:tabs>
          <w:tab w:leader="none" w:pos="964" w:val="left"/>
        </w:tabs>
        <w:numPr>
          <w:ilvl w:val="1"/>
          <w:numId w:val="244"/>
        </w:numPr>
        <w:rPr>
          <w:rFonts w:ascii="Arial" w:cs="Arial" w:eastAsia="Arial" w:hAnsi="Arial"/>
          <w:sz w:val="18"/>
          <w:szCs w:val="18"/>
          <w:color w:val="auto"/>
        </w:rPr>
      </w:pPr>
      <w:r>
        <w:rPr>
          <w:rFonts w:ascii="Arial" w:cs="Arial" w:eastAsia="Arial" w:hAnsi="Arial"/>
          <w:sz w:val="18"/>
          <w:szCs w:val="18"/>
          <w:color w:val="auto"/>
        </w:rPr>
        <w:t>&lt;List additional AT&amp;T Responsibilities&gt;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44"/>
        </w:numPr>
        <w:rPr>
          <w:rFonts w:ascii="Arial" w:cs="Arial" w:eastAsia="Arial" w:hAnsi="Arial"/>
          <w:sz w:val="18"/>
          <w:szCs w:val="18"/>
          <w:color w:val="auto"/>
        </w:rPr>
      </w:pPr>
      <w:r>
        <w:rPr>
          <w:rFonts w:ascii="Arial" w:cs="Arial" w:eastAsia="Arial" w:hAnsi="Arial"/>
          <w:sz w:val="18"/>
          <w:szCs w:val="18"/>
          <w:color w:val="auto"/>
        </w:rPr>
        <w:t>Compensation:</w:t>
      </w:r>
    </w:p>
    <w:p>
      <w:pPr>
        <w:spacing w:after="0" w:line="117" w:lineRule="exact"/>
        <w:rPr>
          <w:rFonts w:ascii="Arial" w:cs="Arial" w:eastAsia="Arial" w:hAnsi="Arial"/>
          <w:sz w:val="18"/>
          <w:szCs w:val="18"/>
          <w:color w:val="auto"/>
        </w:rPr>
      </w:pPr>
    </w:p>
    <w:p>
      <w:pPr>
        <w:ind w:left="444" w:right="260"/>
        <w:spacing w:after="0" w:line="308" w:lineRule="auto"/>
        <w:rPr>
          <w:rFonts w:ascii="Arial" w:cs="Arial" w:eastAsia="Arial" w:hAnsi="Arial"/>
          <w:sz w:val="18"/>
          <w:szCs w:val="18"/>
          <w:color w:val="auto"/>
        </w:rPr>
      </w:pPr>
      <w:r>
        <w:rPr>
          <w:rFonts w:ascii="Arial" w:cs="Arial" w:eastAsia="Arial" w:hAnsi="Arial"/>
          <w:sz w:val="17"/>
          <w:szCs w:val="17"/>
          <w:color w:val="auto"/>
        </w:rPr>
        <w:t>This is a &lt;fixed price or Time and Materials (“T&amp;M”)&gt; SOW for the &lt;total amount or not-to-exceed amount&gt; of &lt;Enter amount&gt; for the Work effort. The total price is based on &lt;Enter basis for pricing, e.g. rate, monthly or hourly, any proration, and/or assumed hours&gt;.</w:t>
      </w:r>
    </w:p>
    <w:p>
      <w:pPr>
        <w:spacing w:after="0" w:line="38"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&lt;Enter Travel and living expenses language in accordance with the Master Services Agreement, if applicable&gt;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114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37" w:name="page238"/>
    <w:bookmarkEnd w:id="237"/>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represents the payment schedule for this SOW:</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Payment Schedule:</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4"/>
          <w:szCs w:val="14"/>
          <w:color w:val="auto"/>
        </w:rPr>
        <w:t>Activity</w:t>
      </w:r>
    </w:p>
    <w:p>
      <w:pPr>
        <w:sectPr>
          <w:pgSz w:w="11900" w:h="16838" w:orient="portrait"/>
          <w:cols w:equalWidth="0" w:num="1">
            <w:col w:w="11024"/>
          </w:cols>
          <w:pgMar w:left="436" w:top="274" w:right="439" w:bottom="1440" w:gutter="0" w:footer="0" w:header="0"/>
        </w:sectPr>
      </w:pPr>
    </w:p>
    <w:p>
      <w:pPr>
        <w:spacing w:after="0" w:line="20" w:lineRule="exact"/>
        <w:rPr>
          <w:sz w:val="20"/>
          <w:szCs w:val="20"/>
          <w:color w:val="auto"/>
        </w:rPr>
      </w:pPr>
    </w:p>
    <w:p>
      <w:pPr>
        <w:ind w:left="444"/>
        <w:spacing w:after="0"/>
        <w:rPr>
          <w:sz w:val="20"/>
          <w:szCs w:val="20"/>
          <w:color w:val="auto"/>
        </w:rPr>
      </w:pPr>
      <w:r>
        <w:rPr>
          <w:rFonts w:ascii="Arial" w:cs="Arial" w:eastAsia="Arial" w:hAnsi="Arial"/>
          <w:sz w:val="13"/>
          <w:szCs w:val="13"/>
          <w:u w:val="single" w:color="auto"/>
          <w:color w:val="auto"/>
        </w:rPr>
        <w:t>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144780</wp:posOffset>
            </wp:positionV>
            <wp:extent cx="42862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299085</wp:posOffset>
            </wp:positionV>
            <wp:extent cx="42862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42862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453390</wp:posOffset>
            </wp:positionV>
            <wp:extent cx="4286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3"/>
          <w:szCs w:val="13"/>
          <w:color w:val="auto"/>
        </w:rPr>
        <w:t>FTEs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-4277995</wp:posOffset>
            </wp:positionH>
            <wp:positionV relativeFrom="paragraph">
              <wp:posOffset>-635</wp:posOffset>
            </wp:positionV>
            <wp:extent cx="6429375" cy="4546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6429375" cy="4546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151765</wp:posOffset>
            </wp:positionV>
            <wp:extent cx="3771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-105410</wp:posOffset>
            </wp:positionH>
            <wp:positionV relativeFrom="paragraph">
              <wp:posOffset>306070</wp:posOffset>
            </wp:positionV>
            <wp:extent cx="3771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tabs>
          <w:tab w:leader="none" w:pos="1020" w:val="left"/>
        </w:tabs>
        <w:rPr>
          <w:sz w:val="20"/>
          <w:szCs w:val="20"/>
          <w:color w:val="auto"/>
        </w:rPr>
      </w:pPr>
      <w:r>
        <w:rPr>
          <w:rFonts w:ascii="Arial" w:cs="Arial" w:eastAsia="Arial" w:hAnsi="Arial"/>
          <w:sz w:val="14"/>
          <w:szCs w:val="14"/>
          <w:u w:val="single" w:color="auto"/>
          <w:color w:val="auto"/>
        </w:rPr>
        <w:t>Total Invoice</w:t>
      </w:r>
      <w:r>
        <w:rPr>
          <w:sz w:val="20"/>
          <w:szCs w:val="20"/>
          <w:color w:val="auto"/>
        </w:rPr>
        <w:tab/>
      </w:r>
      <w:r>
        <w:rPr>
          <w:rFonts w:ascii="Arial" w:cs="Arial" w:eastAsia="Arial" w:hAnsi="Arial"/>
          <w:sz w:val="13"/>
          <w:szCs w:val="13"/>
          <w:u w:val="single" w:color="auto"/>
          <w:color w:val="auto"/>
        </w:rPr>
        <w:t>Invoice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137160</wp:posOffset>
            </wp:positionV>
            <wp:extent cx="11226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112268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291465</wp:posOffset>
            </wp:positionV>
            <wp:extent cx="11226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6464" w:space="720"/>
            <w:col w:w="320" w:space="560"/>
            <w:col w:w="260" w:space="420"/>
            <w:col w:w="2280"/>
          </w:cols>
          <w:pgMar w:left="436" w:top="274" w:right="439"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4474845</wp:posOffset>
            </wp:positionH>
            <wp:positionV relativeFrom="paragraph">
              <wp:posOffset>14605</wp:posOffset>
            </wp:positionV>
            <wp:extent cx="220281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2202815" cy="8890"/>
                    </a:xfrm>
                    <a:prstGeom prst="rect">
                      <a:avLst/>
                    </a:prstGeom>
                    <a:noFill/>
                  </pic:spPr>
                </pic:pic>
              </a:graphicData>
            </a:graphic>
          </wp:anchor>
        </w:drawing>
      </w:r>
    </w:p>
    <w:p>
      <w:pPr>
        <w:spacing w:after="0" w:line="381" w:lineRule="exact"/>
        <w:rPr>
          <w:sz w:val="20"/>
          <w:szCs w:val="20"/>
          <w:color w:val="auto"/>
        </w:rPr>
      </w:pPr>
    </w:p>
    <w:p>
      <w:pPr>
        <w:ind w:left="424" w:hanging="424"/>
        <w:spacing w:after="0"/>
        <w:tabs>
          <w:tab w:leader="none" w:pos="42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Project Managers:</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AT&amp;T:</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&lt;AT&amp;T Contact Name&gt;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email@att.com&gt;</w:t>
      </w:r>
    </w:p>
    <w:p>
      <w:pPr>
        <w:spacing w:after="0" w:line="10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Amdocs:</w:t>
      </w:r>
    </w:p>
    <w:p>
      <w:pPr>
        <w:spacing w:after="0" w:line="23"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&lt;Amdocs PM Contact Name&gt;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email@amdocs.com&gt;</w:t>
      </w:r>
    </w:p>
    <w:p>
      <w:pPr>
        <w:spacing w:after="0" w:line="359" w:lineRule="exact"/>
        <w:rPr>
          <w:sz w:val="20"/>
          <w:szCs w:val="20"/>
          <w:color w:val="auto"/>
        </w:rPr>
      </w:pPr>
    </w:p>
    <w:p>
      <w:pPr>
        <w:ind w:left="444" w:right="8380" w:hanging="444"/>
        <w:spacing w:after="0" w:line="397" w:lineRule="auto"/>
        <w:tabs>
          <w:tab w:leader="none" w:pos="436" w:val="left"/>
        </w:tabs>
        <w:numPr>
          <w:ilvl w:val="0"/>
          <w:numId w:val="246"/>
        </w:numPr>
        <w:rPr>
          <w:rFonts w:ascii="Arial" w:cs="Arial" w:eastAsia="Arial" w:hAnsi="Arial"/>
          <w:sz w:val="17"/>
          <w:szCs w:val="17"/>
          <w:color w:val="auto"/>
        </w:rPr>
      </w:pPr>
      <w:r>
        <w:rPr>
          <w:rFonts w:ascii="Arial" w:cs="Arial" w:eastAsia="Arial" w:hAnsi="Arial"/>
          <w:sz w:val="17"/>
          <w:szCs w:val="17"/>
          <w:color w:val="auto"/>
        </w:rPr>
        <w:t>Special Terms and Conditions: a. Invoice/Billing</w:t>
      </w:r>
    </w:p>
    <w:p>
      <w:pPr>
        <w:spacing w:after="0" w:line="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Invoices and billing information are to be sent electronically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&lt;Enter applicable AT&amp;T Business Unit/Finance Name&gt;: &lt;email</w:t>
      </w:r>
      <w:r>
        <w:rPr>
          <w:rFonts w:ascii="Arial" w:cs="Arial" w:eastAsia="Arial" w:hAnsi="Arial"/>
          <w:sz w:val="18"/>
          <w:szCs w:val="18"/>
          <w:u w:val="single" w:color="auto"/>
          <w:color w:val="auto"/>
        </w:rPr>
        <w:t>@att.com&gt;</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Copies of all invoices are to be sent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&lt;AT&amp;T Contact Name&gt;</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email@att.com&gt;</w:t>
      </w:r>
    </w:p>
    <w:p>
      <w:pPr>
        <w:spacing w:after="0" w:line="10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AT&amp;T will notify Amdocs of any changes regarding invoices and billing information at &lt;Enter Phone Number (xxx)xxx-xxxx&gt; or email:</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NAME@amdocs.com&gt;</w:t>
      </w: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115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type w:val="continuous"/>
        </w:sectPr>
      </w:pPr>
    </w:p>
    <w:bookmarkStart w:id="238" w:name="page239"/>
    <w:bookmarkEnd w:id="238"/>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20" w:hanging="532"/>
        <w:spacing w:after="0"/>
        <w:tabs>
          <w:tab w:leader="none" w:pos="920"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following terms and conditions shall be applicable to the deliverables to be provided by Amdocs under this SOW:</w:t>
      </w:r>
    </w:p>
    <w:p>
      <w:pPr>
        <w:spacing w:after="0" w:line="131" w:lineRule="exact"/>
        <w:rPr>
          <w:sz w:val="20"/>
          <w:szCs w:val="20"/>
          <w:color w:val="auto"/>
        </w:rPr>
      </w:pPr>
    </w:p>
    <w:p>
      <w:pPr>
        <w:ind w:left="1380" w:right="100" w:hanging="439"/>
        <w:spacing w:after="0" w:line="271" w:lineRule="auto"/>
        <w:tabs>
          <w:tab w:leader="none" w:pos="1380"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Amdocs shall provide the deliverables set forth in this SOW on a project/deliverables basis for the not-to-exceed amount set forth in Section 12. The scope of the project shall not be changed without agreement of the Parties in accordance with the Change Management Process. The Parties anticipate that the Work will be completed and/or the deliverables provided</w:t>
      </w:r>
    </w:p>
    <w:p>
      <w:pPr>
        <w:ind w:left="1380"/>
        <w:spacing w:after="0"/>
        <w:tabs>
          <w:tab w:leader="none" w:pos="2980" w:val="left"/>
          <w:tab w:leader="none" w:pos="3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 202</w:t>
      </w:r>
      <w:r>
        <w:rPr>
          <w:sz w:val="20"/>
          <w:szCs w:val="20"/>
          <w:color w:val="auto"/>
        </w:rPr>
        <w:tab/>
      </w:r>
      <w:r>
        <w:rPr>
          <w:rFonts w:ascii="Arial" w:cs="Arial" w:eastAsia="Arial" w:hAnsi="Arial"/>
          <w:sz w:val="16"/>
          <w:szCs w:val="16"/>
          <w:color w:val="auto"/>
        </w:rPr>
        <w:t>. Should either Party reasonably believe that the scope of the project or deliverables has changed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986155</wp:posOffset>
            </wp:positionH>
            <wp:positionV relativeFrom="paragraph">
              <wp:posOffset>-19050</wp:posOffset>
            </wp:positionV>
            <wp:extent cx="125666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ind w:left="1380" w:right="180"/>
        <w:spacing w:after="0" w:line="253" w:lineRule="auto"/>
        <w:rPr>
          <w:sz w:val="20"/>
          <w:szCs w:val="20"/>
          <w:color w:val="auto"/>
        </w:rPr>
      </w:pPr>
      <w:r>
        <w:rPr>
          <w:rFonts w:ascii="Arial" w:cs="Arial" w:eastAsia="Arial" w:hAnsi="Arial"/>
          <w:sz w:val="18"/>
          <w:szCs w:val="18"/>
          <w:color w:val="auto"/>
        </w:rPr>
        <w:t>that, due to unforeseen difficulties, the project cannot be completed and/or the deliverables provided by that date, that Party shall have the right to request that the Parties negotiate in good faith to change the scope of the project or deliverables, the time frame within which the project will be completed and/or the deliverables provided, and/or the compensation to be paid to Amdocs for the deliverables.</w:t>
      </w:r>
    </w:p>
    <w:p>
      <w:pPr>
        <w:spacing w:after="0" w:line="98" w:lineRule="exact"/>
        <w:rPr>
          <w:sz w:val="20"/>
          <w:szCs w:val="20"/>
          <w:color w:val="auto"/>
        </w:rPr>
      </w:pPr>
    </w:p>
    <w:p>
      <w:pPr>
        <w:ind w:left="1380" w:hanging="439"/>
        <w:spacing w:after="0"/>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Amdocs shall be responsible for providing the deliverables in accordance with the descriptions set forth in this SOW.</w:t>
      </w:r>
    </w:p>
    <w:p>
      <w:pPr>
        <w:spacing w:after="0" w:line="130" w:lineRule="exact"/>
        <w:rPr>
          <w:rFonts w:ascii="Arial" w:cs="Arial" w:eastAsia="Arial" w:hAnsi="Arial"/>
          <w:sz w:val="18"/>
          <w:szCs w:val="18"/>
          <w:color w:val="auto"/>
        </w:rPr>
      </w:pPr>
    </w:p>
    <w:p>
      <w:pPr>
        <w:ind w:left="1380" w:right="440" w:hanging="439"/>
        <w:spacing w:after="0" w:line="286" w:lineRule="auto"/>
        <w:tabs>
          <w:tab w:leader="none" w:pos="1380" w:val="left"/>
        </w:tabs>
        <w:numPr>
          <w:ilvl w:val="0"/>
          <w:numId w:val="249"/>
        </w:numPr>
        <w:rPr>
          <w:rFonts w:ascii="Arial" w:cs="Arial" w:eastAsia="Arial" w:hAnsi="Arial"/>
          <w:sz w:val="17"/>
          <w:szCs w:val="17"/>
          <w:color w:val="auto"/>
        </w:rPr>
      </w:pPr>
      <w:r>
        <w:rPr>
          <w:rFonts w:ascii="Arial" w:cs="Arial" w:eastAsia="Arial" w:hAnsi="Arial"/>
          <w:sz w:val="17"/>
          <w:szCs w:val="17"/>
          <w:color w:val="auto"/>
        </w:rPr>
        <w:t>Amdocs agrees that all dates for provision of the deliverables are firm, and Amdocs will complete performance in material conformance with the specifications and requirements set forth above. Deliverables provided by Amdocs shall be deemed to be accepted by AT&amp;T when they are provided in accordance with such specification and requirements (“Acceptance”).</w:t>
      </w:r>
    </w:p>
    <w:p>
      <w:pPr>
        <w:spacing w:after="0" w:line="70" w:lineRule="exact"/>
        <w:rPr>
          <w:rFonts w:ascii="Arial" w:cs="Arial" w:eastAsia="Arial" w:hAnsi="Arial"/>
          <w:sz w:val="17"/>
          <w:szCs w:val="17"/>
          <w:color w:val="auto"/>
        </w:rPr>
      </w:pPr>
    </w:p>
    <w:p>
      <w:pPr>
        <w:ind w:left="1380" w:right="160" w:hanging="439"/>
        <w:spacing w:after="0" w:line="290" w:lineRule="auto"/>
        <w:tabs>
          <w:tab w:leader="none" w:pos="1380"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Amdocs shall be solely responsible for the resources it uses to provide the deliverables. Amdocs shall be responsible to select the resources to provide the deliverables, and AT&amp;T shall not have the right to, and shall not, select, interview, or otherwise influence Amdocs in the selection process. It shall be Amdocs’ responsibility to select resources with the appropriate skills and experience to provide the deliverables. Amdocs shall be responsible at its own expense to ensure that all resources are properly trained. Supplier shall supervise the resources in such a manner as to ensure that the deliverables are timely provided in accordance with the specifications and requirements set forth herein. Amdocs shall designate a point of contact to be the liaison between Amdocs’ resources and AT&amp;T. That point of contact shall be responsible for clarifying any issues about the deliverables with AT&amp;T, and AT&amp;T shall not have any right to control any of the resources or the means or method of Amdocs’ provision of the deliverables.</w:t>
      </w:r>
    </w:p>
    <w:p>
      <w:pPr>
        <w:spacing w:after="0" w:line="70" w:lineRule="exact"/>
        <w:rPr>
          <w:rFonts w:ascii="Arial" w:cs="Arial" w:eastAsia="Arial" w:hAnsi="Arial"/>
          <w:sz w:val="16"/>
          <w:szCs w:val="16"/>
          <w:color w:val="auto"/>
        </w:rPr>
      </w:pPr>
    </w:p>
    <w:p>
      <w:pPr>
        <w:ind w:left="1380" w:right="340" w:hanging="439"/>
        <w:spacing w:after="0" w:line="277" w:lineRule="auto"/>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Amdocs shall set the work schedule of its resources in order to timely complete the deliverables, and shall be responsible for any modifications to the work schedule.</w:t>
      </w:r>
    </w:p>
    <w:p>
      <w:pPr>
        <w:spacing w:after="0" w:line="75" w:lineRule="exact"/>
        <w:rPr>
          <w:rFonts w:ascii="Arial" w:cs="Arial" w:eastAsia="Arial" w:hAnsi="Arial"/>
          <w:sz w:val="18"/>
          <w:szCs w:val="18"/>
          <w:color w:val="auto"/>
        </w:rPr>
      </w:pPr>
    </w:p>
    <w:p>
      <w:pPr>
        <w:ind w:left="1380" w:right="40" w:hanging="439"/>
        <w:spacing w:after="0" w:line="259" w:lineRule="auto"/>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Amdocs is solely responsible for all matters relating to compensation and benefits, including payroll taxes, unemployment compensation, disability insurance, and health and welfare benefits, of all resources who provide the deliverables. Amdocs shall also be responsible for compliance with all Laws dealing with working conditions, including payment of any overtime worked by Amdocs’ resources required by such Laws.</w:t>
      </w:r>
    </w:p>
    <w:p>
      <w:pPr>
        <w:spacing w:after="0" w:line="92" w:lineRule="exact"/>
        <w:rPr>
          <w:rFonts w:ascii="Arial" w:cs="Arial" w:eastAsia="Arial" w:hAnsi="Arial"/>
          <w:sz w:val="18"/>
          <w:szCs w:val="18"/>
          <w:color w:val="auto"/>
        </w:rPr>
      </w:pPr>
    </w:p>
    <w:p>
      <w:pPr>
        <w:ind w:left="1380" w:right="220" w:hanging="439"/>
        <w:spacing w:after="0" w:line="277" w:lineRule="auto"/>
        <w:tabs>
          <w:tab w:leader="none" w:pos="13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Amdocs agrees that it is providing the deliverables as described in this SOW and Amdocs is managing the resources providing the deliverables.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116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39" w:name="page240"/>
    <w:bookmarkEnd w:id="239"/>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4" w:right="300" w:hanging="439"/>
        <w:spacing w:after="0" w:line="342" w:lineRule="auto"/>
        <w:tabs>
          <w:tab w:leader="none" w:pos="1424" w:val="left"/>
        </w:tabs>
        <w:numPr>
          <w:ilvl w:val="1"/>
          <w:numId w:val="250"/>
        </w:numPr>
        <w:rPr>
          <w:rFonts w:ascii="Arial" w:cs="Arial" w:eastAsia="Arial" w:hAnsi="Arial"/>
          <w:sz w:val="16"/>
          <w:szCs w:val="16"/>
          <w:color w:val="auto"/>
        </w:rPr>
      </w:pPr>
      <w:r>
        <w:rPr>
          <w:rFonts w:ascii="Arial" w:cs="Arial" w:eastAsia="Arial" w:hAnsi="Arial"/>
          <w:sz w:val="16"/>
          <w:szCs w:val="16"/>
          <w:color w:val="auto"/>
        </w:rPr>
        <w:t>Amdocs shall manage its resources data in AT&amp;T’s selected vendor management systems as it relates to assignment start and end dates, contract/PO # and deliverables-based classification. Resource end dates must correspond to the term of this SOW.</w:t>
      </w:r>
    </w:p>
    <w:p>
      <w:pPr>
        <w:spacing w:after="0" w:line="29" w:lineRule="exact"/>
        <w:rPr>
          <w:rFonts w:ascii="Arial" w:cs="Arial" w:eastAsia="Arial" w:hAnsi="Arial"/>
          <w:sz w:val="16"/>
          <w:szCs w:val="16"/>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Liquidated Damages for Delay in Delivery: &lt;Will be applied only if relevant&gt;</w:t>
      </w:r>
    </w:p>
    <w:p>
      <w:pPr>
        <w:spacing w:after="0" w:line="117" w:lineRule="exact"/>
        <w:rPr>
          <w:rFonts w:ascii="Arial" w:cs="Arial" w:eastAsia="Arial" w:hAnsi="Arial"/>
          <w:sz w:val="18"/>
          <w:szCs w:val="18"/>
          <w:color w:val="auto"/>
        </w:rPr>
      </w:pPr>
    </w:p>
    <w:p>
      <w:pPr>
        <w:ind w:left="444" w:right="360"/>
        <w:spacing w:after="0" w:line="277" w:lineRule="auto"/>
        <w:rPr>
          <w:rFonts w:ascii="Arial" w:cs="Arial" w:eastAsia="Arial" w:hAnsi="Arial"/>
          <w:sz w:val="18"/>
          <w:szCs w:val="18"/>
          <w:color w:val="auto"/>
        </w:rPr>
      </w:pPr>
      <w:r>
        <w:rPr>
          <w:rFonts w:ascii="Arial" w:cs="Arial" w:eastAsia="Arial" w:hAnsi="Arial"/>
          <w:sz w:val="18"/>
          <w:szCs w:val="18"/>
          <w:color w:val="auto"/>
        </w:rPr>
        <w:t>Delayed Delivery Dates under this SOW shall be handled in accordance with Section 4.9, “Liquidated Damages for Delay in Delivery,” of the Master Services Agreement.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Error Severity Level Description And Resolution Plan: &lt;Will be applied only if relevant&gt;</w:t>
      </w:r>
    </w:p>
    <w:p>
      <w:pPr>
        <w:spacing w:after="0" w:line="117" w:lineRule="exact"/>
        <w:rPr>
          <w:rFonts w:ascii="Arial" w:cs="Arial" w:eastAsia="Arial" w:hAnsi="Arial"/>
          <w:sz w:val="18"/>
          <w:szCs w:val="18"/>
          <w:color w:val="auto"/>
        </w:rPr>
      </w:pPr>
    </w:p>
    <w:p>
      <w:pPr>
        <w:ind w:left="444" w:right="520"/>
        <w:spacing w:after="0" w:line="277" w:lineRule="auto"/>
        <w:rPr>
          <w:rFonts w:ascii="Arial" w:cs="Arial" w:eastAsia="Arial" w:hAnsi="Arial"/>
          <w:sz w:val="18"/>
          <w:szCs w:val="18"/>
          <w:color w:val="auto"/>
        </w:rPr>
      </w:pPr>
      <w:r>
        <w:rPr>
          <w:rFonts w:ascii="Arial" w:cs="Arial" w:eastAsia="Arial" w:hAnsi="Arial"/>
          <w:sz w:val="18"/>
          <w:szCs w:val="18"/>
          <w:color w:val="auto"/>
        </w:rPr>
        <w:t>Errors found in the Custom Software or Ongoing Support provided under this SOW shall be handled in accordance with Section 4.8, “Error Severity Level Description And Resolution Plan,” of the Master Services Agreement.</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Payment Terms:</w:t>
      </w:r>
    </w:p>
    <w:p>
      <w:pPr>
        <w:spacing w:after="0" w:line="117" w:lineRule="exact"/>
        <w:rPr>
          <w:rFonts w:ascii="Arial" w:cs="Arial" w:eastAsia="Arial" w:hAnsi="Arial"/>
          <w:sz w:val="18"/>
          <w:szCs w:val="18"/>
          <w:color w:val="auto"/>
        </w:rPr>
      </w:pPr>
    </w:p>
    <w:p>
      <w:pPr>
        <w:ind w:left="444" w:right="380"/>
        <w:spacing w:after="0" w:line="308" w:lineRule="auto"/>
        <w:rPr>
          <w:rFonts w:ascii="Arial" w:cs="Arial" w:eastAsia="Arial" w:hAnsi="Arial"/>
          <w:sz w:val="18"/>
          <w:szCs w:val="18"/>
          <w:color w:val="auto"/>
        </w:rPr>
      </w:pPr>
      <w:r>
        <w:rPr>
          <w:rFonts w:ascii="Arial" w:cs="Arial" w:eastAsia="Arial" w:hAnsi="Arial"/>
          <w:sz w:val="17"/>
          <w:szCs w:val="17"/>
          <w:color w:val="auto"/>
        </w:rPr>
        <w:t>Payment terms for invoices issued under this SOW shall be in accordance with Section 3.19, “Invoicing and Payment” of the Master Services Agreement, which are, as of the Effective Date of this SOW, net [***] days from the date of receipt of the invoice.</w:t>
      </w:r>
    </w:p>
    <w:p>
      <w:pPr>
        <w:spacing w:after="0" w:line="51" w:lineRule="exact"/>
        <w:rPr>
          <w:rFonts w:ascii="Arial" w:cs="Arial" w:eastAsia="Arial" w:hAnsi="Arial"/>
          <w:sz w:val="18"/>
          <w:szCs w:val="18"/>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Ownership of Paid-For Development:</w:t>
      </w:r>
    </w:p>
    <w:p>
      <w:pPr>
        <w:spacing w:after="0" w:line="117" w:lineRule="exact"/>
        <w:rPr>
          <w:rFonts w:ascii="Arial" w:cs="Arial" w:eastAsia="Arial" w:hAnsi="Arial"/>
          <w:sz w:val="18"/>
          <w:szCs w:val="18"/>
          <w:color w:val="auto"/>
        </w:rPr>
      </w:pPr>
    </w:p>
    <w:p>
      <w:pPr>
        <w:ind w:left="444" w:right="200"/>
        <w:spacing w:after="0" w:line="263" w:lineRule="auto"/>
        <w:rPr>
          <w:rFonts w:ascii="Arial" w:cs="Arial" w:eastAsia="Arial" w:hAnsi="Arial"/>
          <w:sz w:val="18"/>
          <w:szCs w:val="18"/>
          <w:color w:val="auto"/>
        </w:rPr>
      </w:pPr>
      <w:r>
        <w:rPr>
          <w:rFonts w:ascii="Arial" w:cs="Arial" w:eastAsia="Arial" w:hAnsi="Arial"/>
          <w:sz w:val="18"/>
          <w:szCs w:val="18"/>
          <w:color w:val="auto"/>
        </w:rPr>
        <w:t>For the avoidance of doubt, and for purposes of interpreting AT&amp;T’s right to Program Material and Documentation created hereunder, title to all Work output hereunder shall be determined in accordance with the Master Services Agreement, Section 3.27, “Ownership of Paid-For Development, Use and Reservation of Rights”. &lt;Replace with other terms if agreed by the Parties&gt;</w:t>
      </w:r>
    </w:p>
    <w:p>
      <w:pPr>
        <w:spacing w:after="0" w:line="89" w:lineRule="exact"/>
        <w:rPr>
          <w:rFonts w:ascii="Arial" w:cs="Arial" w:eastAsia="Arial" w:hAnsi="Arial"/>
          <w:sz w:val="18"/>
          <w:szCs w:val="18"/>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Information:</w:t>
      </w:r>
    </w:p>
    <w:p>
      <w:pPr>
        <w:spacing w:after="0" w:line="117" w:lineRule="exact"/>
        <w:rPr>
          <w:rFonts w:ascii="Arial" w:cs="Arial" w:eastAsia="Arial" w:hAnsi="Arial"/>
          <w:sz w:val="18"/>
          <w:szCs w:val="18"/>
          <w:color w:val="auto"/>
        </w:rPr>
      </w:pPr>
    </w:p>
    <w:p>
      <w:pPr>
        <w:ind w:left="444" w:right="140"/>
        <w:spacing w:after="0" w:line="286" w:lineRule="auto"/>
        <w:rPr>
          <w:rFonts w:ascii="Arial" w:cs="Arial" w:eastAsia="Arial" w:hAnsi="Arial"/>
          <w:sz w:val="18"/>
          <w:szCs w:val="18"/>
          <w:color w:val="auto"/>
        </w:rPr>
      </w:pPr>
      <w:r>
        <w:rPr>
          <w:rFonts w:ascii="Arial" w:cs="Arial" w:eastAsia="Arial" w:hAnsi="Arial"/>
          <w:sz w:val="17"/>
          <w:szCs w:val="17"/>
          <w:color w:val="auto"/>
        </w:rPr>
        <w:t>In addition to all other rights provided by Section 3.16, “Information”, pursuant to the Master Services Agreement, any Information received by Amdocs from AT&amp;T or other parties engaged in this Work shall be considered and treated as confidential Information under the SOW, regardless of any requirement to put it in writing under the Master Services Agreement or separate Non-Disclosure Agreement (NDA).</w:t>
      </w:r>
    </w:p>
    <w:p>
      <w:pPr>
        <w:spacing w:after="0" w:line="70" w:lineRule="exact"/>
        <w:rPr>
          <w:rFonts w:ascii="Arial" w:cs="Arial" w:eastAsia="Arial" w:hAnsi="Arial"/>
          <w:sz w:val="18"/>
          <w:szCs w:val="18"/>
          <w:color w:val="auto"/>
        </w:rPr>
      </w:pPr>
    </w:p>
    <w:p>
      <w:pPr>
        <w:ind w:left="424" w:hanging="424"/>
        <w:spacing w:after="0"/>
        <w:tabs>
          <w:tab w:leader="none" w:pos="4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117" w:lineRule="exact"/>
        <w:rPr>
          <w:rFonts w:ascii="Arial" w:cs="Arial" w:eastAsia="Arial" w:hAnsi="Arial"/>
          <w:sz w:val="18"/>
          <w:szCs w:val="18"/>
          <w:color w:val="auto"/>
        </w:rPr>
      </w:pPr>
    </w:p>
    <w:p>
      <w:pPr>
        <w:ind w:left="444" w:right="160"/>
        <w:spacing w:after="0" w:line="277" w:lineRule="auto"/>
        <w:rPr>
          <w:rFonts w:ascii="Arial" w:cs="Arial" w:eastAsia="Arial" w:hAnsi="Arial"/>
          <w:sz w:val="18"/>
          <w:szCs w:val="18"/>
          <w:color w:val="auto"/>
        </w:rPr>
      </w:pPr>
      <w:r>
        <w:rPr>
          <w:rFonts w:ascii="Arial" w:cs="Arial" w:eastAsia="Arial" w:hAnsi="Arial"/>
          <w:sz w:val="18"/>
          <w:szCs w:val="18"/>
          <w:color w:val="auto"/>
        </w:rPr>
        <w:t>The Termination and Partial Termination provisions applicable to this SOW are contained in Section 3.36, “Termination”, of the Master Services Agreement. &lt;Replace with other terms if agreed by the Parties&gt;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117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40" w:name="page241"/>
    <w:bookmarkEnd w:id="240"/>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Appendix B, Exhibit 3 – For License Orders for Standard Software</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240" w:type="dxa"/>
            <w:vAlign w:val="bottom"/>
            <w:gridSpan w:val="2"/>
          </w:tcPr>
          <w:p>
            <w:pPr>
              <w:ind w:left="600"/>
              <w:spacing w:after="0"/>
              <w:rPr>
                <w:sz w:val="20"/>
                <w:szCs w:val="20"/>
                <w:color w:val="auto"/>
              </w:rPr>
            </w:pPr>
            <w:r>
              <w:rPr>
                <w:rFonts w:ascii="Arial" w:cs="Arial" w:eastAsia="Arial" w:hAnsi="Arial"/>
                <w:sz w:val="14"/>
                <w:szCs w:val="14"/>
                <w:color w:val="auto"/>
              </w:rPr>
              <w:t>Important: Mark this Order</w:t>
            </w:r>
          </w:p>
        </w:tc>
        <w:tc>
          <w:tcPr>
            <w:tcW w:w="2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87"/>
        </w:trPr>
        <w:tc>
          <w:tcPr>
            <w:tcW w:w="3240" w:type="dxa"/>
            <w:vAlign w:val="bottom"/>
            <w:gridSpan w:val="2"/>
          </w:tcPr>
          <w:p>
            <w:pPr>
              <w:ind w:left="740"/>
              <w:spacing w:after="0"/>
              <w:rPr>
                <w:sz w:val="20"/>
                <w:szCs w:val="20"/>
                <w:color w:val="auto"/>
              </w:rPr>
            </w:pPr>
            <w:r>
              <w:rPr>
                <w:rFonts w:ascii="Arial" w:cs="Arial" w:eastAsia="Arial" w:hAnsi="Arial"/>
                <w:sz w:val="14"/>
                <w:szCs w:val="14"/>
                <w:color w:val="auto"/>
              </w:rPr>
              <w:t>number on all Invoices</w:t>
            </w:r>
          </w:p>
        </w:tc>
        <w:tc>
          <w:tcPr>
            <w:tcW w:w="2260" w:type="dxa"/>
            <w:vAlign w:val="bottom"/>
          </w:tcPr>
          <w:p>
            <w:pPr>
              <w:ind w:left="440"/>
              <w:spacing w:after="0"/>
              <w:rPr>
                <w:sz w:val="20"/>
                <w:szCs w:val="20"/>
                <w:color w:val="auto"/>
              </w:rPr>
            </w:pPr>
            <w:r>
              <w:rPr>
                <w:rFonts w:ascii="Arial" w:cs="Arial" w:eastAsia="Arial" w:hAnsi="Arial"/>
                <w:sz w:val="14"/>
                <w:szCs w:val="14"/>
                <w:color w:val="auto"/>
              </w:rPr>
              <w:t>License Order Number:</w:t>
            </w:r>
          </w:p>
        </w:tc>
        <w:tc>
          <w:tcPr>
            <w:tcW w:w="440" w:type="dxa"/>
            <w:vAlign w:val="bottom"/>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20"/>
                <w:szCs w:val="20"/>
                <w:color w:val="auto"/>
              </w:rPr>
            </w:pPr>
            <w:r>
              <w:rPr>
                <w:rFonts w:ascii="Arial" w:cs="Arial" w:eastAsia="Arial" w:hAnsi="Arial"/>
                <w:sz w:val="14"/>
                <w:szCs w:val="14"/>
                <w:color w:val="auto"/>
                <w:w w:val="94"/>
              </w:rPr>
              <w:t>Effective/Order Date:</w:t>
            </w:r>
          </w:p>
        </w:tc>
        <w:tc>
          <w:tcPr>
            <w:tcW w:w="720" w:type="dxa"/>
            <w:vAlign w:val="bottom"/>
          </w:tcPr>
          <w:p>
            <w:pPr>
              <w:jc w:val="right"/>
              <w:spacing w:after="0"/>
              <w:rPr>
                <w:sz w:val="20"/>
                <w:szCs w:val="20"/>
                <w:color w:val="auto"/>
              </w:rPr>
            </w:pPr>
            <w:r>
              <w:rPr>
                <w:rFonts w:ascii="Arial" w:cs="Arial" w:eastAsia="Arial" w:hAnsi="Arial"/>
                <w:sz w:val="14"/>
                <w:szCs w:val="14"/>
                <w:u w:val="single" w:color="auto"/>
                <w:color w:val="auto"/>
              </w:rPr>
              <w:t>:</w:t>
            </w:r>
          </w:p>
        </w:tc>
      </w:tr>
      <w:tr>
        <w:trPr>
          <w:trHeight w:val="189"/>
        </w:trPr>
        <w:tc>
          <w:tcPr>
            <w:tcW w:w="2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Supplier Name</w:t>
            </w:r>
          </w:p>
        </w:tc>
        <w:tc>
          <w:tcPr>
            <w:tcW w:w="440" w:type="dxa"/>
            <w:vAlign w:val="bottom"/>
          </w:tcPr>
          <w:p>
            <w:pPr>
              <w:spacing w:after="0"/>
              <w:rPr>
                <w:sz w:val="16"/>
                <w:szCs w:val="16"/>
                <w:color w:val="auto"/>
              </w:rPr>
            </w:pPr>
          </w:p>
        </w:tc>
        <w:tc>
          <w:tcPr>
            <w:tcW w:w="226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2440" w:type="dxa"/>
            <w:vAlign w:val="bottom"/>
          </w:tcPr>
          <w:p>
            <w:pPr>
              <w:spacing w:after="0" w:line="189" w:lineRule="exact"/>
              <w:rPr>
                <w:sz w:val="20"/>
                <w:szCs w:val="20"/>
                <w:color w:val="auto"/>
              </w:rPr>
            </w:pPr>
            <w:r>
              <w:rPr>
                <w:rFonts w:ascii="Arial" w:cs="Arial" w:eastAsia="Arial" w:hAnsi="Arial"/>
                <w:sz w:val="18"/>
                <w:szCs w:val="18"/>
                <w:color w:val="auto"/>
              </w:rPr>
              <w:t>Buyer Name</w:t>
            </w:r>
          </w:p>
        </w:tc>
        <w:tc>
          <w:tcPr>
            <w:tcW w:w="200" w:type="dxa"/>
            <w:vAlign w:val="bottom"/>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Address</w:t>
            </w:r>
          </w:p>
        </w:tc>
        <w:tc>
          <w:tcPr>
            <w:tcW w:w="2260" w:type="dxa"/>
            <w:vAlign w:val="bottom"/>
          </w:tcPr>
          <w:p>
            <w:pPr>
              <w:spacing w:after="0"/>
              <w:rPr>
                <w:sz w:val="18"/>
                <w:szCs w:val="18"/>
                <w:color w:val="auto"/>
              </w:rPr>
            </w:pPr>
          </w:p>
        </w:tc>
        <w:tc>
          <w:tcPr>
            <w:tcW w:w="4340" w:type="dxa"/>
            <w:vAlign w:val="bottom"/>
            <w:gridSpan w:val="4"/>
          </w:tcPr>
          <w:p>
            <w:pPr>
              <w:ind w:left="440"/>
              <w:spacing w:after="0"/>
              <w:rPr>
                <w:sz w:val="20"/>
                <w:szCs w:val="20"/>
                <w:color w:val="auto"/>
              </w:rPr>
            </w:pPr>
            <w:r>
              <w:rPr>
                <w:rFonts w:ascii="Arial" w:cs="Arial" w:eastAsia="Arial" w:hAnsi="Arial"/>
                <w:sz w:val="18"/>
                <w:szCs w:val="18"/>
                <w:color w:val="auto"/>
              </w:rPr>
              <w:t>Address</w:t>
            </w:r>
          </w:p>
        </w:tc>
        <w:tc>
          <w:tcPr>
            <w:tcW w:w="7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City, State, Zip</w:t>
            </w:r>
          </w:p>
        </w:tc>
        <w:tc>
          <w:tcPr>
            <w:tcW w:w="2260" w:type="dxa"/>
            <w:vAlign w:val="bottom"/>
          </w:tcPr>
          <w:p>
            <w:pPr>
              <w:spacing w:after="0"/>
              <w:rPr>
                <w:sz w:val="18"/>
                <w:szCs w:val="18"/>
                <w:color w:val="auto"/>
              </w:rPr>
            </w:pPr>
          </w:p>
        </w:tc>
        <w:tc>
          <w:tcPr>
            <w:tcW w:w="4340" w:type="dxa"/>
            <w:vAlign w:val="bottom"/>
            <w:gridSpan w:val="4"/>
          </w:tcPr>
          <w:p>
            <w:pPr>
              <w:ind w:left="440"/>
              <w:spacing w:after="0"/>
              <w:rPr>
                <w:sz w:val="20"/>
                <w:szCs w:val="20"/>
                <w:color w:val="auto"/>
              </w:rPr>
            </w:pPr>
            <w:r>
              <w:rPr>
                <w:rFonts w:ascii="Arial" w:cs="Arial" w:eastAsia="Arial" w:hAnsi="Arial"/>
                <w:sz w:val="18"/>
                <w:szCs w:val="18"/>
                <w:color w:val="auto"/>
              </w:rPr>
              <w:t>City, State, Zip</w:t>
            </w:r>
          </w:p>
        </w:tc>
        <w:tc>
          <w:tcPr>
            <w:tcW w:w="7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Send Invoices</w:t>
            </w:r>
          </w:p>
        </w:tc>
        <w:tc>
          <w:tcPr>
            <w:tcW w:w="2260" w:type="dxa"/>
            <w:vAlign w:val="bottom"/>
          </w:tcPr>
          <w:p>
            <w:pPr>
              <w:spacing w:after="0"/>
              <w:rPr>
                <w:sz w:val="18"/>
                <w:szCs w:val="18"/>
                <w:color w:val="auto"/>
              </w:rPr>
            </w:pPr>
          </w:p>
        </w:tc>
        <w:tc>
          <w:tcPr>
            <w:tcW w:w="4340" w:type="dxa"/>
            <w:vAlign w:val="bottom"/>
            <w:gridSpan w:val="4"/>
          </w:tcPr>
          <w:p>
            <w:pPr>
              <w:ind w:left="440"/>
              <w:spacing w:after="0"/>
              <w:rPr>
                <w:sz w:val="20"/>
                <w:szCs w:val="20"/>
                <w:color w:val="auto"/>
              </w:rPr>
            </w:pPr>
            <w:r>
              <w:rPr>
                <w:rFonts w:ascii="Arial" w:cs="Arial" w:eastAsia="Arial" w:hAnsi="Arial"/>
                <w:sz w:val="18"/>
                <w:szCs w:val="18"/>
                <w:color w:val="auto"/>
              </w:rPr>
              <w:t>Refer Questions To:</w:t>
            </w:r>
          </w:p>
        </w:tc>
        <w:tc>
          <w:tcPr>
            <w:tcW w:w="720" w:type="dxa"/>
            <w:vAlign w:val="bottom"/>
          </w:tcPr>
          <w:p>
            <w:pPr>
              <w:spacing w:after="0"/>
              <w:rPr>
                <w:sz w:val="18"/>
                <w:szCs w:val="18"/>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To:</w:t>
            </w:r>
          </w:p>
        </w:tc>
        <w:tc>
          <w:tcPr>
            <w:tcW w:w="2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202" w:lineRule="exact"/>
        <w:rPr>
          <w:sz w:val="20"/>
          <w:szCs w:val="20"/>
          <w:color w:val="auto"/>
        </w:rPr>
      </w:pPr>
    </w:p>
    <w:p>
      <w:pPr>
        <w:ind w:left="4" w:right="740"/>
        <w:spacing w:after="0" w:line="277" w:lineRule="auto"/>
        <w:rPr>
          <w:sz w:val="20"/>
          <w:szCs w:val="20"/>
          <w:color w:val="auto"/>
        </w:rPr>
      </w:pPr>
      <w:r>
        <w:rPr>
          <w:rFonts w:ascii="Arial" w:cs="Arial" w:eastAsia="Arial" w:hAnsi="Arial"/>
          <w:sz w:val="18"/>
          <w:szCs w:val="18"/>
          <w:color w:val="auto"/>
        </w:rPr>
        <w:t>This Order is issued subject to the Terms and Conditions of Master Agreement No. 53258.C (as amended, the “Master Agreement”), which are incorporated herein by this reference.</w:t>
      </w:r>
    </w:p>
    <w:p>
      <w:pPr>
        <w:spacing w:after="0" w:line="170"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u w:val="single" w:color="auto"/>
          <w:color w:val="auto"/>
        </w:rPr>
        <w:t>Description:</w:t>
      </w:r>
      <w:r>
        <w:rPr>
          <w:rFonts w:ascii="Arial" w:cs="Arial" w:eastAsia="Arial" w:hAnsi="Arial"/>
          <w:sz w:val="18"/>
          <w:szCs w:val="18"/>
          <w:color w:val="auto"/>
        </w:rPr>
        <w:t xml:space="preserve"> Supplier shall provide the following Computer Programs together with all user instructions and manuals and other information necessary to enable Buyer to use the Computer Programs (“Software”):</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Amdocs Licensing Entity:</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Licensed AT&amp;T Affiliates / Users:</w:t>
      </w:r>
    </w:p>
    <w:p>
      <w:pPr>
        <w:spacing w:after="0" w:line="117"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The following AT&amp;T Affiliates and Users are added to the standard licensed AT&amp;T Affiliates and Users licensed under Section 8.0 of the Master Agreement permitted to Use the Software under this Order:</w:t>
      </w:r>
    </w:p>
    <w:p>
      <w:pPr>
        <w:spacing w:after="0" w:line="76" w:lineRule="exact"/>
        <w:rPr>
          <w:sz w:val="20"/>
          <w:szCs w:val="20"/>
          <w:color w:val="auto"/>
        </w:rPr>
      </w:pPr>
    </w:p>
    <w:p>
      <w:pPr>
        <w:ind w:left="424" w:hanging="424"/>
        <w:spacing w:after="0"/>
        <w:tabs>
          <w:tab w:leader="none" w:pos="424" w:val="left"/>
        </w:tabs>
        <w:numPr>
          <w:ilvl w:val="0"/>
          <w:numId w:val="252"/>
        </w:numPr>
        <w:rPr>
          <w:rFonts w:ascii="MS PGothic" w:cs="MS PGothic" w:eastAsia="MS PGothic" w:hAnsi="MS PGothic"/>
          <w:sz w:val="18"/>
          <w:szCs w:val="18"/>
          <w:color w:val="auto"/>
        </w:rPr>
      </w:pPr>
      <w:r>
        <w:rPr>
          <w:rFonts w:ascii="Arial" w:cs="Arial" w:eastAsia="Arial" w:hAnsi="Arial"/>
          <w:sz w:val="18"/>
          <w:szCs w:val="18"/>
          <w:color w:val="auto"/>
        </w:rPr>
        <w:t>No additional AT&amp;T Affiliates or Users</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52"/>
        </w:numPr>
        <w:rPr>
          <w:rFonts w:ascii="MS PGothic" w:cs="MS PGothic" w:eastAsia="MS PGothic" w:hAnsi="MS PGothic"/>
          <w:sz w:val="18"/>
          <w:szCs w:val="18"/>
          <w:color w:val="auto"/>
        </w:rPr>
      </w:pPr>
      <w:r>
        <w:rPr>
          <w:rFonts w:ascii="Arial" w:cs="Arial" w:eastAsia="Arial" w:hAnsi="Arial"/>
          <w:sz w:val="18"/>
          <w:szCs w:val="18"/>
          <w:color w:val="auto"/>
        </w:rPr>
        <w:t>Additional AT&amp;T Affiliates and Users: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Notwithstanding Section 8.0 of the Master Agreement, the following AT&amp;T Affiliates and Users are not permitted to Use the Software under this Order:</w:t>
      </w:r>
    </w:p>
    <w:p>
      <w:pPr>
        <w:spacing w:after="0" w:line="154" w:lineRule="exact"/>
        <w:rPr>
          <w:sz w:val="20"/>
          <w:szCs w:val="20"/>
          <w:color w:val="auto"/>
        </w:rPr>
      </w:pPr>
    </w:p>
    <w:p>
      <w:pPr>
        <w:ind w:left="424" w:hanging="424"/>
        <w:spacing w:after="0"/>
        <w:tabs>
          <w:tab w:leader="none" w:pos="424" w:val="left"/>
        </w:tabs>
        <w:numPr>
          <w:ilvl w:val="0"/>
          <w:numId w:val="253"/>
        </w:numPr>
        <w:rPr>
          <w:rFonts w:ascii="MS PGothic" w:cs="MS PGothic" w:eastAsia="MS PGothic" w:hAnsi="MS PGothic"/>
          <w:sz w:val="18"/>
          <w:szCs w:val="18"/>
          <w:color w:val="auto"/>
        </w:rPr>
      </w:pPr>
      <w:r>
        <w:rPr>
          <w:rFonts w:ascii="Arial" w:cs="Arial" w:eastAsia="Arial" w:hAnsi="Arial"/>
          <w:sz w:val="18"/>
          <w:szCs w:val="18"/>
          <w:color w:val="auto"/>
        </w:rPr>
        <w:t>None</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53"/>
        </w:numPr>
        <w:rPr>
          <w:rFonts w:ascii="MS PGothic" w:cs="MS PGothic" w:eastAsia="MS PGothic" w:hAnsi="MS PGothic"/>
          <w:sz w:val="18"/>
          <w:szCs w:val="18"/>
          <w:color w:val="auto"/>
        </w:rPr>
      </w:pPr>
      <w:r>
        <w:rPr>
          <w:rFonts w:ascii="Arial" w:cs="Arial" w:eastAsia="Arial" w:hAnsi="Arial"/>
          <w:sz w:val="18"/>
          <w:szCs w:val="18"/>
          <w:color w:val="auto"/>
        </w:rPr>
        <w:t>Excluded AT&amp;T Affiliates and Users:</w:t>
      </w:r>
    </w:p>
    <w:p>
      <w:pPr>
        <w:spacing w:after="0" w:line="33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Variations in Scope of License:</w:t>
      </w:r>
    </w:p>
    <w:p>
      <w:pPr>
        <w:spacing w:after="0" w:line="117"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following license rights and license restrictions (in addition to the rights and restrictions set forth in Section 8.0 of the Master Agreement) apply to the Use of the Software under this Order.</w:t>
      </w:r>
    </w:p>
    <w:p>
      <w:pPr>
        <w:spacing w:after="0" w:line="76" w:lineRule="exact"/>
        <w:rPr>
          <w:sz w:val="20"/>
          <w:szCs w:val="20"/>
          <w:color w:val="auto"/>
        </w:rPr>
      </w:pPr>
    </w:p>
    <w:p>
      <w:pPr>
        <w:ind w:left="424" w:hanging="424"/>
        <w:spacing w:after="0"/>
        <w:tabs>
          <w:tab w:leader="none" w:pos="424" w:val="left"/>
        </w:tabs>
        <w:numPr>
          <w:ilvl w:val="0"/>
          <w:numId w:val="254"/>
        </w:numPr>
        <w:rPr>
          <w:rFonts w:ascii="MS PGothic" w:cs="MS PGothic" w:eastAsia="MS PGothic" w:hAnsi="MS PGothic"/>
          <w:sz w:val="18"/>
          <w:szCs w:val="18"/>
          <w:color w:val="auto"/>
        </w:rPr>
      </w:pPr>
      <w:r>
        <w:rPr>
          <w:rFonts w:ascii="Arial" w:cs="Arial" w:eastAsia="Arial" w:hAnsi="Arial"/>
          <w:sz w:val="18"/>
          <w:szCs w:val="18"/>
          <w:color w:val="auto"/>
        </w:rPr>
        <w:t>None</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54"/>
        </w:numPr>
        <w:rPr>
          <w:rFonts w:ascii="MS PGothic" w:cs="MS PGothic" w:eastAsia="MS PGothic" w:hAnsi="MS PGothic"/>
          <w:sz w:val="18"/>
          <w:szCs w:val="18"/>
          <w:color w:val="auto"/>
        </w:rPr>
      </w:pPr>
      <w:r>
        <w:rPr>
          <w:rFonts w:ascii="Arial" w:cs="Arial" w:eastAsia="Arial" w:hAnsi="Arial"/>
          <w:sz w:val="18"/>
          <w:szCs w:val="18"/>
          <w:color w:val="auto"/>
        </w:rPr>
        <w:t>Additional Rights:</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54"/>
        </w:numPr>
        <w:rPr>
          <w:rFonts w:ascii="MS PGothic" w:cs="MS PGothic" w:eastAsia="MS PGothic" w:hAnsi="MS PGothic"/>
          <w:sz w:val="18"/>
          <w:szCs w:val="18"/>
          <w:color w:val="auto"/>
        </w:rPr>
      </w:pPr>
      <w:r>
        <w:rPr>
          <w:rFonts w:ascii="Arial" w:cs="Arial" w:eastAsia="Arial" w:hAnsi="Arial"/>
          <w:sz w:val="18"/>
          <w:szCs w:val="18"/>
          <w:color w:val="auto"/>
        </w:rPr>
        <w:t>Additional Restrictions: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Published Specifications:</w:t>
      </w:r>
      <w:r>
        <w:rPr>
          <w:rFonts w:ascii="Arial" w:cs="Arial" w:eastAsia="Arial" w:hAnsi="Arial"/>
          <w:sz w:val="18"/>
          <w:szCs w:val="18"/>
          <w:color w:val="auto"/>
        </w:rPr>
        <w:t xml:space="preserve"> (Attach (or reference) Published Specifications to this Order)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118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license fee for the Use of the Software is as follows:</w:t>
      </w:r>
    </w:p>
    <w:p>
      <w:pPr>
        <w:spacing w:after="0" w:line="117"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The annual charge for Maintenance services is [***] of the license fee set forth above (plus any subsequent license fees, if applicable), subject to increases by a percentage amount not to exceed the year-to-date percentage increase in the Consumer Price Index for All Urban Consumers (“CPI-U”), Selected Areas, U.S. City Average, as published in the month preceding the month in which the price increase is proposed. The maximum permissible annual increase shall be [***]</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Acceptance Test Plan:</w:t>
      </w:r>
      <w:r>
        <w:rPr>
          <w:rFonts w:ascii="Arial" w:cs="Arial" w:eastAsia="Arial" w:hAnsi="Arial"/>
          <w:sz w:val="18"/>
          <w:szCs w:val="18"/>
          <w:color w:val="auto"/>
        </w:rPr>
        <w:t xml:space="preserve"> (Attach Test Plan to this Order)</w:t>
      </w:r>
    </w:p>
    <w:p>
      <w:pPr>
        <w:spacing w:after="0" w:line="192" w:lineRule="exact"/>
        <w:rPr>
          <w:sz w:val="20"/>
          <w:szCs w:val="20"/>
          <w:color w:val="auto"/>
        </w:rPr>
      </w:pPr>
    </w:p>
    <w:tbl>
      <w:tblPr>
        <w:tblLayout w:type="fixed"/>
        <w:tblInd w:w="4" w:type="dxa"/>
        <w:tblCellMar>
          <w:top w:w="0" w:type="dxa"/>
          <w:left w:w="0" w:type="dxa"/>
          <w:bottom w:w="0" w:type="dxa"/>
          <w:right w:w="0" w:type="dxa"/>
        </w:tblCellMar>
      </w:tblPr>
      <w:tr>
        <w:trPr>
          <w:trHeight w:val="222"/>
        </w:trPr>
        <w:tc>
          <w:tcPr>
            <w:tcW w:w="2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Duration of Acceptance Test Period:</w:t>
            </w:r>
          </w:p>
        </w:tc>
        <w:tc>
          <w:tcPr>
            <w:tcW w:w="1440" w:type="dxa"/>
            <w:vAlign w:val="bottom"/>
          </w:tcPr>
          <w:p>
            <w:pPr>
              <w:ind w:left="580"/>
              <w:spacing w:after="0" w:line="207" w:lineRule="exact"/>
              <w:rPr>
                <w:sz w:val="20"/>
                <w:szCs w:val="20"/>
                <w:color w:val="auto"/>
              </w:rPr>
            </w:pPr>
            <w:r>
              <w:rPr>
                <w:rFonts w:ascii="MS PGothic" w:cs="MS PGothic" w:eastAsia="MS PGothic" w:hAnsi="MS PGothic"/>
                <w:sz w:val="18"/>
                <w:szCs w:val="18"/>
                <w:color w:val="auto"/>
                <w:w w:val="97"/>
              </w:rPr>
              <w:t>☐</w:t>
            </w:r>
            <w:r>
              <w:rPr>
                <w:rFonts w:ascii="Arial" w:cs="Arial" w:eastAsia="Arial" w:hAnsi="Arial"/>
                <w:sz w:val="18"/>
                <w:szCs w:val="18"/>
                <w:color w:val="auto"/>
                <w:w w:val="97"/>
              </w:rPr>
              <w:t xml:space="preserve"> 60 days</w:t>
            </w:r>
          </w:p>
        </w:tc>
        <w:tc>
          <w:tcPr>
            <w:tcW w:w="1540" w:type="dxa"/>
            <w:vAlign w:val="bottom"/>
          </w:tcPr>
          <w:p>
            <w:pPr>
              <w:ind w:left="5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30 days</w:t>
            </w:r>
          </w:p>
        </w:tc>
        <w:tc>
          <w:tcPr>
            <w:tcW w:w="144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w:t>
            </w:r>
          </w:p>
        </w:tc>
        <w:tc>
          <w:tcPr>
            <w:tcW w:w="14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04"/>
        </w:trPr>
        <w:tc>
          <w:tcPr>
            <w:tcW w:w="4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Additional Warranty Period (Beyond six month default):</w:t>
            </w:r>
          </w:p>
        </w:tc>
        <w:tc>
          <w:tcPr>
            <w:tcW w:w="1540" w:type="dxa"/>
            <w:vAlign w:val="bottom"/>
          </w:tcPr>
          <w:p>
            <w:pPr>
              <w:ind w:left="5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None</w:t>
            </w:r>
          </w:p>
        </w:tc>
        <w:tc>
          <w:tcPr>
            <w:tcW w:w="144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6 months</w:t>
            </w:r>
          </w:p>
        </w:tc>
        <w:tc>
          <w:tcPr>
            <w:tcW w:w="1460" w:type="dxa"/>
            <w:vAlign w:val="bottom"/>
          </w:tcPr>
          <w:p>
            <w:pPr>
              <w:ind w:left="3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9 months</w:t>
            </w:r>
          </w:p>
        </w:tc>
        <w:tc>
          <w:tcPr>
            <w:tcW w:w="920" w:type="dxa"/>
            <w:vAlign w:val="bottom"/>
          </w:tcPr>
          <w:p>
            <w:pPr>
              <w:ind w:left="300"/>
              <w:spacing w:after="0" w:line="207" w:lineRule="exact"/>
              <w:rPr>
                <w:sz w:val="20"/>
                <w:szCs w:val="20"/>
                <w:color w:val="auto"/>
              </w:rPr>
            </w:pPr>
            <w:r>
              <w:rPr>
                <w:rFonts w:ascii="MS PGothic" w:cs="MS PGothic" w:eastAsia="MS PGothic" w:hAnsi="MS PGothic"/>
                <w:sz w:val="18"/>
                <w:szCs w:val="18"/>
                <w:color w:val="auto"/>
                <w:w w:val="88"/>
              </w:rPr>
              <w:t>☐</w:t>
            </w:r>
            <w:r>
              <w:rPr>
                <w:rFonts w:ascii="Arial" w:cs="Arial" w:eastAsia="Arial" w:hAnsi="Arial"/>
                <w:sz w:val="18"/>
                <w:szCs w:val="18"/>
                <w:color w:val="auto"/>
                <w:w w:val="88"/>
              </w:rPr>
              <w:t xml:space="preserve"> Other</w:t>
            </w:r>
          </w:p>
        </w:tc>
      </w:tr>
    </w:tbl>
    <w:p>
      <w:pPr>
        <w:spacing w:after="0" w:line="33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Maintenance:</w:t>
      </w:r>
    </w:p>
    <w:p>
      <w:pPr>
        <w:spacing w:after="0" w:line="131" w:lineRule="exact"/>
        <w:rPr>
          <w:sz w:val="20"/>
          <w:szCs w:val="20"/>
          <w:color w:val="auto"/>
        </w:rPr>
      </w:pPr>
    </w:p>
    <w:p>
      <w:pPr>
        <w:ind w:left="424" w:hanging="424"/>
        <w:spacing w:after="0"/>
        <w:tabs>
          <w:tab w:leader="none" w:pos="424" w:val="left"/>
        </w:tabs>
        <w:numPr>
          <w:ilvl w:val="0"/>
          <w:numId w:val="255"/>
        </w:numPr>
        <w:rPr>
          <w:rFonts w:ascii="MS PGothic" w:cs="MS PGothic" w:eastAsia="MS PGothic" w:hAnsi="MS PGothic"/>
          <w:sz w:val="18"/>
          <w:szCs w:val="18"/>
          <w:color w:val="auto"/>
        </w:rPr>
      </w:pPr>
      <w:r>
        <w:rPr>
          <w:rFonts w:ascii="Arial" w:cs="Arial" w:eastAsia="Arial" w:hAnsi="Arial"/>
          <w:sz w:val="18"/>
          <w:szCs w:val="18"/>
          <w:color w:val="auto"/>
        </w:rPr>
        <w:t>Check here if Maintenance services are included in this Order.</w:t>
      </w:r>
    </w:p>
    <w:p>
      <w:pPr>
        <w:sectPr>
          <w:pgSz w:w="11900" w:h="16838" w:orient="portrait"/>
          <w:cols w:equalWidth="0" w:num="1">
            <w:col w:w="11024"/>
          </w:cols>
          <w:pgMar w:left="436" w:top="274" w:right="439" w:bottom="1440" w:gutter="0" w:footer="0" w:header="0"/>
        </w:sectPr>
      </w:pPr>
    </w:p>
    <w:p>
      <w:pPr>
        <w:spacing w:after="0" w:line="360"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Delivery Date for the Software shall be as follows:</w:t>
      </w:r>
    </w:p>
    <w:p>
      <w:pPr>
        <w:spacing w:after="0" w:line="103" w:lineRule="exact"/>
        <w:rPr>
          <w:sz w:val="20"/>
          <w:szCs w:val="20"/>
          <w:color w:val="auto"/>
        </w:rPr>
      </w:pPr>
    </w:p>
    <w:p>
      <w:pPr>
        <w:ind w:left="4"/>
        <w:spacing w:after="0" w:line="184" w:lineRule="exact"/>
        <w:rPr>
          <w:sz w:val="20"/>
          <w:szCs w:val="20"/>
          <w:color w:val="auto"/>
        </w:rPr>
      </w:pPr>
      <w:r>
        <w:rPr>
          <w:rFonts w:ascii="Arial" w:cs="Arial" w:eastAsia="Arial" w:hAnsi="Arial"/>
          <w:sz w:val="16"/>
          <w:szCs w:val="16"/>
          <w:color w:val="auto"/>
        </w:rPr>
        <w:t xml:space="preserve">Source Code </w:t>
      </w:r>
      <w:r>
        <w:rPr>
          <w:rFonts w:ascii="MS PGothic" w:cs="MS PGothic" w:eastAsia="MS PGothic" w:hAnsi="MS PGothic"/>
          <w:sz w:val="16"/>
          <w:szCs w:val="16"/>
          <w:color w:val="auto"/>
        </w:rPr>
        <w:t>☐</w:t>
      </w:r>
      <w:r>
        <w:rPr>
          <w:rFonts w:ascii="Arial" w:cs="Arial" w:eastAsia="Arial" w:hAnsi="Arial"/>
          <w:sz w:val="16"/>
          <w:szCs w:val="16"/>
          <w:color w:val="auto"/>
        </w:rPr>
        <w:t xml:space="preserve"> will </w:t>
      </w:r>
      <w:r>
        <w:rPr>
          <w:rFonts w:ascii="MS PGothic" w:cs="MS PGothic" w:eastAsia="MS PGothic" w:hAnsi="MS PGothic"/>
          <w:sz w:val="16"/>
          <w:szCs w:val="16"/>
          <w:color w:val="auto"/>
        </w:rPr>
        <w:t>☐</w:t>
      </w:r>
      <w:r>
        <w:rPr>
          <w:rFonts w:ascii="Arial" w:cs="Arial" w:eastAsia="Arial" w:hAnsi="Arial"/>
          <w:sz w:val="16"/>
          <w:szCs w:val="16"/>
          <w:color w:val="auto"/>
        </w:rPr>
        <w:t xml:space="preserve"> will not be delivered for Software.</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The delivery location for the Software shall be: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Delivery shall be made by:</w:t>
      </w:r>
    </w:p>
    <w:p>
      <w:pPr>
        <w:spacing w:after="0" w:line="91"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Electronic Transmission</w:t>
      </w:r>
    </w:p>
    <w:p>
      <w:pPr>
        <w:spacing w:after="0" w:line="117"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 (Specify Type):</w:t>
      </w:r>
    </w:p>
    <w:p>
      <w:pPr>
        <w:spacing w:after="0" w:line="200" w:lineRule="exact"/>
        <w:rPr>
          <w:sz w:val="20"/>
          <w:szCs w:val="20"/>
          <w:color w:val="auto"/>
        </w:rPr>
      </w:pPr>
    </w:p>
    <w:p>
      <w:pPr>
        <w:sectPr>
          <w:pgSz w:w="11900" w:h="16838" w:orient="portrait"/>
          <w:cols w:equalWidth="0" w:num="2">
            <w:col w:w="4944" w:space="720"/>
            <w:col w:w="5360"/>
          </w:cols>
          <w:pgMar w:left="436" w:top="274" w:right="439" w:bottom="1440" w:gutter="0" w:footer="0" w:header="0"/>
          <w:type w:val="continuous"/>
        </w:sectPr>
      </w:pPr>
    </w:p>
    <w:p>
      <w:pPr>
        <w:spacing w:after="0" w:line="6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80" w:type="dxa"/>
            <w:vAlign w:val="bottom"/>
          </w:tcPr>
          <w:p>
            <w:pPr>
              <w:spacing w:after="0"/>
              <w:rPr>
                <w:sz w:val="20"/>
                <w:szCs w:val="20"/>
                <w:color w:val="auto"/>
              </w:rPr>
            </w:pPr>
            <w:r>
              <w:rPr>
                <w:rFonts w:ascii="Arial" w:cs="Arial" w:eastAsia="Arial" w:hAnsi="Arial"/>
                <w:sz w:val="14"/>
                <w:szCs w:val="14"/>
                <w:color w:val="auto"/>
              </w:rPr>
              <w:t>Scope of license (check one and provide additional</w:t>
            </w:r>
          </w:p>
        </w:tc>
        <w:tc>
          <w:tcPr>
            <w:tcW w:w="1140" w:type="dxa"/>
            <w:vAlign w:val="bottom"/>
          </w:tcPr>
          <w:p>
            <w:pPr>
              <w:spacing w:after="0"/>
              <w:rPr>
                <w:sz w:val="14"/>
                <w:szCs w:val="14"/>
                <w:color w:val="auto"/>
              </w:rPr>
            </w:pPr>
          </w:p>
        </w:tc>
        <w:tc>
          <w:tcPr>
            <w:tcW w:w="2300" w:type="dxa"/>
            <w:vAlign w:val="bottom"/>
            <w:gridSpan w:val="4"/>
            <w:vMerge w:val="restart"/>
          </w:tcPr>
          <w:p>
            <w:pPr>
              <w:spacing w:after="0"/>
              <w:rPr>
                <w:sz w:val="20"/>
                <w:szCs w:val="20"/>
                <w:color w:val="auto"/>
              </w:rPr>
            </w:pPr>
            <w:r>
              <w:rPr>
                <w:rFonts w:ascii="Arial" w:cs="Arial" w:eastAsia="Arial" w:hAnsi="Arial"/>
                <w:sz w:val="14"/>
                <w:szCs w:val="14"/>
                <w:color w:val="auto"/>
              </w:rPr>
              <w:t>Designated System:</w:t>
            </w:r>
          </w:p>
        </w:tc>
        <w:tc>
          <w:tcPr>
            <w:tcW w:w="6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080" w:type="dxa"/>
            <w:vAlign w:val="bottom"/>
          </w:tcPr>
          <w:p>
            <w:pPr>
              <w:spacing w:after="0"/>
              <w:rPr>
                <w:sz w:val="20"/>
                <w:szCs w:val="20"/>
                <w:color w:val="auto"/>
              </w:rPr>
            </w:pPr>
            <w:r>
              <w:rPr>
                <w:rFonts w:ascii="Arial" w:cs="Arial" w:eastAsia="Arial" w:hAnsi="Arial"/>
                <w:sz w:val="14"/>
                <w:szCs w:val="14"/>
                <w:color w:val="auto"/>
              </w:rPr>
              <w:t>information in the corresponding column):</w:t>
            </w:r>
          </w:p>
        </w:tc>
        <w:tc>
          <w:tcPr>
            <w:tcW w:w="114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vMerge w:val="continue"/>
          </w:tcPr>
          <w:p>
            <w:pPr>
              <w:spacing w:after="0"/>
              <w:rPr>
                <w:sz w:val="14"/>
                <w:szCs w:val="14"/>
                <w:color w:val="auto"/>
              </w:rPr>
            </w:pPr>
          </w:p>
        </w:tc>
        <w:tc>
          <w:tcPr>
            <w:tcW w:w="620" w:type="dxa"/>
            <w:vAlign w:val="bottom"/>
          </w:tcPr>
          <w:p>
            <w:pPr>
              <w:spacing w:after="0"/>
              <w:rPr>
                <w:sz w:val="14"/>
                <w:szCs w:val="14"/>
                <w:color w:val="auto"/>
              </w:rPr>
            </w:pPr>
          </w:p>
        </w:tc>
        <w:tc>
          <w:tcPr>
            <w:tcW w:w="188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Designated Site:</w:t>
            </w:r>
          </w:p>
        </w:tc>
        <w:tc>
          <w:tcPr>
            <w:tcW w:w="0" w:type="dxa"/>
            <w:vAlign w:val="bottom"/>
          </w:tcPr>
          <w:p>
            <w:pPr>
              <w:spacing w:after="0"/>
              <w:rPr>
                <w:sz w:val="1"/>
                <w:szCs w:val="1"/>
                <w:color w:val="auto"/>
              </w:rPr>
            </w:pPr>
          </w:p>
        </w:tc>
      </w:tr>
      <w:tr>
        <w:trPr>
          <w:trHeight w:val="277"/>
        </w:trPr>
        <w:tc>
          <w:tcPr>
            <w:tcW w:w="50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Enterprise License</w:t>
            </w:r>
          </w:p>
        </w:tc>
        <w:tc>
          <w:tcPr>
            <w:tcW w:w="1660" w:type="dxa"/>
            <w:vAlign w:val="bottom"/>
            <w:gridSpan w:val="2"/>
          </w:tcPr>
          <w:p>
            <w:pPr>
              <w:spacing w:after="0"/>
              <w:rPr>
                <w:sz w:val="20"/>
                <w:szCs w:val="20"/>
                <w:color w:val="auto"/>
              </w:rPr>
            </w:pPr>
            <w:r>
              <w:rPr>
                <w:rFonts w:ascii="Arial" w:cs="Arial" w:eastAsia="Arial" w:hAnsi="Arial"/>
                <w:sz w:val="18"/>
                <w:szCs w:val="18"/>
                <w:color w:val="auto"/>
                <w:w w:val="92"/>
              </w:rPr>
              <w:t>Manufacturer’s Name:</w:t>
            </w:r>
          </w:p>
        </w:tc>
        <w:tc>
          <w:tcPr>
            <w:tcW w:w="900" w:type="dxa"/>
            <w:vAlign w:val="bottom"/>
            <w:tcBorders>
              <w:bottom w:val="single" w:sz="8" w:color="auto"/>
            </w:tcBorders>
          </w:tcPr>
          <w:p>
            <w:pPr>
              <w:spacing w:after="0"/>
              <w:rPr>
                <w:sz w:val="24"/>
                <w:szCs w:val="24"/>
                <w:color w:val="auto"/>
              </w:rPr>
            </w:pPr>
          </w:p>
        </w:tc>
        <w:tc>
          <w:tcPr>
            <w:tcW w:w="880" w:type="dxa"/>
            <w:vAlign w:val="bottom"/>
            <w:gridSpan w:val="2"/>
          </w:tcPr>
          <w:p>
            <w:pPr>
              <w:spacing w:after="0"/>
              <w:rPr>
                <w:sz w:val="24"/>
                <w:szCs w:val="24"/>
                <w:color w:val="auto"/>
              </w:rPr>
            </w:pPr>
          </w:p>
        </w:tc>
        <w:tc>
          <w:tcPr>
            <w:tcW w:w="2500" w:type="dxa"/>
            <w:vAlign w:val="bottom"/>
            <w:gridSpan w:val="2"/>
          </w:tcPr>
          <w:p>
            <w:pPr>
              <w:ind w:left="620"/>
              <w:spacing w:after="0"/>
              <w:rPr>
                <w:sz w:val="20"/>
                <w:szCs w:val="20"/>
                <w:color w:val="auto"/>
              </w:rPr>
            </w:pPr>
            <w:r>
              <w:rPr>
                <w:rFonts w:ascii="Arial" w:cs="Arial" w:eastAsia="Arial" w:hAnsi="Arial"/>
                <w:sz w:val="18"/>
                <w:szCs w:val="18"/>
                <w:color w:val="auto"/>
              </w:rPr>
              <w:t>Street Address:</w:t>
            </w:r>
          </w:p>
        </w:tc>
        <w:tc>
          <w:tcPr>
            <w:tcW w:w="0" w:type="dxa"/>
            <w:vAlign w:val="bottom"/>
          </w:tcPr>
          <w:p>
            <w:pPr>
              <w:spacing w:after="0"/>
              <w:rPr>
                <w:sz w:val="1"/>
                <w:szCs w:val="1"/>
                <w:color w:val="auto"/>
              </w:rPr>
            </w:pPr>
          </w:p>
        </w:tc>
      </w:tr>
      <w:tr>
        <w:trPr>
          <w:trHeight w:val="291"/>
        </w:trPr>
        <w:tc>
          <w:tcPr>
            <w:tcW w:w="50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Designated System</w:t>
            </w:r>
          </w:p>
        </w:tc>
        <w:tc>
          <w:tcPr>
            <w:tcW w:w="3440" w:type="dxa"/>
            <w:vAlign w:val="bottom"/>
            <w:gridSpan w:val="5"/>
          </w:tcPr>
          <w:p>
            <w:pPr>
              <w:spacing w:after="0"/>
              <w:rPr>
                <w:sz w:val="20"/>
                <w:szCs w:val="20"/>
                <w:color w:val="auto"/>
              </w:rPr>
            </w:pPr>
            <w:r>
              <w:rPr>
                <w:rFonts w:ascii="Arial" w:cs="Arial" w:eastAsia="Arial" w:hAnsi="Arial"/>
                <w:sz w:val="18"/>
                <w:szCs w:val="18"/>
                <w:color w:val="auto"/>
              </w:rPr>
              <w:t>Model Name:</w:t>
            </w:r>
          </w:p>
        </w:tc>
        <w:tc>
          <w:tcPr>
            <w:tcW w:w="6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0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Designated Site</w:t>
            </w:r>
          </w:p>
        </w:tc>
        <w:tc>
          <w:tcPr>
            <w:tcW w:w="3440" w:type="dxa"/>
            <w:vAlign w:val="bottom"/>
            <w:gridSpan w:val="5"/>
          </w:tcPr>
          <w:p>
            <w:pPr>
              <w:spacing w:after="0"/>
              <w:rPr>
                <w:sz w:val="20"/>
                <w:szCs w:val="20"/>
                <w:color w:val="auto"/>
              </w:rPr>
            </w:pPr>
            <w:r>
              <w:rPr>
                <w:rFonts w:ascii="Arial" w:cs="Arial" w:eastAsia="Arial" w:hAnsi="Arial"/>
                <w:sz w:val="18"/>
                <w:szCs w:val="18"/>
                <w:color w:val="auto"/>
              </w:rPr>
              <w:t>Model Number:</w:t>
            </w:r>
          </w:p>
        </w:tc>
        <w:tc>
          <w:tcPr>
            <w:tcW w:w="2500" w:type="dxa"/>
            <w:vAlign w:val="bottom"/>
            <w:gridSpan w:val="2"/>
          </w:tcPr>
          <w:p>
            <w:pPr>
              <w:ind w:left="620"/>
              <w:spacing w:after="0"/>
              <w:rPr>
                <w:sz w:val="20"/>
                <w:szCs w:val="20"/>
                <w:color w:val="auto"/>
              </w:rPr>
            </w:pPr>
            <w:r>
              <w:rPr>
                <w:rFonts w:ascii="Arial" w:cs="Arial" w:eastAsia="Arial" w:hAnsi="Arial"/>
                <w:sz w:val="18"/>
                <w:szCs w:val="18"/>
                <w:color w:val="auto"/>
                <w:w w:val="90"/>
              </w:rPr>
              <w:t>City, State, and Zip Code:</w:t>
            </w:r>
          </w:p>
        </w:tc>
        <w:tc>
          <w:tcPr>
            <w:tcW w:w="0" w:type="dxa"/>
            <w:vAlign w:val="bottom"/>
          </w:tcPr>
          <w:p>
            <w:pPr>
              <w:spacing w:after="0"/>
              <w:rPr>
                <w:sz w:val="1"/>
                <w:szCs w:val="1"/>
                <w:color w:val="auto"/>
              </w:rPr>
            </w:pPr>
          </w:p>
        </w:tc>
      </w:tr>
      <w:tr>
        <w:trPr>
          <w:trHeight w:val="257"/>
        </w:trPr>
        <w:tc>
          <w:tcPr>
            <w:tcW w:w="5080" w:type="dxa"/>
            <w:vAlign w:val="bottom"/>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w:t>
            </w:r>
          </w:p>
        </w:tc>
        <w:tc>
          <w:tcPr>
            <w:tcW w:w="1140" w:type="dxa"/>
            <w:vAlign w:val="bottom"/>
          </w:tcPr>
          <w:p>
            <w:pPr>
              <w:spacing w:after="0"/>
              <w:rPr>
                <w:sz w:val="20"/>
                <w:szCs w:val="20"/>
                <w:color w:val="auto"/>
              </w:rPr>
            </w:pPr>
            <w:r>
              <w:rPr>
                <w:rFonts w:ascii="Arial" w:cs="Arial" w:eastAsia="Arial" w:hAnsi="Arial"/>
                <w:sz w:val="18"/>
                <w:szCs w:val="18"/>
                <w:color w:val="auto"/>
                <w:w w:val="93"/>
              </w:rPr>
              <w:t>Serial Number:</w:t>
            </w:r>
          </w:p>
        </w:tc>
        <w:tc>
          <w:tcPr>
            <w:tcW w:w="1440" w:type="dxa"/>
            <w:vAlign w:val="bottom"/>
            <w:tcBorders>
              <w:bottom w:val="single" w:sz="8" w:color="auto"/>
            </w:tcBorders>
            <w:gridSpan w:val="3"/>
          </w:tcPr>
          <w:p>
            <w:pPr>
              <w:spacing w:after="0"/>
              <w:rPr>
                <w:sz w:val="22"/>
                <w:szCs w:val="22"/>
                <w:color w:val="auto"/>
              </w:rPr>
            </w:pPr>
          </w:p>
        </w:tc>
        <w:tc>
          <w:tcPr>
            <w:tcW w:w="8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24"/>
          </w:cols>
          <w:pgMar w:left="436" w:top="274" w:right="439" w:bottom="1440" w:gutter="0" w:footer="0" w:header="0"/>
          <w:type w:val="continuous"/>
        </w:sectPr>
      </w:pPr>
    </w:p>
    <w:p>
      <w:pPr>
        <w:spacing w:after="0" w:line="56" w:lineRule="exact"/>
        <w:rPr>
          <w:sz w:val="20"/>
          <w:szCs w:val="20"/>
          <w:color w:val="auto"/>
        </w:rPr>
      </w:pPr>
    </w:p>
    <w:p>
      <w:pPr>
        <w:ind w:left="4"/>
        <w:spacing w:after="0" w:line="342" w:lineRule="auto"/>
        <w:rPr>
          <w:sz w:val="20"/>
          <w:szCs w:val="20"/>
          <w:color w:val="auto"/>
        </w:rPr>
      </w:pPr>
      <w:r>
        <w:rPr>
          <w:rFonts w:ascii="Arial" w:cs="Arial" w:eastAsia="Arial" w:hAnsi="Arial"/>
          <w:sz w:val="16"/>
          <w:szCs w:val="16"/>
          <w:u w:val="single" w:color="auto"/>
          <w:color w:val="auto"/>
        </w:rPr>
        <w:t>Number of Users:</w:t>
      </w:r>
      <w:r>
        <w:rPr>
          <w:rFonts w:ascii="Arial" w:cs="Arial" w:eastAsia="Arial" w:hAnsi="Arial"/>
          <w:sz w:val="16"/>
          <w:szCs w:val="16"/>
          <w:color w:val="auto"/>
        </w:rPr>
        <w:t xml:space="preserve"> The number Users authorized to Use the Software licensed under this Order is unlimited unless a limited number is entered here:</w:t>
      </w:r>
    </w:p>
    <w:p>
      <w:pPr>
        <w:spacing w:after="0" w:line="29"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maximum number of Users authorized to Use the Software under this</w:t>
      </w:r>
    </w:p>
    <w:p>
      <w:pPr>
        <w:spacing w:after="0" w:line="35" w:lineRule="exact"/>
        <w:rPr>
          <w:sz w:val="20"/>
          <w:szCs w:val="20"/>
          <w:color w:val="auto"/>
        </w:rPr>
      </w:pPr>
    </w:p>
    <w:p>
      <w:pPr>
        <w:ind w:left="4"/>
        <w:spacing w:after="0"/>
        <w:tabs>
          <w:tab w:leader="none" w:pos="2224" w:val="left"/>
          <w:tab w:leader="none" w:pos="3044" w:val="left"/>
        </w:tabs>
        <w:rPr>
          <w:sz w:val="20"/>
          <w:szCs w:val="20"/>
          <w:color w:val="auto"/>
        </w:rPr>
      </w:pPr>
      <w:r>
        <w:rPr>
          <w:rFonts w:ascii="Arial" w:cs="Arial" w:eastAsia="Arial" w:hAnsi="Arial"/>
          <w:sz w:val="18"/>
          <w:szCs w:val="18"/>
          <w:color w:val="auto"/>
        </w:rPr>
        <w:t>Order is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-19050</wp:posOffset>
            </wp:positionV>
            <wp:extent cx="155194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155194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u w:val="single" w:color="auto"/>
          <w:color w:val="auto"/>
        </w:rPr>
        <w:t>Number of Copies/Server Instances</w:t>
      </w:r>
      <w:r>
        <w:rPr>
          <w:rFonts w:ascii="Arial" w:cs="Arial" w:eastAsia="Arial" w:hAnsi="Arial"/>
          <w:sz w:val="18"/>
          <w:szCs w:val="18"/>
          <w:color w:val="auto"/>
        </w:rPr>
        <w:t>: If this is a Designated Site or Enterprise License, AT&amp;T is authorized to Use an unlimited number of copies or server instances of the Software unless a limited number is entered here: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The maximum number of copies/server instances Buyer is authorized to</w:t>
      </w:r>
    </w:p>
    <w:p>
      <w:pPr>
        <w:spacing w:after="0" w:line="46" w:lineRule="exact"/>
        <w:rPr>
          <w:sz w:val="20"/>
          <w:szCs w:val="20"/>
          <w:color w:val="auto"/>
        </w:rPr>
      </w:pPr>
    </w:p>
    <w:p>
      <w:pPr>
        <w:spacing w:after="0"/>
        <w:tabs>
          <w:tab w:leader="none" w:pos="3180" w:val="left"/>
          <w:tab w:leader="none" w:pos="3960" w:val="left"/>
        </w:tabs>
        <w:rPr>
          <w:sz w:val="20"/>
          <w:szCs w:val="20"/>
          <w:color w:val="auto"/>
        </w:rPr>
      </w:pPr>
      <w:r>
        <w:rPr>
          <w:rFonts w:ascii="Arial" w:cs="Arial" w:eastAsia="Arial" w:hAnsi="Arial"/>
          <w:sz w:val="18"/>
          <w:szCs w:val="18"/>
          <w:color w:val="auto"/>
        </w:rPr>
        <w:t>Use under this Order is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1055370</wp:posOffset>
            </wp:positionH>
            <wp:positionV relativeFrom="paragraph">
              <wp:posOffset>-19050</wp:posOffset>
            </wp:positionV>
            <wp:extent cx="146621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14662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64" w:space="180"/>
            <w:col w:w="5280"/>
          </w:cols>
          <w:pgMar w:left="436" w:top="274" w:right="439" w:bottom="1440" w:gutter="0" w:footer="0" w:header="0"/>
          <w:type w:val="continuous"/>
        </w:sectPr>
      </w:pPr>
    </w:p>
    <w:p>
      <w:pPr>
        <w:spacing w:after="0" w:line="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WHEREOF, each of the Parties has caused this Order to be executed by its duly authorized representative.</w:t>
      </w:r>
    </w:p>
    <w:p>
      <w:pPr>
        <w:spacing w:after="0" w:line="252" w:lineRule="exact"/>
        <w:rPr>
          <w:sz w:val="20"/>
          <w:szCs w:val="20"/>
          <w:color w:val="auto"/>
        </w:rPr>
      </w:pPr>
    </w:p>
    <w:p>
      <w:pPr>
        <w:ind w:left="4"/>
        <w:spacing w:after="0"/>
        <w:tabs>
          <w:tab w:leader="none" w:pos="2984" w:val="left"/>
          <w:tab w:leader="none" w:pos="5724" w:val="left"/>
          <w:tab w:leader="none" w:pos="8464" w:val="left"/>
        </w:tabs>
        <w:rPr>
          <w:sz w:val="20"/>
          <w:szCs w:val="20"/>
          <w:color w:val="auto"/>
        </w:rPr>
      </w:pPr>
      <w:r>
        <w:rPr>
          <w:rFonts w:ascii="Arial" w:cs="Arial" w:eastAsia="Arial" w:hAnsi="Arial"/>
          <w:sz w:val="18"/>
          <w:szCs w:val="18"/>
          <w:color w:val="auto"/>
        </w:rPr>
        <w:t>Supplier 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Signature:</w:t>
      </w:r>
    </w:p>
    <w:p>
      <w:pPr>
        <w:spacing w:after="0" w:line="117" w:lineRule="exact"/>
        <w:rPr>
          <w:sz w:val="20"/>
          <w:szCs w:val="20"/>
          <w:color w:val="auto"/>
        </w:rPr>
      </w:pPr>
    </w:p>
    <w:p>
      <w:pPr>
        <w:ind w:left="4"/>
        <w:spacing w:after="0"/>
        <w:tabs>
          <w:tab w:leader="none" w:pos="2984" w:val="left"/>
          <w:tab w:leader="none" w:pos="5724" w:val="left"/>
          <w:tab w:leader="none" w:pos="8464" w:val="left"/>
        </w:tabs>
        <w:rPr>
          <w:sz w:val="20"/>
          <w:szCs w:val="20"/>
          <w:color w:val="auto"/>
        </w:rPr>
      </w:pPr>
      <w:r>
        <w:rPr>
          <w:rFonts w:ascii="Arial" w:cs="Arial" w:eastAsia="Arial" w:hAnsi="Arial"/>
          <w:sz w:val="18"/>
          <w:szCs w:val="18"/>
          <w:color w:val="auto"/>
        </w:rPr>
        <w:t>Buyer 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Signature: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119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type w:val="continuous"/>
        </w:sectPr>
      </w:pPr>
    </w:p>
    <w:bookmarkStart w:id="242" w:name="page243"/>
    <w:bookmarkEnd w:id="2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C – Offshore Locations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Parties agree that the following are AT&amp;T-approved locations as of the Effective Date of this Agreement and any modifications to this list shall be managed in accordance with Section 3.24.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580" w:type="dxa"/>
            <w:vAlign w:val="bottom"/>
            <w:gridSpan w:val="2"/>
          </w:tcPr>
          <w:p>
            <w:pPr>
              <w:jc w:val="center"/>
              <w:ind w:right="740"/>
              <w:spacing w:after="0"/>
              <w:rPr>
                <w:sz w:val="20"/>
                <w:szCs w:val="20"/>
                <w:color w:val="auto"/>
              </w:rPr>
            </w:pPr>
            <w:r>
              <w:rPr>
                <w:rFonts w:ascii="Arial" w:cs="Arial" w:eastAsia="Arial" w:hAnsi="Arial"/>
                <w:sz w:val="14"/>
                <w:szCs w:val="14"/>
                <w:color w:val="auto"/>
                <w:w w:val="90"/>
              </w:rPr>
              <w:t>Countries where services are</w:t>
            </w:r>
          </w:p>
        </w:tc>
        <w:tc>
          <w:tcPr>
            <w:tcW w:w="9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9"/>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authorized by AT&amp;T to be</w:t>
            </w: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Name of</w:t>
            </w: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performed (physical location</w:t>
            </w: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Supplier /</w:t>
            </w: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address is also required if the</w:t>
            </w:r>
          </w:p>
        </w:tc>
        <w:tc>
          <w:tcPr>
            <w:tcW w:w="9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Services to be</w:t>
            </w: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7"/>
              </w:rPr>
              <w:t>Supplier</w:t>
            </w: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Services involve Information</w:t>
            </w:r>
          </w:p>
        </w:tc>
        <w:tc>
          <w:tcPr>
            <w:tcW w:w="164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Cities where</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3"/>
              </w:rPr>
              <w:t>performed at</w:t>
            </w: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8"/>
              </w:rPr>
              <w:t>Affiliate, and/or</w:t>
            </w: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Technology-related work or if a</w:t>
            </w:r>
          </w:p>
        </w:tc>
        <w:tc>
          <w:tcPr>
            <w:tcW w:w="16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services will be</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approved</w:t>
            </w: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1"/>
              </w:rPr>
              <w:t>Subcontractor</w:t>
            </w: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rPr>
              <w:t>“virtual” or “work-from-home”</w:t>
            </w:r>
          </w:p>
        </w:tc>
        <w:tc>
          <w:tcPr>
            <w:tcW w:w="164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5"/>
              </w:rPr>
              <w:t>performed for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Physical</w:t>
            </w: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5"/>
              </w:rPr>
              <w:t>performing the</w:t>
            </w:r>
          </w:p>
        </w:tc>
      </w:tr>
      <w:tr>
        <w:trPr>
          <w:trHeight w:val="167"/>
        </w:trPr>
        <w:tc>
          <w:tcPr>
            <w:tcW w:w="4300" w:type="dxa"/>
            <w:vAlign w:val="bottom"/>
          </w:tcPr>
          <w:p>
            <w:pPr>
              <w:spacing w:after="0"/>
              <w:rPr>
                <w:sz w:val="14"/>
                <w:szCs w:val="14"/>
                <w:color w:val="auto"/>
              </w:rPr>
            </w:pPr>
          </w:p>
        </w:tc>
        <w:tc>
          <w:tcPr>
            <w:tcW w:w="2580" w:type="dxa"/>
            <w:vAlign w:val="bottom"/>
            <w:gridSpan w:val="2"/>
          </w:tcPr>
          <w:p>
            <w:pPr>
              <w:jc w:val="center"/>
              <w:ind w:right="740"/>
              <w:spacing w:after="0"/>
              <w:rPr>
                <w:sz w:val="20"/>
                <w:szCs w:val="20"/>
                <w:color w:val="auto"/>
              </w:rPr>
            </w:pPr>
            <w:r>
              <w:rPr>
                <w:rFonts w:ascii="Arial" w:cs="Arial" w:eastAsia="Arial" w:hAnsi="Arial"/>
                <w:sz w:val="14"/>
                <w:szCs w:val="14"/>
                <w:color w:val="auto"/>
                <w:w w:val="90"/>
              </w:rPr>
              <w:t>address is authorized)</w:t>
            </w:r>
          </w:p>
        </w:tc>
        <w:tc>
          <w:tcPr>
            <w:tcW w:w="1640" w:type="dxa"/>
            <w:vAlign w:val="bottom"/>
            <w:gridSpan w:val="2"/>
          </w:tcPr>
          <w:p>
            <w:pPr>
              <w:jc w:val="center"/>
              <w:ind w:right="740"/>
              <w:spacing w:after="0"/>
              <w:rPr>
                <w:sz w:val="20"/>
                <w:szCs w:val="20"/>
                <w:color w:val="auto"/>
              </w:rPr>
            </w:pPr>
            <w:r>
              <w:rPr>
                <w:rFonts w:ascii="Arial" w:cs="Arial" w:eastAsia="Arial" w:hAnsi="Arial"/>
                <w:sz w:val="14"/>
                <w:szCs w:val="14"/>
                <w:color w:val="auto"/>
              </w:rPr>
              <w:t>AT&amp;T</w:t>
            </w: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Location</w:t>
            </w:r>
          </w:p>
        </w:tc>
        <w:tc>
          <w:tcPr>
            <w:tcW w:w="7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services</w:t>
            </w:r>
          </w:p>
        </w:tc>
      </w:tr>
      <w:tr>
        <w:trPr>
          <w:trHeight w:val="209"/>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Brazil</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Brazil</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Brazil</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Brazil</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350"/>
        </w:trPr>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gridSpan w:val="2"/>
          </w:tcPr>
          <w:p>
            <w:pPr>
              <w:ind w:left="500"/>
              <w:spacing w:after="0"/>
              <w:rPr>
                <w:sz w:val="20"/>
                <w:szCs w:val="20"/>
                <w:color w:val="auto"/>
              </w:rPr>
            </w:pPr>
            <w:r>
              <w:rPr>
                <w:rFonts w:ascii="Arial" w:cs="Arial" w:eastAsia="Arial" w:hAnsi="Arial"/>
                <w:sz w:val="18"/>
                <w:szCs w:val="18"/>
                <w:color w:val="auto"/>
                <w:w w:val="87"/>
              </w:rPr>
              <w:t>Page 120 of 206</w:t>
            </w: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580" w:type="dxa"/>
            <w:vAlign w:val="bottom"/>
            <w:gridSpan w:val="2"/>
          </w:tcPr>
          <w:p>
            <w:pPr>
              <w:jc w:val="center"/>
              <w:ind w:right="720"/>
              <w:spacing w:after="0"/>
              <w:rPr>
                <w:sz w:val="20"/>
                <w:szCs w:val="20"/>
                <w:color w:val="auto"/>
              </w:rPr>
            </w:pPr>
            <w:r>
              <w:rPr>
                <w:rFonts w:ascii="Arial" w:cs="Arial" w:eastAsia="Arial" w:hAnsi="Arial"/>
                <w:sz w:val="14"/>
                <w:szCs w:val="14"/>
                <w:color w:val="auto"/>
                <w:w w:val="91"/>
              </w:rPr>
              <w:t>Countries where services are</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8"/>
        </w:trPr>
        <w:tc>
          <w:tcPr>
            <w:tcW w:w="432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authorized by AT&amp;T to be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Name of</w:t>
            </w:r>
          </w:p>
        </w:tc>
      </w:tr>
      <w:tr>
        <w:trPr>
          <w:trHeight w:val="148"/>
        </w:trPr>
        <w:tc>
          <w:tcPr>
            <w:tcW w:w="4320" w:type="dxa"/>
            <w:vAlign w:val="bottom"/>
          </w:tcPr>
          <w:p>
            <w:pPr>
              <w:spacing w:after="0"/>
              <w:rPr>
                <w:sz w:val="12"/>
                <w:szCs w:val="12"/>
                <w:color w:val="auto"/>
              </w:rPr>
            </w:pPr>
          </w:p>
        </w:tc>
        <w:tc>
          <w:tcPr>
            <w:tcW w:w="25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4"/>
              </w:rPr>
              <w:t>performed (physical location</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Supplier /</w:t>
            </w:r>
          </w:p>
        </w:tc>
      </w:tr>
      <w:tr>
        <w:trPr>
          <w:trHeight w:val="148"/>
        </w:trPr>
        <w:tc>
          <w:tcPr>
            <w:tcW w:w="432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address is also required if the</w:t>
            </w: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Services to be</w:t>
            </w: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7"/>
              </w:rPr>
              <w:t>Supplier</w:t>
            </w:r>
          </w:p>
        </w:tc>
      </w:tr>
      <w:tr>
        <w:trPr>
          <w:trHeight w:val="154"/>
        </w:trPr>
        <w:tc>
          <w:tcPr>
            <w:tcW w:w="4320" w:type="dxa"/>
            <w:vAlign w:val="bottom"/>
          </w:tcPr>
          <w:p>
            <w:pPr>
              <w:spacing w:after="0"/>
              <w:rPr>
                <w:sz w:val="13"/>
                <w:szCs w:val="13"/>
                <w:color w:val="auto"/>
              </w:rPr>
            </w:pPr>
          </w:p>
        </w:tc>
        <w:tc>
          <w:tcPr>
            <w:tcW w:w="2580" w:type="dxa"/>
            <w:vAlign w:val="bottom"/>
            <w:gridSpan w:val="2"/>
          </w:tcPr>
          <w:p>
            <w:pPr>
              <w:jc w:val="center"/>
              <w:ind w:right="740"/>
              <w:spacing w:after="0" w:line="154" w:lineRule="exact"/>
              <w:rPr>
                <w:sz w:val="20"/>
                <w:szCs w:val="20"/>
                <w:color w:val="auto"/>
              </w:rPr>
            </w:pPr>
            <w:r>
              <w:rPr>
                <w:rFonts w:ascii="Arial" w:cs="Arial" w:eastAsia="Arial" w:hAnsi="Arial"/>
                <w:sz w:val="14"/>
                <w:szCs w:val="14"/>
                <w:color w:val="auto"/>
                <w:w w:val="95"/>
              </w:rPr>
              <w:t>Services involve Information</w:t>
            </w:r>
          </w:p>
        </w:tc>
        <w:tc>
          <w:tcPr>
            <w:tcW w:w="80" w:type="dxa"/>
            <w:vAlign w:val="bottom"/>
          </w:tcPr>
          <w:p>
            <w:pPr>
              <w:spacing w:after="0"/>
              <w:rPr>
                <w:sz w:val="13"/>
                <w:szCs w:val="13"/>
                <w:color w:val="auto"/>
              </w:rPr>
            </w:pPr>
          </w:p>
        </w:tc>
        <w:tc>
          <w:tcPr>
            <w:tcW w:w="1540" w:type="dxa"/>
            <w:vAlign w:val="bottom"/>
            <w:gridSpan w:val="3"/>
          </w:tcPr>
          <w:p>
            <w:pPr>
              <w:jc w:val="center"/>
              <w:ind w:right="820"/>
              <w:spacing w:after="0" w:line="154" w:lineRule="exact"/>
              <w:rPr>
                <w:sz w:val="20"/>
                <w:szCs w:val="20"/>
                <w:color w:val="auto"/>
              </w:rPr>
            </w:pPr>
            <w:r>
              <w:rPr>
                <w:rFonts w:ascii="Arial" w:cs="Arial" w:eastAsia="Arial" w:hAnsi="Arial"/>
                <w:sz w:val="14"/>
                <w:szCs w:val="14"/>
                <w:color w:val="auto"/>
                <w:w w:val="93"/>
              </w:rPr>
              <w:t>Cities where</w:t>
            </w: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w w:val="93"/>
              </w:rPr>
              <w:t>performed at</w:t>
            </w:r>
          </w:p>
        </w:tc>
        <w:tc>
          <w:tcPr>
            <w:tcW w:w="740" w:type="dxa"/>
            <w:vAlign w:val="bottom"/>
          </w:tcPr>
          <w:p>
            <w:pPr>
              <w:spacing w:after="0"/>
              <w:rPr>
                <w:sz w:val="13"/>
                <w:szCs w:val="13"/>
                <w:color w:val="auto"/>
              </w:rPr>
            </w:pPr>
          </w:p>
        </w:tc>
        <w:tc>
          <w:tcPr>
            <w:tcW w:w="940" w:type="dxa"/>
            <w:vAlign w:val="bottom"/>
          </w:tcPr>
          <w:p>
            <w:pPr>
              <w:jc w:val="center"/>
              <w:spacing w:after="0" w:line="154" w:lineRule="exact"/>
              <w:rPr>
                <w:sz w:val="20"/>
                <w:szCs w:val="20"/>
                <w:color w:val="auto"/>
              </w:rPr>
            </w:pPr>
            <w:r>
              <w:rPr>
                <w:rFonts w:ascii="Arial" w:cs="Arial" w:eastAsia="Arial" w:hAnsi="Arial"/>
                <w:sz w:val="14"/>
                <w:szCs w:val="14"/>
                <w:color w:val="auto"/>
                <w:w w:val="98"/>
              </w:rPr>
              <w:t>Affiliate, and/or</w:t>
            </w:r>
          </w:p>
        </w:tc>
      </w:tr>
      <w:tr>
        <w:trPr>
          <w:trHeight w:val="123"/>
        </w:trPr>
        <w:tc>
          <w:tcPr>
            <w:tcW w:w="4320" w:type="dxa"/>
            <w:vAlign w:val="bottom"/>
          </w:tcPr>
          <w:p>
            <w:pPr>
              <w:spacing w:after="0"/>
              <w:rPr>
                <w:sz w:val="10"/>
                <w:szCs w:val="10"/>
                <w:color w:val="auto"/>
              </w:rPr>
            </w:pPr>
          </w:p>
        </w:tc>
        <w:tc>
          <w:tcPr>
            <w:tcW w:w="2580" w:type="dxa"/>
            <w:vAlign w:val="bottom"/>
            <w:gridSpan w:val="2"/>
          </w:tcPr>
          <w:p>
            <w:pPr>
              <w:jc w:val="center"/>
              <w:ind w:right="720"/>
              <w:spacing w:after="0" w:line="123" w:lineRule="exact"/>
              <w:rPr>
                <w:sz w:val="20"/>
                <w:szCs w:val="20"/>
                <w:color w:val="auto"/>
              </w:rPr>
            </w:pPr>
            <w:r>
              <w:rPr>
                <w:rFonts w:ascii="Arial" w:cs="Arial" w:eastAsia="Arial" w:hAnsi="Arial"/>
                <w:sz w:val="14"/>
                <w:szCs w:val="14"/>
                <w:color w:val="auto"/>
                <w:w w:val="94"/>
              </w:rPr>
              <w:t>Technology-related work or if a</w:t>
            </w:r>
          </w:p>
        </w:tc>
        <w:tc>
          <w:tcPr>
            <w:tcW w:w="80" w:type="dxa"/>
            <w:vAlign w:val="bottom"/>
          </w:tcPr>
          <w:p>
            <w:pPr>
              <w:spacing w:after="0"/>
              <w:rPr>
                <w:sz w:val="10"/>
                <w:szCs w:val="10"/>
                <w:color w:val="auto"/>
              </w:rPr>
            </w:pPr>
          </w:p>
        </w:tc>
        <w:tc>
          <w:tcPr>
            <w:tcW w:w="340" w:type="dxa"/>
            <w:vAlign w:val="bottom"/>
            <w:tcBorders>
              <w:top w:val="single" w:sz="8" w:color="auto"/>
            </w:tcBorders>
          </w:tcPr>
          <w:p>
            <w:pPr>
              <w:spacing w:after="0" w:line="124" w:lineRule="exact"/>
              <w:rPr>
                <w:sz w:val="20"/>
                <w:szCs w:val="20"/>
                <w:color w:val="auto"/>
              </w:rPr>
            </w:pPr>
            <w:r>
              <w:rPr>
                <w:rFonts w:ascii="Arial" w:cs="Arial" w:eastAsia="Arial" w:hAnsi="Arial"/>
                <w:sz w:val="12"/>
                <w:szCs w:val="12"/>
                <w:color w:val="auto"/>
                <w:w w:val="72"/>
              </w:rPr>
              <w:t>services</w:t>
            </w:r>
          </w:p>
        </w:tc>
        <w:tc>
          <w:tcPr>
            <w:tcW w:w="120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will be</w:t>
            </w:r>
          </w:p>
        </w:tc>
        <w:tc>
          <w:tcPr>
            <w:tcW w:w="820" w:type="dxa"/>
            <w:vAlign w:val="bottom"/>
          </w:tcPr>
          <w:p>
            <w:pPr>
              <w:jc w:val="center"/>
              <w:spacing w:after="0" w:line="123" w:lineRule="exact"/>
              <w:rPr>
                <w:sz w:val="20"/>
                <w:szCs w:val="20"/>
                <w:color w:val="auto"/>
              </w:rPr>
            </w:pPr>
            <w:r>
              <w:rPr>
                <w:rFonts w:ascii="Arial" w:cs="Arial" w:eastAsia="Arial" w:hAnsi="Arial"/>
                <w:sz w:val="14"/>
                <w:szCs w:val="14"/>
                <w:color w:val="auto"/>
                <w:w w:val="92"/>
              </w:rPr>
              <w:t>approved</w:t>
            </w:r>
          </w:p>
        </w:tc>
        <w:tc>
          <w:tcPr>
            <w:tcW w:w="74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Arial" w:cs="Arial" w:eastAsia="Arial" w:hAnsi="Arial"/>
                <w:sz w:val="14"/>
                <w:szCs w:val="14"/>
                <w:color w:val="auto"/>
                <w:w w:val="91"/>
              </w:rPr>
              <w:t>Subcontractor</w:t>
            </w:r>
          </w:p>
        </w:tc>
      </w:tr>
      <w:tr>
        <w:trPr>
          <w:trHeight w:val="148"/>
        </w:trPr>
        <w:tc>
          <w:tcPr>
            <w:tcW w:w="4320" w:type="dxa"/>
            <w:vAlign w:val="bottom"/>
          </w:tcPr>
          <w:p>
            <w:pPr>
              <w:spacing w:after="0"/>
              <w:rPr>
                <w:sz w:val="12"/>
                <w:szCs w:val="12"/>
                <w:color w:val="auto"/>
              </w:rPr>
            </w:pPr>
          </w:p>
        </w:tc>
        <w:tc>
          <w:tcPr>
            <w:tcW w:w="25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rPr>
              <w:t>“virtual” or “work-from-home”</w:t>
            </w:r>
          </w:p>
        </w:tc>
        <w:tc>
          <w:tcPr>
            <w:tcW w:w="1620" w:type="dxa"/>
            <w:vAlign w:val="bottom"/>
            <w:gridSpan w:val="4"/>
          </w:tcPr>
          <w:p>
            <w:pPr>
              <w:jc w:val="center"/>
              <w:ind w:right="740"/>
              <w:spacing w:after="0" w:line="149" w:lineRule="exact"/>
              <w:rPr>
                <w:sz w:val="20"/>
                <w:szCs w:val="20"/>
                <w:color w:val="auto"/>
              </w:rPr>
            </w:pPr>
            <w:r>
              <w:rPr>
                <w:rFonts w:ascii="Arial" w:cs="Arial" w:eastAsia="Arial" w:hAnsi="Arial"/>
                <w:sz w:val="14"/>
                <w:szCs w:val="14"/>
                <w:color w:val="auto"/>
                <w:w w:val="95"/>
              </w:rPr>
              <w:t>performed for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Physical</w:t>
            </w: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5"/>
              </w:rPr>
              <w:t>performing the</w:t>
            </w:r>
          </w:p>
        </w:tc>
      </w:tr>
      <w:tr>
        <w:trPr>
          <w:trHeight w:val="167"/>
        </w:trPr>
        <w:tc>
          <w:tcPr>
            <w:tcW w:w="4320" w:type="dxa"/>
            <w:vAlign w:val="bottom"/>
          </w:tcPr>
          <w:p>
            <w:pPr>
              <w:spacing w:after="0"/>
              <w:rPr>
                <w:sz w:val="14"/>
                <w:szCs w:val="14"/>
                <w:color w:val="auto"/>
              </w:rPr>
            </w:pPr>
          </w:p>
        </w:tc>
        <w:tc>
          <w:tcPr>
            <w:tcW w:w="2580" w:type="dxa"/>
            <w:vAlign w:val="bottom"/>
            <w:gridSpan w:val="2"/>
          </w:tcPr>
          <w:p>
            <w:pPr>
              <w:jc w:val="center"/>
              <w:ind w:right="720"/>
              <w:spacing w:after="0"/>
              <w:rPr>
                <w:sz w:val="20"/>
                <w:szCs w:val="20"/>
                <w:color w:val="auto"/>
              </w:rPr>
            </w:pPr>
            <w:r>
              <w:rPr>
                <w:rFonts w:ascii="Arial" w:cs="Arial" w:eastAsia="Arial" w:hAnsi="Arial"/>
                <w:sz w:val="14"/>
                <w:szCs w:val="14"/>
                <w:color w:val="auto"/>
                <w:w w:val="91"/>
              </w:rPr>
              <w:t>address is authorized)</w:t>
            </w:r>
          </w:p>
        </w:tc>
        <w:tc>
          <w:tcPr>
            <w:tcW w:w="80" w:type="dxa"/>
            <w:vAlign w:val="bottom"/>
          </w:tcPr>
          <w:p>
            <w:pPr>
              <w:spacing w:after="0"/>
              <w:rPr>
                <w:sz w:val="14"/>
                <w:szCs w:val="14"/>
                <w:color w:val="auto"/>
              </w:rPr>
            </w:pPr>
          </w:p>
        </w:tc>
        <w:tc>
          <w:tcPr>
            <w:tcW w:w="1540" w:type="dxa"/>
            <w:vAlign w:val="bottom"/>
            <w:gridSpan w:val="3"/>
          </w:tcPr>
          <w:p>
            <w:pPr>
              <w:jc w:val="center"/>
              <w:ind w:right="800"/>
              <w:spacing w:after="0"/>
              <w:rPr>
                <w:sz w:val="20"/>
                <w:szCs w:val="20"/>
                <w:color w:val="auto"/>
              </w:rPr>
            </w:pPr>
            <w:r>
              <w:rPr>
                <w:rFonts w:ascii="Arial" w:cs="Arial" w:eastAsia="Arial" w:hAnsi="Arial"/>
                <w:sz w:val="14"/>
                <w:szCs w:val="14"/>
                <w:color w:val="auto"/>
              </w:rPr>
              <w:t>AT&amp;T</w:t>
            </w: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Location</w:t>
            </w:r>
          </w:p>
        </w:tc>
        <w:tc>
          <w:tcPr>
            <w:tcW w:w="7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services</w:t>
            </w:r>
          </w:p>
        </w:tc>
      </w:tr>
      <w:tr>
        <w:trPr>
          <w:trHeight w:val="209"/>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Brazil</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Brazil</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Canada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Cyprus</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Cyprus</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364"/>
        </w:trPr>
        <w:tc>
          <w:tcPr>
            <w:tcW w:w="4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gridSpan w:val="2"/>
          </w:tcPr>
          <w:p>
            <w:pPr>
              <w:ind w:left="500"/>
              <w:spacing w:after="0"/>
              <w:rPr>
                <w:sz w:val="20"/>
                <w:szCs w:val="20"/>
                <w:color w:val="auto"/>
              </w:rPr>
            </w:pPr>
            <w:r>
              <w:rPr>
                <w:rFonts w:ascii="Arial" w:cs="Arial" w:eastAsia="Arial" w:hAnsi="Arial"/>
                <w:sz w:val="18"/>
                <w:szCs w:val="18"/>
                <w:color w:val="auto"/>
                <w:w w:val="87"/>
              </w:rPr>
              <w:t>Page 121 of 206</w:t>
            </w: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580" w:type="dxa"/>
            <w:vAlign w:val="bottom"/>
            <w:gridSpan w:val="2"/>
          </w:tcPr>
          <w:p>
            <w:pPr>
              <w:jc w:val="center"/>
              <w:ind w:right="740"/>
              <w:spacing w:after="0"/>
              <w:rPr>
                <w:sz w:val="20"/>
                <w:szCs w:val="20"/>
                <w:color w:val="auto"/>
              </w:rPr>
            </w:pPr>
            <w:r>
              <w:rPr>
                <w:rFonts w:ascii="Arial" w:cs="Arial" w:eastAsia="Arial" w:hAnsi="Arial"/>
                <w:sz w:val="14"/>
                <w:szCs w:val="14"/>
                <w:color w:val="auto"/>
                <w:w w:val="90"/>
              </w:rPr>
              <w:t>Countries where services are</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authorized by AT&amp;T to be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Name of</w:t>
            </w: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performed (physical location</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Supplier /</w:t>
            </w: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address is also required if the</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Services to be</w:t>
            </w: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7"/>
              </w:rPr>
              <w:t>Supplier</w:t>
            </w:r>
          </w:p>
        </w:tc>
      </w:tr>
      <w:tr>
        <w:trPr>
          <w:trHeight w:val="154"/>
        </w:trPr>
        <w:tc>
          <w:tcPr>
            <w:tcW w:w="4300" w:type="dxa"/>
            <w:vAlign w:val="bottom"/>
          </w:tcPr>
          <w:p>
            <w:pPr>
              <w:spacing w:after="0"/>
              <w:rPr>
                <w:sz w:val="13"/>
                <w:szCs w:val="13"/>
                <w:color w:val="auto"/>
              </w:rPr>
            </w:pPr>
          </w:p>
        </w:tc>
        <w:tc>
          <w:tcPr>
            <w:tcW w:w="2580" w:type="dxa"/>
            <w:vAlign w:val="bottom"/>
            <w:gridSpan w:val="2"/>
          </w:tcPr>
          <w:p>
            <w:pPr>
              <w:jc w:val="center"/>
              <w:ind w:right="740"/>
              <w:spacing w:after="0" w:line="154" w:lineRule="exact"/>
              <w:rPr>
                <w:sz w:val="20"/>
                <w:szCs w:val="20"/>
                <w:color w:val="auto"/>
              </w:rPr>
            </w:pPr>
            <w:r>
              <w:rPr>
                <w:rFonts w:ascii="Arial" w:cs="Arial" w:eastAsia="Arial" w:hAnsi="Arial"/>
                <w:sz w:val="14"/>
                <w:szCs w:val="14"/>
                <w:color w:val="auto"/>
                <w:w w:val="95"/>
              </w:rPr>
              <w:t>Services involve Information</w:t>
            </w:r>
          </w:p>
        </w:tc>
        <w:tc>
          <w:tcPr>
            <w:tcW w:w="100" w:type="dxa"/>
            <w:vAlign w:val="bottom"/>
          </w:tcPr>
          <w:p>
            <w:pPr>
              <w:spacing w:after="0"/>
              <w:rPr>
                <w:sz w:val="13"/>
                <w:szCs w:val="13"/>
                <w:color w:val="auto"/>
              </w:rPr>
            </w:pPr>
          </w:p>
        </w:tc>
        <w:tc>
          <w:tcPr>
            <w:tcW w:w="1540" w:type="dxa"/>
            <w:vAlign w:val="bottom"/>
            <w:gridSpan w:val="3"/>
          </w:tcPr>
          <w:p>
            <w:pPr>
              <w:jc w:val="center"/>
              <w:ind w:right="820"/>
              <w:spacing w:after="0" w:line="154" w:lineRule="exact"/>
              <w:rPr>
                <w:sz w:val="20"/>
                <w:szCs w:val="20"/>
                <w:color w:val="auto"/>
              </w:rPr>
            </w:pPr>
            <w:r>
              <w:rPr>
                <w:rFonts w:ascii="Arial" w:cs="Arial" w:eastAsia="Arial" w:hAnsi="Arial"/>
                <w:sz w:val="14"/>
                <w:szCs w:val="14"/>
                <w:color w:val="auto"/>
                <w:w w:val="93"/>
              </w:rPr>
              <w:t>Cities where</w:t>
            </w: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w w:val="93"/>
              </w:rPr>
              <w:t>performed at</w:t>
            </w:r>
          </w:p>
        </w:tc>
        <w:tc>
          <w:tcPr>
            <w:tcW w:w="740" w:type="dxa"/>
            <w:vAlign w:val="bottom"/>
          </w:tcPr>
          <w:p>
            <w:pPr>
              <w:spacing w:after="0"/>
              <w:rPr>
                <w:sz w:val="13"/>
                <w:szCs w:val="13"/>
                <w:color w:val="auto"/>
              </w:rPr>
            </w:pPr>
          </w:p>
        </w:tc>
        <w:tc>
          <w:tcPr>
            <w:tcW w:w="940" w:type="dxa"/>
            <w:vAlign w:val="bottom"/>
          </w:tcPr>
          <w:p>
            <w:pPr>
              <w:jc w:val="center"/>
              <w:spacing w:after="0" w:line="154" w:lineRule="exact"/>
              <w:rPr>
                <w:sz w:val="20"/>
                <w:szCs w:val="20"/>
                <w:color w:val="auto"/>
              </w:rPr>
            </w:pPr>
            <w:r>
              <w:rPr>
                <w:rFonts w:ascii="Arial" w:cs="Arial" w:eastAsia="Arial" w:hAnsi="Arial"/>
                <w:sz w:val="14"/>
                <w:szCs w:val="14"/>
                <w:color w:val="auto"/>
                <w:w w:val="98"/>
              </w:rPr>
              <w:t>Affiliate, and/or</w:t>
            </w:r>
          </w:p>
        </w:tc>
      </w:tr>
      <w:tr>
        <w:trPr>
          <w:trHeight w:val="123"/>
        </w:trPr>
        <w:tc>
          <w:tcPr>
            <w:tcW w:w="4300" w:type="dxa"/>
            <w:vAlign w:val="bottom"/>
          </w:tcPr>
          <w:p>
            <w:pPr>
              <w:spacing w:after="0"/>
              <w:rPr>
                <w:sz w:val="10"/>
                <w:szCs w:val="10"/>
                <w:color w:val="auto"/>
              </w:rPr>
            </w:pPr>
          </w:p>
        </w:tc>
        <w:tc>
          <w:tcPr>
            <w:tcW w:w="2580" w:type="dxa"/>
            <w:vAlign w:val="bottom"/>
            <w:gridSpan w:val="2"/>
          </w:tcPr>
          <w:p>
            <w:pPr>
              <w:jc w:val="center"/>
              <w:ind w:right="740"/>
              <w:spacing w:after="0" w:line="123" w:lineRule="exact"/>
              <w:rPr>
                <w:sz w:val="20"/>
                <w:szCs w:val="20"/>
                <w:color w:val="auto"/>
              </w:rPr>
            </w:pPr>
            <w:r>
              <w:rPr>
                <w:rFonts w:ascii="Arial" w:cs="Arial" w:eastAsia="Arial" w:hAnsi="Arial"/>
                <w:sz w:val="14"/>
                <w:szCs w:val="14"/>
                <w:color w:val="auto"/>
                <w:w w:val="95"/>
              </w:rPr>
              <w:t>Technology-related work or if a</w:t>
            </w:r>
          </w:p>
        </w:tc>
        <w:tc>
          <w:tcPr>
            <w:tcW w:w="100" w:type="dxa"/>
            <w:vAlign w:val="bottom"/>
          </w:tcPr>
          <w:p>
            <w:pPr>
              <w:spacing w:after="0"/>
              <w:rPr>
                <w:sz w:val="10"/>
                <w:szCs w:val="10"/>
                <w:color w:val="auto"/>
              </w:rPr>
            </w:pPr>
          </w:p>
        </w:tc>
        <w:tc>
          <w:tcPr>
            <w:tcW w:w="280" w:type="dxa"/>
            <w:vAlign w:val="bottom"/>
            <w:tcBorders>
              <w:top w:val="single" w:sz="8" w:color="auto"/>
            </w:tcBorders>
          </w:tcPr>
          <w:p>
            <w:pPr>
              <w:spacing w:after="0"/>
              <w:rPr>
                <w:sz w:val="20"/>
                <w:szCs w:val="20"/>
                <w:color w:val="auto"/>
              </w:rPr>
            </w:pPr>
            <w:r>
              <w:rPr>
                <w:rFonts w:ascii="Arial" w:cs="Arial" w:eastAsia="Arial" w:hAnsi="Arial"/>
                <w:sz w:val="10"/>
                <w:szCs w:val="10"/>
                <w:color w:val="auto"/>
                <w:w w:val="70"/>
              </w:rPr>
              <w:t>services</w:t>
            </w:r>
          </w:p>
        </w:tc>
        <w:tc>
          <w:tcPr>
            <w:tcW w:w="1260" w:type="dxa"/>
            <w:vAlign w:val="bottom"/>
            <w:gridSpan w:val="2"/>
          </w:tcPr>
          <w:p>
            <w:pPr>
              <w:ind w:left="120"/>
              <w:spacing w:after="0" w:line="123" w:lineRule="exact"/>
              <w:rPr>
                <w:sz w:val="20"/>
                <w:szCs w:val="20"/>
                <w:color w:val="auto"/>
              </w:rPr>
            </w:pPr>
            <w:r>
              <w:rPr>
                <w:rFonts w:ascii="Arial" w:cs="Arial" w:eastAsia="Arial" w:hAnsi="Arial"/>
                <w:sz w:val="14"/>
                <w:szCs w:val="14"/>
                <w:color w:val="auto"/>
              </w:rPr>
              <w:t>will be</w:t>
            </w:r>
          </w:p>
        </w:tc>
        <w:tc>
          <w:tcPr>
            <w:tcW w:w="820" w:type="dxa"/>
            <w:vAlign w:val="bottom"/>
          </w:tcPr>
          <w:p>
            <w:pPr>
              <w:jc w:val="center"/>
              <w:spacing w:after="0" w:line="123" w:lineRule="exact"/>
              <w:rPr>
                <w:sz w:val="20"/>
                <w:szCs w:val="20"/>
                <w:color w:val="auto"/>
              </w:rPr>
            </w:pPr>
            <w:r>
              <w:rPr>
                <w:rFonts w:ascii="Arial" w:cs="Arial" w:eastAsia="Arial" w:hAnsi="Arial"/>
                <w:sz w:val="14"/>
                <w:szCs w:val="14"/>
                <w:color w:val="auto"/>
                <w:w w:val="92"/>
              </w:rPr>
              <w:t>approved</w:t>
            </w:r>
          </w:p>
        </w:tc>
        <w:tc>
          <w:tcPr>
            <w:tcW w:w="74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Arial" w:cs="Arial" w:eastAsia="Arial" w:hAnsi="Arial"/>
                <w:sz w:val="14"/>
                <w:szCs w:val="14"/>
                <w:color w:val="auto"/>
                <w:w w:val="91"/>
              </w:rPr>
              <w:t>Subcontractor</w:t>
            </w: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rPr>
              <w:t>“virtual” or “work-from-home”</w:t>
            </w:r>
          </w:p>
        </w:tc>
        <w:tc>
          <w:tcPr>
            <w:tcW w:w="1640" w:type="dxa"/>
            <w:vAlign w:val="bottom"/>
            <w:gridSpan w:val="4"/>
          </w:tcPr>
          <w:p>
            <w:pPr>
              <w:jc w:val="center"/>
              <w:ind w:right="720"/>
              <w:spacing w:after="0" w:line="149" w:lineRule="exact"/>
              <w:rPr>
                <w:sz w:val="20"/>
                <w:szCs w:val="20"/>
                <w:color w:val="auto"/>
              </w:rPr>
            </w:pPr>
            <w:r>
              <w:rPr>
                <w:rFonts w:ascii="Arial" w:cs="Arial" w:eastAsia="Arial" w:hAnsi="Arial"/>
                <w:sz w:val="14"/>
                <w:szCs w:val="14"/>
                <w:color w:val="auto"/>
                <w:w w:val="95"/>
              </w:rPr>
              <w:t>performed for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Physical</w:t>
            </w: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5"/>
              </w:rPr>
              <w:t>performing the</w:t>
            </w:r>
          </w:p>
        </w:tc>
      </w:tr>
      <w:tr>
        <w:trPr>
          <w:trHeight w:val="167"/>
        </w:trPr>
        <w:tc>
          <w:tcPr>
            <w:tcW w:w="4300" w:type="dxa"/>
            <w:vAlign w:val="bottom"/>
          </w:tcPr>
          <w:p>
            <w:pPr>
              <w:spacing w:after="0"/>
              <w:rPr>
                <w:sz w:val="14"/>
                <w:szCs w:val="14"/>
                <w:color w:val="auto"/>
              </w:rPr>
            </w:pPr>
          </w:p>
        </w:tc>
        <w:tc>
          <w:tcPr>
            <w:tcW w:w="2580" w:type="dxa"/>
            <w:vAlign w:val="bottom"/>
            <w:gridSpan w:val="2"/>
          </w:tcPr>
          <w:p>
            <w:pPr>
              <w:jc w:val="center"/>
              <w:ind w:right="740"/>
              <w:spacing w:after="0"/>
              <w:rPr>
                <w:sz w:val="20"/>
                <w:szCs w:val="20"/>
                <w:color w:val="auto"/>
              </w:rPr>
            </w:pPr>
            <w:r>
              <w:rPr>
                <w:rFonts w:ascii="Arial" w:cs="Arial" w:eastAsia="Arial" w:hAnsi="Arial"/>
                <w:sz w:val="14"/>
                <w:szCs w:val="14"/>
                <w:color w:val="auto"/>
                <w:w w:val="90"/>
              </w:rPr>
              <w:t>address is authorized)</w:t>
            </w:r>
          </w:p>
        </w:tc>
        <w:tc>
          <w:tcPr>
            <w:tcW w:w="100" w:type="dxa"/>
            <w:vAlign w:val="bottom"/>
          </w:tcPr>
          <w:p>
            <w:pPr>
              <w:spacing w:after="0"/>
              <w:rPr>
                <w:sz w:val="14"/>
                <w:szCs w:val="14"/>
                <w:color w:val="auto"/>
              </w:rPr>
            </w:pPr>
          </w:p>
        </w:tc>
        <w:tc>
          <w:tcPr>
            <w:tcW w:w="1540" w:type="dxa"/>
            <w:vAlign w:val="bottom"/>
            <w:gridSpan w:val="3"/>
          </w:tcPr>
          <w:p>
            <w:pPr>
              <w:jc w:val="center"/>
              <w:ind w:right="840"/>
              <w:spacing w:after="0"/>
              <w:rPr>
                <w:sz w:val="20"/>
                <w:szCs w:val="20"/>
                <w:color w:val="auto"/>
              </w:rPr>
            </w:pPr>
            <w:r>
              <w:rPr>
                <w:rFonts w:ascii="Arial" w:cs="Arial" w:eastAsia="Arial" w:hAnsi="Arial"/>
                <w:sz w:val="14"/>
                <w:szCs w:val="14"/>
                <w:color w:val="auto"/>
              </w:rPr>
              <w:t>AT&amp;T</w:t>
            </w: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Location</w:t>
            </w:r>
          </w:p>
        </w:tc>
        <w:tc>
          <w:tcPr>
            <w:tcW w:w="7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services</w:t>
            </w: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365"/>
        </w:trPr>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gridSpan w:val="2"/>
          </w:tcPr>
          <w:p>
            <w:pPr>
              <w:ind w:left="500"/>
              <w:spacing w:after="0"/>
              <w:rPr>
                <w:sz w:val="20"/>
                <w:szCs w:val="20"/>
                <w:color w:val="auto"/>
              </w:rPr>
            </w:pPr>
            <w:r>
              <w:rPr>
                <w:rFonts w:ascii="Arial" w:cs="Arial" w:eastAsia="Arial" w:hAnsi="Arial"/>
                <w:sz w:val="18"/>
                <w:szCs w:val="18"/>
                <w:color w:val="auto"/>
                <w:w w:val="87"/>
              </w:rPr>
              <w:t>Page 122 of 206</w:t>
            </w: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2580" w:type="dxa"/>
            <w:vAlign w:val="bottom"/>
            <w:gridSpan w:val="2"/>
          </w:tcPr>
          <w:p>
            <w:pPr>
              <w:jc w:val="center"/>
              <w:ind w:right="740"/>
              <w:spacing w:after="0"/>
              <w:rPr>
                <w:sz w:val="20"/>
                <w:szCs w:val="20"/>
                <w:color w:val="auto"/>
              </w:rPr>
            </w:pPr>
            <w:r>
              <w:rPr>
                <w:rFonts w:ascii="Arial" w:cs="Arial" w:eastAsia="Arial" w:hAnsi="Arial"/>
                <w:sz w:val="14"/>
                <w:szCs w:val="14"/>
                <w:color w:val="auto"/>
                <w:w w:val="90"/>
              </w:rPr>
              <w:t>Countries where services are</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authorized by AT&amp;T to be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Name of</w:t>
            </w: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performed (physical location</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Supplier /</w:t>
            </w: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address is also required if the</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Services to be</w:t>
            </w: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7"/>
              </w:rPr>
              <w:t>Supplier</w:t>
            </w:r>
          </w:p>
        </w:tc>
      </w:tr>
      <w:tr>
        <w:trPr>
          <w:trHeight w:val="154"/>
        </w:trPr>
        <w:tc>
          <w:tcPr>
            <w:tcW w:w="4300" w:type="dxa"/>
            <w:vAlign w:val="bottom"/>
          </w:tcPr>
          <w:p>
            <w:pPr>
              <w:spacing w:after="0"/>
              <w:rPr>
                <w:sz w:val="13"/>
                <w:szCs w:val="13"/>
                <w:color w:val="auto"/>
              </w:rPr>
            </w:pPr>
          </w:p>
        </w:tc>
        <w:tc>
          <w:tcPr>
            <w:tcW w:w="2580" w:type="dxa"/>
            <w:vAlign w:val="bottom"/>
            <w:gridSpan w:val="2"/>
          </w:tcPr>
          <w:p>
            <w:pPr>
              <w:jc w:val="center"/>
              <w:ind w:right="740"/>
              <w:spacing w:after="0" w:line="154" w:lineRule="exact"/>
              <w:rPr>
                <w:sz w:val="20"/>
                <w:szCs w:val="20"/>
                <w:color w:val="auto"/>
              </w:rPr>
            </w:pPr>
            <w:r>
              <w:rPr>
                <w:rFonts w:ascii="Arial" w:cs="Arial" w:eastAsia="Arial" w:hAnsi="Arial"/>
                <w:sz w:val="14"/>
                <w:szCs w:val="14"/>
                <w:color w:val="auto"/>
                <w:w w:val="95"/>
              </w:rPr>
              <w:t>Services involve Information</w:t>
            </w:r>
          </w:p>
        </w:tc>
        <w:tc>
          <w:tcPr>
            <w:tcW w:w="100" w:type="dxa"/>
            <w:vAlign w:val="bottom"/>
          </w:tcPr>
          <w:p>
            <w:pPr>
              <w:spacing w:after="0"/>
              <w:rPr>
                <w:sz w:val="13"/>
                <w:szCs w:val="13"/>
                <w:color w:val="auto"/>
              </w:rPr>
            </w:pPr>
          </w:p>
        </w:tc>
        <w:tc>
          <w:tcPr>
            <w:tcW w:w="1540" w:type="dxa"/>
            <w:vAlign w:val="bottom"/>
            <w:gridSpan w:val="3"/>
          </w:tcPr>
          <w:p>
            <w:pPr>
              <w:jc w:val="center"/>
              <w:ind w:right="820"/>
              <w:spacing w:after="0" w:line="154" w:lineRule="exact"/>
              <w:rPr>
                <w:sz w:val="20"/>
                <w:szCs w:val="20"/>
                <w:color w:val="auto"/>
              </w:rPr>
            </w:pPr>
            <w:r>
              <w:rPr>
                <w:rFonts w:ascii="Arial" w:cs="Arial" w:eastAsia="Arial" w:hAnsi="Arial"/>
                <w:sz w:val="14"/>
                <w:szCs w:val="14"/>
                <w:color w:val="auto"/>
                <w:w w:val="93"/>
              </w:rPr>
              <w:t>Cities where</w:t>
            </w: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w w:val="93"/>
              </w:rPr>
              <w:t>performed at</w:t>
            </w:r>
          </w:p>
        </w:tc>
        <w:tc>
          <w:tcPr>
            <w:tcW w:w="740" w:type="dxa"/>
            <w:vAlign w:val="bottom"/>
          </w:tcPr>
          <w:p>
            <w:pPr>
              <w:spacing w:after="0"/>
              <w:rPr>
                <w:sz w:val="13"/>
                <w:szCs w:val="13"/>
                <w:color w:val="auto"/>
              </w:rPr>
            </w:pPr>
          </w:p>
        </w:tc>
        <w:tc>
          <w:tcPr>
            <w:tcW w:w="940" w:type="dxa"/>
            <w:vAlign w:val="bottom"/>
          </w:tcPr>
          <w:p>
            <w:pPr>
              <w:jc w:val="center"/>
              <w:spacing w:after="0" w:line="154" w:lineRule="exact"/>
              <w:rPr>
                <w:sz w:val="20"/>
                <w:szCs w:val="20"/>
                <w:color w:val="auto"/>
              </w:rPr>
            </w:pPr>
            <w:r>
              <w:rPr>
                <w:rFonts w:ascii="Arial" w:cs="Arial" w:eastAsia="Arial" w:hAnsi="Arial"/>
                <w:sz w:val="14"/>
                <w:szCs w:val="14"/>
                <w:color w:val="auto"/>
                <w:w w:val="98"/>
              </w:rPr>
              <w:t>Affiliate, and/or</w:t>
            </w:r>
          </w:p>
        </w:tc>
      </w:tr>
      <w:tr>
        <w:trPr>
          <w:trHeight w:val="123"/>
        </w:trPr>
        <w:tc>
          <w:tcPr>
            <w:tcW w:w="4300" w:type="dxa"/>
            <w:vAlign w:val="bottom"/>
          </w:tcPr>
          <w:p>
            <w:pPr>
              <w:spacing w:after="0"/>
              <w:rPr>
                <w:sz w:val="10"/>
                <w:szCs w:val="10"/>
                <w:color w:val="auto"/>
              </w:rPr>
            </w:pPr>
          </w:p>
        </w:tc>
        <w:tc>
          <w:tcPr>
            <w:tcW w:w="2580" w:type="dxa"/>
            <w:vAlign w:val="bottom"/>
            <w:gridSpan w:val="2"/>
          </w:tcPr>
          <w:p>
            <w:pPr>
              <w:jc w:val="center"/>
              <w:ind w:right="740"/>
              <w:spacing w:after="0" w:line="123" w:lineRule="exact"/>
              <w:rPr>
                <w:sz w:val="20"/>
                <w:szCs w:val="20"/>
                <w:color w:val="auto"/>
              </w:rPr>
            </w:pPr>
            <w:r>
              <w:rPr>
                <w:rFonts w:ascii="Arial" w:cs="Arial" w:eastAsia="Arial" w:hAnsi="Arial"/>
                <w:sz w:val="14"/>
                <w:szCs w:val="14"/>
                <w:color w:val="auto"/>
                <w:w w:val="95"/>
              </w:rPr>
              <w:t>Technology-related work or if a</w:t>
            </w:r>
          </w:p>
        </w:tc>
        <w:tc>
          <w:tcPr>
            <w:tcW w:w="100" w:type="dxa"/>
            <w:vAlign w:val="bottom"/>
          </w:tcPr>
          <w:p>
            <w:pPr>
              <w:spacing w:after="0"/>
              <w:rPr>
                <w:sz w:val="10"/>
                <w:szCs w:val="10"/>
                <w:color w:val="auto"/>
              </w:rPr>
            </w:pPr>
          </w:p>
        </w:tc>
        <w:tc>
          <w:tcPr>
            <w:tcW w:w="320" w:type="dxa"/>
            <w:vAlign w:val="bottom"/>
            <w:tcBorders>
              <w:top w:val="single" w:sz="8" w:color="auto"/>
            </w:tcBorders>
          </w:tcPr>
          <w:p>
            <w:pPr>
              <w:spacing w:after="0" w:line="123" w:lineRule="exact"/>
              <w:rPr>
                <w:sz w:val="20"/>
                <w:szCs w:val="20"/>
                <w:color w:val="auto"/>
              </w:rPr>
            </w:pPr>
            <w:r>
              <w:rPr>
                <w:rFonts w:ascii="Arial" w:cs="Arial" w:eastAsia="Arial" w:hAnsi="Arial"/>
                <w:sz w:val="11"/>
                <w:szCs w:val="11"/>
                <w:color w:val="auto"/>
                <w:w w:val="74"/>
              </w:rPr>
              <w:t>services</w:t>
            </w:r>
          </w:p>
        </w:tc>
        <w:tc>
          <w:tcPr>
            <w:tcW w:w="1220" w:type="dxa"/>
            <w:vAlign w:val="bottom"/>
            <w:gridSpan w:val="2"/>
          </w:tcPr>
          <w:p>
            <w:pPr>
              <w:ind w:left="80"/>
              <w:spacing w:after="0" w:line="123" w:lineRule="exact"/>
              <w:rPr>
                <w:sz w:val="20"/>
                <w:szCs w:val="20"/>
                <w:color w:val="auto"/>
              </w:rPr>
            </w:pPr>
            <w:r>
              <w:rPr>
                <w:rFonts w:ascii="Arial" w:cs="Arial" w:eastAsia="Arial" w:hAnsi="Arial"/>
                <w:sz w:val="14"/>
                <w:szCs w:val="14"/>
                <w:color w:val="auto"/>
              </w:rPr>
              <w:t>will be</w:t>
            </w:r>
          </w:p>
        </w:tc>
        <w:tc>
          <w:tcPr>
            <w:tcW w:w="820" w:type="dxa"/>
            <w:vAlign w:val="bottom"/>
          </w:tcPr>
          <w:p>
            <w:pPr>
              <w:jc w:val="center"/>
              <w:spacing w:after="0" w:line="123" w:lineRule="exact"/>
              <w:rPr>
                <w:sz w:val="20"/>
                <w:szCs w:val="20"/>
                <w:color w:val="auto"/>
              </w:rPr>
            </w:pPr>
            <w:r>
              <w:rPr>
                <w:rFonts w:ascii="Arial" w:cs="Arial" w:eastAsia="Arial" w:hAnsi="Arial"/>
                <w:sz w:val="14"/>
                <w:szCs w:val="14"/>
                <w:color w:val="auto"/>
                <w:w w:val="92"/>
              </w:rPr>
              <w:t>approved</w:t>
            </w:r>
          </w:p>
        </w:tc>
        <w:tc>
          <w:tcPr>
            <w:tcW w:w="740" w:type="dxa"/>
            <w:vAlign w:val="bottom"/>
          </w:tcPr>
          <w:p>
            <w:pPr>
              <w:spacing w:after="0"/>
              <w:rPr>
                <w:sz w:val="10"/>
                <w:szCs w:val="10"/>
                <w:color w:val="auto"/>
              </w:rPr>
            </w:pPr>
          </w:p>
        </w:tc>
        <w:tc>
          <w:tcPr>
            <w:tcW w:w="940" w:type="dxa"/>
            <w:vAlign w:val="bottom"/>
          </w:tcPr>
          <w:p>
            <w:pPr>
              <w:jc w:val="center"/>
              <w:spacing w:after="0" w:line="123" w:lineRule="exact"/>
              <w:rPr>
                <w:sz w:val="20"/>
                <w:szCs w:val="20"/>
                <w:color w:val="auto"/>
              </w:rPr>
            </w:pPr>
            <w:r>
              <w:rPr>
                <w:rFonts w:ascii="Arial" w:cs="Arial" w:eastAsia="Arial" w:hAnsi="Arial"/>
                <w:sz w:val="14"/>
                <w:szCs w:val="14"/>
                <w:color w:val="auto"/>
                <w:w w:val="91"/>
              </w:rPr>
              <w:t>Subcontractor</w:t>
            </w:r>
          </w:p>
        </w:tc>
      </w:tr>
      <w:tr>
        <w:trPr>
          <w:trHeight w:val="148"/>
        </w:trPr>
        <w:tc>
          <w:tcPr>
            <w:tcW w:w="430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rPr>
              <w:t>“virtual” or “work-from-home”</w:t>
            </w:r>
          </w:p>
        </w:tc>
        <w:tc>
          <w:tcPr>
            <w:tcW w:w="1640" w:type="dxa"/>
            <w:vAlign w:val="bottom"/>
            <w:gridSpan w:val="4"/>
          </w:tcPr>
          <w:p>
            <w:pPr>
              <w:jc w:val="center"/>
              <w:ind w:right="720"/>
              <w:spacing w:after="0" w:line="149" w:lineRule="exact"/>
              <w:rPr>
                <w:sz w:val="20"/>
                <w:szCs w:val="20"/>
                <w:color w:val="auto"/>
              </w:rPr>
            </w:pPr>
            <w:r>
              <w:rPr>
                <w:rFonts w:ascii="Arial" w:cs="Arial" w:eastAsia="Arial" w:hAnsi="Arial"/>
                <w:sz w:val="14"/>
                <w:szCs w:val="14"/>
                <w:color w:val="auto"/>
                <w:w w:val="95"/>
              </w:rPr>
              <w:t>performed for</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5"/>
              </w:rPr>
              <w:t>Physical</w:t>
            </w: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5"/>
              </w:rPr>
              <w:t>performing the</w:t>
            </w:r>
          </w:p>
        </w:tc>
      </w:tr>
      <w:tr>
        <w:trPr>
          <w:trHeight w:val="167"/>
        </w:trPr>
        <w:tc>
          <w:tcPr>
            <w:tcW w:w="4300" w:type="dxa"/>
            <w:vAlign w:val="bottom"/>
          </w:tcPr>
          <w:p>
            <w:pPr>
              <w:spacing w:after="0"/>
              <w:rPr>
                <w:sz w:val="14"/>
                <w:szCs w:val="14"/>
                <w:color w:val="auto"/>
              </w:rPr>
            </w:pPr>
          </w:p>
        </w:tc>
        <w:tc>
          <w:tcPr>
            <w:tcW w:w="2580" w:type="dxa"/>
            <w:vAlign w:val="bottom"/>
            <w:gridSpan w:val="2"/>
          </w:tcPr>
          <w:p>
            <w:pPr>
              <w:jc w:val="center"/>
              <w:ind w:right="740"/>
              <w:spacing w:after="0"/>
              <w:rPr>
                <w:sz w:val="20"/>
                <w:szCs w:val="20"/>
                <w:color w:val="auto"/>
              </w:rPr>
            </w:pPr>
            <w:r>
              <w:rPr>
                <w:rFonts w:ascii="Arial" w:cs="Arial" w:eastAsia="Arial" w:hAnsi="Arial"/>
                <w:sz w:val="14"/>
                <w:szCs w:val="14"/>
                <w:color w:val="auto"/>
                <w:w w:val="90"/>
              </w:rPr>
              <w:t>address is authorized)</w:t>
            </w:r>
          </w:p>
        </w:tc>
        <w:tc>
          <w:tcPr>
            <w:tcW w:w="100" w:type="dxa"/>
            <w:vAlign w:val="bottom"/>
          </w:tcPr>
          <w:p>
            <w:pPr>
              <w:spacing w:after="0"/>
              <w:rPr>
                <w:sz w:val="14"/>
                <w:szCs w:val="14"/>
                <w:color w:val="auto"/>
              </w:rPr>
            </w:pPr>
          </w:p>
        </w:tc>
        <w:tc>
          <w:tcPr>
            <w:tcW w:w="1540" w:type="dxa"/>
            <w:vAlign w:val="bottom"/>
            <w:gridSpan w:val="3"/>
          </w:tcPr>
          <w:p>
            <w:pPr>
              <w:jc w:val="center"/>
              <w:ind w:right="840"/>
              <w:spacing w:after="0"/>
              <w:rPr>
                <w:sz w:val="20"/>
                <w:szCs w:val="20"/>
                <w:color w:val="auto"/>
              </w:rPr>
            </w:pPr>
            <w:r>
              <w:rPr>
                <w:rFonts w:ascii="Arial" w:cs="Arial" w:eastAsia="Arial" w:hAnsi="Arial"/>
                <w:sz w:val="14"/>
                <w:szCs w:val="14"/>
                <w:color w:val="auto"/>
              </w:rPr>
              <w:t>AT&amp;T</w:t>
            </w:r>
          </w:p>
        </w:tc>
        <w:tc>
          <w:tcPr>
            <w:tcW w:w="820" w:type="dxa"/>
            <w:vAlign w:val="bottom"/>
          </w:tcPr>
          <w:p>
            <w:pPr>
              <w:jc w:val="center"/>
              <w:spacing w:after="0"/>
              <w:rPr>
                <w:sz w:val="20"/>
                <w:szCs w:val="20"/>
                <w:color w:val="auto"/>
              </w:rPr>
            </w:pPr>
            <w:r>
              <w:rPr>
                <w:rFonts w:ascii="Arial" w:cs="Arial" w:eastAsia="Arial" w:hAnsi="Arial"/>
                <w:sz w:val="14"/>
                <w:szCs w:val="14"/>
                <w:color w:val="auto"/>
                <w:w w:val="94"/>
              </w:rPr>
              <w:t>Location</w:t>
            </w:r>
          </w:p>
        </w:tc>
        <w:tc>
          <w:tcPr>
            <w:tcW w:w="74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89"/>
              </w:rPr>
              <w:t>services</w:t>
            </w: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90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r>
      <w:tr>
        <w:trPr>
          <w:trHeight w:val="350"/>
        </w:trPr>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gridSpan w:val="2"/>
          </w:tcPr>
          <w:p>
            <w:pPr>
              <w:ind w:left="500"/>
              <w:spacing w:after="0"/>
              <w:rPr>
                <w:sz w:val="20"/>
                <w:szCs w:val="20"/>
                <w:color w:val="auto"/>
              </w:rPr>
            </w:pPr>
            <w:r>
              <w:rPr>
                <w:rFonts w:ascii="Arial" w:cs="Arial" w:eastAsia="Arial" w:hAnsi="Arial"/>
                <w:sz w:val="18"/>
                <w:szCs w:val="18"/>
                <w:color w:val="auto"/>
                <w:w w:val="87"/>
              </w:rPr>
              <w:t>Page 123 of 206</w:t>
            </w: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580" w:type="dxa"/>
            <w:vAlign w:val="bottom"/>
            <w:gridSpan w:val="2"/>
          </w:tcPr>
          <w:p>
            <w:pPr>
              <w:jc w:val="center"/>
              <w:ind w:right="720"/>
              <w:spacing w:after="0"/>
              <w:rPr>
                <w:sz w:val="20"/>
                <w:szCs w:val="20"/>
                <w:color w:val="auto"/>
              </w:rPr>
            </w:pPr>
            <w:r>
              <w:rPr>
                <w:rFonts w:ascii="Arial" w:cs="Arial" w:eastAsia="Arial" w:hAnsi="Arial"/>
                <w:sz w:val="14"/>
                <w:szCs w:val="14"/>
                <w:color w:val="auto"/>
                <w:w w:val="91"/>
              </w:rPr>
              <w:t>Countries where services are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5"/>
              </w:rPr>
              <w:t>authorized by AT&amp;T to be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Name of</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5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4"/>
              </w:rPr>
              <w:t>performed (physical location</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Supplier /</w:t>
            </w: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58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91"/>
              </w:rPr>
              <w:t>address is also required if the</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2"/>
              </w:rPr>
              <w:t>Services to be</w:t>
            </w:r>
          </w:p>
        </w:tc>
        <w:tc>
          <w:tcPr>
            <w:tcW w:w="7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7"/>
              </w:rPr>
              <w:t>Supplier</w:t>
            </w:r>
          </w:p>
        </w:tc>
        <w:tc>
          <w:tcPr>
            <w:tcW w:w="0" w:type="dxa"/>
            <w:vAlign w:val="bottom"/>
          </w:tcPr>
          <w:p>
            <w:pPr>
              <w:spacing w:after="0"/>
              <w:rPr>
                <w:sz w:val="1"/>
                <w:szCs w:val="1"/>
                <w:color w:val="auto"/>
              </w:rPr>
            </w:pPr>
          </w:p>
        </w:tc>
      </w:tr>
      <w:tr>
        <w:trPr>
          <w:trHeight w:val="154"/>
        </w:trPr>
        <w:tc>
          <w:tcPr>
            <w:tcW w:w="4320" w:type="dxa"/>
            <w:vAlign w:val="bottom"/>
          </w:tcPr>
          <w:p>
            <w:pPr>
              <w:spacing w:after="0"/>
              <w:rPr>
                <w:sz w:val="13"/>
                <w:szCs w:val="13"/>
                <w:color w:val="auto"/>
              </w:rPr>
            </w:pPr>
          </w:p>
        </w:tc>
        <w:tc>
          <w:tcPr>
            <w:tcW w:w="2580" w:type="dxa"/>
            <w:vAlign w:val="bottom"/>
            <w:gridSpan w:val="2"/>
          </w:tcPr>
          <w:p>
            <w:pPr>
              <w:jc w:val="center"/>
              <w:ind w:right="740"/>
              <w:spacing w:after="0" w:line="154" w:lineRule="exact"/>
              <w:rPr>
                <w:sz w:val="20"/>
                <w:szCs w:val="20"/>
                <w:color w:val="auto"/>
              </w:rPr>
            </w:pPr>
            <w:r>
              <w:rPr>
                <w:rFonts w:ascii="Arial" w:cs="Arial" w:eastAsia="Arial" w:hAnsi="Arial"/>
                <w:sz w:val="14"/>
                <w:szCs w:val="14"/>
                <w:color w:val="auto"/>
                <w:w w:val="95"/>
              </w:rPr>
              <w:t>Services involve Information</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5"/>
          </w:tcPr>
          <w:p>
            <w:pPr>
              <w:jc w:val="center"/>
              <w:ind w:right="820"/>
              <w:spacing w:after="0" w:line="154" w:lineRule="exact"/>
              <w:rPr>
                <w:sz w:val="20"/>
                <w:szCs w:val="20"/>
                <w:color w:val="auto"/>
              </w:rPr>
            </w:pPr>
            <w:r>
              <w:rPr>
                <w:rFonts w:ascii="Arial" w:cs="Arial" w:eastAsia="Arial" w:hAnsi="Arial"/>
                <w:sz w:val="14"/>
                <w:szCs w:val="14"/>
                <w:color w:val="auto"/>
                <w:w w:val="93"/>
              </w:rPr>
              <w:t>Cities where</w:t>
            </w:r>
          </w:p>
        </w:tc>
        <w:tc>
          <w:tcPr>
            <w:tcW w:w="820" w:type="dxa"/>
            <w:vAlign w:val="bottom"/>
          </w:tcPr>
          <w:p>
            <w:pPr>
              <w:jc w:val="center"/>
              <w:spacing w:after="0" w:line="154" w:lineRule="exact"/>
              <w:rPr>
                <w:sz w:val="20"/>
                <w:szCs w:val="20"/>
                <w:color w:val="auto"/>
              </w:rPr>
            </w:pPr>
            <w:r>
              <w:rPr>
                <w:rFonts w:ascii="Arial" w:cs="Arial" w:eastAsia="Arial" w:hAnsi="Arial"/>
                <w:sz w:val="14"/>
                <w:szCs w:val="14"/>
                <w:color w:val="auto"/>
                <w:w w:val="93"/>
              </w:rPr>
              <w:t>performed at</w:t>
            </w:r>
          </w:p>
        </w:tc>
        <w:tc>
          <w:tcPr>
            <w:tcW w:w="740" w:type="dxa"/>
            <w:vAlign w:val="bottom"/>
          </w:tcPr>
          <w:p>
            <w:pPr>
              <w:spacing w:after="0"/>
              <w:rPr>
                <w:sz w:val="13"/>
                <w:szCs w:val="13"/>
                <w:color w:val="auto"/>
              </w:rPr>
            </w:pPr>
          </w:p>
        </w:tc>
        <w:tc>
          <w:tcPr>
            <w:tcW w:w="940" w:type="dxa"/>
            <w:vAlign w:val="bottom"/>
          </w:tcPr>
          <w:p>
            <w:pPr>
              <w:jc w:val="center"/>
              <w:spacing w:after="0" w:line="154" w:lineRule="exact"/>
              <w:rPr>
                <w:sz w:val="20"/>
                <w:szCs w:val="20"/>
                <w:color w:val="auto"/>
              </w:rPr>
            </w:pPr>
            <w:r>
              <w:rPr>
                <w:rFonts w:ascii="Arial" w:cs="Arial" w:eastAsia="Arial" w:hAnsi="Arial"/>
                <w:sz w:val="14"/>
                <w:szCs w:val="14"/>
                <w:color w:val="auto"/>
                <w:w w:val="98"/>
              </w:rPr>
              <w:t>Affiliate, and/or</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2580" w:type="dxa"/>
            <w:vAlign w:val="bottom"/>
            <w:gridSpan w:val="2"/>
            <w:vMerge w:val="restart"/>
          </w:tcPr>
          <w:p>
            <w:pPr>
              <w:jc w:val="center"/>
              <w:ind w:right="720"/>
              <w:spacing w:after="0" w:line="149" w:lineRule="exact"/>
              <w:rPr>
                <w:sz w:val="20"/>
                <w:szCs w:val="20"/>
                <w:color w:val="auto"/>
              </w:rPr>
            </w:pPr>
            <w:r>
              <w:rPr>
                <w:rFonts w:ascii="Arial" w:cs="Arial" w:eastAsia="Arial" w:hAnsi="Arial"/>
                <w:sz w:val="14"/>
                <w:szCs w:val="14"/>
                <w:color w:val="auto"/>
                <w:w w:val="94"/>
              </w:rPr>
              <w:t>Technology-related work or if a</w:t>
            </w:r>
          </w:p>
        </w:tc>
        <w:tc>
          <w:tcPr>
            <w:tcW w:w="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2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2"/>
              </w:rPr>
              <w:t>approved</w:t>
            </w:r>
          </w:p>
        </w:tc>
        <w:tc>
          <w:tcPr>
            <w:tcW w:w="740" w:type="dxa"/>
            <w:vAlign w:val="bottom"/>
          </w:tcPr>
          <w:p>
            <w:pPr>
              <w:spacing w:after="0" w:line="20" w:lineRule="exact"/>
              <w:rPr>
                <w:sz w:val="1"/>
                <w:szCs w:val="1"/>
                <w:color w:val="auto"/>
              </w:rPr>
            </w:pPr>
          </w:p>
        </w:tc>
        <w:tc>
          <w:tcPr>
            <w:tcW w:w="94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Subcontractor</w:t>
            </w:r>
          </w:p>
        </w:tc>
        <w:tc>
          <w:tcPr>
            <w:tcW w:w="0" w:type="dxa"/>
            <w:vAlign w:val="bottom"/>
          </w:tcPr>
          <w:p>
            <w:pPr>
              <w:spacing w:after="0" w:line="20" w:lineRule="exact"/>
              <w:rPr>
                <w:sz w:val="1"/>
                <w:szCs w:val="1"/>
                <w:color w:val="auto"/>
              </w:rPr>
            </w:pPr>
          </w:p>
        </w:tc>
      </w:tr>
      <w:tr>
        <w:trPr>
          <w:trHeight w:val="129"/>
        </w:trPr>
        <w:tc>
          <w:tcPr>
            <w:tcW w:w="4320" w:type="dxa"/>
            <w:vAlign w:val="bottom"/>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1540" w:type="dxa"/>
            <w:vAlign w:val="bottom"/>
            <w:gridSpan w:val="5"/>
          </w:tcPr>
          <w:p>
            <w:pPr>
              <w:spacing w:after="0" w:line="129" w:lineRule="exact"/>
              <w:rPr>
                <w:sz w:val="20"/>
                <w:szCs w:val="20"/>
                <w:color w:val="auto"/>
              </w:rPr>
            </w:pPr>
            <w:r>
              <w:rPr>
                <w:rFonts w:ascii="Arial" w:cs="Arial" w:eastAsia="Arial" w:hAnsi="Arial"/>
                <w:sz w:val="14"/>
                <w:szCs w:val="14"/>
                <w:color w:val="auto"/>
              </w:rPr>
              <w:t>services will be</w:t>
            </w:r>
          </w:p>
        </w:tc>
        <w:tc>
          <w:tcPr>
            <w:tcW w:w="8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320" w:type="dxa"/>
            <w:vAlign w:val="bottom"/>
          </w:tcPr>
          <w:p>
            <w:pPr>
              <w:spacing w:after="0"/>
              <w:rPr>
                <w:sz w:val="11"/>
                <w:szCs w:val="11"/>
                <w:color w:val="auto"/>
              </w:rPr>
            </w:pPr>
          </w:p>
        </w:tc>
        <w:tc>
          <w:tcPr>
            <w:tcW w:w="2580" w:type="dxa"/>
            <w:vAlign w:val="bottom"/>
            <w:gridSpan w:val="2"/>
          </w:tcPr>
          <w:p>
            <w:pPr>
              <w:jc w:val="center"/>
              <w:ind w:right="720"/>
              <w:spacing w:after="0" w:line="129" w:lineRule="exact"/>
              <w:rPr>
                <w:sz w:val="20"/>
                <w:szCs w:val="20"/>
                <w:color w:val="auto"/>
              </w:rPr>
            </w:pPr>
            <w:r>
              <w:rPr>
                <w:rFonts w:ascii="Arial" w:cs="Arial" w:eastAsia="Arial" w:hAnsi="Arial"/>
                <w:sz w:val="14"/>
                <w:szCs w:val="14"/>
                <w:color w:val="auto"/>
              </w:rPr>
              <w:t>“virtual” or “work-from-home”</w:t>
            </w:r>
          </w:p>
        </w:tc>
        <w:tc>
          <w:tcPr>
            <w:tcW w:w="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4"/>
          </w:tcPr>
          <w:p>
            <w:pPr>
              <w:jc w:val="center"/>
              <w:ind w:right="60"/>
              <w:spacing w:after="0" w:line="129" w:lineRule="exact"/>
              <w:rPr>
                <w:sz w:val="20"/>
                <w:szCs w:val="20"/>
                <w:color w:val="auto"/>
              </w:rPr>
            </w:pPr>
            <w:r>
              <w:rPr>
                <w:rFonts w:ascii="Arial" w:cs="Arial" w:eastAsia="Arial" w:hAnsi="Arial"/>
                <w:sz w:val="14"/>
                <w:szCs w:val="14"/>
                <w:color w:val="auto"/>
                <w:w w:val="95"/>
              </w:rPr>
              <w:t>performed for</w:t>
            </w:r>
          </w:p>
        </w:tc>
        <w:tc>
          <w:tcPr>
            <w:tcW w:w="720" w:type="dxa"/>
            <w:vAlign w:val="bottom"/>
            <w:gridSpan w:val="2"/>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color w:val="auto"/>
                <w:w w:val="95"/>
              </w:rPr>
              <w:t>Physical</w:t>
            </w:r>
          </w:p>
        </w:tc>
        <w:tc>
          <w:tcPr>
            <w:tcW w:w="74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color w:val="auto"/>
                <w:w w:val="95"/>
              </w:rPr>
              <w:t>performing the</w:t>
            </w:r>
          </w:p>
        </w:tc>
        <w:tc>
          <w:tcPr>
            <w:tcW w:w="0" w:type="dxa"/>
            <w:vAlign w:val="bottom"/>
          </w:tcPr>
          <w:p>
            <w:pPr>
              <w:spacing w:after="0"/>
              <w:rPr>
                <w:sz w:val="1"/>
                <w:szCs w:val="1"/>
                <w:color w:val="auto"/>
              </w:rPr>
            </w:pPr>
          </w:p>
        </w:tc>
      </w:tr>
      <w:tr>
        <w:trPr>
          <w:trHeight w:val="135"/>
        </w:trPr>
        <w:tc>
          <w:tcPr>
            <w:tcW w:w="4320" w:type="dxa"/>
            <w:vAlign w:val="bottom"/>
          </w:tcPr>
          <w:p>
            <w:pPr>
              <w:spacing w:after="0"/>
              <w:rPr>
                <w:sz w:val="11"/>
                <w:szCs w:val="11"/>
                <w:color w:val="auto"/>
              </w:rPr>
            </w:pPr>
          </w:p>
        </w:tc>
        <w:tc>
          <w:tcPr>
            <w:tcW w:w="2580" w:type="dxa"/>
            <w:vAlign w:val="bottom"/>
            <w:gridSpan w:val="2"/>
          </w:tcPr>
          <w:p>
            <w:pPr>
              <w:jc w:val="center"/>
              <w:ind w:right="720"/>
              <w:spacing w:after="0" w:line="129" w:lineRule="exact"/>
              <w:rPr>
                <w:sz w:val="20"/>
                <w:szCs w:val="20"/>
                <w:color w:val="auto"/>
              </w:rPr>
            </w:pPr>
            <w:r>
              <w:rPr>
                <w:rFonts w:ascii="Arial" w:cs="Arial" w:eastAsia="Arial" w:hAnsi="Arial"/>
                <w:sz w:val="14"/>
                <w:szCs w:val="14"/>
                <w:color w:val="auto"/>
                <w:w w:val="91"/>
              </w:rPr>
              <w:t>address is authorized)</w:t>
            </w:r>
          </w:p>
        </w:tc>
        <w:tc>
          <w:tcPr>
            <w:tcW w:w="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20"/>
              <w:spacing w:after="0" w:line="129" w:lineRule="exact"/>
              <w:rPr>
                <w:sz w:val="20"/>
                <w:szCs w:val="20"/>
                <w:color w:val="auto"/>
              </w:rPr>
            </w:pPr>
            <w:r>
              <w:rPr>
                <w:rFonts w:ascii="Arial" w:cs="Arial" w:eastAsia="Arial" w:hAnsi="Arial"/>
                <w:sz w:val="14"/>
                <w:szCs w:val="14"/>
                <w:color w:val="auto"/>
              </w:rPr>
              <w:t>AT&amp;T</w:t>
            </w:r>
          </w:p>
        </w:tc>
        <w:tc>
          <w:tcPr>
            <w:tcW w:w="780" w:type="dxa"/>
            <w:vAlign w:val="bottom"/>
            <w:gridSpan w:val="3"/>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color w:val="auto"/>
                <w:w w:val="94"/>
              </w:rPr>
              <w:t>Location</w:t>
            </w:r>
          </w:p>
        </w:tc>
        <w:tc>
          <w:tcPr>
            <w:tcW w:w="740" w:type="dxa"/>
            <w:vAlign w:val="bottom"/>
          </w:tcPr>
          <w:p>
            <w:pPr>
              <w:spacing w:after="0"/>
              <w:rPr>
                <w:sz w:val="11"/>
                <w:szCs w:val="11"/>
                <w:color w:val="auto"/>
              </w:rPr>
            </w:pPr>
          </w:p>
        </w:tc>
        <w:tc>
          <w:tcPr>
            <w:tcW w:w="940" w:type="dxa"/>
            <w:vAlign w:val="bottom"/>
          </w:tcPr>
          <w:p>
            <w:pPr>
              <w:jc w:val="center"/>
              <w:spacing w:after="0" w:line="129" w:lineRule="exact"/>
              <w:rPr>
                <w:sz w:val="20"/>
                <w:szCs w:val="20"/>
                <w:color w:val="auto"/>
              </w:rPr>
            </w:pPr>
            <w:r>
              <w:rPr>
                <w:rFonts w:ascii="Arial" w:cs="Arial" w:eastAsia="Arial" w:hAnsi="Arial"/>
                <w:sz w:val="14"/>
                <w:szCs w:val="14"/>
                <w:color w:val="auto"/>
                <w:w w:val="89"/>
              </w:rPr>
              <w:t>services</w:t>
            </w:r>
          </w:p>
        </w:tc>
        <w:tc>
          <w:tcPr>
            <w:tcW w:w="0" w:type="dxa"/>
            <w:vAlign w:val="bottom"/>
          </w:tcPr>
          <w:p>
            <w:pPr>
              <w:spacing w:after="0"/>
              <w:rPr>
                <w:sz w:val="1"/>
                <w:szCs w:val="1"/>
                <w:color w:val="auto"/>
              </w:rPr>
            </w:pPr>
          </w:p>
        </w:tc>
      </w:tr>
      <w:tr>
        <w:trPr>
          <w:trHeight w:val="216"/>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3"/>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0" w:type="dxa"/>
            <w:vAlign w:val="bottom"/>
            <w:gridSpan w:val="3"/>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0" w:type="dxa"/>
            <w:vAlign w:val="bottom"/>
            <w:gridSpan w:val="3"/>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India</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0" w:type="dxa"/>
            <w:vAlign w:val="bottom"/>
            <w:gridSpan w:val="3"/>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Israel</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0" w:type="dxa"/>
            <w:vAlign w:val="bottom"/>
            <w:gridSpan w:val="3"/>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Israel</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0" w:type="dxa"/>
            <w:vAlign w:val="bottom"/>
            <w:gridSpan w:val="3"/>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Israel</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0" w:type="dxa"/>
            <w:vAlign w:val="bottom"/>
            <w:gridSpan w:val="3"/>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Israel</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0" w:type="dxa"/>
            <w:vAlign w:val="bottom"/>
            <w:gridSpan w:val="3"/>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Mexico</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800" w:type="dxa"/>
            <w:vAlign w:val="bottom"/>
            <w:gridSpan w:val="3"/>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8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20" w:type="dxa"/>
            <w:vAlign w:val="bottom"/>
          </w:tcPr>
          <w:p>
            <w:pPr>
              <w:spacing w:after="0"/>
              <w:rPr>
                <w:sz w:val="20"/>
                <w:szCs w:val="20"/>
                <w:color w:val="auto"/>
              </w:rPr>
            </w:pPr>
            <w:r>
              <w:rPr>
                <w:rFonts w:ascii="Arial" w:cs="Arial" w:eastAsia="Arial" w:hAnsi="Arial"/>
                <w:sz w:val="18"/>
                <w:szCs w:val="18"/>
                <w:color w:val="auto"/>
              </w:rPr>
              <w:t>Mexico</w:t>
            </w:r>
          </w:p>
        </w:tc>
        <w:tc>
          <w:tcPr>
            <w:tcW w:w="1840" w:type="dxa"/>
            <w:vAlign w:val="bottom"/>
          </w:tcPr>
          <w:p>
            <w:pPr>
              <w:jc w:val="center"/>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0"/>
                <w:szCs w:val="20"/>
                <w:color w:val="auto"/>
              </w:rPr>
            </w:pPr>
          </w:p>
        </w:tc>
        <w:tc>
          <w:tcPr>
            <w:tcW w:w="800" w:type="dxa"/>
            <w:vAlign w:val="bottom"/>
            <w:gridSpan w:val="3"/>
          </w:tcPr>
          <w:p>
            <w:pPr>
              <w:jc w:val="center"/>
              <w:ind w:left="1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center"/>
              <w:ind w:left="6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0"/>
        </w:trPr>
        <w:tc>
          <w:tcPr>
            <w:tcW w:w="4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gridSpan w:val="2"/>
          </w:tcPr>
          <w:p>
            <w:pPr>
              <w:ind w:left="500"/>
              <w:spacing w:after="0"/>
              <w:rPr>
                <w:sz w:val="20"/>
                <w:szCs w:val="20"/>
                <w:color w:val="auto"/>
              </w:rPr>
            </w:pPr>
            <w:r>
              <w:rPr>
                <w:rFonts w:ascii="Arial" w:cs="Arial" w:eastAsia="Arial" w:hAnsi="Arial"/>
                <w:sz w:val="18"/>
                <w:szCs w:val="18"/>
                <w:color w:val="auto"/>
                <w:w w:val="87"/>
              </w:rPr>
              <w:t>Page 124 of 206</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7" w:name="page248"/>
    <w:bookmarkEnd w:id="247"/>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AT&amp;T Agreement No. 53258.A.005</w:t>
            </w:r>
          </w:p>
        </w:tc>
      </w:tr>
      <w:tr>
        <w:trPr>
          <w:trHeight w:val="148"/>
        </w:trPr>
        <w:tc>
          <w:tcPr>
            <w:tcW w:w="328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3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Mexico</w:t>
            </w:r>
          </w:p>
        </w:tc>
        <w:tc>
          <w:tcPr>
            <w:tcW w:w="36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3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Mexico</w:t>
            </w:r>
          </w:p>
        </w:tc>
        <w:tc>
          <w:tcPr>
            <w:tcW w:w="36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3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Mexico</w:t>
            </w:r>
          </w:p>
        </w:tc>
        <w:tc>
          <w:tcPr>
            <w:tcW w:w="368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36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125 of 206</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8" w:name="page249"/>
    <w:bookmarkEnd w:id="24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ectPr>
          <w:pgSz w:w="11900" w:h="16838" w:orient="portrait"/>
          <w:cols w:equalWidth="0" w:num="1">
            <w:col w:w="11020"/>
          </w:cols>
          <w:pgMar w:left="440" w:top="274" w:right="439" w:bottom="1440" w:gutter="0" w:footer="0" w:header="0"/>
        </w:sectPr>
      </w:pP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2940" w:type="dxa"/>
            <w:vAlign w:val="bottom"/>
          </w:tcPr>
          <w:p>
            <w:pPr>
              <w:jc w:val="center"/>
              <w:ind w:left="903"/>
              <w:spacing w:after="0"/>
              <w:rPr>
                <w:sz w:val="20"/>
                <w:szCs w:val="20"/>
                <w:color w:val="auto"/>
              </w:rPr>
            </w:pPr>
            <w:r>
              <w:rPr>
                <w:rFonts w:ascii="Arial" w:cs="Arial" w:eastAsia="Arial" w:hAnsi="Arial"/>
                <w:sz w:val="14"/>
                <w:szCs w:val="14"/>
                <w:b w:val="1"/>
                <w:bCs w:val="1"/>
                <w:color w:val="auto"/>
                <w:w w:val="90"/>
              </w:rPr>
              <w:t>Countries where services are</w:t>
            </w:r>
          </w:p>
        </w:tc>
      </w:tr>
      <w:tr>
        <w:trPr>
          <w:trHeight w:val="148"/>
        </w:trPr>
        <w:tc>
          <w:tcPr>
            <w:tcW w:w="1520" w:type="dxa"/>
            <w:vAlign w:val="bottom"/>
          </w:tcPr>
          <w:p>
            <w:pPr>
              <w:spacing w:after="0"/>
              <w:rPr>
                <w:sz w:val="12"/>
                <w:szCs w:val="12"/>
                <w:color w:val="auto"/>
              </w:rPr>
            </w:pPr>
          </w:p>
        </w:tc>
        <w:tc>
          <w:tcPr>
            <w:tcW w:w="2940" w:type="dxa"/>
            <w:vAlign w:val="bottom"/>
          </w:tcPr>
          <w:p>
            <w:pPr>
              <w:jc w:val="center"/>
              <w:ind w:left="923"/>
              <w:spacing w:after="0" w:line="149" w:lineRule="exact"/>
              <w:rPr>
                <w:sz w:val="20"/>
                <w:szCs w:val="20"/>
                <w:color w:val="auto"/>
              </w:rPr>
            </w:pPr>
            <w:r>
              <w:rPr>
                <w:rFonts w:ascii="Arial" w:cs="Arial" w:eastAsia="Arial" w:hAnsi="Arial"/>
                <w:sz w:val="14"/>
                <w:szCs w:val="14"/>
                <w:b w:val="1"/>
                <w:bCs w:val="1"/>
                <w:color w:val="auto"/>
                <w:w w:val="95"/>
              </w:rPr>
              <w:t>authorized by AT&amp;T to be</w:t>
            </w:r>
          </w:p>
        </w:tc>
      </w:tr>
      <w:tr>
        <w:trPr>
          <w:trHeight w:val="148"/>
        </w:trPr>
        <w:tc>
          <w:tcPr>
            <w:tcW w:w="1520" w:type="dxa"/>
            <w:vAlign w:val="bottom"/>
          </w:tcPr>
          <w:p>
            <w:pPr>
              <w:spacing w:after="0"/>
              <w:rPr>
                <w:sz w:val="12"/>
                <w:szCs w:val="12"/>
                <w:color w:val="auto"/>
              </w:rPr>
            </w:pPr>
          </w:p>
        </w:tc>
        <w:tc>
          <w:tcPr>
            <w:tcW w:w="2940" w:type="dxa"/>
            <w:vAlign w:val="bottom"/>
          </w:tcPr>
          <w:p>
            <w:pPr>
              <w:jc w:val="center"/>
              <w:ind w:left="903"/>
              <w:spacing w:after="0" w:line="149" w:lineRule="exact"/>
              <w:rPr>
                <w:sz w:val="20"/>
                <w:szCs w:val="20"/>
                <w:color w:val="auto"/>
              </w:rPr>
            </w:pPr>
            <w:r>
              <w:rPr>
                <w:rFonts w:ascii="Arial" w:cs="Arial" w:eastAsia="Arial" w:hAnsi="Arial"/>
                <w:sz w:val="14"/>
                <w:szCs w:val="14"/>
                <w:b w:val="1"/>
                <w:bCs w:val="1"/>
                <w:color w:val="auto"/>
                <w:w w:val="91"/>
              </w:rPr>
              <w:t>performed (physical location</w:t>
            </w:r>
          </w:p>
        </w:tc>
      </w:tr>
      <w:tr>
        <w:trPr>
          <w:trHeight w:val="148"/>
        </w:trPr>
        <w:tc>
          <w:tcPr>
            <w:tcW w:w="1520" w:type="dxa"/>
            <w:vAlign w:val="bottom"/>
          </w:tcPr>
          <w:p>
            <w:pPr>
              <w:spacing w:after="0"/>
              <w:rPr>
                <w:sz w:val="12"/>
                <w:szCs w:val="12"/>
                <w:color w:val="auto"/>
              </w:rPr>
            </w:pPr>
          </w:p>
        </w:tc>
        <w:tc>
          <w:tcPr>
            <w:tcW w:w="2940" w:type="dxa"/>
            <w:vAlign w:val="bottom"/>
          </w:tcPr>
          <w:p>
            <w:pPr>
              <w:jc w:val="center"/>
              <w:ind w:left="903"/>
              <w:spacing w:after="0" w:line="149" w:lineRule="exact"/>
              <w:rPr>
                <w:sz w:val="20"/>
                <w:szCs w:val="20"/>
                <w:color w:val="auto"/>
              </w:rPr>
            </w:pPr>
            <w:r>
              <w:rPr>
                <w:rFonts w:ascii="Arial" w:cs="Arial" w:eastAsia="Arial" w:hAnsi="Arial"/>
                <w:sz w:val="14"/>
                <w:szCs w:val="14"/>
                <w:b w:val="1"/>
                <w:bCs w:val="1"/>
                <w:color w:val="auto"/>
                <w:w w:val="90"/>
              </w:rPr>
              <w:t>address is also required if the</w:t>
            </w:r>
          </w:p>
        </w:tc>
      </w:tr>
      <w:tr>
        <w:trPr>
          <w:trHeight w:val="149"/>
        </w:trPr>
        <w:tc>
          <w:tcPr>
            <w:tcW w:w="1520" w:type="dxa"/>
            <w:vAlign w:val="bottom"/>
          </w:tcPr>
          <w:p>
            <w:pPr>
              <w:spacing w:after="0"/>
              <w:rPr>
                <w:sz w:val="12"/>
                <w:szCs w:val="12"/>
                <w:color w:val="auto"/>
              </w:rPr>
            </w:pPr>
          </w:p>
        </w:tc>
        <w:tc>
          <w:tcPr>
            <w:tcW w:w="2940" w:type="dxa"/>
            <w:vAlign w:val="bottom"/>
          </w:tcPr>
          <w:p>
            <w:pPr>
              <w:jc w:val="center"/>
              <w:ind w:left="903"/>
              <w:spacing w:after="0" w:line="149" w:lineRule="exact"/>
              <w:rPr>
                <w:sz w:val="20"/>
                <w:szCs w:val="20"/>
                <w:color w:val="auto"/>
              </w:rPr>
            </w:pPr>
            <w:r>
              <w:rPr>
                <w:rFonts w:ascii="Arial" w:cs="Arial" w:eastAsia="Arial" w:hAnsi="Arial"/>
                <w:sz w:val="14"/>
                <w:szCs w:val="14"/>
                <w:b w:val="1"/>
                <w:bCs w:val="1"/>
                <w:color w:val="auto"/>
                <w:w w:val="92"/>
              </w:rPr>
              <w:t>Services involve Information</w:t>
            </w:r>
          </w:p>
        </w:tc>
      </w:tr>
      <w:tr>
        <w:trPr>
          <w:trHeight w:val="148"/>
        </w:trPr>
        <w:tc>
          <w:tcPr>
            <w:tcW w:w="1520" w:type="dxa"/>
            <w:vAlign w:val="bottom"/>
          </w:tcPr>
          <w:p>
            <w:pPr>
              <w:spacing w:after="0"/>
              <w:rPr>
                <w:sz w:val="12"/>
                <w:szCs w:val="12"/>
                <w:color w:val="auto"/>
              </w:rPr>
            </w:pPr>
          </w:p>
        </w:tc>
        <w:tc>
          <w:tcPr>
            <w:tcW w:w="2940" w:type="dxa"/>
            <w:vAlign w:val="bottom"/>
          </w:tcPr>
          <w:p>
            <w:pPr>
              <w:jc w:val="center"/>
              <w:ind w:left="923"/>
              <w:spacing w:after="0" w:line="149" w:lineRule="exact"/>
              <w:rPr>
                <w:sz w:val="20"/>
                <w:szCs w:val="20"/>
                <w:color w:val="auto"/>
              </w:rPr>
            </w:pPr>
            <w:r>
              <w:rPr>
                <w:rFonts w:ascii="Arial" w:cs="Arial" w:eastAsia="Arial" w:hAnsi="Arial"/>
                <w:sz w:val="14"/>
                <w:szCs w:val="14"/>
                <w:b w:val="1"/>
                <w:bCs w:val="1"/>
                <w:color w:val="auto"/>
                <w:w w:val="93"/>
              </w:rPr>
              <w:t>Technology-related work or if a</w:t>
            </w:r>
          </w:p>
        </w:tc>
      </w:tr>
      <w:tr>
        <w:trPr>
          <w:trHeight w:val="148"/>
        </w:trPr>
        <w:tc>
          <w:tcPr>
            <w:tcW w:w="1520" w:type="dxa"/>
            <w:vAlign w:val="bottom"/>
          </w:tcPr>
          <w:p>
            <w:pPr>
              <w:spacing w:after="0"/>
              <w:rPr>
                <w:sz w:val="12"/>
                <w:szCs w:val="12"/>
                <w:color w:val="auto"/>
              </w:rPr>
            </w:pPr>
          </w:p>
        </w:tc>
        <w:tc>
          <w:tcPr>
            <w:tcW w:w="2940" w:type="dxa"/>
            <w:vAlign w:val="bottom"/>
          </w:tcPr>
          <w:p>
            <w:pPr>
              <w:jc w:val="center"/>
              <w:ind w:left="903"/>
              <w:spacing w:after="0" w:line="149" w:lineRule="exact"/>
              <w:rPr>
                <w:sz w:val="20"/>
                <w:szCs w:val="20"/>
                <w:color w:val="auto"/>
              </w:rPr>
            </w:pPr>
            <w:r>
              <w:rPr>
                <w:rFonts w:ascii="Arial" w:cs="Arial" w:eastAsia="Arial" w:hAnsi="Arial"/>
                <w:sz w:val="14"/>
                <w:szCs w:val="14"/>
                <w:b w:val="1"/>
                <w:bCs w:val="1"/>
                <w:color w:val="auto"/>
                <w:w w:val="96"/>
              </w:rPr>
              <w:t>“virtual” or “work-from-home”</w:t>
            </w:r>
          </w:p>
        </w:tc>
      </w:tr>
      <w:tr>
        <w:trPr>
          <w:trHeight w:val="157"/>
        </w:trPr>
        <w:tc>
          <w:tcPr>
            <w:tcW w:w="1520" w:type="dxa"/>
            <w:vAlign w:val="bottom"/>
          </w:tcPr>
          <w:p>
            <w:pPr>
              <w:spacing w:after="0"/>
              <w:rPr>
                <w:sz w:val="13"/>
                <w:szCs w:val="13"/>
                <w:color w:val="auto"/>
              </w:rPr>
            </w:pPr>
          </w:p>
        </w:tc>
        <w:tc>
          <w:tcPr>
            <w:tcW w:w="2940" w:type="dxa"/>
            <w:vAlign w:val="bottom"/>
          </w:tcPr>
          <w:p>
            <w:pPr>
              <w:jc w:val="center"/>
              <w:ind w:left="923"/>
              <w:spacing w:after="0" w:line="157" w:lineRule="exact"/>
              <w:rPr>
                <w:sz w:val="20"/>
                <w:szCs w:val="20"/>
                <w:color w:val="auto"/>
              </w:rPr>
            </w:pPr>
            <w:r>
              <w:rPr>
                <w:rFonts w:ascii="Arial" w:cs="Arial" w:eastAsia="Arial" w:hAnsi="Arial"/>
                <w:sz w:val="14"/>
                <w:szCs w:val="14"/>
                <w:b w:val="1"/>
                <w:bCs w:val="1"/>
                <w:color w:val="auto"/>
                <w:w w:val="90"/>
              </w:rPr>
              <w:t>address is authorized)</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Mexico</w:t>
            </w:r>
          </w:p>
        </w:tc>
        <w:tc>
          <w:tcPr>
            <w:tcW w:w="2940" w:type="dxa"/>
            <w:vAlign w:val="bottom"/>
          </w:tcPr>
          <w:p>
            <w:pPr>
              <w:jc w:val="center"/>
              <w:ind w:left="923"/>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UK</w:t>
            </w:r>
          </w:p>
        </w:tc>
        <w:tc>
          <w:tcPr>
            <w:tcW w:w="2940" w:type="dxa"/>
            <w:vAlign w:val="bottom"/>
          </w:tcPr>
          <w:p>
            <w:pPr>
              <w:jc w:val="center"/>
              <w:ind w:left="923"/>
              <w:spacing w:after="0"/>
              <w:rPr>
                <w:sz w:val="20"/>
                <w:szCs w:val="20"/>
                <w:color w:val="auto"/>
              </w:rPr>
            </w:pPr>
            <w:r>
              <w:rPr>
                <w:rFonts w:ascii="Arial" w:cs="Arial" w:eastAsia="Arial" w:hAnsi="Arial"/>
                <w:sz w:val="18"/>
                <w:szCs w:val="18"/>
                <w:color w:val="auto"/>
              </w:rPr>
              <w:t>[***]</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UK</w:t>
            </w:r>
          </w:p>
        </w:tc>
        <w:tc>
          <w:tcPr>
            <w:tcW w:w="2940" w:type="dxa"/>
            <w:vAlign w:val="bottom"/>
          </w:tcPr>
          <w:p>
            <w:pPr>
              <w:jc w:val="center"/>
              <w:ind w:left="923"/>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100" w:type="dxa"/>
            <w:vAlign w:val="bottom"/>
          </w:tcPr>
          <w:p>
            <w:pPr>
              <w:jc w:val="center"/>
              <w:ind w:left="21"/>
              <w:spacing w:after="0"/>
              <w:rPr>
                <w:sz w:val="20"/>
                <w:szCs w:val="20"/>
                <w:color w:val="auto"/>
              </w:rPr>
            </w:pPr>
            <w:r>
              <w:rPr>
                <w:rFonts w:ascii="Arial" w:cs="Arial" w:eastAsia="Arial" w:hAnsi="Arial"/>
                <w:sz w:val="14"/>
                <w:szCs w:val="14"/>
                <w:b w:val="1"/>
                <w:bCs w:val="1"/>
                <w:color w:val="auto"/>
                <w:w w:val="94"/>
              </w:rPr>
              <w:t>Name of</w:t>
            </w: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360" w:type="dxa"/>
            <w:vAlign w:val="bottom"/>
            <w:gridSpan w:val="2"/>
            <w:vMerge w:val="restart"/>
          </w:tcPr>
          <w:p>
            <w:pPr>
              <w:jc w:val="center"/>
              <w:ind w:right="533"/>
              <w:spacing w:after="0"/>
              <w:rPr>
                <w:sz w:val="20"/>
                <w:szCs w:val="20"/>
                <w:color w:val="auto"/>
              </w:rPr>
            </w:pPr>
            <w:r>
              <w:rPr>
                <w:rFonts w:ascii="Arial" w:cs="Arial" w:eastAsia="Arial" w:hAnsi="Arial"/>
                <w:sz w:val="14"/>
                <w:szCs w:val="14"/>
                <w:b w:val="1"/>
                <w:bCs w:val="1"/>
                <w:color w:val="auto"/>
                <w:w w:val="92"/>
              </w:rPr>
              <w:t>Cities where</w:t>
            </w:r>
          </w:p>
        </w:tc>
        <w:tc>
          <w:tcPr>
            <w:tcW w:w="2260" w:type="dxa"/>
            <w:vAlign w:val="bottom"/>
          </w:tcPr>
          <w:p>
            <w:pPr>
              <w:spacing w:after="0"/>
              <w:rPr>
                <w:sz w:val="12"/>
                <w:szCs w:val="12"/>
                <w:color w:val="auto"/>
              </w:rPr>
            </w:pPr>
          </w:p>
        </w:tc>
        <w:tc>
          <w:tcPr>
            <w:tcW w:w="2100" w:type="dxa"/>
            <w:vAlign w:val="bottom"/>
          </w:tcPr>
          <w:p>
            <w:pPr>
              <w:jc w:val="center"/>
              <w:ind w:left="21"/>
              <w:spacing w:after="0" w:line="149" w:lineRule="exact"/>
              <w:rPr>
                <w:sz w:val="20"/>
                <w:szCs w:val="20"/>
                <w:color w:val="auto"/>
              </w:rPr>
            </w:pPr>
            <w:r>
              <w:rPr>
                <w:rFonts w:ascii="Arial" w:cs="Arial" w:eastAsia="Arial" w:hAnsi="Arial"/>
                <w:sz w:val="14"/>
                <w:szCs w:val="14"/>
                <w:b w:val="1"/>
                <w:bCs w:val="1"/>
                <w:color w:val="auto"/>
                <w:w w:val="93"/>
              </w:rPr>
              <w:t>Supplier /</w:t>
            </w:r>
          </w:p>
        </w:tc>
        <w:tc>
          <w:tcPr>
            <w:tcW w:w="0" w:type="dxa"/>
            <w:vAlign w:val="bottom"/>
          </w:tcPr>
          <w:p>
            <w:pPr>
              <w:spacing w:after="0"/>
              <w:rPr>
                <w:sz w:val="1"/>
                <w:szCs w:val="1"/>
                <w:color w:val="auto"/>
              </w:rPr>
            </w:pPr>
          </w:p>
        </w:tc>
      </w:tr>
      <w:tr>
        <w:trPr>
          <w:trHeight w:val="158"/>
        </w:trPr>
        <w:tc>
          <w:tcPr>
            <w:tcW w:w="8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2260" w:type="dxa"/>
            <w:vAlign w:val="bottom"/>
          </w:tcPr>
          <w:p>
            <w:pPr>
              <w:spacing w:after="0"/>
              <w:rPr>
                <w:sz w:val="13"/>
                <w:szCs w:val="13"/>
                <w:color w:val="auto"/>
              </w:rPr>
            </w:pPr>
          </w:p>
        </w:tc>
        <w:tc>
          <w:tcPr>
            <w:tcW w:w="2100" w:type="dxa"/>
            <w:vAlign w:val="bottom"/>
          </w:tcPr>
          <w:p>
            <w:pPr>
              <w:jc w:val="center"/>
              <w:ind w:left="41"/>
              <w:spacing w:after="0" w:line="158" w:lineRule="exact"/>
              <w:rPr>
                <w:sz w:val="20"/>
                <w:szCs w:val="20"/>
                <w:color w:val="auto"/>
              </w:rPr>
            </w:pPr>
            <w:r>
              <w:rPr>
                <w:rFonts w:ascii="Arial" w:cs="Arial" w:eastAsia="Arial" w:hAnsi="Arial"/>
                <w:sz w:val="14"/>
                <w:szCs w:val="14"/>
                <w:b w:val="1"/>
                <w:bCs w:val="1"/>
                <w:color w:val="auto"/>
                <w:w w:val="95"/>
              </w:rPr>
              <w:t>Supplier Affiliate, and/or</w:t>
            </w:r>
          </w:p>
        </w:tc>
        <w:tc>
          <w:tcPr>
            <w:tcW w:w="0" w:type="dxa"/>
            <w:vAlign w:val="bottom"/>
          </w:tcPr>
          <w:p>
            <w:pPr>
              <w:spacing w:after="0"/>
              <w:rPr>
                <w:sz w:val="1"/>
                <w:szCs w:val="1"/>
                <w:color w:val="auto"/>
              </w:rPr>
            </w:pPr>
          </w:p>
        </w:tc>
      </w:tr>
      <w:tr>
        <w:trPr>
          <w:trHeight w:val="119"/>
        </w:trPr>
        <w:tc>
          <w:tcPr>
            <w:tcW w:w="80" w:type="dxa"/>
            <w:vAlign w:val="bottom"/>
          </w:tcPr>
          <w:p>
            <w:pPr>
              <w:spacing w:after="0"/>
              <w:rPr>
                <w:sz w:val="10"/>
                <w:szCs w:val="10"/>
                <w:color w:val="auto"/>
              </w:rPr>
            </w:pPr>
          </w:p>
        </w:tc>
        <w:tc>
          <w:tcPr>
            <w:tcW w:w="36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w w:val="70"/>
              </w:rPr>
              <w:t>services</w:t>
            </w:r>
          </w:p>
        </w:tc>
        <w:tc>
          <w:tcPr>
            <w:tcW w:w="1000" w:type="dxa"/>
            <w:vAlign w:val="bottom"/>
          </w:tcPr>
          <w:p>
            <w:pPr>
              <w:ind w:left="80"/>
              <w:spacing w:after="0" w:line="119" w:lineRule="exact"/>
              <w:rPr>
                <w:sz w:val="20"/>
                <w:szCs w:val="20"/>
                <w:color w:val="auto"/>
              </w:rPr>
            </w:pPr>
            <w:r>
              <w:rPr>
                <w:rFonts w:ascii="Arial" w:cs="Arial" w:eastAsia="Arial" w:hAnsi="Arial"/>
                <w:sz w:val="13"/>
                <w:szCs w:val="13"/>
                <w:b w:val="1"/>
                <w:bCs w:val="1"/>
                <w:color w:val="auto"/>
              </w:rPr>
              <w:t>will be</w:t>
            </w:r>
          </w:p>
        </w:tc>
        <w:tc>
          <w:tcPr>
            <w:tcW w:w="2260" w:type="dxa"/>
            <w:vAlign w:val="bottom"/>
          </w:tcPr>
          <w:p>
            <w:pPr>
              <w:jc w:val="center"/>
              <w:ind w:left="100"/>
              <w:spacing w:after="0" w:line="119" w:lineRule="exact"/>
              <w:rPr>
                <w:sz w:val="20"/>
                <w:szCs w:val="20"/>
                <w:color w:val="auto"/>
              </w:rPr>
            </w:pPr>
            <w:r>
              <w:rPr>
                <w:rFonts w:ascii="Arial" w:cs="Arial" w:eastAsia="Arial" w:hAnsi="Arial"/>
                <w:sz w:val="13"/>
                <w:szCs w:val="13"/>
                <w:b w:val="1"/>
                <w:bCs w:val="1"/>
                <w:color w:val="auto"/>
                <w:w w:val="95"/>
              </w:rPr>
              <w:t>Services to be</w:t>
            </w:r>
          </w:p>
        </w:tc>
        <w:tc>
          <w:tcPr>
            <w:tcW w:w="2100" w:type="dxa"/>
            <w:vAlign w:val="bottom"/>
          </w:tcPr>
          <w:p>
            <w:pPr>
              <w:jc w:val="center"/>
              <w:ind w:left="41"/>
              <w:spacing w:after="0" w:line="119" w:lineRule="exact"/>
              <w:rPr>
                <w:sz w:val="20"/>
                <w:szCs w:val="20"/>
                <w:color w:val="auto"/>
              </w:rPr>
            </w:pPr>
            <w:r>
              <w:rPr>
                <w:rFonts w:ascii="Arial" w:cs="Arial" w:eastAsia="Arial" w:hAnsi="Arial"/>
                <w:sz w:val="13"/>
                <w:szCs w:val="13"/>
                <w:b w:val="1"/>
                <w:bCs w:val="1"/>
                <w:color w:val="auto"/>
              </w:rPr>
              <w:t>Subcontractor</w:t>
            </w:r>
          </w:p>
        </w:tc>
        <w:tc>
          <w:tcPr>
            <w:tcW w:w="0" w:type="dxa"/>
            <w:vAlign w:val="bottom"/>
          </w:tcPr>
          <w:p>
            <w:pPr>
              <w:spacing w:after="0"/>
              <w:rPr>
                <w:sz w:val="1"/>
                <w:szCs w:val="1"/>
                <w:color w:val="auto"/>
              </w:rPr>
            </w:pPr>
          </w:p>
        </w:tc>
      </w:tr>
      <w:tr>
        <w:trPr>
          <w:trHeight w:val="148"/>
        </w:trPr>
        <w:tc>
          <w:tcPr>
            <w:tcW w:w="1440" w:type="dxa"/>
            <w:vAlign w:val="bottom"/>
            <w:gridSpan w:val="3"/>
          </w:tcPr>
          <w:p>
            <w:pPr>
              <w:jc w:val="center"/>
              <w:ind w:right="453"/>
              <w:spacing w:after="0" w:line="149" w:lineRule="exact"/>
              <w:rPr>
                <w:sz w:val="20"/>
                <w:szCs w:val="20"/>
                <w:color w:val="auto"/>
              </w:rPr>
            </w:pPr>
            <w:r>
              <w:rPr>
                <w:rFonts w:ascii="Arial" w:cs="Arial" w:eastAsia="Arial" w:hAnsi="Arial"/>
                <w:sz w:val="14"/>
                <w:szCs w:val="14"/>
                <w:b w:val="1"/>
                <w:bCs w:val="1"/>
                <w:color w:val="auto"/>
                <w:w w:val="95"/>
              </w:rPr>
              <w:t>performed for</w:t>
            </w:r>
          </w:p>
        </w:tc>
        <w:tc>
          <w:tcPr>
            <w:tcW w:w="2260" w:type="dxa"/>
            <w:vAlign w:val="bottom"/>
          </w:tcPr>
          <w:p>
            <w:pPr>
              <w:jc w:val="center"/>
              <w:ind w:left="120"/>
              <w:spacing w:after="0" w:line="149" w:lineRule="exact"/>
              <w:rPr>
                <w:sz w:val="20"/>
                <w:szCs w:val="20"/>
                <w:color w:val="auto"/>
              </w:rPr>
            </w:pPr>
            <w:r>
              <w:rPr>
                <w:rFonts w:ascii="Arial" w:cs="Arial" w:eastAsia="Arial" w:hAnsi="Arial"/>
                <w:sz w:val="14"/>
                <w:szCs w:val="14"/>
                <w:b w:val="1"/>
                <w:bCs w:val="1"/>
                <w:color w:val="auto"/>
                <w:w w:val="93"/>
              </w:rPr>
              <w:t>performed at approved</w:t>
            </w:r>
          </w:p>
        </w:tc>
        <w:tc>
          <w:tcPr>
            <w:tcW w:w="2100" w:type="dxa"/>
            <w:vAlign w:val="bottom"/>
          </w:tcPr>
          <w:p>
            <w:pPr>
              <w:jc w:val="center"/>
              <w:ind w:left="41"/>
              <w:spacing w:after="0" w:line="149" w:lineRule="exact"/>
              <w:rPr>
                <w:sz w:val="20"/>
                <w:szCs w:val="20"/>
                <w:color w:val="auto"/>
              </w:rPr>
            </w:pPr>
            <w:r>
              <w:rPr>
                <w:rFonts w:ascii="Arial" w:cs="Arial" w:eastAsia="Arial" w:hAnsi="Arial"/>
                <w:sz w:val="14"/>
                <w:szCs w:val="14"/>
                <w:b w:val="1"/>
                <w:bCs w:val="1"/>
                <w:color w:val="auto"/>
                <w:w w:val="95"/>
              </w:rPr>
              <w:t>performing the</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360" w:type="dxa"/>
            <w:vAlign w:val="bottom"/>
            <w:gridSpan w:val="2"/>
          </w:tcPr>
          <w:p>
            <w:pPr>
              <w:jc w:val="center"/>
              <w:ind w:right="533"/>
              <w:spacing w:after="0"/>
              <w:rPr>
                <w:sz w:val="20"/>
                <w:szCs w:val="20"/>
                <w:color w:val="auto"/>
              </w:rPr>
            </w:pPr>
            <w:r>
              <w:rPr>
                <w:rFonts w:ascii="Arial" w:cs="Arial" w:eastAsia="Arial" w:hAnsi="Arial"/>
                <w:sz w:val="14"/>
                <w:szCs w:val="14"/>
                <w:b w:val="1"/>
                <w:bCs w:val="1"/>
                <w:color w:val="auto"/>
              </w:rPr>
              <w:t>AT&amp;T</w:t>
            </w:r>
          </w:p>
        </w:tc>
        <w:tc>
          <w:tcPr>
            <w:tcW w:w="2260" w:type="dxa"/>
            <w:vAlign w:val="bottom"/>
          </w:tcPr>
          <w:p>
            <w:pPr>
              <w:jc w:val="center"/>
              <w:ind w:left="120"/>
              <w:spacing w:after="0"/>
              <w:rPr>
                <w:sz w:val="20"/>
                <w:szCs w:val="20"/>
                <w:color w:val="auto"/>
              </w:rPr>
            </w:pPr>
            <w:r>
              <w:rPr>
                <w:rFonts w:ascii="Arial" w:cs="Arial" w:eastAsia="Arial" w:hAnsi="Arial"/>
                <w:sz w:val="14"/>
                <w:szCs w:val="14"/>
                <w:b w:val="1"/>
                <w:bCs w:val="1"/>
                <w:color w:val="auto"/>
                <w:w w:val="92"/>
              </w:rPr>
              <w:t>Physical Location</w:t>
            </w:r>
          </w:p>
        </w:tc>
        <w:tc>
          <w:tcPr>
            <w:tcW w:w="2100" w:type="dxa"/>
            <w:vAlign w:val="bottom"/>
          </w:tcPr>
          <w:p>
            <w:pPr>
              <w:jc w:val="center"/>
              <w:ind w:left="21"/>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rPr>
                <w:sz w:val="1"/>
                <w:szCs w:val="1"/>
                <w:color w:val="auto"/>
              </w:rPr>
            </w:pPr>
          </w:p>
        </w:tc>
      </w:tr>
      <w:tr>
        <w:trPr>
          <w:trHeight w:val="216"/>
        </w:trPr>
        <w:tc>
          <w:tcPr>
            <w:tcW w:w="1440" w:type="dxa"/>
            <w:vAlign w:val="bottom"/>
            <w:gridSpan w:val="3"/>
          </w:tcPr>
          <w:p>
            <w:pPr>
              <w:jc w:val="center"/>
              <w:ind w:right="433"/>
              <w:spacing w:after="0"/>
              <w:rPr>
                <w:sz w:val="20"/>
                <w:szCs w:val="20"/>
                <w:color w:val="auto"/>
              </w:rPr>
            </w:pPr>
            <w:r>
              <w:rPr>
                <w:rFonts w:ascii="Arial" w:cs="Arial" w:eastAsia="Arial" w:hAnsi="Arial"/>
                <w:sz w:val="18"/>
                <w:szCs w:val="18"/>
                <w:color w:val="auto"/>
              </w:rPr>
              <w:t>[***]</w:t>
            </w:r>
          </w:p>
        </w:tc>
        <w:tc>
          <w:tcPr>
            <w:tcW w:w="2260" w:type="dxa"/>
            <w:vAlign w:val="bottom"/>
          </w:tcPr>
          <w:p>
            <w:pPr>
              <w:jc w:val="center"/>
              <w:ind w:left="120"/>
              <w:spacing w:after="0"/>
              <w:rPr>
                <w:sz w:val="20"/>
                <w:szCs w:val="20"/>
                <w:color w:val="auto"/>
              </w:rPr>
            </w:pPr>
            <w:r>
              <w:rPr>
                <w:rFonts w:ascii="Arial" w:cs="Arial" w:eastAsia="Arial" w:hAnsi="Arial"/>
                <w:sz w:val="18"/>
                <w:szCs w:val="18"/>
                <w:color w:val="auto"/>
              </w:rPr>
              <w:t>[***]</w:t>
            </w:r>
          </w:p>
        </w:tc>
        <w:tc>
          <w:tcPr>
            <w:tcW w:w="2100" w:type="dxa"/>
            <w:vAlign w:val="bottom"/>
          </w:tcPr>
          <w:p>
            <w:pPr>
              <w:jc w:val="center"/>
              <w:ind w:lef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gridSpan w:val="3"/>
          </w:tcPr>
          <w:p>
            <w:pPr>
              <w:jc w:val="center"/>
              <w:ind w:right="433"/>
              <w:spacing w:after="0"/>
              <w:rPr>
                <w:sz w:val="20"/>
                <w:szCs w:val="20"/>
                <w:color w:val="auto"/>
              </w:rPr>
            </w:pPr>
            <w:r>
              <w:rPr>
                <w:rFonts w:ascii="Arial" w:cs="Arial" w:eastAsia="Arial" w:hAnsi="Arial"/>
                <w:sz w:val="18"/>
                <w:szCs w:val="18"/>
                <w:color w:val="auto"/>
              </w:rPr>
              <w:t>[***]</w:t>
            </w:r>
          </w:p>
        </w:tc>
        <w:tc>
          <w:tcPr>
            <w:tcW w:w="2260" w:type="dxa"/>
            <w:vAlign w:val="bottom"/>
          </w:tcPr>
          <w:p>
            <w:pPr>
              <w:jc w:val="center"/>
              <w:ind w:left="120"/>
              <w:spacing w:after="0"/>
              <w:rPr>
                <w:sz w:val="20"/>
                <w:szCs w:val="20"/>
                <w:color w:val="auto"/>
              </w:rPr>
            </w:pPr>
            <w:r>
              <w:rPr>
                <w:rFonts w:ascii="Arial" w:cs="Arial" w:eastAsia="Arial" w:hAnsi="Arial"/>
                <w:sz w:val="18"/>
                <w:szCs w:val="18"/>
                <w:color w:val="auto"/>
              </w:rPr>
              <w:t>[***]</w:t>
            </w:r>
          </w:p>
        </w:tc>
        <w:tc>
          <w:tcPr>
            <w:tcW w:w="2100" w:type="dxa"/>
            <w:vAlign w:val="bottom"/>
          </w:tcPr>
          <w:p>
            <w:pPr>
              <w:jc w:val="center"/>
              <w:ind w:lef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40" w:type="dxa"/>
            <w:vAlign w:val="bottom"/>
            <w:gridSpan w:val="3"/>
          </w:tcPr>
          <w:p>
            <w:pPr>
              <w:jc w:val="center"/>
              <w:ind w:right="433"/>
              <w:spacing w:after="0"/>
              <w:rPr>
                <w:sz w:val="20"/>
                <w:szCs w:val="20"/>
                <w:color w:val="auto"/>
              </w:rPr>
            </w:pPr>
            <w:r>
              <w:rPr>
                <w:rFonts w:ascii="Arial" w:cs="Arial" w:eastAsia="Arial" w:hAnsi="Arial"/>
                <w:sz w:val="18"/>
                <w:szCs w:val="18"/>
                <w:color w:val="auto"/>
              </w:rPr>
              <w:t>[***]</w:t>
            </w:r>
          </w:p>
        </w:tc>
        <w:tc>
          <w:tcPr>
            <w:tcW w:w="2260" w:type="dxa"/>
            <w:vAlign w:val="bottom"/>
          </w:tcPr>
          <w:p>
            <w:pPr>
              <w:jc w:val="center"/>
              <w:ind w:left="120"/>
              <w:spacing w:after="0"/>
              <w:rPr>
                <w:sz w:val="20"/>
                <w:szCs w:val="20"/>
                <w:color w:val="auto"/>
              </w:rPr>
            </w:pPr>
            <w:r>
              <w:rPr>
                <w:rFonts w:ascii="Arial" w:cs="Arial" w:eastAsia="Arial" w:hAnsi="Arial"/>
                <w:sz w:val="18"/>
                <w:szCs w:val="18"/>
                <w:color w:val="auto"/>
              </w:rPr>
              <w:t>[***]</w:t>
            </w:r>
          </w:p>
        </w:tc>
        <w:tc>
          <w:tcPr>
            <w:tcW w:w="2100" w:type="dxa"/>
            <w:vAlign w:val="bottom"/>
          </w:tcPr>
          <w:p>
            <w:pPr>
              <w:jc w:val="center"/>
              <w:ind w:lef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100" w:type="dxa"/>
            <w:vAlign w:val="bottom"/>
          </w:tcPr>
          <w:p>
            <w:pPr>
              <w:ind w:left="920"/>
              <w:spacing w:after="0"/>
              <w:rPr>
                <w:sz w:val="20"/>
                <w:szCs w:val="20"/>
                <w:color w:val="auto"/>
              </w:rPr>
            </w:pPr>
            <w:r>
              <w:rPr>
                <w:rFonts w:ascii="Arial" w:cs="Arial" w:eastAsia="Arial" w:hAnsi="Arial"/>
                <w:sz w:val="18"/>
                <w:szCs w:val="18"/>
                <w:color w:val="auto"/>
                <w:w w:val="87"/>
              </w:rPr>
              <w:t>Page 126 of 206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-3316605</wp:posOffset>
            </wp:positionH>
            <wp:positionV relativeFrom="paragraph">
              <wp:posOffset>-642620</wp:posOffset>
            </wp:positionV>
            <wp:extent cx="6995160" cy="1371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-3316605</wp:posOffset>
            </wp:positionH>
            <wp:positionV relativeFrom="paragraph">
              <wp:posOffset>-367665</wp:posOffset>
            </wp:positionV>
            <wp:extent cx="6995160"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4500" w:space="720"/>
            <w:col w:w="5800"/>
          </w:cols>
          <w:pgMar w:left="440" w:top="274" w:right="439" w:bottom="1440" w:gutter="0" w:footer="0" w:header="0"/>
          <w:type w:val="continuous"/>
        </w:sect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type w:val="continuous"/>
        </w:sectPr>
      </w:pPr>
    </w:p>
    <w:bookmarkStart w:id="249" w:name="page250"/>
    <w:bookmarkEnd w:id="2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D – Security and Offshore Requirements</w:t>
      </w:r>
    </w:p>
    <w:p>
      <w:pPr>
        <w:spacing w:after="0" w:line="225"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Supplier Information Security Requirements (“SISR”); Offshore Information Technology Services Requirements; Requirements for Offshore Information Technology Services Requiring Elevated Rights; and Limited Offshore Remote Access (“LORA”)</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AT&amp;T Supplier Information Security Requirements (SISR) – v6.5, January 2020</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AT&amp;T Supplier Information Security Requirements (“Security Requirements”) apply to Supplier Entities when performing any action, activity or work under the Agreement where any of the following occur (hereinafter referred to as “In-Scope Work”):</w:t>
      </w:r>
    </w:p>
    <w:p>
      <w:pPr>
        <w:spacing w:after="0" w:line="76" w:lineRule="exact"/>
        <w:rPr>
          <w:sz w:val="20"/>
          <w:szCs w:val="20"/>
          <w:color w:val="auto"/>
        </w:rPr>
      </w:pPr>
    </w:p>
    <w:p>
      <w:pPr>
        <w:ind w:left="960" w:hanging="532"/>
        <w:spacing w:after="0"/>
        <w:tabs>
          <w:tab w:leader="none" w:pos="9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collection, storage, handling, backup, disposal, and/or access to In-Scope Information;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Providing or supporting AT&amp;T branded applications and/or services using non-AT&amp;T Information Resources;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Connectivity to AT&amp;T’s Nonpublic Information Resources;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The development or customization of any software for AT&amp;T;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Website hosting and/or development for AT&amp;T.</w:t>
      </w:r>
    </w:p>
    <w:p>
      <w:pPr>
        <w:spacing w:after="0" w:line="22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These Security Requirements (i) are not intended to apply to products or applications acquired from the Supplier by AT&amp;T for use by AT&amp;T, and (ii) shall not limit more stringent security or other obligations set forth elsewhere in the Agreement. Upon request, Supplier shall provide to AT&amp;T or its delegate evidence of compliance with these Security Requirements, which may include copies of policies, procedures, network data flow diagrams, reports, and other supporting documentation.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Unless otherwise set forth in these Security Requirements, capitalized terms shall have the same meaning as set forth in the Agreement. For the avoidance of doubt, where there is a conflict between capitalized terms found in the SISR and those found elsewhere in the Agreement, the capitalized terms found in the SISR shall control.</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“Administrative User” means a user with super user or elevated/enhanced security rights and permission for configuring, controlling, installing, or managing Information Resources. This is applicable regardless of the types of devices and environments managed, including within Supplier’s facilities and/or within Cloud Service Provider (CSP) cloud environments.</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“Cloud Service” is a service delivered via an “as a Service” cloud service model (e.g., Software as a Service (SaaS), Storage as a Service (STaaS), Database as a Service (DBaaS), Platform as a Service (PaaS), and Infrastructure as a Service (IaaS)).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“Cyber Security” is the protection of Information Resources and In-Scope Information from attacks, data theft, breaches, unauthorized access, social engineering, credential sharing, and other similar security threats.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127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50" w:name="page251"/>
    <w:bookmarkEnd w:id="250"/>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“Demilitarized Zone” or “DMZ” is a network or sub-network that sits between a trusted internal network, such as a corporate private Local Area Network (LAN), and an untrusted external network, such as the Internet. A DMZ helps prevent outside users from gaining direct access to trusted internal networks. Inbound packets from the untrusted external network terminate within the DMZ and are not allowed to flow directly through to the trusted internal network and all inbound packets that flow to the trusted internal network must originate within the DMZ.</w:t>
      </w:r>
    </w:p>
    <w:p>
      <w:pPr>
        <w:spacing w:after="0" w:line="171"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“Information” means confidential or proprietary data and information regardless of form (e.g., tangible, intangible, electronic), method of transmission (e.g., mail, electronic mail), or whether in the possession of the other Party prior to the Agreement Effective Date, including (a) any data or information of a third party with respect to which a Party owes a duty of confidentiality, that is reasonably related to either: (i) this Agreement or any Order; or (ii) the potential acquisition by AT&amp;T of Supplier products or services that are beyond the scope of this Agreement or an Order; (b) SPI, trade secrets, discoveries, ideas, concepts, know-how, techniques, processes, procedures, designs, specifications, strategic information, proposals, requests for proposals/information, products or proposed products, drawings, blueprints, tracings, diagrams, models, samples, flow charts, databases, data sets, algorithms, software, code, computer programs, marketing plans, operational information, network architecture, engineering information, infrastructure components and configuration, networks, systems, facilities, products, rates, regulatory compliance, competitors and other technical, financial, or business information; and (c) with respect to the respective Party, AT&amp;T Customer Information, AT&amp;T Data Assets, AT&amp;T Derived Information, and Supplier Customer Information.</w:t>
      </w:r>
    </w:p>
    <w:p>
      <w:pPr>
        <w:spacing w:after="0" w:line="18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“Information Resource(s)” means systems, applications, websites, networks, network elements, and other computing and information storage devices, along with the underlying technologies and delivery methods (e.g., social networks, mobile technologies, Mobile and Portable Devices, Cloud Services, data analytics, call and voice/video recording, Application Program Interfaces (APIs)), used in connection with In-Scope Work.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“In-Scope Information” means Information.</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“Mobile and Portable Devices” means mobile and/or portable computers, devices, media and systems capable of being easily carried, moved, transported or conveyed that are used in connection with In-Scope Work. Examples of such devices include laptop computers, tablets, USB hard drives, USB memory sticks, Personal Digital Assistants (PDAs), and mobile phones (e.g., smartphones).</w:t>
      </w:r>
    </w:p>
    <w:p>
      <w:pPr>
        <w:spacing w:after="0" w:line="18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“Multi-Factor Authentication” (also known as Two-Factor Authentication and Strong Authentication) means the use of at least two of the following three types of authentication factors:</w:t>
      </w:r>
    </w:p>
    <w:p>
      <w:pPr>
        <w:spacing w:after="0" w:line="76" w:lineRule="exact"/>
        <w:rPr>
          <w:sz w:val="20"/>
          <w:szCs w:val="20"/>
          <w:color w:val="auto"/>
        </w:rPr>
      </w:pPr>
    </w:p>
    <w:p>
      <w:pPr>
        <w:ind w:left="960" w:hanging="424"/>
        <w:spacing w:after="0"/>
        <w:tabs>
          <w:tab w:leader="none" w:pos="9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physical or logical credential the user has, such as an electronically readable badge, a token card or a digital certificate;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knowledge-based credential, such as a password or PIN; and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 biometric credential, such as a fingerprint or retina image.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128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51" w:name="page252"/>
    <w:bookmarkEnd w:id="251"/>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“Nonpublic Information Resources” means Information Resources used in connection with InScope Work that are not directly accessible from the Internet.</w:t>
      </w:r>
    </w:p>
    <w:p>
      <w:pPr>
        <w:spacing w:after="0" w:line="170" w:lineRule="exact"/>
        <w:rPr>
          <w:sz w:val="20"/>
          <w:szCs w:val="20"/>
          <w:color w:val="auto"/>
        </w:rPr>
      </w:pPr>
    </w:p>
    <w:p>
      <w:pPr>
        <w:jc w:val="both"/>
        <w:ind w:left="4" w:right="160"/>
        <w:spacing w:after="0" w:line="263" w:lineRule="auto"/>
        <w:rPr>
          <w:sz w:val="20"/>
          <w:szCs w:val="20"/>
          <w:color w:val="auto"/>
        </w:rPr>
      </w:pPr>
      <w:r>
        <w:rPr>
          <w:rFonts w:ascii="Arial" w:cs="Arial" w:eastAsia="Arial" w:hAnsi="Arial"/>
          <w:sz w:val="18"/>
          <w:szCs w:val="18"/>
          <w:color w:val="auto"/>
        </w:rPr>
        <w:t>“Security Gateway” means a set of control mechanisms between two or more networks having different trust levels which filter and log traffic passing, or attempting to pass, between networks, and the associated administrative and management servers. Examples include firewalls, firewall management servers, hop boxes, session border controllers, proxy servers, and intrusion prevention devices.</w:t>
      </w:r>
    </w:p>
    <w:p>
      <w:pPr>
        <w:spacing w:after="0" w:line="184"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“Sensitive Customer Data” or “SCD” means the data elements listed in the Table 2—AT&amp;T SCD Data Elements located at the end of these Security Requirements. All data elements in Table 2 are considered In-Scope Information.</w:t>
      </w:r>
    </w:p>
    <w:p>
      <w:pPr>
        <w:spacing w:after="0" w:line="170"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“Sensitive Personal Information” or “SPI” means the data elements listed in the Table 1—AT&amp;T SPI Data Elements located at the end of these Security Requirements. All data elements in Table 1 are considered In-Scope Information.</w:t>
      </w:r>
    </w:p>
    <w:p>
      <w:pPr>
        <w:spacing w:after="0" w:line="170" w:lineRule="exact"/>
        <w:rPr>
          <w:sz w:val="20"/>
          <w:szCs w:val="20"/>
          <w:color w:val="auto"/>
        </w:rPr>
      </w:pPr>
    </w:p>
    <w:p>
      <w:pPr>
        <w:ind w:left="4" w:right="700"/>
        <w:spacing w:after="0" w:line="277" w:lineRule="auto"/>
        <w:rPr>
          <w:sz w:val="20"/>
          <w:szCs w:val="20"/>
          <w:color w:val="auto"/>
        </w:rPr>
      </w:pPr>
      <w:r>
        <w:rPr>
          <w:rFonts w:ascii="Arial" w:cs="Arial" w:eastAsia="Arial" w:hAnsi="Arial"/>
          <w:sz w:val="18"/>
          <w:szCs w:val="18"/>
          <w:color w:val="auto"/>
        </w:rPr>
        <w:t>“Service Account” means a UserID used for installing, executing, or administering an application or system. Service accounts manage the local events/processes of an application or system.</w:t>
      </w:r>
    </w:p>
    <w:p>
      <w:pPr>
        <w:spacing w:after="0" w:line="170"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“Strong Cryptography” means the use of cryptography based on industry-tested, accepted, and uncompromised algorithms with minimum key lengths of 128-bits for symmetric algorithms and 2048-bits for asymmetric algorithms, and proper key management practices which incorporate a documented policy for the management of the encryption keys, including the expiration of encryption keys at least once every two years, and associated processes adequate to protect the confidentiality and privacy of the keys and credentials used as inputs to the cryptographic algorithm.</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“Strong Encryption” means the use of encryption technologies based upon Strong Cryptography.</w:t>
      </w:r>
    </w:p>
    <w:p>
      <w:pPr>
        <w:spacing w:after="0" w:line="225"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“Supplier Entity” or “Supplier Entities” means Supplier, its affiliates, and its/their subcontractors (including suppliers providing non-AT&amp;T Cloud Services to Supplier).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accordance with the foregoing, Supplier shall, and shall cause Supplier Entities to:</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System Security</w:t>
      </w:r>
    </w:p>
    <w:p>
      <w:pPr>
        <w:spacing w:after="0" w:line="131" w:lineRule="exact"/>
        <w:rPr>
          <w:sz w:val="20"/>
          <w:szCs w:val="20"/>
          <w:color w:val="auto"/>
        </w:rPr>
      </w:pPr>
    </w:p>
    <w:p>
      <w:pPr>
        <w:ind w:left="424" w:hanging="424"/>
        <w:spacing w:after="0"/>
        <w:tabs>
          <w:tab w:leader="none" w:pos="42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Maintain and adhere to a documented Cyber Security program.</w:t>
      </w:r>
    </w:p>
    <w:p>
      <w:pPr>
        <w:spacing w:after="0" w:line="130"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Use Strong Encryption to protect In-Scope Information stored on all desktop devices used in connection with In-Scope Work and located in areas accessible by the public.</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58"/>
        </w:numPr>
        <w:rPr>
          <w:rFonts w:ascii="Arial" w:cs="Arial" w:eastAsia="Arial" w:hAnsi="Arial"/>
          <w:sz w:val="18"/>
          <w:szCs w:val="18"/>
          <w:color w:val="auto"/>
        </w:rPr>
      </w:pPr>
      <w:r>
        <w:rPr>
          <w:rFonts w:ascii="Arial" w:cs="Arial" w:eastAsia="Arial" w:hAnsi="Arial"/>
          <w:sz w:val="18"/>
          <w:szCs w:val="18"/>
          <w:color w:val="auto"/>
        </w:rPr>
        <w:t>Maintain and adhere to a documented vulnerability management process to:</w:t>
      </w:r>
    </w:p>
    <w:p>
      <w:pPr>
        <w:spacing w:after="0" w:line="130" w:lineRule="exact"/>
        <w:rPr>
          <w:rFonts w:ascii="Arial" w:cs="Arial" w:eastAsia="Arial" w:hAnsi="Arial"/>
          <w:sz w:val="18"/>
          <w:szCs w:val="18"/>
          <w:color w:val="auto"/>
        </w:rPr>
      </w:pPr>
    </w:p>
    <w:p>
      <w:pPr>
        <w:ind w:left="964" w:right="440" w:hanging="532"/>
        <w:spacing w:after="0" w:line="342" w:lineRule="auto"/>
        <w:tabs>
          <w:tab w:leader="none" w:pos="964" w:val="left"/>
        </w:tabs>
        <w:numPr>
          <w:ilvl w:val="1"/>
          <w:numId w:val="258"/>
        </w:numPr>
        <w:rPr>
          <w:rFonts w:ascii="Arial" w:cs="Arial" w:eastAsia="Arial" w:hAnsi="Arial"/>
          <w:sz w:val="16"/>
          <w:szCs w:val="16"/>
          <w:color w:val="auto"/>
        </w:rPr>
      </w:pPr>
      <w:r>
        <w:rPr>
          <w:rFonts w:ascii="Arial" w:cs="Arial" w:eastAsia="Arial" w:hAnsi="Arial"/>
          <w:sz w:val="16"/>
          <w:szCs w:val="16"/>
          <w:color w:val="auto"/>
        </w:rPr>
        <w:t xml:space="preserve">Actively monitor industry resources (e.g., </w:t>
      </w:r>
      <w:r>
        <w:rPr>
          <w:rFonts w:ascii="Arial" w:cs="Arial" w:eastAsia="Arial" w:hAnsi="Arial"/>
          <w:sz w:val="16"/>
          <w:szCs w:val="16"/>
          <w:u w:val="single" w:color="auto"/>
          <w:color w:val="auto"/>
        </w:rPr>
        <w:t>www.cert.or</w:t>
      </w:r>
      <w:r>
        <w:rPr>
          <w:rFonts w:ascii="Arial" w:cs="Arial" w:eastAsia="Arial" w:hAnsi="Arial"/>
          <w:sz w:val="16"/>
          <w:szCs w:val="16"/>
          <w:color w:val="auto"/>
        </w:rPr>
        <w:t>g, pertinent software vendor mailing lists and websites, and information from subscriptions to automated notifications) for timely notification of all applicable security alerts that pertain to Information Resources;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129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964" w:right="160" w:hanging="532"/>
        <w:spacing w:after="0" w:line="277" w:lineRule="auto"/>
        <w:tabs>
          <w:tab w:leader="none" w:pos="96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 scan Information Resources with industry-standard security vulnerability scanning software to detect security vulnerabilities. Scans must cover all Information Resources used to perform In-Scope Work;</w:t>
      </w:r>
    </w:p>
    <w:p>
      <w:pPr>
        <w:spacing w:after="0" w:line="75" w:lineRule="exact"/>
        <w:rPr>
          <w:rFonts w:ascii="Arial" w:cs="Arial" w:eastAsia="Arial" w:hAnsi="Arial"/>
          <w:sz w:val="18"/>
          <w:szCs w:val="18"/>
          <w:color w:val="auto"/>
        </w:rPr>
      </w:pPr>
    </w:p>
    <w:p>
      <w:pPr>
        <w:ind w:left="964" w:right="280" w:hanging="532"/>
        <w:spacing w:after="0" w:line="263" w:lineRule="auto"/>
        <w:tabs>
          <w:tab w:leader="none" w:pos="96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Remediate all critical, high, and medium risk security vulnerabilities, including those discovered through industry publications, vulnerability scanning, virus scanning, IDS/IPS alerts, and the review of security logs, and promptly apply appropriate security patches; and</w:t>
      </w:r>
    </w:p>
    <w:p>
      <w:pPr>
        <w:spacing w:after="0" w:line="89" w:lineRule="exact"/>
        <w:rPr>
          <w:rFonts w:ascii="Arial" w:cs="Arial" w:eastAsia="Arial" w:hAnsi="Arial"/>
          <w:sz w:val="18"/>
          <w:szCs w:val="18"/>
          <w:color w:val="auto"/>
        </w:rPr>
      </w:pPr>
    </w:p>
    <w:p>
      <w:pPr>
        <w:ind w:left="964" w:right="240" w:hanging="532"/>
        <w:spacing w:after="0" w:line="277" w:lineRule="auto"/>
        <w:tabs>
          <w:tab w:leader="none" w:pos="964" w:val="left"/>
        </w:tabs>
        <w:numPr>
          <w:ilvl w:val="1"/>
          <w:numId w:val="259"/>
        </w:numPr>
        <w:rPr>
          <w:rFonts w:ascii="Arial" w:cs="Arial" w:eastAsia="Arial" w:hAnsi="Arial"/>
          <w:sz w:val="18"/>
          <w:szCs w:val="18"/>
          <w:color w:val="auto"/>
        </w:rPr>
      </w:pPr>
      <w:r>
        <w:rPr>
          <w:rFonts w:ascii="Arial" w:cs="Arial" w:eastAsia="Arial" w:hAnsi="Arial"/>
          <w:sz w:val="18"/>
          <w:szCs w:val="18"/>
          <w:color w:val="auto"/>
        </w:rPr>
        <w:t>[***] remediate, regardless of variable settings, all Internet facing vulnerabilities with a Common Vulnerability Scoring System (CVSS) [***]. Equivalent industry standard scoring can be used in place of CVSS.</w:t>
      </w:r>
    </w:p>
    <w:p>
      <w:pPr>
        <w:spacing w:after="0" w:line="75" w:lineRule="exact"/>
        <w:rPr>
          <w:rFonts w:ascii="Arial" w:cs="Arial" w:eastAsia="Arial" w:hAnsi="Arial"/>
          <w:sz w:val="18"/>
          <w:szCs w:val="18"/>
          <w:color w:val="auto"/>
        </w:rPr>
      </w:pPr>
    </w:p>
    <w:p>
      <w:pPr>
        <w:ind w:left="424" w:right="260" w:hanging="424"/>
        <w:spacing w:after="0" w:line="259" w:lineRule="auto"/>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Install and use Intrusion Detection Systems (IDS) and/or Intrusion Prevention Systems (IPS) that monitor all traffic entering and leaving Information Resources in connection with In-Scope Work. For avoidance of doubt both Network and Host IDS/IPS are acceptable solutions. At Supplier’s discretion, this requirement is optional for implementations of Host Intrusion Detection Systems (HIDS) and/or Host Intrusion Prevention Systems (HIPS) on mobile devices.</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260"/>
        </w:numPr>
        <w:rPr>
          <w:rFonts w:ascii="Arial" w:cs="Arial" w:eastAsia="Arial" w:hAnsi="Arial"/>
          <w:sz w:val="17"/>
          <w:szCs w:val="17"/>
          <w:color w:val="auto"/>
        </w:rPr>
      </w:pPr>
      <w:r>
        <w:rPr>
          <w:rFonts w:ascii="Arial" w:cs="Arial" w:eastAsia="Arial" w:hAnsi="Arial"/>
          <w:sz w:val="17"/>
          <w:szCs w:val="17"/>
          <w:color w:val="auto"/>
        </w:rPr>
        <w:t>Assign security administration responsibilities for configuring the security parameters of Information Resources to authorized users only.</w:t>
      </w:r>
    </w:p>
    <w:p>
      <w:pPr>
        <w:spacing w:after="0" w:line="142" w:lineRule="exact"/>
        <w:rPr>
          <w:rFonts w:ascii="Arial" w:cs="Arial" w:eastAsia="Arial" w:hAnsi="Arial"/>
          <w:sz w:val="17"/>
          <w:szCs w:val="17"/>
          <w:color w:val="auto"/>
        </w:rPr>
      </w:pPr>
    </w:p>
    <w:p>
      <w:pPr>
        <w:ind w:left="424" w:right="40" w:hanging="424"/>
        <w:spacing w:after="0" w:line="277" w:lineRule="auto"/>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Harden Information Resources by utilizing a minimum-security baseline configuration based upon industry best practices to reduce potential ways of attack, including:</w:t>
      </w:r>
    </w:p>
    <w:p>
      <w:pPr>
        <w:spacing w:after="0" w:line="75" w:lineRule="exact"/>
        <w:rPr>
          <w:rFonts w:ascii="Arial" w:cs="Arial" w:eastAsia="Arial" w:hAnsi="Arial"/>
          <w:sz w:val="18"/>
          <w:szCs w:val="18"/>
          <w:color w:val="auto"/>
        </w:rPr>
      </w:pPr>
    </w:p>
    <w:p>
      <w:pPr>
        <w:ind w:left="964" w:right="100" w:hanging="532"/>
        <w:spacing w:after="0" w:line="279" w:lineRule="auto"/>
        <w:tabs>
          <w:tab w:leader="none" w:pos="964" w:val="left"/>
        </w:tabs>
        <w:numPr>
          <w:ilvl w:val="1"/>
          <w:numId w:val="260"/>
        </w:numPr>
        <w:rPr>
          <w:rFonts w:ascii="Arial" w:cs="Arial" w:eastAsia="Arial" w:hAnsi="Arial"/>
          <w:sz w:val="17"/>
          <w:szCs w:val="17"/>
          <w:color w:val="auto"/>
        </w:rPr>
      </w:pPr>
      <w:r>
        <w:rPr>
          <w:rFonts w:ascii="Arial" w:cs="Arial" w:eastAsia="Arial" w:hAnsi="Arial"/>
          <w:sz w:val="17"/>
          <w:szCs w:val="17"/>
          <w:color w:val="auto"/>
        </w:rPr>
        <w:t>Changing default passwords, prohibiting weak passwords and exact matches to the UserID, removing unnecessary software, UserIDs, usernames or logins, and disabling or removing unnecessary services (is not intended to apply to software that is part of a standard software configuration). Such hardening of the system’s security configurations, operating system software, virtual private clouds (VPCs), firmware and applications is to prevent exploits that attack flaws in the underlying code; and</w:t>
      </w:r>
    </w:p>
    <w:p>
      <w:pPr>
        <w:spacing w:after="0" w:line="76" w:lineRule="exact"/>
        <w:rPr>
          <w:rFonts w:ascii="Arial" w:cs="Arial" w:eastAsia="Arial" w:hAnsi="Arial"/>
          <w:sz w:val="17"/>
          <w:szCs w:val="17"/>
          <w:color w:val="auto"/>
        </w:rPr>
      </w:pPr>
    </w:p>
    <w:p>
      <w:pPr>
        <w:ind w:left="964" w:hanging="532"/>
        <w:spacing w:after="0"/>
        <w:tabs>
          <w:tab w:leader="none" w:pos="964" w:val="left"/>
        </w:tabs>
        <w:numPr>
          <w:ilvl w:val="1"/>
          <w:numId w:val="260"/>
        </w:numPr>
        <w:rPr>
          <w:rFonts w:ascii="Arial" w:cs="Arial" w:eastAsia="Arial" w:hAnsi="Arial"/>
          <w:sz w:val="18"/>
          <w:szCs w:val="18"/>
          <w:color w:val="auto"/>
        </w:rPr>
      </w:pPr>
      <w:r>
        <w:rPr>
          <w:rFonts w:ascii="Arial" w:cs="Arial" w:eastAsia="Arial" w:hAnsi="Arial"/>
          <w:sz w:val="18"/>
          <w:szCs w:val="18"/>
          <w:color w:val="auto"/>
        </w:rPr>
        <w:t>Not using Information Resources, unless agreed upon from AT&amp;T, to perform InScope Work past the date when:</w:t>
      </w:r>
    </w:p>
    <w:p>
      <w:pPr>
        <w:spacing w:after="0" w:line="130" w:lineRule="exact"/>
        <w:rPr>
          <w:rFonts w:ascii="Arial" w:cs="Arial" w:eastAsia="Arial" w:hAnsi="Arial"/>
          <w:sz w:val="18"/>
          <w:szCs w:val="18"/>
          <w:color w:val="auto"/>
        </w:rPr>
      </w:pPr>
    </w:p>
    <w:p>
      <w:pPr>
        <w:ind w:left="1424" w:right="340" w:hanging="439"/>
        <w:spacing w:after="0" w:line="263" w:lineRule="auto"/>
        <w:tabs>
          <w:tab w:leader="none" w:pos="1424" w:val="left"/>
        </w:tabs>
        <w:numPr>
          <w:ilvl w:val="2"/>
          <w:numId w:val="260"/>
        </w:numPr>
        <w:rPr>
          <w:rFonts w:ascii="Arial" w:cs="Arial" w:eastAsia="Arial" w:hAnsi="Arial"/>
          <w:sz w:val="18"/>
          <w:szCs w:val="18"/>
          <w:color w:val="auto"/>
        </w:rPr>
      </w:pPr>
      <w:r>
        <w:rPr>
          <w:rFonts w:ascii="Arial" w:cs="Arial" w:eastAsia="Arial" w:hAnsi="Arial"/>
          <w:sz w:val="18"/>
          <w:szCs w:val="18"/>
          <w:color w:val="auto"/>
        </w:rPr>
        <w:t>The Information Resource will cease to be supported by issued security updates (including whenever Supplier ceases to obtain and/or implement such security updates, such as when Supplier ceases to purchase and/or extend the maintenance services under which such security updates are provided); or</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2"/>
          <w:numId w:val="260"/>
        </w:numPr>
        <w:rPr>
          <w:rFonts w:ascii="Arial" w:cs="Arial" w:eastAsia="Arial" w:hAnsi="Arial"/>
          <w:sz w:val="18"/>
          <w:szCs w:val="18"/>
          <w:color w:val="auto"/>
        </w:rPr>
      </w:pPr>
      <w:r>
        <w:rPr>
          <w:rFonts w:ascii="Arial" w:cs="Arial" w:eastAsia="Arial" w:hAnsi="Arial"/>
          <w:sz w:val="18"/>
          <w:szCs w:val="18"/>
          <w:color w:val="auto"/>
        </w:rPr>
        <w:t>Any extended security patching support ends.</w:t>
      </w:r>
    </w:p>
    <w:p>
      <w:pPr>
        <w:spacing w:after="0" w:line="130" w:lineRule="exact"/>
        <w:rPr>
          <w:rFonts w:ascii="Arial" w:cs="Arial" w:eastAsia="Arial" w:hAnsi="Arial"/>
          <w:sz w:val="18"/>
          <w:szCs w:val="18"/>
          <w:color w:val="auto"/>
        </w:rPr>
      </w:pPr>
    </w:p>
    <w:p>
      <w:pPr>
        <w:ind w:left="964" w:right="300" w:hanging="964"/>
        <w:spacing w:after="0" w:line="342" w:lineRule="auto"/>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Enforce the rule of least privilege by requiring application, database, network and system administrators to restrict access of all users to only the commands, In-Scope Information and Information Resources necessary for them to perform authorized functions.</w:t>
      </w:r>
    </w:p>
    <w:p>
      <w:pPr>
        <w:spacing w:after="0" w:line="42" w:lineRule="exact"/>
        <w:rPr>
          <w:rFonts w:ascii="Arial" w:cs="Arial" w:eastAsia="Arial" w:hAnsi="Arial"/>
          <w:sz w:val="18"/>
          <w:szCs w:val="18"/>
          <w:color w:val="auto"/>
        </w:rPr>
      </w:pPr>
    </w:p>
    <w:p>
      <w:pPr>
        <w:ind w:left="984" w:right="1820" w:hanging="552"/>
        <w:spacing w:after="0" w:line="391" w:lineRule="auto"/>
        <w:tabs>
          <w:tab w:leader="none" w:pos="971" w:val="left"/>
        </w:tabs>
        <w:numPr>
          <w:ilvl w:val="1"/>
          <w:numId w:val="261"/>
        </w:numPr>
        <w:rPr>
          <w:rFonts w:ascii="Arial" w:cs="Arial" w:eastAsia="Arial" w:hAnsi="Arial"/>
          <w:sz w:val="18"/>
          <w:szCs w:val="18"/>
          <w:color w:val="auto"/>
        </w:rPr>
      </w:pPr>
      <w:r>
        <w:rPr>
          <w:rFonts w:ascii="Arial" w:cs="Arial" w:eastAsia="Arial" w:hAnsi="Arial"/>
          <w:sz w:val="18"/>
          <w:szCs w:val="18"/>
          <w:color w:val="auto"/>
        </w:rPr>
        <w:t>Ensure that controls are in-place to limit, protect, monitor, detect and respond to all Administrative User activities. Examplesof such controls that must be enforced include:</w:t>
      </w:r>
    </w:p>
    <w:p>
      <w:pPr>
        <w:ind w:left="1964" w:hanging="533"/>
        <w:spacing w:after="0"/>
        <w:tabs>
          <w:tab w:leader="none" w:pos="1964" w:val="left"/>
        </w:tabs>
        <w:numPr>
          <w:ilvl w:val="3"/>
          <w:numId w:val="261"/>
        </w:numPr>
        <w:rPr>
          <w:rFonts w:ascii="Arial" w:cs="Arial" w:eastAsia="Arial" w:hAnsi="Arial"/>
          <w:sz w:val="18"/>
          <w:szCs w:val="18"/>
          <w:color w:val="auto"/>
        </w:rPr>
      </w:pPr>
      <w:r>
        <w:rPr>
          <w:rFonts w:ascii="Arial" w:cs="Arial" w:eastAsia="Arial" w:hAnsi="Arial"/>
          <w:sz w:val="18"/>
          <w:szCs w:val="18"/>
          <w:color w:val="auto"/>
        </w:rPr>
        <w:t>The rule of least privilege;</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3"/>
          <w:numId w:val="261"/>
        </w:numPr>
        <w:rPr>
          <w:rFonts w:ascii="Arial" w:cs="Arial" w:eastAsia="Arial" w:hAnsi="Arial"/>
          <w:sz w:val="18"/>
          <w:szCs w:val="18"/>
          <w:color w:val="auto"/>
        </w:rPr>
      </w:pPr>
      <w:r>
        <w:rPr>
          <w:rFonts w:ascii="Arial" w:cs="Arial" w:eastAsia="Arial" w:hAnsi="Arial"/>
          <w:sz w:val="18"/>
          <w:szCs w:val="18"/>
          <w:color w:val="auto"/>
        </w:rPr>
        <w:t>Separation of duties;</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3"/>
          <w:numId w:val="261"/>
        </w:numPr>
        <w:rPr>
          <w:rFonts w:ascii="Arial" w:cs="Arial" w:eastAsia="Arial" w:hAnsi="Arial"/>
          <w:sz w:val="18"/>
          <w:szCs w:val="18"/>
          <w:color w:val="auto"/>
        </w:rPr>
      </w:pPr>
      <w:r>
        <w:rPr>
          <w:rFonts w:ascii="Arial" w:cs="Arial" w:eastAsia="Arial" w:hAnsi="Arial"/>
          <w:sz w:val="18"/>
          <w:szCs w:val="18"/>
          <w:color w:val="auto"/>
        </w:rPr>
        <w:t>Individual accountability;</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3"/>
          <w:numId w:val="261"/>
        </w:numPr>
        <w:rPr>
          <w:rFonts w:ascii="Arial" w:cs="Arial" w:eastAsia="Arial" w:hAnsi="Arial"/>
          <w:sz w:val="18"/>
          <w:szCs w:val="18"/>
          <w:color w:val="auto"/>
        </w:rPr>
      </w:pPr>
      <w:r>
        <w:rPr>
          <w:rFonts w:ascii="Arial" w:cs="Arial" w:eastAsia="Arial" w:hAnsi="Arial"/>
          <w:sz w:val="18"/>
          <w:szCs w:val="18"/>
          <w:color w:val="auto"/>
        </w:rPr>
        <w:t>Change management;</w:t>
      </w:r>
    </w:p>
    <w:p>
      <w:pPr>
        <w:spacing w:after="0" w:line="130" w:lineRule="exact"/>
        <w:rPr>
          <w:rFonts w:ascii="Arial" w:cs="Arial" w:eastAsia="Arial" w:hAnsi="Arial"/>
          <w:sz w:val="18"/>
          <w:szCs w:val="18"/>
          <w:color w:val="auto"/>
        </w:rPr>
      </w:pPr>
    </w:p>
    <w:p>
      <w:pPr>
        <w:ind w:left="1964" w:right="520" w:hanging="533"/>
        <w:spacing w:after="0" w:line="277" w:lineRule="auto"/>
        <w:tabs>
          <w:tab w:leader="none" w:pos="1964" w:val="left"/>
        </w:tabs>
        <w:numPr>
          <w:ilvl w:val="3"/>
          <w:numId w:val="261"/>
        </w:numPr>
        <w:rPr>
          <w:rFonts w:ascii="Arial" w:cs="Arial" w:eastAsia="Arial" w:hAnsi="Arial"/>
          <w:sz w:val="18"/>
          <w:szCs w:val="18"/>
          <w:color w:val="auto"/>
        </w:rPr>
      </w:pPr>
      <w:r>
        <w:rPr>
          <w:rFonts w:ascii="Arial" w:cs="Arial" w:eastAsia="Arial" w:hAnsi="Arial"/>
          <w:sz w:val="18"/>
          <w:szCs w:val="18"/>
          <w:color w:val="auto"/>
        </w:rPr>
        <w:t>Auditability of Administrative User accounts and their activities in production environments since we do not store end customers’ data in non-production environments; and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130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1964" w:hanging="533"/>
        <w:spacing w:after="0"/>
        <w:tabs>
          <w:tab w:leader="none" w:pos="196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Audit log retention for a minimum of [***].</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Physical Security</w:t>
      </w:r>
    </w:p>
    <w:p>
      <w:pPr>
        <w:spacing w:after="0" w:line="131" w:lineRule="exact"/>
        <w:rPr>
          <w:sz w:val="20"/>
          <w:szCs w:val="20"/>
          <w:color w:val="auto"/>
        </w:rPr>
      </w:pPr>
    </w:p>
    <w:p>
      <w:pPr>
        <w:ind w:left="424" w:right="780" w:hanging="424"/>
        <w:spacing w:after="0" w:line="277" w:lineRule="auto"/>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Ensure that all Information Resources intended for use by multiple users are located in secure physical facilities with access restricted to authorized individuals only. For audit purposes, monitor and record access to such areas.</w:t>
      </w:r>
    </w:p>
    <w:p>
      <w:pPr>
        <w:spacing w:after="0" w:line="75"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Physically secure any area where In-Scope Information is accessible to prevent access by unauthorized persons. For audit purposes, monitor and record access to such areas.</w:t>
      </w:r>
    </w:p>
    <w:p>
      <w:pPr>
        <w:spacing w:after="0" w:line="278"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Network Security</w:t>
      </w:r>
    </w:p>
    <w:p>
      <w:pPr>
        <w:spacing w:after="0" w:line="130" w:lineRule="exact"/>
        <w:rPr>
          <w:rFonts w:ascii="Arial" w:cs="Arial" w:eastAsia="Arial" w:hAnsi="Arial"/>
          <w:sz w:val="18"/>
          <w:szCs w:val="18"/>
          <w:color w:val="auto"/>
        </w:rPr>
      </w:pPr>
    </w:p>
    <w:p>
      <w:pPr>
        <w:ind w:left="424" w:right="240" w:hanging="424"/>
        <w:spacing w:after="0" w:line="263" w:lineRule="auto"/>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Ensure that Supplier’s Information Resources, when providing Internet-accessible services to AT&amp;T, have Denial of Service (DoS/DDoS) and Security Gateway protections in place. Web servers must reside in a DMZ and Information Resources persistently storing In-Scope Information (such as application and database servers) must reside in a trusted internal network.</w:t>
      </w:r>
    </w:p>
    <w:p>
      <w:pPr>
        <w:spacing w:after="0" w:line="89" w:lineRule="exact"/>
        <w:rPr>
          <w:rFonts w:ascii="Arial" w:cs="Arial" w:eastAsia="Arial" w:hAnsi="Arial"/>
          <w:sz w:val="18"/>
          <w:szCs w:val="18"/>
          <w:color w:val="auto"/>
        </w:rPr>
      </w:pPr>
    </w:p>
    <w:p>
      <w:pPr>
        <w:ind w:left="424" w:right="480" w:hanging="424"/>
        <w:spacing w:after="0" w:line="277" w:lineRule="auto"/>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For the purpose of demonstrating compliance with certain Security Requirements applicable to the protection of In-Scope Information, upon AT&amp;T’s request, provide to AT&amp;T [***].</w:t>
      </w:r>
    </w:p>
    <w:p>
      <w:pPr>
        <w:spacing w:after="0" w:line="75" w:lineRule="exact"/>
        <w:rPr>
          <w:rFonts w:ascii="Arial" w:cs="Arial" w:eastAsia="Arial" w:hAnsi="Arial"/>
          <w:sz w:val="18"/>
          <w:szCs w:val="18"/>
          <w:color w:val="auto"/>
        </w:rPr>
      </w:pPr>
    </w:p>
    <w:p>
      <w:pPr>
        <w:ind w:left="424" w:right="160" w:hanging="424"/>
        <w:spacing w:after="0" w:line="263" w:lineRule="auto"/>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Use Strong Encryption when transmitting In-Scope Information over any untrusted network or when transmitting In-Scope Information over any network that is neither controlled by AT&amp;T nor Supplier. This applies to all technologies used for the transmission of In-Scope Information. (Additional transmission requirements are found in subsequent controls.)</w:t>
      </w:r>
    </w:p>
    <w:p>
      <w:pPr>
        <w:spacing w:after="0" w:line="89" w:lineRule="exact"/>
        <w:rPr>
          <w:rFonts w:ascii="Arial" w:cs="Arial" w:eastAsia="Arial" w:hAnsi="Arial"/>
          <w:sz w:val="18"/>
          <w:szCs w:val="18"/>
          <w:color w:val="auto"/>
        </w:rPr>
      </w:pPr>
    </w:p>
    <w:p>
      <w:pPr>
        <w:ind w:left="444" w:right="3320" w:hanging="444"/>
        <w:spacing w:after="0" w:line="446" w:lineRule="auto"/>
        <w:tabs>
          <w:tab w:leader="none" w:pos="436" w:val="left"/>
        </w:tabs>
        <w:numPr>
          <w:ilvl w:val="0"/>
          <w:numId w:val="263"/>
        </w:numPr>
        <w:rPr>
          <w:rFonts w:ascii="Arial" w:cs="Arial" w:eastAsia="Arial" w:hAnsi="Arial"/>
          <w:sz w:val="18"/>
          <w:szCs w:val="18"/>
          <w:color w:val="auto"/>
        </w:rPr>
      </w:pPr>
      <w:r>
        <w:rPr>
          <w:rFonts w:ascii="Arial" w:cs="Arial" w:eastAsia="Arial" w:hAnsi="Arial"/>
          <w:sz w:val="18"/>
          <w:szCs w:val="18"/>
          <w:color w:val="auto"/>
        </w:rPr>
        <w:t>Require Multi-Factor Authentication for any remote access use of Nonpublic Information Resources. Information Security</w:t>
      </w:r>
    </w:p>
    <w:p>
      <w:pPr>
        <w:ind w:left="424" w:right="200" w:hanging="424"/>
        <w:spacing w:after="0" w:line="308" w:lineRule="auto"/>
        <w:tabs>
          <w:tab w:leader="none" w:pos="424" w:val="left"/>
        </w:tabs>
        <w:numPr>
          <w:ilvl w:val="0"/>
          <w:numId w:val="263"/>
        </w:numPr>
        <w:rPr>
          <w:rFonts w:ascii="Arial" w:cs="Arial" w:eastAsia="Arial" w:hAnsi="Arial"/>
          <w:sz w:val="17"/>
          <w:szCs w:val="17"/>
          <w:color w:val="auto"/>
        </w:rPr>
      </w:pPr>
      <w:r>
        <w:rPr>
          <w:rFonts w:ascii="Arial" w:cs="Arial" w:eastAsia="Arial" w:hAnsi="Arial"/>
          <w:sz w:val="17"/>
          <w:szCs w:val="17"/>
          <w:color w:val="auto"/>
        </w:rPr>
        <w:t>Segregate AT&amp;T’s applications and In-Scope Information from any other customer’s and Supplier’s own applications and information, either by using logical access controls and/or physical access controls to provide protection from unauthorized access.</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Maintain and adhere to documented processes for: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business continuity plan and/or disaster recovery plan requirements under the Agreement;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retention, return, and/or destruction requirements for In-Scope Information under the Agreement.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Supplier shall ensure the use of In-Scope Information is only for the performance of In-Scope Work.</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3"/>
        </w:numPr>
        <w:rPr>
          <w:rFonts w:ascii="Arial" w:cs="Arial" w:eastAsia="Arial" w:hAnsi="Arial"/>
          <w:sz w:val="18"/>
          <w:szCs w:val="18"/>
          <w:color w:val="auto"/>
        </w:rPr>
      </w:pPr>
      <w:r>
        <w:rPr>
          <w:rFonts w:ascii="Arial" w:cs="Arial" w:eastAsia="Arial" w:hAnsi="Arial"/>
          <w:sz w:val="18"/>
          <w:szCs w:val="18"/>
          <w:color w:val="auto"/>
        </w:rPr>
        <w:t>Maintain documented processes and controls to:</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3"/>
        </w:numPr>
        <w:rPr>
          <w:rFonts w:ascii="Arial" w:cs="Arial" w:eastAsia="Arial" w:hAnsi="Arial"/>
          <w:sz w:val="16"/>
          <w:szCs w:val="16"/>
          <w:color w:val="auto"/>
        </w:rPr>
      </w:pPr>
      <w:r>
        <w:rPr>
          <w:rFonts w:ascii="Arial" w:cs="Arial" w:eastAsia="Arial" w:hAnsi="Arial"/>
          <w:sz w:val="16"/>
          <w:szCs w:val="16"/>
          <w:color w:val="auto"/>
        </w:rPr>
        <w:t>Detect and terminate unauthorized attempts to access and/or change In-Scope Information, and/or system or application configuration files;</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263"/>
        </w:numPr>
        <w:rPr>
          <w:rFonts w:ascii="Arial" w:cs="Arial" w:eastAsia="Arial" w:hAnsi="Arial"/>
          <w:sz w:val="18"/>
          <w:szCs w:val="18"/>
          <w:color w:val="auto"/>
        </w:rPr>
      </w:pPr>
      <w:r>
        <w:rPr>
          <w:rFonts w:ascii="Arial" w:cs="Arial" w:eastAsia="Arial" w:hAnsi="Arial"/>
          <w:sz w:val="18"/>
          <w:szCs w:val="18"/>
          <w:color w:val="auto"/>
        </w:rPr>
        <w:t>Log all successful and unsuccessful login attempts and logoffs; and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131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964" w:hanging="532"/>
        <w:spacing w:after="0"/>
        <w:tabs>
          <w:tab w:leader="none" w:pos="96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Monitor and investigate unauthorized activity and remediate any successful unauthorized activity</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Identification and Authentication</w:t>
      </w:r>
    </w:p>
    <w:p>
      <w:pPr>
        <w:spacing w:after="0" w:line="131" w:lineRule="exact"/>
        <w:rPr>
          <w:sz w:val="20"/>
          <w:szCs w:val="20"/>
          <w:color w:val="auto"/>
        </w:rPr>
      </w:pPr>
    </w:p>
    <w:p>
      <w:pPr>
        <w:ind w:left="424" w:right="280" w:hanging="424"/>
        <w:spacing w:after="0" w:line="277" w:lineRule="auto"/>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Assign unique UserIDs to authorized individual users and Service Accounts. Assign individual ownership to Service Accounts. Should Service Accounts be shared among users, individual accountability must be maintained at all times.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Maintain a documented UserID lifecycle management process for all Information Resources across all environments that includes: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Manual and/or automated processes for approved account creation and/or modification;</w:t>
      </w:r>
    </w:p>
    <w:p>
      <w:pPr>
        <w:spacing w:after="0" w:line="130" w:lineRule="exact"/>
        <w:rPr>
          <w:rFonts w:ascii="Arial" w:cs="Arial" w:eastAsia="Arial" w:hAnsi="Arial"/>
          <w:sz w:val="18"/>
          <w:szCs w:val="18"/>
          <w:color w:val="auto"/>
        </w:rPr>
      </w:pPr>
    </w:p>
    <w:p>
      <w:pPr>
        <w:ind w:left="964" w:right="500" w:hanging="532"/>
        <w:spacing w:after="0" w:line="277" w:lineRule="auto"/>
        <w:tabs>
          <w:tab w:leader="none" w:pos="96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Account disabling within t[***] days of user termination or the occurrence of any other condition rendering the account as no longer needed, followed by removal of the account within [***] days;</w:t>
      </w:r>
    </w:p>
    <w:p>
      <w:pPr>
        <w:spacing w:after="0" w:line="75" w:lineRule="exact"/>
        <w:rPr>
          <w:rFonts w:ascii="Arial" w:cs="Arial" w:eastAsia="Arial" w:hAnsi="Arial"/>
          <w:sz w:val="18"/>
          <w:szCs w:val="18"/>
          <w:color w:val="auto"/>
        </w:rPr>
      </w:pPr>
    </w:p>
    <w:p>
      <w:pPr>
        <w:ind w:left="964" w:right="260" w:hanging="532"/>
        <w:spacing w:after="0" w:line="342" w:lineRule="auto"/>
        <w:tabs>
          <w:tab w:leader="none" w:pos="964" w:val="left"/>
        </w:tabs>
        <w:numPr>
          <w:ilvl w:val="1"/>
          <w:numId w:val="265"/>
        </w:numPr>
        <w:rPr>
          <w:rFonts w:ascii="Arial" w:cs="Arial" w:eastAsia="Arial" w:hAnsi="Arial"/>
          <w:sz w:val="16"/>
          <w:szCs w:val="16"/>
          <w:color w:val="auto"/>
        </w:rPr>
      </w:pPr>
      <w:r>
        <w:rPr>
          <w:rFonts w:ascii="Arial" w:cs="Arial" w:eastAsia="Arial" w:hAnsi="Arial"/>
          <w:sz w:val="16"/>
          <w:szCs w:val="16"/>
          <w:color w:val="auto"/>
        </w:rPr>
        <w:t>Disabling and/or removing inactive accounts used by an individual after no more than [***] days of inactivity except in cases where the account is assigned to a customer of AT&amp;T or used by a current or retired employee of AT&amp;T to process their own information; and</w:t>
      </w:r>
    </w:p>
    <w:p>
      <w:pPr>
        <w:spacing w:after="0" w:line="29" w:lineRule="exact"/>
        <w:rPr>
          <w:rFonts w:ascii="Arial" w:cs="Arial" w:eastAsia="Arial" w:hAnsi="Arial"/>
          <w:sz w:val="16"/>
          <w:szCs w:val="16"/>
          <w:color w:val="auto"/>
        </w:rPr>
      </w:pPr>
    </w:p>
    <w:p>
      <w:pPr>
        <w:ind w:left="964" w:hanging="532"/>
        <w:spacing w:after="0"/>
        <w:tabs>
          <w:tab w:leader="none" w:pos="96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Initiating processes to review, no less than [***], access privileges and account validity.</w:t>
      </w:r>
    </w:p>
    <w:p>
      <w:pPr>
        <w:spacing w:after="0" w:line="130" w:lineRule="exact"/>
        <w:rPr>
          <w:rFonts w:ascii="Arial" w:cs="Arial" w:eastAsia="Arial" w:hAnsi="Arial"/>
          <w:sz w:val="18"/>
          <w:szCs w:val="18"/>
          <w:color w:val="auto"/>
        </w:rPr>
      </w:pPr>
    </w:p>
    <w:p>
      <w:pPr>
        <w:jc w:val="both"/>
        <w:ind w:left="424" w:right="140" w:hanging="424"/>
        <w:spacing w:after="0" w:line="263" w:lineRule="auto"/>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Limit failed login attempts to no more than [***] consecutive attempts by locking the user account. Access to the user account can be reactivated through the use of a manual process requiring verification of the user’s identity or, where such capability exists, can be automatically reactivated after at least [***] from the last failed login attempt.</w:t>
      </w:r>
    </w:p>
    <w:p>
      <w:pPr>
        <w:spacing w:after="0" w:line="89" w:lineRule="exact"/>
        <w:rPr>
          <w:rFonts w:ascii="Arial" w:cs="Arial" w:eastAsia="Arial" w:hAnsi="Arial"/>
          <w:sz w:val="18"/>
          <w:szCs w:val="18"/>
          <w:color w:val="auto"/>
        </w:rPr>
      </w:pPr>
    </w:p>
    <w:p>
      <w:pPr>
        <w:ind w:left="424" w:right="720" w:hanging="424"/>
        <w:spacing w:after="0" w:line="308" w:lineRule="auto"/>
        <w:tabs>
          <w:tab w:leader="none" w:pos="42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Terminate interactive sessions on a user’s workstation, or activate a secure, locking screensaver requiring authentication, after a period of inactivity not to exceed [***]. On all other Information Resources terminate inactive interactive sessions not to exceed [***]</w:t>
      </w:r>
    </w:p>
    <w:p>
      <w:pPr>
        <w:spacing w:after="0" w:line="51" w:lineRule="exact"/>
        <w:rPr>
          <w:rFonts w:ascii="Arial" w:cs="Arial" w:eastAsia="Arial" w:hAnsi="Arial"/>
          <w:sz w:val="17"/>
          <w:szCs w:val="17"/>
          <w:color w:val="auto"/>
        </w:rPr>
      </w:pPr>
    </w:p>
    <w:p>
      <w:pPr>
        <w:ind w:left="964" w:right="400" w:hanging="964"/>
        <w:spacing w:after="0" w:line="277" w:lineRule="auto"/>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a.Use Strong Encryption and/or one-way hashing based upon Strong Cryptography whenever authentication credentials are stored. This requirement applies to all classifications of users.</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266"/>
        </w:numPr>
        <w:rPr>
          <w:rFonts w:ascii="Arial" w:cs="Arial" w:eastAsia="Arial" w:hAnsi="Arial"/>
          <w:sz w:val="18"/>
          <w:szCs w:val="18"/>
          <w:color w:val="auto"/>
        </w:rPr>
      </w:pPr>
      <w:r>
        <w:rPr>
          <w:rFonts w:ascii="Arial" w:cs="Arial" w:eastAsia="Arial" w:hAnsi="Arial"/>
          <w:sz w:val="18"/>
          <w:szCs w:val="18"/>
          <w:color w:val="auto"/>
        </w:rPr>
        <w:t>Passwords must be complex and meet the following password construction requirements: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2"/>
          <w:numId w:val="266"/>
        </w:numPr>
        <w:rPr>
          <w:rFonts w:ascii="Arial" w:cs="Arial" w:eastAsia="Arial" w:hAnsi="Arial"/>
          <w:sz w:val="18"/>
          <w:szCs w:val="18"/>
          <w:color w:val="auto"/>
        </w:rPr>
      </w:pPr>
      <w:r>
        <w:rPr>
          <w:rFonts w:ascii="Arial" w:cs="Arial" w:eastAsia="Arial" w:hAnsi="Arial"/>
          <w:sz w:val="18"/>
          <w:szCs w:val="18"/>
          <w:color w:val="auto"/>
        </w:rPr>
        <w:t>Be a minimum of eight (8) characters in length;</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2"/>
          <w:numId w:val="266"/>
        </w:numPr>
        <w:rPr>
          <w:rFonts w:ascii="Arial" w:cs="Arial" w:eastAsia="Arial" w:hAnsi="Arial"/>
          <w:sz w:val="18"/>
          <w:szCs w:val="18"/>
          <w:color w:val="auto"/>
        </w:rPr>
      </w:pPr>
      <w:r>
        <w:rPr>
          <w:rFonts w:ascii="Arial" w:cs="Arial" w:eastAsia="Arial" w:hAnsi="Arial"/>
          <w:sz w:val="18"/>
          <w:szCs w:val="18"/>
          <w:color w:val="auto"/>
        </w:rPr>
        <w:t>Include characters from at least two (2) of these groupings: alpha, numeric, and special characters;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2"/>
          <w:numId w:val="266"/>
        </w:numPr>
        <w:rPr>
          <w:rFonts w:ascii="Arial" w:cs="Arial" w:eastAsia="Arial" w:hAnsi="Arial"/>
          <w:sz w:val="18"/>
          <w:szCs w:val="18"/>
          <w:color w:val="auto"/>
        </w:rPr>
      </w:pPr>
      <w:r>
        <w:rPr>
          <w:rFonts w:ascii="Arial" w:cs="Arial" w:eastAsia="Arial" w:hAnsi="Arial"/>
          <w:sz w:val="18"/>
          <w:szCs w:val="18"/>
          <w:color w:val="auto"/>
        </w:rPr>
        <w:t>Not be the same as the UserID with which they are associated; and</w:t>
      </w:r>
    </w:p>
    <w:p>
      <w:pPr>
        <w:spacing w:after="0" w:line="130" w:lineRule="exact"/>
        <w:rPr>
          <w:rFonts w:ascii="Arial" w:cs="Arial" w:eastAsia="Arial" w:hAnsi="Arial"/>
          <w:sz w:val="18"/>
          <w:szCs w:val="18"/>
          <w:color w:val="auto"/>
        </w:rPr>
      </w:pPr>
    </w:p>
    <w:p>
      <w:pPr>
        <w:ind w:left="1424" w:right="320" w:hanging="331"/>
        <w:spacing w:after="0" w:line="277" w:lineRule="auto"/>
        <w:tabs>
          <w:tab w:leader="none" w:pos="1424" w:val="left"/>
        </w:tabs>
        <w:numPr>
          <w:ilvl w:val="2"/>
          <w:numId w:val="266"/>
        </w:numPr>
        <w:rPr>
          <w:rFonts w:ascii="Arial" w:cs="Arial" w:eastAsia="Arial" w:hAnsi="Arial"/>
          <w:sz w:val="18"/>
          <w:szCs w:val="18"/>
          <w:color w:val="auto"/>
        </w:rPr>
      </w:pPr>
      <w:r>
        <w:rPr>
          <w:rFonts w:ascii="Arial" w:cs="Arial" w:eastAsia="Arial" w:hAnsi="Arial"/>
          <w:sz w:val="18"/>
          <w:szCs w:val="18"/>
          <w:color w:val="auto"/>
        </w:rPr>
        <w:t>Expire passwords at regular intervals not to exceed [***] calendar days with the exception of Service Accounts which must have minimum of sixteen (16) characters in length and expire at least every [***] years.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66"/>
        </w:numPr>
        <w:rPr>
          <w:rFonts w:ascii="Arial" w:cs="Arial" w:eastAsia="Arial" w:hAnsi="Arial"/>
          <w:sz w:val="18"/>
          <w:szCs w:val="18"/>
          <w:color w:val="auto"/>
        </w:rPr>
      </w:pPr>
      <w:r>
        <w:rPr>
          <w:rFonts w:ascii="Arial" w:cs="Arial" w:eastAsia="Arial" w:hAnsi="Arial"/>
          <w:sz w:val="18"/>
          <w:szCs w:val="18"/>
          <w:color w:val="auto"/>
        </w:rPr>
        <w:t>In situations where PINs are utilized, the following requirements must be met:</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2"/>
          <w:numId w:val="266"/>
        </w:numPr>
        <w:rPr>
          <w:rFonts w:ascii="Arial" w:cs="Arial" w:eastAsia="Arial" w:hAnsi="Arial"/>
          <w:sz w:val="18"/>
          <w:szCs w:val="18"/>
          <w:color w:val="auto"/>
        </w:rPr>
      </w:pPr>
      <w:r>
        <w:rPr>
          <w:rFonts w:ascii="Arial" w:cs="Arial" w:eastAsia="Arial" w:hAnsi="Arial"/>
          <w:sz w:val="18"/>
          <w:szCs w:val="18"/>
          <w:color w:val="auto"/>
        </w:rPr>
        <w:t>Be a minimum of four (4) numbers;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2"/>
          <w:numId w:val="266"/>
        </w:numPr>
        <w:rPr>
          <w:rFonts w:ascii="Arial" w:cs="Arial" w:eastAsia="Arial" w:hAnsi="Arial"/>
          <w:sz w:val="18"/>
          <w:szCs w:val="18"/>
          <w:color w:val="auto"/>
        </w:rPr>
      </w:pPr>
      <w:r>
        <w:rPr>
          <w:rFonts w:ascii="Arial" w:cs="Arial" w:eastAsia="Arial" w:hAnsi="Arial"/>
          <w:sz w:val="18"/>
          <w:szCs w:val="18"/>
          <w:color w:val="auto"/>
        </w:rPr>
        <w:t>Not contain repeating or sequential numbers;</w:t>
      </w:r>
    </w:p>
    <w:p>
      <w:pPr>
        <w:spacing w:after="0" w:line="130" w:lineRule="exact"/>
        <w:rPr>
          <w:rFonts w:ascii="Arial" w:cs="Arial" w:eastAsia="Arial" w:hAnsi="Arial"/>
          <w:sz w:val="18"/>
          <w:szCs w:val="18"/>
          <w:color w:val="auto"/>
        </w:rPr>
      </w:pPr>
    </w:p>
    <w:p>
      <w:pPr>
        <w:ind w:left="1424" w:right="240" w:hanging="331"/>
        <w:spacing w:after="0" w:line="277" w:lineRule="auto"/>
        <w:tabs>
          <w:tab w:leader="none" w:pos="1424" w:val="left"/>
        </w:tabs>
        <w:numPr>
          <w:ilvl w:val="2"/>
          <w:numId w:val="266"/>
        </w:numPr>
        <w:rPr>
          <w:rFonts w:ascii="Arial" w:cs="Arial" w:eastAsia="Arial" w:hAnsi="Arial"/>
          <w:sz w:val="18"/>
          <w:szCs w:val="18"/>
          <w:color w:val="auto"/>
        </w:rPr>
      </w:pPr>
      <w:r>
        <w:rPr>
          <w:rFonts w:ascii="Arial" w:cs="Arial" w:eastAsia="Arial" w:hAnsi="Arial"/>
          <w:sz w:val="18"/>
          <w:szCs w:val="18"/>
          <w:color w:val="auto"/>
        </w:rPr>
        <w:t>Expire PINs at regular intervals not to exceed [***] days with the exception of PINs used as part of a Multi-Factor Authentication implementation or voice mail system; and</w:t>
      </w:r>
    </w:p>
    <w:p>
      <w:pPr>
        <w:spacing w:after="0" w:line="75" w:lineRule="exact"/>
        <w:rPr>
          <w:rFonts w:ascii="Arial" w:cs="Arial" w:eastAsia="Arial" w:hAnsi="Arial"/>
          <w:sz w:val="18"/>
          <w:szCs w:val="18"/>
          <w:color w:val="auto"/>
        </w:rPr>
      </w:pPr>
    </w:p>
    <w:p>
      <w:pPr>
        <w:ind w:left="1424" w:hanging="331"/>
        <w:spacing w:after="0"/>
        <w:tabs>
          <w:tab w:leader="none" w:pos="1424" w:val="left"/>
        </w:tabs>
        <w:numPr>
          <w:ilvl w:val="2"/>
          <w:numId w:val="266"/>
        </w:numPr>
        <w:rPr>
          <w:rFonts w:ascii="Arial" w:cs="Arial" w:eastAsia="Arial" w:hAnsi="Arial"/>
          <w:sz w:val="18"/>
          <w:szCs w:val="18"/>
          <w:color w:val="auto"/>
        </w:rPr>
      </w:pPr>
      <w:r>
        <w:rPr>
          <w:rFonts w:ascii="Arial" w:cs="Arial" w:eastAsia="Arial" w:hAnsi="Arial"/>
          <w:sz w:val="18"/>
          <w:szCs w:val="18"/>
          <w:color w:val="auto"/>
        </w:rPr>
        <w:t>Shall not be used as the sole authentication factor, except for use in voice mail systems.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132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440" w:hanging="424"/>
        <w:spacing w:after="0" w:line="277" w:lineRule="auto"/>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When providing users with a new or reset password, or other authentication credentials, use a secure method to provide this information, and require a password reset at first login whenever a temporary credential is used.</w:t>
      </w:r>
    </w:p>
    <w:p>
      <w:pPr>
        <w:spacing w:after="0" w:line="278"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Warning Notice</w:t>
      </w:r>
    </w:p>
    <w:p>
      <w:pPr>
        <w:spacing w:after="0" w:line="130" w:lineRule="exact"/>
        <w:rPr>
          <w:rFonts w:ascii="Arial" w:cs="Arial" w:eastAsia="Arial" w:hAnsi="Arial"/>
          <w:sz w:val="18"/>
          <w:szCs w:val="18"/>
          <w:color w:val="auto"/>
        </w:rPr>
      </w:pPr>
    </w:p>
    <w:p>
      <w:pPr>
        <w:ind w:left="424" w:right="680" w:hanging="424"/>
        <w:spacing w:after="0" w:line="308" w:lineRule="auto"/>
        <w:tabs>
          <w:tab w:leader="none" w:pos="424" w:val="left"/>
        </w:tabs>
        <w:numPr>
          <w:ilvl w:val="0"/>
          <w:numId w:val="267"/>
        </w:numPr>
        <w:rPr>
          <w:rFonts w:ascii="Arial" w:cs="Arial" w:eastAsia="Arial" w:hAnsi="Arial"/>
          <w:sz w:val="17"/>
          <w:szCs w:val="17"/>
          <w:color w:val="auto"/>
        </w:rPr>
      </w:pPr>
      <w:r>
        <w:rPr>
          <w:rFonts w:ascii="Arial" w:cs="Arial" w:eastAsia="Arial" w:hAnsi="Arial"/>
          <w:sz w:val="17"/>
          <w:szCs w:val="17"/>
          <w:color w:val="auto"/>
        </w:rPr>
        <w:t>In jurisdictions where unauthorized access to Information Resources and In-Scope Information is a violation of the law, add the following statement to the displayed warning notice: “Unauthorized access is a violation of law” or similar warning language.</w:t>
      </w:r>
    </w:p>
    <w:p>
      <w:pPr>
        <w:spacing w:after="0" w:line="146"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u w:val="single" w:color="auto"/>
          <w:color w:val="auto"/>
        </w:rPr>
        <w:t>Software, Software Code, and Data Integrity</w:t>
      </w:r>
    </w:p>
    <w:p>
      <w:pPr>
        <w:spacing w:after="0" w:line="130" w:lineRule="exact"/>
        <w:rPr>
          <w:rFonts w:ascii="Arial" w:cs="Arial" w:eastAsia="Arial" w:hAnsi="Arial"/>
          <w:sz w:val="17"/>
          <w:szCs w:val="17"/>
          <w:color w:val="auto"/>
        </w:rPr>
      </w:pPr>
    </w:p>
    <w:p>
      <w:pPr>
        <w:ind w:left="424" w:hanging="424"/>
        <w:spacing w:after="0"/>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Have and use documented procedures to:</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Install and run a current antivirus solution to scan for and promptly remove or quarantine viruses and other malware;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7"/>
        </w:numPr>
        <w:rPr>
          <w:rFonts w:ascii="Arial" w:cs="Arial" w:eastAsia="Arial" w:hAnsi="Arial"/>
          <w:sz w:val="16"/>
          <w:szCs w:val="16"/>
          <w:color w:val="auto"/>
        </w:rPr>
      </w:pPr>
      <w:r>
        <w:rPr>
          <w:rFonts w:ascii="Arial" w:cs="Arial" w:eastAsia="Arial" w:hAnsi="Arial"/>
          <w:sz w:val="16"/>
          <w:szCs w:val="16"/>
          <w:color w:val="auto"/>
        </w:rPr>
        <w:t>Configure end user devices to ensure end users are restricted from the ability to install unauthorized software; or disable required software.</w:t>
      </w:r>
    </w:p>
    <w:p>
      <w:pPr>
        <w:spacing w:after="0" w:line="153" w:lineRule="exact"/>
        <w:rPr>
          <w:rFonts w:ascii="Arial" w:cs="Arial" w:eastAsia="Arial" w:hAnsi="Arial"/>
          <w:sz w:val="16"/>
          <w:szCs w:val="16"/>
          <w:color w:val="auto"/>
        </w:rPr>
      </w:pPr>
    </w:p>
    <w:p>
      <w:pPr>
        <w:ind w:left="424" w:right="140" w:hanging="424"/>
        <w:spacing w:after="0" w:line="277" w:lineRule="auto"/>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Separate non-production Information Resources from production Information Resources and separate In-Scope Information from non-production Information Resources.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Maintain a documented change control process including back-out procedures for all production environments.</w:t>
      </w:r>
    </w:p>
    <w:p>
      <w:pPr>
        <w:spacing w:after="0" w:line="130" w:lineRule="exact"/>
        <w:rPr>
          <w:rFonts w:ascii="Arial" w:cs="Arial" w:eastAsia="Arial" w:hAnsi="Arial"/>
          <w:sz w:val="18"/>
          <w:szCs w:val="18"/>
          <w:color w:val="auto"/>
        </w:rPr>
      </w:pPr>
    </w:p>
    <w:p>
      <w:pPr>
        <w:ind w:left="424" w:right="260" w:hanging="424"/>
        <w:spacing w:after="0" w:line="277" w:lineRule="auto"/>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For applications which utilize a database that allows modifications to In-Scope Information, logs for forensic analysis purposes shall be created and retained for a minimum of [***] either on-line or on backup media as follows: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Where transaction logging is supported have database transaction logging features enabled; or</w:t>
      </w:r>
    </w:p>
    <w:p>
      <w:pPr>
        <w:spacing w:after="0" w:line="130" w:lineRule="exact"/>
        <w:rPr>
          <w:rFonts w:ascii="Arial" w:cs="Arial" w:eastAsia="Arial" w:hAnsi="Arial"/>
          <w:sz w:val="18"/>
          <w:szCs w:val="18"/>
          <w:color w:val="auto"/>
        </w:rPr>
      </w:pPr>
    </w:p>
    <w:p>
      <w:pPr>
        <w:ind w:left="964" w:right="160" w:hanging="532"/>
        <w:spacing w:after="0" w:line="277" w:lineRule="auto"/>
        <w:tabs>
          <w:tab w:leader="none" w:pos="96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Where transaction logging is not supported have some other mechanism that logs all modifications to In-Scope Information stored within the database including timestamp, UserID and information modified.</w:t>
      </w:r>
    </w:p>
    <w:p>
      <w:pPr>
        <w:spacing w:after="0" w:line="75" w:lineRule="exact"/>
        <w:rPr>
          <w:rFonts w:ascii="Arial" w:cs="Arial" w:eastAsia="Arial" w:hAnsi="Arial"/>
          <w:sz w:val="18"/>
          <w:szCs w:val="18"/>
          <w:color w:val="auto"/>
        </w:rPr>
      </w:pPr>
    </w:p>
    <w:p>
      <w:pPr>
        <w:ind w:left="964" w:right="120" w:hanging="964"/>
        <w:spacing w:after="0" w:line="263" w:lineRule="auto"/>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a.For all software developed or customized for AT&amp;T under the Agreement, review and scan such software to find and remediate malicious code and/or security vulnerabilities in accordance and subject to an Order terms including agreement regarding funding. Upon request, make scan results and remediation plans available to AT&amp;T.</w:t>
      </w:r>
    </w:p>
    <w:p>
      <w:pPr>
        <w:spacing w:after="0" w:line="19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Specifically,</w:t>
      </w:r>
    </w:p>
    <w:p>
      <w:pPr>
        <w:spacing w:after="0" w:line="131" w:lineRule="exact"/>
        <w:rPr>
          <w:sz w:val="20"/>
          <w:szCs w:val="20"/>
          <w:color w:val="auto"/>
        </w:rPr>
      </w:pPr>
    </w:p>
    <w:p>
      <w:pPr>
        <w:ind w:left="1424" w:hanging="439"/>
        <w:spacing w:after="0"/>
        <w:tabs>
          <w:tab w:leader="none" w:pos="1424" w:val="left"/>
        </w:tabs>
        <w:numPr>
          <w:ilvl w:val="2"/>
          <w:numId w:val="268"/>
        </w:numPr>
        <w:rPr>
          <w:rFonts w:ascii="Arial" w:cs="Arial" w:eastAsia="Arial" w:hAnsi="Arial"/>
          <w:sz w:val="18"/>
          <w:szCs w:val="18"/>
          <w:color w:val="auto"/>
        </w:rPr>
      </w:pPr>
      <w:r>
        <w:rPr>
          <w:rFonts w:ascii="Arial" w:cs="Arial" w:eastAsia="Arial" w:hAnsi="Arial"/>
          <w:sz w:val="18"/>
          <w:szCs w:val="18"/>
          <w:color w:val="auto"/>
        </w:rPr>
        <w:t>Source code vulnerability scanning must be performed prior to initial deployment and upon code changes; and</w:t>
      </w:r>
    </w:p>
    <w:p>
      <w:pPr>
        <w:spacing w:after="0" w:line="130" w:lineRule="exact"/>
        <w:rPr>
          <w:rFonts w:ascii="Arial" w:cs="Arial" w:eastAsia="Arial" w:hAnsi="Arial"/>
          <w:sz w:val="18"/>
          <w:szCs w:val="18"/>
          <w:color w:val="auto"/>
        </w:rPr>
      </w:pPr>
    </w:p>
    <w:p>
      <w:pPr>
        <w:ind w:left="1424" w:right="60" w:hanging="439"/>
        <w:spacing w:after="0" w:line="277" w:lineRule="auto"/>
        <w:tabs>
          <w:tab w:leader="none" w:pos="1424" w:val="left"/>
        </w:tabs>
        <w:numPr>
          <w:ilvl w:val="2"/>
          <w:numId w:val="268"/>
        </w:numPr>
        <w:rPr>
          <w:rFonts w:ascii="Arial" w:cs="Arial" w:eastAsia="Arial" w:hAnsi="Arial"/>
          <w:sz w:val="18"/>
          <w:szCs w:val="18"/>
          <w:color w:val="auto"/>
        </w:rPr>
      </w:pPr>
      <w:r>
        <w:rPr>
          <w:rFonts w:ascii="Arial" w:cs="Arial" w:eastAsia="Arial" w:hAnsi="Arial"/>
          <w:sz w:val="18"/>
          <w:szCs w:val="18"/>
          <w:color w:val="auto"/>
        </w:rPr>
        <w:t>Dynamic analysis must be performed for all web applications prior to initial deployment, upon code changes and/or at least annually subject to a Project funded by AT&amp;T.</w:t>
      </w:r>
    </w:p>
    <w:p>
      <w:pPr>
        <w:spacing w:after="0" w:line="75"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Where technically feasible, for all software used, that is not developed for AT&amp;T under the Agreement, review and scan such software prior to initial deployment, upon code changes and/or at least annually.</w:t>
      </w:r>
    </w:p>
    <w:p>
      <w:pPr>
        <w:spacing w:after="0" w:line="75"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270"/>
        </w:numPr>
        <w:rPr>
          <w:rFonts w:ascii="Arial" w:cs="Arial" w:eastAsia="Arial" w:hAnsi="Arial"/>
          <w:sz w:val="18"/>
          <w:szCs w:val="18"/>
          <w:color w:val="auto"/>
        </w:rPr>
      </w:pPr>
      <w:r>
        <w:rPr>
          <w:rFonts w:ascii="Arial" w:cs="Arial" w:eastAsia="Arial" w:hAnsi="Arial"/>
          <w:sz w:val="18"/>
          <w:szCs w:val="18"/>
          <w:color w:val="auto"/>
        </w:rPr>
        <w:t>For all software developed or customized for AT&amp;T under the Agreement, during initial implementation and upon any modifications or updates, meet the following requirements: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70"/>
        </w:numPr>
        <w:rPr>
          <w:rFonts w:ascii="Arial" w:cs="Arial" w:eastAsia="Arial" w:hAnsi="Arial"/>
          <w:sz w:val="18"/>
          <w:szCs w:val="18"/>
          <w:color w:val="auto"/>
        </w:rPr>
      </w:pPr>
      <w:r>
        <w:rPr>
          <w:rFonts w:ascii="Arial" w:cs="Arial" w:eastAsia="Arial" w:hAnsi="Arial"/>
          <w:sz w:val="18"/>
          <w:szCs w:val="18"/>
          <w:color w:val="auto"/>
        </w:rPr>
        <w:t>Ensure that there are no embedded credentials (i.e., hardcoded passwords, SSH keys); and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133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964" w:right="160" w:hanging="532"/>
        <w:spacing w:after="0" w:line="277" w:lineRule="auto"/>
        <w:tabs>
          <w:tab w:leader="none" w:pos="964" w:val="left"/>
        </w:tabs>
        <w:numPr>
          <w:ilvl w:val="0"/>
          <w:numId w:val="271"/>
        </w:numPr>
        <w:rPr>
          <w:rFonts w:ascii="Arial" w:cs="Arial" w:eastAsia="Arial" w:hAnsi="Arial"/>
          <w:sz w:val="18"/>
          <w:szCs w:val="18"/>
          <w:color w:val="auto"/>
        </w:rPr>
      </w:pPr>
      <w:r>
        <w:rPr>
          <w:rFonts w:ascii="Arial" w:cs="Arial" w:eastAsia="Arial" w:hAnsi="Arial"/>
          <w:sz w:val="18"/>
          <w:szCs w:val="18"/>
          <w:color w:val="auto"/>
        </w:rPr>
        <w:t>Perform quality assurance testing for the security components (e.g., identification, authentication, and authorization functions), as well as any other activity designed to validate the security architecture.</w:t>
      </w:r>
    </w:p>
    <w:p>
      <w:pPr>
        <w:spacing w:after="0" w:line="17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Monitoring and Auditing Controls</w:t>
      </w:r>
    </w:p>
    <w:p>
      <w:pPr>
        <w:spacing w:after="0" w:line="131" w:lineRule="exact"/>
        <w:rPr>
          <w:sz w:val="20"/>
          <w:szCs w:val="20"/>
          <w:color w:val="auto"/>
        </w:rPr>
      </w:pPr>
    </w:p>
    <w:p>
      <w:pPr>
        <w:ind w:left="424" w:hanging="424"/>
        <w:spacing w:after="0"/>
        <w:tabs>
          <w:tab w:leader="none" w:pos="42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Restrict access to security logs to authorized individuals and protect security logs from unauthorized modification.</w:t>
      </w:r>
    </w:p>
    <w:p>
      <w:pPr>
        <w:spacing w:after="0" w:line="130" w:lineRule="exact"/>
        <w:rPr>
          <w:rFonts w:ascii="Arial" w:cs="Arial" w:eastAsia="Arial" w:hAnsi="Arial"/>
          <w:sz w:val="18"/>
          <w:szCs w:val="18"/>
          <w:color w:val="auto"/>
        </w:rPr>
      </w:pPr>
    </w:p>
    <w:p>
      <w:pPr>
        <w:ind w:left="424" w:right="80" w:hanging="424"/>
        <w:spacing w:after="0" w:line="311" w:lineRule="auto"/>
        <w:tabs>
          <w:tab w:leader="none" w:pos="424" w:val="left"/>
        </w:tabs>
        <w:numPr>
          <w:ilvl w:val="0"/>
          <w:numId w:val="272"/>
        </w:numPr>
        <w:rPr>
          <w:rFonts w:ascii="Arial" w:cs="Arial" w:eastAsia="Arial" w:hAnsi="Arial"/>
          <w:sz w:val="16"/>
          <w:szCs w:val="16"/>
          <w:color w:val="auto"/>
        </w:rPr>
      </w:pPr>
      <w:r>
        <w:rPr>
          <w:rFonts w:ascii="Arial" w:cs="Arial" w:eastAsia="Arial" w:hAnsi="Arial"/>
          <w:sz w:val="16"/>
          <w:szCs w:val="16"/>
          <w:color w:val="auto"/>
        </w:rPr>
        <w:t>Review, on [***], all anomalies from security and security-related audit logs and document and resolve logged security problems in a timely manner. Automated processes may promptly issue alarms and/or alerts that cause prompt investigation and review by responsible individuals, and if automated processes successfully resolve a logged security problem, no further action by responsible individuals is required.</w:t>
      </w:r>
    </w:p>
    <w:p>
      <w:pPr>
        <w:spacing w:after="0" w:line="54" w:lineRule="exact"/>
        <w:rPr>
          <w:rFonts w:ascii="Arial" w:cs="Arial" w:eastAsia="Arial" w:hAnsi="Arial"/>
          <w:sz w:val="16"/>
          <w:szCs w:val="16"/>
          <w:color w:val="auto"/>
        </w:rPr>
      </w:pPr>
    </w:p>
    <w:p>
      <w:pPr>
        <w:jc w:val="both"/>
        <w:ind w:left="964" w:right="80" w:hanging="964"/>
        <w:spacing w:after="0" w:line="259" w:lineRule="auto"/>
        <w:tabs>
          <w:tab w:leader="none" w:pos="42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a.When presented with evidence by AT&amp;T of a threat to AT&amp;T or AT&amp;T’s customers’ Nonpublic Information Resources originating from the Supplier’s network (e.g., worm, virus or other malware, bot infection, Advanced Persistent Threat (APT), DoS/DDoS attack), Supplier shall promptly cooperate with AT&amp;T and take all reasonable and necessary steps to isolate, mitigate, terminate and/or remediate all known or suspected threats.</w:t>
      </w:r>
    </w:p>
    <w:p>
      <w:pPr>
        <w:spacing w:after="0" w:line="105" w:lineRule="exact"/>
        <w:rPr>
          <w:rFonts w:ascii="Arial" w:cs="Arial" w:eastAsia="Arial" w:hAnsi="Arial"/>
          <w:sz w:val="18"/>
          <w:szCs w:val="18"/>
          <w:color w:val="auto"/>
        </w:rPr>
      </w:pPr>
    </w:p>
    <w:p>
      <w:pPr>
        <w:ind w:left="964" w:right="60" w:hanging="532"/>
        <w:spacing w:after="0" w:line="311" w:lineRule="auto"/>
        <w:tabs>
          <w:tab w:leader="none" w:pos="964" w:val="left"/>
        </w:tabs>
        <w:numPr>
          <w:ilvl w:val="1"/>
          <w:numId w:val="272"/>
        </w:numPr>
        <w:rPr>
          <w:rFonts w:ascii="Arial" w:cs="Arial" w:eastAsia="Arial" w:hAnsi="Arial"/>
          <w:sz w:val="16"/>
          <w:szCs w:val="16"/>
          <w:color w:val="auto"/>
        </w:rPr>
      </w:pPr>
      <w:r>
        <w:rPr>
          <w:rFonts w:ascii="Arial" w:cs="Arial" w:eastAsia="Arial" w:hAnsi="Arial"/>
          <w:sz w:val="16"/>
          <w:szCs w:val="16"/>
          <w:color w:val="auto"/>
        </w:rPr>
        <w:t>When Supplier learns of or discovers a known or suspected threat/vulnerability impacting AT&amp;T or AT&amp;T’s customers’ (including notifications received from security researchers, industry resources, or bug bounty program), Supplier must promptly notify and cooperate with AT&amp;T, and take all reasonable and necessary steps to isolate, mitigate, and/or remediate such known or suspected threat/vulnerability.</w:t>
      </w:r>
    </w:p>
    <w:p>
      <w:pPr>
        <w:spacing w:after="0" w:line="54" w:lineRule="exact"/>
        <w:rPr>
          <w:rFonts w:ascii="Arial" w:cs="Arial" w:eastAsia="Arial" w:hAnsi="Arial"/>
          <w:sz w:val="16"/>
          <w:szCs w:val="16"/>
          <w:color w:val="auto"/>
        </w:rPr>
      </w:pPr>
    </w:p>
    <w:p>
      <w:pPr>
        <w:ind w:left="964" w:right="280" w:hanging="532"/>
        <w:spacing w:after="0" w:line="263" w:lineRule="auto"/>
        <w:tabs>
          <w:tab w:leader="none" w:pos="96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In the event Supplier discovers that it is non-compliant, or AT&amp;T finds Supplier to be non-compliant with these Security Requirements, then Supplier shall implement corrective action promptly, but within no more than [***] after Supplier’s initial discovery, or AT&amp;T’s initial notification to Supplier, of such non-compliance, whichever is earlier.</w:t>
      </w:r>
    </w:p>
    <w:p>
      <w:pPr>
        <w:spacing w:after="0" w:line="18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Reporting Violations</w:t>
      </w:r>
    </w:p>
    <w:p>
      <w:pPr>
        <w:spacing w:after="0" w:line="131" w:lineRule="exact"/>
        <w:rPr>
          <w:sz w:val="20"/>
          <w:szCs w:val="20"/>
          <w:color w:val="auto"/>
        </w:rPr>
      </w:pPr>
    </w:p>
    <w:p>
      <w:pPr>
        <w:ind w:left="424" w:right="140" w:hanging="424"/>
        <w:spacing w:after="0" w:line="277" w:lineRule="auto"/>
        <w:tabs>
          <w:tab w:leader="none" w:pos="42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Maintain a documented procedure to be followed in the event of a suspected attack upon, intrusion upon, unauthorized access to, loss of, or other security breach involving In-Scope Information in which Supplier shall:</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Promptly investigate and determine if such an attack has occurred; and</w:t>
      </w:r>
    </w:p>
    <w:p>
      <w:pPr>
        <w:spacing w:after="0" w:line="130" w:lineRule="exact"/>
        <w:rPr>
          <w:rFonts w:ascii="Arial" w:cs="Arial" w:eastAsia="Arial" w:hAnsi="Arial"/>
          <w:sz w:val="18"/>
          <w:szCs w:val="18"/>
          <w:color w:val="auto"/>
        </w:rPr>
      </w:pPr>
    </w:p>
    <w:p>
      <w:pPr>
        <w:ind w:left="964" w:right="340" w:hanging="532"/>
        <w:spacing w:after="0" w:line="277" w:lineRule="auto"/>
        <w:tabs>
          <w:tab w:leader="none" w:pos="964" w:val="left"/>
        </w:tabs>
        <w:numPr>
          <w:ilvl w:val="1"/>
          <w:numId w:val="273"/>
        </w:numPr>
        <w:rPr>
          <w:rFonts w:ascii="Arial" w:cs="Arial" w:eastAsia="Arial" w:hAnsi="Arial"/>
          <w:sz w:val="18"/>
          <w:szCs w:val="18"/>
          <w:color w:val="auto"/>
        </w:rPr>
      </w:pPr>
      <w:r>
        <w:rPr>
          <w:rFonts w:ascii="Arial" w:cs="Arial" w:eastAsia="Arial" w:hAnsi="Arial"/>
          <w:sz w:val="18"/>
          <w:szCs w:val="18"/>
          <w:color w:val="auto"/>
        </w:rPr>
        <w:t>If a successful attack has occurred involving In-Scope Information or if it is impossible to determine whether the attack was successful then Supplier shall promptly notify AT&amp;T by contacting:</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273"/>
        </w:numPr>
        <w:rPr>
          <w:rFonts w:ascii="Arial" w:cs="Arial" w:eastAsia="Arial" w:hAnsi="Arial"/>
          <w:sz w:val="18"/>
          <w:szCs w:val="18"/>
          <w:color w:val="auto"/>
        </w:rPr>
      </w:pPr>
      <w:r>
        <w:rPr>
          <w:rFonts w:ascii="Arial" w:cs="Arial" w:eastAsia="Arial" w:hAnsi="Arial"/>
          <w:sz w:val="18"/>
          <w:szCs w:val="18"/>
          <w:color w:val="auto"/>
        </w:rPr>
        <w:t>Asset Protection by telephone at [***] from within the US and at [***] from elsewhere;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73"/>
        </w:numPr>
        <w:rPr>
          <w:rFonts w:ascii="Arial" w:cs="Arial" w:eastAsia="Arial" w:hAnsi="Arial"/>
          <w:sz w:val="18"/>
          <w:szCs w:val="18"/>
          <w:color w:val="auto"/>
        </w:rPr>
      </w:pPr>
      <w:r>
        <w:rPr>
          <w:rFonts w:ascii="Arial" w:cs="Arial" w:eastAsia="Arial" w:hAnsi="Arial"/>
          <w:sz w:val="18"/>
          <w:szCs w:val="18"/>
          <w:color w:val="auto"/>
        </w:rPr>
        <w:t>Supplier’s contact within AT&amp;T for service-related issues.</w:t>
      </w:r>
    </w:p>
    <w:p>
      <w:pPr>
        <w:spacing w:after="0" w:line="130" w:lineRule="exact"/>
        <w:rPr>
          <w:rFonts w:ascii="Arial" w:cs="Arial" w:eastAsia="Arial" w:hAnsi="Arial"/>
          <w:sz w:val="18"/>
          <w:szCs w:val="18"/>
          <w:color w:val="auto"/>
        </w:rPr>
      </w:pPr>
    </w:p>
    <w:p>
      <w:pPr>
        <w:ind w:left="424" w:right="180" w:hanging="424"/>
        <w:spacing w:after="0" w:line="301" w:lineRule="auto"/>
        <w:tabs>
          <w:tab w:leader="none" w:pos="424"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After notifying AT&amp;T whenever there is a successful attack upon, intrusion upon, unauthorized access to, loss of, or other breach of In-Scope Information, provide AT&amp;T with regular status updates, including, actions taken to resolve such incident, at mutually agreed intervals for the duration of the incident and, within [***] days of the closure of the incident, provide AT&amp;T with a written report describing the incident, actions taken by the Supplier during its response and Supplier’s plans for future actions to prevent a similar incident from occurring.</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134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Mobile and Portable Devices</w:t>
      </w:r>
    </w:p>
    <w:p>
      <w:pPr>
        <w:spacing w:after="0" w:line="131" w:lineRule="exact"/>
        <w:rPr>
          <w:sz w:val="20"/>
          <w:szCs w:val="20"/>
          <w:color w:val="auto"/>
        </w:rPr>
      </w:pPr>
    </w:p>
    <w:p>
      <w:pPr>
        <w:ind w:left="424" w:hanging="424"/>
        <w:spacing w:after="0"/>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Use Strong Encryption to protect all In-Scope Information stored on Mobile and Portable Devices.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Use Strong Encryption to protect all In-Scope Information transmitted using or remotely accessed by network-aware Mobile and Portable Devices.</w:t>
      </w:r>
    </w:p>
    <w:p>
      <w:pPr>
        <w:spacing w:after="0" w:line="153" w:lineRule="exact"/>
        <w:rPr>
          <w:rFonts w:ascii="Arial" w:cs="Arial" w:eastAsia="Arial" w:hAnsi="Arial"/>
          <w:sz w:val="16"/>
          <w:szCs w:val="16"/>
          <w:color w:val="auto"/>
        </w:rPr>
      </w:pPr>
    </w:p>
    <w:p>
      <w:pPr>
        <w:ind w:left="424" w:right="240" w:hanging="424"/>
        <w:spacing w:after="0" w:line="277" w:lineRule="auto"/>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Maintain documented policies, standards and procedures for Mobile and Portable Devices used to access and/or store In-Scope Information that include the following requirements: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74"/>
        </w:numPr>
        <w:rPr>
          <w:rFonts w:ascii="Arial" w:cs="Arial" w:eastAsia="Arial" w:hAnsi="Arial"/>
          <w:sz w:val="18"/>
          <w:szCs w:val="18"/>
          <w:color w:val="auto"/>
        </w:rPr>
      </w:pPr>
      <w:r>
        <w:rPr>
          <w:rFonts w:ascii="Arial" w:cs="Arial" w:eastAsia="Arial" w:hAnsi="Arial"/>
          <w:sz w:val="18"/>
          <w:szCs w:val="18"/>
          <w:color w:val="auto"/>
        </w:rPr>
        <w:t>All users must be authorized for such access and their identity authenticated;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74"/>
        </w:numPr>
        <w:rPr>
          <w:rFonts w:ascii="Arial" w:cs="Arial" w:eastAsia="Arial" w:hAnsi="Arial"/>
          <w:sz w:val="18"/>
          <w:szCs w:val="18"/>
          <w:color w:val="auto"/>
        </w:rPr>
      </w:pPr>
      <w:r>
        <w:rPr>
          <w:rFonts w:ascii="Arial" w:cs="Arial" w:eastAsia="Arial" w:hAnsi="Arial"/>
          <w:sz w:val="18"/>
          <w:szCs w:val="18"/>
          <w:color w:val="auto"/>
        </w:rPr>
        <w:t>Mobile and Portable Devices must be physically secured and/or in the physical possession of authorized individuals;</w:t>
      </w:r>
    </w:p>
    <w:p>
      <w:pPr>
        <w:spacing w:after="0" w:line="130" w:lineRule="exact"/>
        <w:rPr>
          <w:rFonts w:ascii="Arial" w:cs="Arial" w:eastAsia="Arial" w:hAnsi="Arial"/>
          <w:sz w:val="18"/>
          <w:szCs w:val="18"/>
          <w:color w:val="auto"/>
        </w:rPr>
      </w:pPr>
    </w:p>
    <w:p>
      <w:pPr>
        <w:ind w:left="964" w:right="80" w:hanging="532"/>
        <w:spacing w:after="0" w:line="308" w:lineRule="auto"/>
        <w:tabs>
          <w:tab w:leader="none" w:pos="964" w:val="left"/>
        </w:tabs>
        <w:numPr>
          <w:ilvl w:val="1"/>
          <w:numId w:val="274"/>
        </w:numPr>
        <w:rPr>
          <w:rFonts w:ascii="Arial" w:cs="Arial" w:eastAsia="Arial" w:hAnsi="Arial"/>
          <w:sz w:val="17"/>
          <w:szCs w:val="17"/>
          <w:color w:val="auto"/>
        </w:rPr>
      </w:pPr>
      <w:r>
        <w:rPr>
          <w:rFonts w:ascii="Arial" w:cs="Arial" w:eastAsia="Arial" w:hAnsi="Arial"/>
          <w:sz w:val="17"/>
          <w:szCs w:val="17"/>
          <w:color w:val="auto"/>
        </w:rPr>
        <w:t>Where technically feasible, use a remote wipe capability on such devices to promptly and securely delete In-Scope Information when such devices are not in the physical possession of authorized individuals nor otherwise physically secured; and</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1"/>
          <w:numId w:val="274"/>
        </w:numPr>
        <w:rPr>
          <w:rFonts w:ascii="Arial" w:cs="Arial" w:eastAsia="Arial" w:hAnsi="Arial"/>
          <w:sz w:val="18"/>
          <w:szCs w:val="18"/>
          <w:color w:val="auto"/>
        </w:rPr>
      </w:pPr>
      <w:r>
        <w:rPr>
          <w:rFonts w:ascii="Arial" w:cs="Arial" w:eastAsia="Arial" w:hAnsi="Arial"/>
          <w:sz w:val="18"/>
          <w:szCs w:val="18"/>
          <w:color w:val="auto"/>
        </w:rPr>
        <w:t>Jailbroken or rooted smartphones cannot be used to perform In-Scope Work.</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Implement and maintain a documented policy that prohibits the use of any:</w:t>
      </w:r>
    </w:p>
    <w:p>
      <w:pPr>
        <w:spacing w:after="0" w:line="130" w:lineRule="exact"/>
        <w:rPr>
          <w:rFonts w:ascii="Arial" w:cs="Arial" w:eastAsia="Arial" w:hAnsi="Arial"/>
          <w:sz w:val="18"/>
          <w:szCs w:val="18"/>
          <w:color w:val="auto"/>
        </w:rPr>
      </w:pPr>
    </w:p>
    <w:p>
      <w:pPr>
        <w:ind w:left="964" w:right="700" w:hanging="532"/>
        <w:spacing w:after="0" w:line="277" w:lineRule="auto"/>
        <w:tabs>
          <w:tab w:leader="none" w:pos="964" w:val="left"/>
        </w:tabs>
        <w:numPr>
          <w:ilvl w:val="1"/>
          <w:numId w:val="274"/>
        </w:numPr>
        <w:rPr>
          <w:rFonts w:ascii="Arial" w:cs="Arial" w:eastAsia="Arial" w:hAnsi="Arial"/>
          <w:sz w:val="18"/>
          <w:szCs w:val="18"/>
          <w:color w:val="auto"/>
        </w:rPr>
      </w:pPr>
      <w:r>
        <w:rPr>
          <w:rFonts w:ascii="Arial" w:cs="Arial" w:eastAsia="Arial" w:hAnsi="Arial"/>
          <w:sz w:val="18"/>
          <w:szCs w:val="18"/>
          <w:color w:val="auto"/>
        </w:rPr>
        <w:t>Supplier-issued Mobile and Portable Devices to access and/or store In-Scope Information unless the device is administered and/or managed by Supplier; and</w:t>
      </w:r>
    </w:p>
    <w:p>
      <w:pPr>
        <w:spacing w:after="0" w:line="75" w:lineRule="exact"/>
        <w:rPr>
          <w:rFonts w:ascii="Arial" w:cs="Arial" w:eastAsia="Arial" w:hAnsi="Arial"/>
          <w:sz w:val="18"/>
          <w:szCs w:val="18"/>
          <w:color w:val="auto"/>
        </w:rPr>
      </w:pPr>
    </w:p>
    <w:p>
      <w:pPr>
        <w:ind w:left="964" w:right="180" w:hanging="532"/>
        <w:spacing w:after="0" w:line="308" w:lineRule="auto"/>
        <w:tabs>
          <w:tab w:leader="none" w:pos="964" w:val="left"/>
        </w:tabs>
        <w:numPr>
          <w:ilvl w:val="1"/>
          <w:numId w:val="274"/>
        </w:numPr>
        <w:rPr>
          <w:rFonts w:ascii="Arial" w:cs="Arial" w:eastAsia="Arial" w:hAnsi="Arial"/>
          <w:sz w:val="17"/>
          <w:szCs w:val="17"/>
          <w:color w:val="auto"/>
        </w:rPr>
      </w:pPr>
      <w:r>
        <w:rPr>
          <w:rFonts w:ascii="Arial" w:cs="Arial" w:eastAsia="Arial" w:hAnsi="Arial"/>
          <w:sz w:val="17"/>
          <w:szCs w:val="17"/>
          <w:color w:val="auto"/>
        </w:rPr>
        <w:t>Non-Supplier issued Mobile and Portable Devices to access and/or store In-Scope Information unless the device is adequately segregated and protected by utilizing a Supplier administered and/or managed secure container-based and/or sandbox solution.</w:t>
      </w:r>
    </w:p>
    <w:p>
      <w:pPr>
        <w:spacing w:after="0" w:line="146"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Security Gateways</w:t>
      </w:r>
    </w:p>
    <w:p>
      <w:pPr>
        <w:spacing w:after="0" w:line="131" w:lineRule="exact"/>
        <w:rPr>
          <w:sz w:val="20"/>
          <w:szCs w:val="20"/>
          <w:color w:val="auto"/>
        </w:rPr>
      </w:pPr>
    </w:p>
    <w:p>
      <w:pPr>
        <w:ind w:left="424" w:right="140" w:hanging="424"/>
        <w:spacing w:after="0" w:line="277" w:lineRule="auto"/>
        <w:tabs>
          <w:tab w:leader="none" w:pos="42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Require Multi-Factor Authentication for administrative and/or management access to Security Gateways, including any access for the purpose of reviewing log files.</w:t>
      </w:r>
    </w:p>
    <w:p>
      <w:pPr>
        <w:spacing w:after="0" w:line="75" w:lineRule="exact"/>
        <w:rPr>
          <w:rFonts w:ascii="Arial" w:cs="Arial" w:eastAsia="Arial" w:hAnsi="Arial"/>
          <w:sz w:val="18"/>
          <w:szCs w:val="18"/>
          <w:color w:val="auto"/>
        </w:rPr>
      </w:pPr>
    </w:p>
    <w:p>
      <w:pPr>
        <w:ind w:left="424" w:right="640" w:hanging="424"/>
        <w:spacing w:after="0" w:line="342" w:lineRule="auto"/>
        <w:tabs>
          <w:tab w:leader="none" w:pos="42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Maintain documented controls, policies, processes and procedures to ensure that unauthorized users do not have administrative and/or management access to Security Gateways, and that user authorization levels to administer and manage Security Gateways are appropriate.</w:t>
      </w:r>
    </w:p>
    <w:p>
      <w:pPr>
        <w:spacing w:after="0" w:line="29" w:lineRule="exact"/>
        <w:rPr>
          <w:rFonts w:ascii="Arial" w:cs="Arial" w:eastAsia="Arial" w:hAnsi="Arial"/>
          <w:sz w:val="16"/>
          <w:szCs w:val="16"/>
          <w:color w:val="auto"/>
        </w:rPr>
      </w:pPr>
    </w:p>
    <w:p>
      <w:pPr>
        <w:ind w:left="424" w:right="240" w:hanging="424"/>
        <w:spacing w:after="0" w:line="277" w:lineRule="auto"/>
        <w:tabs>
          <w:tab w:leader="none" w:pos="42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ensure that each Security Gateway rule was properly authorized and is traceable to a specific business request, and that all rule sets either explicitly or implicitly end with a “DENY ALL” statement.</w:t>
      </w:r>
    </w:p>
    <w:p>
      <w:pPr>
        <w:spacing w:after="0" w:line="75"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Use monitoring tools to ensure that all aspects of Security Gateways (e.g., hardware, firmware, and software) are operational at all times. Ensure that all non-operational Security Gateways are configured to deny all access.</w:t>
      </w:r>
    </w:p>
    <w:p>
      <w:pPr>
        <w:spacing w:after="0" w:line="170"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Wireless Networking</w:t>
      </w:r>
    </w:p>
    <w:p>
      <w:pPr>
        <w:spacing w:after="0" w:line="130" w:lineRule="exact"/>
        <w:rPr>
          <w:rFonts w:ascii="Arial" w:cs="Arial" w:eastAsia="Arial" w:hAnsi="Arial"/>
          <w:sz w:val="18"/>
          <w:szCs w:val="18"/>
          <w:color w:val="auto"/>
        </w:rPr>
      </w:pPr>
    </w:p>
    <w:p>
      <w:pPr>
        <w:ind w:left="424" w:right="20" w:hanging="424"/>
        <w:spacing w:after="0" w:line="257" w:lineRule="auto"/>
        <w:tabs>
          <w:tab w:leader="none" w:pos="42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When using radio frequency (RF) based wireless networking technologies (e.g., Bluetooth and Wi-Fi) to perform or support In-Scope Work for AT&amp;T, ensure that all In-Scope Information transmitted must use appropriate encryption technologies sufficient to protect the confidentiality of In-Scope Information; provided, however, in any event such encryption shall use no less than key lengths of 256-bits for symmetric encryption and 2048-bits for asymmetric encryption. The use of RF-based wireless headsets, keyboards, microphones, and pointing devices, such as mice, touch pads, and digital drawing tablets, is excluded from this requirement.</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135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Connectivity Requirements</w:t>
      </w:r>
    </w:p>
    <w:p>
      <w:pPr>
        <w:spacing w:after="0" w:line="131" w:lineRule="exact"/>
        <w:rPr>
          <w:sz w:val="20"/>
          <w:szCs w:val="20"/>
          <w:color w:val="auto"/>
        </w:rPr>
      </w:pPr>
    </w:p>
    <w:p>
      <w:pPr>
        <w:ind w:left="424" w:right="40" w:hanging="424"/>
        <w:spacing w:after="0" w:line="263" w:lineRule="auto"/>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In the event that Supplier has, or will be provided, connectivity to AT&amp;T’s or AT&amp;T’s customers’ Nonpublic Information Resources in connection with In-Scope Work, then Supplier shall not establish additional interconnections to AT&amp;T’s and AT&amp;T’s customers’ Nonpublic Information Resources without the prior consent of AT&amp;T and shall:</w:t>
      </w:r>
    </w:p>
    <w:p>
      <w:pPr>
        <w:spacing w:after="0" w:line="89"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Use only the mutually agreed upon facilities and connection methodologies to interconnect AT&amp;T’s and AT&amp;T’s customers’ Nonpublic Information Resources with Supplier’s Information Resources; and</w:t>
      </w:r>
    </w:p>
    <w:p>
      <w:pPr>
        <w:spacing w:after="0" w:line="75" w:lineRule="exact"/>
        <w:rPr>
          <w:rFonts w:ascii="Arial" w:cs="Arial" w:eastAsia="Arial" w:hAnsi="Arial"/>
          <w:sz w:val="18"/>
          <w:szCs w:val="18"/>
          <w:color w:val="auto"/>
        </w:rPr>
      </w:pPr>
    </w:p>
    <w:p>
      <w:pPr>
        <w:ind w:left="964" w:right="20" w:hanging="532"/>
        <w:spacing w:after="0" w:line="279" w:lineRule="auto"/>
        <w:tabs>
          <w:tab w:leader="none" w:pos="964" w:val="left"/>
        </w:tabs>
        <w:numPr>
          <w:ilvl w:val="1"/>
          <w:numId w:val="276"/>
        </w:numPr>
        <w:rPr>
          <w:rFonts w:ascii="Arial" w:cs="Arial" w:eastAsia="Arial" w:hAnsi="Arial"/>
          <w:sz w:val="17"/>
          <w:szCs w:val="17"/>
          <w:color w:val="auto"/>
        </w:rPr>
      </w:pPr>
      <w:r>
        <w:rPr>
          <w:rFonts w:ascii="Arial" w:cs="Arial" w:eastAsia="Arial" w:hAnsi="Arial"/>
          <w:sz w:val="17"/>
          <w:szCs w:val="17"/>
          <w:color w:val="auto"/>
        </w:rPr>
        <w:t>If the agreed upon connectivity methodology requires that Supplier implement a Security Gateway, maintain logs of all sessions using such Security Gateway. Such session logs must include origination IP address, destination IP address, ports/service protocols used, durations of access, and sufficiently detailed information to assist with a security incident or a forensic investigation (e.g., identification of the end user or application accessing AT&amp;T). Session logs must be retained for a minimum of [***].</w:t>
      </w:r>
    </w:p>
    <w:p>
      <w:pPr>
        <w:spacing w:after="0" w:line="17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Supplier Entity Compliance</w:t>
      </w:r>
    </w:p>
    <w:p>
      <w:pPr>
        <w:spacing w:after="0" w:line="131" w:lineRule="exact"/>
        <w:rPr>
          <w:sz w:val="20"/>
          <w:szCs w:val="20"/>
          <w:color w:val="auto"/>
        </w:rPr>
      </w:pPr>
    </w:p>
    <w:p>
      <w:pPr>
        <w:ind w:left="424" w:hanging="424"/>
        <w:spacing w:after="0"/>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Supplier shall:</w:t>
      </w:r>
    </w:p>
    <w:p>
      <w:pPr>
        <w:spacing w:after="0" w:line="130"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277"/>
        </w:numPr>
        <w:rPr>
          <w:rFonts w:ascii="Arial" w:cs="Arial" w:eastAsia="Arial" w:hAnsi="Arial"/>
          <w:sz w:val="18"/>
          <w:szCs w:val="18"/>
          <w:color w:val="auto"/>
        </w:rPr>
      </w:pPr>
      <w:r>
        <w:rPr>
          <w:rFonts w:ascii="Arial" w:cs="Arial" w:eastAsia="Arial" w:hAnsi="Arial"/>
          <w:sz w:val="18"/>
          <w:szCs w:val="18"/>
          <w:color w:val="auto"/>
        </w:rPr>
        <w:t>Ensure that all Supplier Entities performing any In-Scope Work are contractually obligated to comply with these Security Requirements, or requirements that are no less stringent;</w:t>
      </w:r>
    </w:p>
    <w:p>
      <w:pPr>
        <w:spacing w:after="0" w:line="75" w:lineRule="exact"/>
        <w:rPr>
          <w:rFonts w:ascii="Arial" w:cs="Arial" w:eastAsia="Arial" w:hAnsi="Arial"/>
          <w:sz w:val="18"/>
          <w:szCs w:val="18"/>
          <w:color w:val="auto"/>
        </w:rPr>
      </w:pPr>
    </w:p>
    <w:p>
      <w:pPr>
        <w:ind w:left="964" w:right="540" w:hanging="532"/>
        <w:spacing w:after="0" w:line="277" w:lineRule="auto"/>
        <w:tabs>
          <w:tab w:leader="none" w:pos="964" w:val="left"/>
        </w:tabs>
        <w:numPr>
          <w:ilvl w:val="1"/>
          <w:numId w:val="277"/>
        </w:numPr>
        <w:rPr>
          <w:rFonts w:ascii="Arial" w:cs="Arial" w:eastAsia="Arial" w:hAnsi="Arial"/>
          <w:sz w:val="18"/>
          <w:szCs w:val="18"/>
          <w:color w:val="auto"/>
        </w:rPr>
      </w:pPr>
      <w:r>
        <w:rPr>
          <w:rFonts w:ascii="Arial" w:cs="Arial" w:eastAsia="Arial" w:hAnsi="Arial"/>
          <w:sz w:val="18"/>
          <w:szCs w:val="18"/>
          <w:color w:val="auto"/>
        </w:rPr>
        <w:t>Maintain and adhere to a documented program by which Supplier Entity compliance to these Security Requirements is evaluated by Supplier and all corrective actions are documented and implemented;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77"/>
        </w:numPr>
        <w:rPr>
          <w:rFonts w:ascii="Arial" w:cs="Arial" w:eastAsia="Arial" w:hAnsi="Arial"/>
          <w:sz w:val="18"/>
          <w:szCs w:val="18"/>
          <w:color w:val="auto"/>
        </w:rPr>
      </w:pPr>
      <w:r>
        <w:rPr>
          <w:rFonts w:ascii="Arial" w:cs="Arial" w:eastAsia="Arial" w:hAnsi="Arial"/>
          <w:sz w:val="18"/>
          <w:szCs w:val="18"/>
          <w:color w:val="auto"/>
        </w:rPr>
        <w:t>Upon AT&amp;T’s request, provide documentation and/or evidence to adequately substantiate such compliance.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Protection of AT&amp;T’s SPI &amp; SCD</w:t>
      </w:r>
    </w:p>
    <w:p>
      <w:pPr>
        <w:spacing w:after="0" w:line="131" w:lineRule="exact"/>
        <w:rPr>
          <w:sz w:val="20"/>
          <w:szCs w:val="20"/>
          <w:color w:val="auto"/>
        </w:rPr>
      </w:pPr>
    </w:p>
    <w:p>
      <w:pPr>
        <w:ind w:left="424" w:right="240" w:hanging="424"/>
        <w:spacing w:after="0" w:line="277" w:lineRule="auto"/>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Use Strong Encryption to protect AT&amp;T’s SPI and/or AT&amp;T’s SCD (see Tables 1 and 2) when transmitted over all networks (including Supplier Entity trusted networks). This applies to all technologies used for the transmission of SPI and/or SCD.</w:t>
      </w:r>
    </w:p>
    <w:p>
      <w:pPr>
        <w:spacing w:after="0" w:line="75" w:lineRule="exact"/>
        <w:rPr>
          <w:rFonts w:ascii="Arial" w:cs="Arial" w:eastAsia="Arial" w:hAnsi="Arial"/>
          <w:sz w:val="18"/>
          <w:szCs w:val="18"/>
          <w:color w:val="auto"/>
        </w:rPr>
      </w:pPr>
    </w:p>
    <w:p>
      <w:pPr>
        <w:ind w:left="444" w:right="3300" w:hanging="444"/>
        <w:spacing w:after="0" w:line="446" w:lineRule="auto"/>
        <w:tabs>
          <w:tab w:leader="none" w:pos="436" w:val="left"/>
        </w:tabs>
        <w:numPr>
          <w:ilvl w:val="0"/>
          <w:numId w:val="278"/>
        </w:numPr>
        <w:rPr>
          <w:rFonts w:ascii="Arial" w:cs="Arial" w:eastAsia="Arial" w:hAnsi="Arial"/>
          <w:sz w:val="18"/>
          <w:szCs w:val="18"/>
          <w:color w:val="auto"/>
        </w:rPr>
      </w:pPr>
      <w:r>
        <w:rPr>
          <w:rFonts w:ascii="Arial" w:cs="Arial" w:eastAsia="Arial" w:hAnsi="Arial"/>
          <w:sz w:val="18"/>
          <w:szCs w:val="18"/>
          <w:color w:val="auto"/>
        </w:rPr>
        <w:t>Use Strong Encryption to protect AT&amp;T’s SPI and/or AT&amp;T’s SCD (see Tables 1 and 2) when stored. Non-AT&amp;T Cloud Services</w:t>
      </w:r>
    </w:p>
    <w:p>
      <w:pPr>
        <w:ind w:left="424" w:hanging="424"/>
        <w:spacing w:after="0"/>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Enforce Multi-Factor Authentication for all Administrative Users of non-AT&amp;T Cloud Services.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136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hanging="424"/>
        <w:spacing w:after="0"/>
        <w:tabs>
          <w:tab w:leader="none" w:pos="42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Use Strong Encryption to protect all In-Scope Information (including SPI and SCD) when: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Transmitted over all networks to, from, and within a non-AT&amp;T Cloud Service;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Stored within a non-AT&amp;T Cloud Service.</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Table 1—AT&amp;T SPI Data Elements</w:t>
      </w:r>
    </w:p>
    <w:p>
      <w:pPr>
        <w:spacing w:after="0" w:line="117"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Data elements in the following tables must be treated as SPI when used in their entirety, unless explicitly stated in the following table. This applies to all data formats including scanned images, screen captures and recordings, PDFs, JPGs and any other unified communication, and collaboration tools/content.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Individual Identification and Familial Information</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440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6620" w:type="dxa"/>
            <w:vAlign w:val="bottom"/>
            <w:gridSpan w:val="3"/>
          </w:tcPr>
          <w:p>
            <w:pPr>
              <w:ind w:left="1340"/>
              <w:spacing w:after="0"/>
              <w:rPr>
                <w:sz w:val="20"/>
                <w:szCs w:val="20"/>
                <w:color w:val="auto"/>
              </w:rPr>
            </w:pPr>
            <w:r>
              <w:rPr>
                <w:rFonts w:ascii="Arial" w:cs="Arial" w:eastAsia="Arial" w:hAnsi="Arial"/>
                <w:sz w:val="14"/>
                <w:szCs w:val="14"/>
                <w:color w:val="auto"/>
              </w:rPr>
              <w:t>Description</w:t>
            </w:r>
          </w:p>
        </w:tc>
      </w:tr>
      <w:tr>
        <w:trPr>
          <w:trHeight w:val="217"/>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8"/>
              </w:rPr>
              <w:t>Government</w:t>
            </w:r>
          </w:p>
        </w:tc>
        <w:tc>
          <w:tcPr>
            <w:tcW w:w="3600" w:type="dxa"/>
            <w:vAlign w:val="bottom"/>
          </w:tcPr>
          <w:p>
            <w:pPr>
              <w:ind w:left="140"/>
              <w:spacing w:after="0" w:line="190" w:lineRule="exact"/>
              <w:rPr>
                <w:sz w:val="20"/>
                <w:szCs w:val="20"/>
                <w:color w:val="auto"/>
              </w:rPr>
            </w:pPr>
            <w:r>
              <w:rPr>
                <w:rFonts w:ascii="Arial" w:cs="Arial" w:eastAsia="Arial" w:hAnsi="Arial"/>
                <w:sz w:val="18"/>
                <w:szCs w:val="18"/>
                <w:color w:val="auto"/>
              </w:rPr>
              <w:t>Issued Identification Number</w:t>
            </w:r>
          </w:p>
        </w:tc>
        <w:tc>
          <w:tcPr>
            <w:tcW w:w="1340" w:type="dxa"/>
            <w:vAlign w:val="bottom"/>
          </w:tcPr>
          <w:p>
            <w:pPr>
              <w:spacing w:after="0"/>
              <w:rPr>
                <w:sz w:val="18"/>
                <w:szCs w:val="18"/>
                <w:color w:val="auto"/>
              </w:rPr>
            </w:pPr>
          </w:p>
        </w:tc>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Includes:</w:t>
            </w:r>
          </w:p>
        </w:tc>
      </w:tr>
      <w:tr>
        <w:trPr>
          <w:trHeight w:val="310"/>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80" w:type="dxa"/>
            <w:vAlign w:val="bottom"/>
            <w:gridSpan w:val="2"/>
          </w:tcPr>
          <w:p>
            <w:pPr>
              <w:ind w:left="1340"/>
              <w:spacing w:after="0"/>
              <w:rPr>
                <w:sz w:val="20"/>
                <w:szCs w:val="20"/>
                <w:color w:val="auto"/>
              </w:rPr>
            </w:pPr>
            <w:r>
              <w:rPr>
                <w:rFonts w:ascii="Arial" w:cs="Arial" w:eastAsia="Arial" w:hAnsi="Arial"/>
                <w:sz w:val="17"/>
                <w:szCs w:val="17"/>
                <w:color w:val="auto"/>
                <w:w w:val="70"/>
              </w:rPr>
              <w:t>1. </w:t>
            </w:r>
          </w:p>
        </w:tc>
        <w:tc>
          <w:tcPr>
            <w:tcW w:w="5040" w:type="dxa"/>
            <w:vAlign w:val="bottom"/>
          </w:tcPr>
          <w:p>
            <w:pPr>
              <w:ind w:left="60"/>
              <w:spacing w:after="0"/>
              <w:rPr>
                <w:sz w:val="20"/>
                <w:szCs w:val="20"/>
                <w:color w:val="auto"/>
              </w:rPr>
            </w:pPr>
            <w:r>
              <w:rPr>
                <w:rFonts w:ascii="Arial" w:cs="Arial" w:eastAsia="Arial" w:hAnsi="Arial"/>
                <w:sz w:val="18"/>
                <w:szCs w:val="18"/>
                <w:color w:val="auto"/>
              </w:rPr>
              <w:t> Driver’s License Number</w:t>
            </w:r>
          </w:p>
        </w:tc>
      </w:tr>
      <w:tr>
        <w:trPr>
          <w:trHeight w:val="310"/>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2.    Taxpayer Identification Number—In an individual’s name.</w:t>
            </w:r>
          </w:p>
        </w:tc>
      </w:tr>
      <w:tr>
        <w:trPr>
          <w:trHeight w:val="230"/>
        </w:trPr>
        <w:tc>
          <w:tcPr>
            <w:tcW w:w="8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Excludes those in a company name.</w:t>
            </w:r>
          </w:p>
        </w:tc>
      </w:tr>
      <w:tr>
        <w:trPr>
          <w:trHeight w:val="324"/>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3.    U.S. Social Security Number</w:t>
            </w:r>
          </w:p>
        </w:tc>
      </w:tr>
      <w:tr>
        <w:trPr>
          <w:trHeight w:val="324"/>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4.    National/State/Region issued identity number</w:t>
            </w:r>
          </w:p>
        </w:tc>
      </w:tr>
      <w:tr>
        <w:trPr>
          <w:trHeight w:val="324"/>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80" w:type="dxa"/>
            <w:vAlign w:val="bottom"/>
            <w:gridSpan w:val="2"/>
          </w:tcPr>
          <w:p>
            <w:pPr>
              <w:ind w:left="1340"/>
              <w:spacing w:after="0"/>
              <w:rPr>
                <w:sz w:val="20"/>
                <w:szCs w:val="20"/>
                <w:color w:val="auto"/>
              </w:rPr>
            </w:pPr>
            <w:r>
              <w:rPr>
                <w:rFonts w:ascii="Arial" w:cs="Arial" w:eastAsia="Arial" w:hAnsi="Arial"/>
                <w:sz w:val="17"/>
                <w:szCs w:val="17"/>
                <w:color w:val="auto"/>
                <w:w w:val="70"/>
              </w:rPr>
              <w:t>5. </w:t>
            </w:r>
          </w:p>
        </w:tc>
        <w:tc>
          <w:tcPr>
            <w:tcW w:w="5040" w:type="dxa"/>
            <w:vAlign w:val="bottom"/>
          </w:tcPr>
          <w:p>
            <w:pPr>
              <w:ind w:left="60"/>
              <w:spacing w:after="0"/>
              <w:rPr>
                <w:sz w:val="20"/>
                <w:szCs w:val="20"/>
                <w:color w:val="auto"/>
              </w:rPr>
            </w:pPr>
            <w:r>
              <w:rPr>
                <w:rFonts w:ascii="Arial" w:cs="Arial" w:eastAsia="Arial" w:hAnsi="Arial"/>
                <w:sz w:val="18"/>
                <w:szCs w:val="18"/>
                <w:color w:val="auto"/>
              </w:rPr>
              <w:t> Government Identity Card</w:t>
            </w:r>
          </w:p>
        </w:tc>
      </w:tr>
      <w:tr>
        <w:trPr>
          <w:trHeight w:val="324"/>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6.    Government identifiers for professionals</w:t>
            </w:r>
          </w:p>
        </w:tc>
      </w:tr>
      <w:tr>
        <w:trPr>
          <w:trHeight w:val="324"/>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7.    Government sponsored health or food plan identifier</w:t>
            </w:r>
          </w:p>
        </w:tc>
      </w:tr>
      <w:tr>
        <w:trPr>
          <w:trHeight w:val="324"/>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80" w:type="dxa"/>
            <w:vAlign w:val="bottom"/>
            <w:gridSpan w:val="2"/>
          </w:tcPr>
          <w:p>
            <w:pPr>
              <w:ind w:left="1340"/>
              <w:spacing w:after="0"/>
              <w:rPr>
                <w:sz w:val="20"/>
                <w:szCs w:val="20"/>
                <w:color w:val="auto"/>
              </w:rPr>
            </w:pPr>
            <w:r>
              <w:rPr>
                <w:rFonts w:ascii="Arial" w:cs="Arial" w:eastAsia="Arial" w:hAnsi="Arial"/>
                <w:sz w:val="17"/>
                <w:szCs w:val="17"/>
                <w:color w:val="auto"/>
                <w:w w:val="70"/>
              </w:rPr>
              <w:t>8. </w:t>
            </w:r>
          </w:p>
        </w:tc>
        <w:tc>
          <w:tcPr>
            <w:tcW w:w="5040" w:type="dxa"/>
            <w:vAlign w:val="bottom"/>
          </w:tcPr>
          <w:p>
            <w:pPr>
              <w:ind w:left="60"/>
              <w:spacing w:after="0"/>
              <w:rPr>
                <w:sz w:val="20"/>
                <w:szCs w:val="20"/>
                <w:color w:val="auto"/>
              </w:rPr>
            </w:pPr>
            <w:r>
              <w:rPr>
                <w:rFonts w:ascii="Arial" w:cs="Arial" w:eastAsia="Arial" w:hAnsi="Arial"/>
                <w:sz w:val="18"/>
                <w:szCs w:val="18"/>
                <w:color w:val="auto"/>
              </w:rPr>
              <w:t> Passport Number</w:t>
            </w:r>
          </w:p>
        </w:tc>
      </w:tr>
      <w:tr>
        <w:trPr>
          <w:trHeight w:val="324"/>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80" w:type="dxa"/>
            <w:vAlign w:val="bottom"/>
            <w:gridSpan w:val="2"/>
          </w:tcPr>
          <w:p>
            <w:pPr>
              <w:ind w:left="1340"/>
              <w:spacing w:after="0"/>
              <w:rPr>
                <w:sz w:val="20"/>
                <w:szCs w:val="20"/>
                <w:color w:val="auto"/>
              </w:rPr>
            </w:pPr>
            <w:r>
              <w:rPr>
                <w:rFonts w:ascii="Arial" w:cs="Arial" w:eastAsia="Arial" w:hAnsi="Arial"/>
                <w:sz w:val="17"/>
                <w:szCs w:val="17"/>
                <w:color w:val="auto"/>
                <w:w w:val="70"/>
              </w:rPr>
              <w:t>9. </w:t>
            </w:r>
          </w:p>
        </w:tc>
        <w:tc>
          <w:tcPr>
            <w:tcW w:w="5040" w:type="dxa"/>
            <w:vAlign w:val="bottom"/>
          </w:tcPr>
          <w:p>
            <w:pPr>
              <w:ind w:left="60"/>
              <w:spacing w:after="0"/>
              <w:rPr>
                <w:sz w:val="20"/>
                <w:szCs w:val="20"/>
                <w:color w:val="auto"/>
              </w:rPr>
            </w:pPr>
            <w:r>
              <w:rPr>
                <w:rFonts w:ascii="Arial" w:cs="Arial" w:eastAsia="Arial" w:hAnsi="Arial"/>
                <w:sz w:val="18"/>
                <w:szCs w:val="18"/>
                <w:color w:val="auto"/>
              </w:rPr>
              <w:t> Alien Registration Number</w:t>
            </w:r>
          </w:p>
        </w:tc>
      </w:tr>
      <w:tr>
        <w:trPr>
          <w:trHeight w:val="324"/>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10.   Birth Certificate Number</w:t>
            </w:r>
          </w:p>
        </w:tc>
      </w:tr>
      <w:tr>
        <w:trPr>
          <w:trHeight w:val="324"/>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11.   Other government issued identification number</w:t>
            </w:r>
          </w:p>
        </w:tc>
      </w:tr>
      <w:tr>
        <w:trPr>
          <w:trHeight w:val="310"/>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w w:val="94"/>
              </w:rPr>
              <w:t>Excludes any such numbers that are issued on the understanding that</w:t>
            </w:r>
          </w:p>
        </w:tc>
      </w:tr>
      <w:tr>
        <w:trPr>
          <w:trHeight w:val="230"/>
        </w:trPr>
        <w:tc>
          <w:tcPr>
            <w:tcW w:w="8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w w:val="95"/>
              </w:rPr>
              <w:t>they must be a matter of public record, e.g., U.S. FCC Radio License.</w:t>
            </w:r>
          </w:p>
        </w:tc>
      </w:tr>
      <w:tr>
        <w:trPr>
          <w:trHeight w:val="310"/>
        </w:trPr>
        <w:tc>
          <w:tcPr>
            <w:tcW w:w="4400" w:type="dxa"/>
            <w:vAlign w:val="bottom"/>
            <w:gridSpan w:val="2"/>
          </w:tcPr>
          <w:p>
            <w:pPr>
              <w:spacing w:after="0"/>
              <w:rPr>
                <w:sz w:val="20"/>
                <w:szCs w:val="20"/>
                <w:color w:val="auto"/>
              </w:rPr>
            </w:pPr>
            <w:r>
              <w:rPr>
                <w:rFonts w:ascii="Arial" w:cs="Arial" w:eastAsia="Arial" w:hAnsi="Arial"/>
                <w:sz w:val="18"/>
                <w:szCs w:val="18"/>
                <w:color w:val="auto"/>
              </w:rPr>
              <w:t>Date of Birth (DOB)</w:t>
            </w: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w w:val="99"/>
              </w:rPr>
              <w:t>An individual’s full and complete date of birth (DOB), i.e., including</w:t>
            </w:r>
          </w:p>
        </w:tc>
      </w:tr>
      <w:tr>
        <w:trPr>
          <w:trHeight w:val="216"/>
        </w:trPr>
        <w:tc>
          <w:tcPr>
            <w:tcW w:w="8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w w:val="93"/>
              </w:rPr>
              <w:t>month, day and year. Excludes partial DOB where only month and day</w:t>
            </w:r>
          </w:p>
        </w:tc>
      </w:tr>
      <w:tr>
        <w:trPr>
          <w:trHeight w:val="230"/>
        </w:trPr>
        <w:tc>
          <w:tcPr>
            <w:tcW w:w="8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are used without year.</w:t>
            </w:r>
          </w:p>
        </w:tc>
      </w:tr>
    </w:tbl>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137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80" w:type="dxa"/>
            <w:vAlign w:val="bottom"/>
            <w:gridSpan w:val="2"/>
          </w:tcPr>
          <w:p>
            <w:pPr>
              <w:jc w:val="right"/>
              <w:ind w:right="20"/>
              <w:spacing w:after="0"/>
              <w:rPr>
                <w:sz w:val="20"/>
                <w:szCs w:val="20"/>
                <w:color w:val="auto"/>
              </w:rPr>
            </w:pPr>
            <w:r>
              <w:rPr>
                <w:rFonts w:ascii="Arial" w:cs="Arial" w:eastAsia="Arial" w:hAnsi="Arial"/>
                <w:sz w:val="18"/>
                <w:szCs w:val="18"/>
                <w:color w:val="auto"/>
              </w:rPr>
              <w:t>AT&amp;T Agreement No. 53258.A.005</w:t>
            </w:r>
          </w:p>
        </w:tc>
      </w:tr>
      <w:tr>
        <w:trPr>
          <w:trHeight w:val="365"/>
        </w:trPr>
        <w:tc>
          <w:tcPr>
            <w:tcW w:w="4860" w:type="dxa"/>
            <w:vAlign w:val="bottom"/>
            <w:gridSpan w:val="2"/>
          </w:tcPr>
          <w:p>
            <w:pPr>
              <w:spacing w:after="0"/>
              <w:rPr>
                <w:sz w:val="20"/>
                <w:szCs w:val="20"/>
                <w:color w:val="auto"/>
              </w:rPr>
            </w:pPr>
            <w:r>
              <w:rPr>
                <w:rFonts w:ascii="Arial" w:cs="Arial" w:eastAsia="Arial" w:hAnsi="Arial"/>
                <w:sz w:val="18"/>
                <w:szCs w:val="18"/>
                <w:color w:val="auto"/>
              </w:rPr>
              <w:t>Financial Data</w:t>
            </w: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4"/>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Data Element</w:t>
            </w:r>
          </w:p>
        </w:tc>
        <w:tc>
          <w:tcPr>
            <w:tcW w:w="40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17"/>
        </w:trPr>
        <w:tc>
          <w:tcPr>
            <w:tcW w:w="4860" w:type="dxa"/>
            <w:vAlign w:val="bottom"/>
            <w:gridSpan w:val="2"/>
          </w:tcPr>
          <w:p>
            <w:pPr>
              <w:spacing w:after="0"/>
              <w:rPr>
                <w:sz w:val="20"/>
                <w:szCs w:val="20"/>
                <w:color w:val="auto"/>
              </w:rPr>
            </w:pPr>
            <w:r>
              <w:rPr>
                <w:rFonts w:ascii="Arial" w:cs="Arial" w:eastAsia="Arial" w:hAnsi="Arial"/>
                <w:sz w:val="18"/>
                <w:szCs w:val="18"/>
                <w:color w:val="auto"/>
              </w:rPr>
              <w:t>Payment Card Number</w:t>
            </w: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Primary Account Number (PAN) for all types of payment cards.</w:t>
            </w:r>
          </w:p>
        </w:tc>
        <w:tc>
          <w:tcPr>
            <w:tcW w:w="20" w:type="dxa"/>
            <w:vAlign w:val="bottom"/>
          </w:tcPr>
          <w:p>
            <w:pPr>
              <w:spacing w:after="0"/>
              <w:rPr>
                <w:sz w:val="18"/>
                <w:szCs w:val="18"/>
                <w:color w:val="auto"/>
              </w:rPr>
            </w:pPr>
          </w:p>
        </w:tc>
      </w:tr>
      <w:tr>
        <w:trPr>
          <w:trHeight w:val="310"/>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Includes: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1.    AT&amp;T corporate payment card number</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2.    Consumer payment card number</w:t>
            </w:r>
          </w:p>
        </w:tc>
      </w:tr>
      <w:tr>
        <w:trPr>
          <w:trHeight w:val="310"/>
        </w:trPr>
        <w:tc>
          <w:tcPr>
            <w:tcW w:w="4860" w:type="dxa"/>
            <w:vAlign w:val="bottom"/>
            <w:gridSpan w:val="2"/>
          </w:tcPr>
          <w:p>
            <w:pPr>
              <w:spacing w:after="0"/>
              <w:rPr>
                <w:sz w:val="20"/>
                <w:szCs w:val="20"/>
                <w:color w:val="auto"/>
              </w:rPr>
            </w:pPr>
            <w:r>
              <w:rPr>
                <w:rFonts w:ascii="Arial" w:cs="Arial" w:eastAsia="Arial" w:hAnsi="Arial"/>
                <w:sz w:val="18"/>
                <w:szCs w:val="18"/>
                <w:color w:val="auto"/>
              </w:rPr>
              <w:t>Payment Card Security Data</w:t>
            </w:r>
          </w:p>
        </w:tc>
        <w:tc>
          <w:tcPr>
            <w:tcW w:w="6180" w:type="dxa"/>
            <w:vAlign w:val="bottom"/>
            <w:gridSpan w:val="2"/>
          </w:tcPr>
          <w:p>
            <w:pPr>
              <w:spacing w:after="0"/>
              <w:rPr>
                <w:sz w:val="20"/>
                <w:szCs w:val="20"/>
                <w:color w:val="auto"/>
              </w:rPr>
            </w:pPr>
            <w:r>
              <w:rPr>
                <w:rFonts w:ascii="Arial" w:cs="Arial" w:eastAsia="Arial" w:hAnsi="Arial"/>
                <w:sz w:val="18"/>
                <w:szCs w:val="18"/>
                <w:color w:val="auto"/>
                <w:w w:val="91"/>
              </w:rPr>
              <w:t>The security data used in association with a payment card (corporate, personal, etc.)</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to confirm legitimate use. Includes: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1.    Card Security Codes (CSC)</w:t>
            </w:r>
          </w:p>
        </w:tc>
      </w:tr>
      <w:tr>
        <w:trPr>
          <w:trHeight w:val="310"/>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2"/>
              </w:rPr>
              <w:t>2.    Personal Identification Numbers (PINs) used with payment cards but excludes</w:t>
            </w:r>
          </w:p>
        </w:tc>
      </w:tr>
      <w:tr>
        <w:trPr>
          <w:trHeight w:val="216"/>
        </w:trPr>
        <w:tc>
          <w:tcPr>
            <w:tcW w:w="8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80" w:type="dxa"/>
            <w:vAlign w:val="bottom"/>
            <w:gridSpan w:val="2"/>
          </w:tcPr>
          <w:p>
            <w:pPr>
              <w:ind w:left="360"/>
              <w:spacing w:after="0"/>
              <w:rPr>
                <w:sz w:val="20"/>
                <w:szCs w:val="20"/>
                <w:color w:val="auto"/>
              </w:rPr>
            </w:pPr>
            <w:r>
              <w:rPr>
                <w:rFonts w:ascii="Arial" w:cs="Arial" w:eastAsia="Arial" w:hAnsi="Arial"/>
                <w:sz w:val="18"/>
                <w:szCs w:val="18"/>
                <w:color w:val="auto"/>
              </w:rPr>
              <w:t>PINs used to authenticate access to AT&amp;T systems (see “Customer</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80" w:type="dxa"/>
            <w:vAlign w:val="bottom"/>
            <w:gridSpan w:val="2"/>
          </w:tcPr>
          <w:p>
            <w:pPr>
              <w:ind w:left="360"/>
              <w:spacing w:after="0"/>
              <w:rPr>
                <w:sz w:val="20"/>
                <w:szCs w:val="20"/>
                <w:color w:val="auto"/>
              </w:rPr>
            </w:pPr>
            <w:r>
              <w:rPr>
                <w:rFonts w:ascii="Arial" w:cs="Arial" w:eastAsia="Arial" w:hAnsi="Arial"/>
                <w:sz w:val="18"/>
                <w:szCs w:val="18"/>
                <w:color w:val="auto"/>
              </w:rPr>
              <w:t>Authentication Credentials” data element).</w:t>
            </w:r>
          </w:p>
        </w:tc>
      </w:tr>
      <w:tr>
        <w:trPr>
          <w:trHeight w:val="310"/>
        </w:trPr>
        <w:tc>
          <w:tcPr>
            <w:tcW w:w="4860" w:type="dxa"/>
            <w:vAlign w:val="bottom"/>
            <w:gridSpan w:val="2"/>
          </w:tcPr>
          <w:p>
            <w:pPr>
              <w:spacing w:after="0"/>
              <w:rPr>
                <w:sz w:val="20"/>
                <w:szCs w:val="20"/>
                <w:color w:val="auto"/>
              </w:rPr>
            </w:pPr>
            <w:r>
              <w:rPr>
                <w:rFonts w:ascii="Arial" w:cs="Arial" w:eastAsia="Arial" w:hAnsi="Arial"/>
                <w:sz w:val="18"/>
                <w:szCs w:val="18"/>
                <w:color w:val="auto"/>
              </w:rPr>
              <w:t>Financial Institution Account Number</w:t>
            </w:r>
          </w:p>
        </w:tc>
        <w:tc>
          <w:tcPr>
            <w:tcW w:w="6180" w:type="dxa"/>
            <w:vAlign w:val="bottom"/>
            <w:gridSpan w:val="2"/>
          </w:tcPr>
          <w:p>
            <w:pPr>
              <w:spacing w:after="0"/>
              <w:rPr>
                <w:sz w:val="20"/>
                <w:szCs w:val="20"/>
                <w:color w:val="auto"/>
              </w:rPr>
            </w:pPr>
            <w:r>
              <w:rPr>
                <w:rFonts w:ascii="Arial" w:cs="Arial" w:eastAsia="Arial" w:hAnsi="Arial"/>
                <w:sz w:val="18"/>
                <w:szCs w:val="18"/>
                <w:color w:val="auto"/>
                <w:w w:val="94"/>
              </w:rPr>
              <w:t>Includes all types of financial institution accounts (savings, checking, investments,</w:t>
            </w:r>
          </w:p>
        </w:tc>
      </w:tr>
      <w:tr>
        <w:trPr>
          <w:trHeight w:val="216"/>
        </w:trPr>
        <w:tc>
          <w:tcPr>
            <w:tcW w:w="8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3"/>
              </w:rPr>
              <w:t>pensions, etc.) both personal and business in an individual’s name. Excludes bank</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routing number.</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Computer Identification and Authentication</w:t>
            </w:r>
          </w:p>
        </w:tc>
        <w:tc>
          <w:tcPr>
            <w:tcW w:w="6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4"/>
        </w:trPr>
        <w:tc>
          <w:tcPr>
            <w:tcW w:w="486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618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189"/>
        </w:trPr>
        <w:tc>
          <w:tcPr>
            <w:tcW w:w="8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Biometric</w:t>
            </w:r>
          </w:p>
        </w:tc>
        <w:tc>
          <w:tcPr>
            <w:tcW w:w="4060" w:type="dxa"/>
            <w:vAlign w:val="bottom"/>
          </w:tcPr>
          <w:p>
            <w:pPr>
              <w:spacing w:after="0" w:line="189" w:lineRule="exact"/>
              <w:rPr>
                <w:sz w:val="20"/>
                <w:szCs w:val="20"/>
                <w:color w:val="auto"/>
              </w:rPr>
            </w:pPr>
            <w:r>
              <w:rPr>
                <w:rFonts w:ascii="Arial" w:cs="Arial" w:eastAsia="Arial" w:hAnsi="Arial"/>
                <w:sz w:val="18"/>
                <w:szCs w:val="18"/>
                <w:color w:val="auto"/>
              </w:rPr>
              <w:t>Data</w:t>
            </w:r>
          </w:p>
        </w:tc>
        <w:tc>
          <w:tcPr>
            <w:tcW w:w="61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93"/>
              </w:rPr>
              <w:t>Measures of human physical and behavioral characteristics used for authentication</w:t>
            </w:r>
          </w:p>
        </w:tc>
        <w:tc>
          <w:tcPr>
            <w:tcW w:w="20" w:type="dxa"/>
            <w:vAlign w:val="bottom"/>
          </w:tcPr>
          <w:p>
            <w:pPr>
              <w:spacing w:after="0"/>
              <w:rPr>
                <w:sz w:val="16"/>
                <w:szCs w:val="16"/>
                <w:color w:val="auto"/>
              </w:rPr>
            </w:pP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purposes, for example DNA, fingerprint, voiceprint, retina or iris image.</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Includes: Full biometric data.</w:t>
            </w:r>
          </w:p>
        </w:tc>
      </w:tr>
      <w:tr>
        <w:trPr>
          <w:trHeight w:val="338"/>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Excludes:</w:t>
            </w:r>
          </w:p>
        </w:tc>
      </w:tr>
      <w:tr>
        <w:trPr>
          <w:trHeight w:val="323"/>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w w:val="92"/>
              </w:rPr>
              <w:t>1.    Templates (e.g. “vector” equivalents) that contain discrete data points derived</w:t>
            </w:r>
          </w:p>
        </w:tc>
      </w:tr>
      <w:tr>
        <w:trPr>
          <w:trHeight w:val="216"/>
        </w:trPr>
        <w:tc>
          <w:tcPr>
            <w:tcW w:w="8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80" w:type="dxa"/>
            <w:vAlign w:val="bottom"/>
            <w:gridSpan w:val="2"/>
          </w:tcPr>
          <w:p>
            <w:pPr>
              <w:ind w:left="360"/>
              <w:spacing w:after="0"/>
              <w:rPr>
                <w:sz w:val="20"/>
                <w:szCs w:val="20"/>
                <w:color w:val="auto"/>
              </w:rPr>
            </w:pPr>
            <w:r>
              <w:rPr>
                <w:rFonts w:ascii="Arial" w:cs="Arial" w:eastAsia="Arial" w:hAnsi="Arial"/>
                <w:sz w:val="18"/>
                <w:szCs w:val="18"/>
                <w:color w:val="auto"/>
                <w:w w:val="98"/>
              </w:rPr>
              <w:t>from biometric data, i.e. templates that do not hold the complete biometric</w:t>
            </w:r>
          </w:p>
        </w:tc>
      </w:tr>
      <w:tr>
        <w:trPr>
          <w:trHeight w:val="216"/>
        </w:trPr>
        <w:tc>
          <w:tcPr>
            <w:tcW w:w="8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80" w:type="dxa"/>
            <w:vAlign w:val="bottom"/>
            <w:gridSpan w:val="2"/>
          </w:tcPr>
          <w:p>
            <w:pPr>
              <w:ind w:left="360"/>
              <w:spacing w:after="0"/>
              <w:rPr>
                <w:sz w:val="20"/>
                <w:szCs w:val="20"/>
                <w:color w:val="auto"/>
              </w:rPr>
            </w:pPr>
            <w:r>
              <w:rPr>
                <w:rFonts w:ascii="Arial" w:cs="Arial" w:eastAsia="Arial" w:hAnsi="Arial"/>
                <w:sz w:val="18"/>
                <w:szCs w:val="18"/>
                <w:color w:val="auto"/>
                <w:w w:val="94"/>
              </w:rPr>
              <w:t>image, where the template cannot be reverse engineered back to the original</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80" w:type="dxa"/>
            <w:vAlign w:val="bottom"/>
            <w:gridSpan w:val="2"/>
          </w:tcPr>
          <w:p>
            <w:pPr>
              <w:ind w:left="360"/>
              <w:spacing w:after="0"/>
              <w:rPr>
                <w:sz w:val="20"/>
                <w:szCs w:val="20"/>
                <w:color w:val="auto"/>
              </w:rPr>
            </w:pPr>
            <w:r>
              <w:rPr>
                <w:rFonts w:ascii="Arial" w:cs="Arial" w:eastAsia="Arial" w:hAnsi="Arial"/>
                <w:sz w:val="18"/>
                <w:szCs w:val="18"/>
                <w:color w:val="auto"/>
              </w:rPr>
              <w:t>biometric image, and genetic test information.</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2.    Signature.</w:t>
            </w:r>
          </w:p>
        </w:tc>
      </w:tr>
      <w:tr>
        <w:trPr>
          <w:trHeight w:val="365"/>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2"/>
          </w:tcPr>
          <w:p>
            <w:pPr>
              <w:jc w:val="right"/>
              <w:ind w:right="20"/>
              <w:spacing w:after="0"/>
              <w:rPr>
                <w:sz w:val="20"/>
                <w:szCs w:val="20"/>
                <w:color w:val="auto"/>
              </w:rPr>
            </w:pPr>
            <w:r>
              <w:rPr>
                <w:rFonts w:ascii="Arial" w:cs="Arial" w:eastAsia="Arial" w:hAnsi="Arial"/>
                <w:sz w:val="18"/>
                <w:szCs w:val="18"/>
                <w:color w:val="auto"/>
              </w:rPr>
              <w:t>Page 138 of 206</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tcPr>
          <w:p>
            <w:pPr>
              <w:ind w:left="3300"/>
              <w:spacing w:after="0"/>
              <w:rPr>
                <w:sz w:val="20"/>
                <w:szCs w:val="20"/>
                <w:color w:val="auto"/>
              </w:rPr>
            </w:pPr>
            <w:r>
              <w:rPr>
                <w:rFonts w:ascii="Arial" w:cs="Arial" w:eastAsia="Arial" w:hAnsi="Arial"/>
                <w:sz w:val="18"/>
                <w:szCs w:val="18"/>
                <w:color w:val="auto"/>
                <w:w w:val="93"/>
              </w:rPr>
              <w:t>AT&amp;T Agreement No. 53258.A.005</w:t>
            </w:r>
          </w:p>
        </w:tc>
      </w:tr>
      <w:tr>
        <w:trPr>
          <w:trHeight w:val="350"/>
        </w:trPr>
        <w:tc>
          <w:tcPr>
            <w:tcW w:w="4860" w:type="dxa"/>
            <w:vAlign w:val="bottom"/>
            <w:gridSpan w:val="2"/>
          </w:tcPr>
          <w:p>
            <w:pPr>
              <w:spacing w:after="0"/>
              <w:rPr>
                <w:sz w:val="20"/>
                <w:szCs w:val="20"/>
                <w:color w:val="auto"/>
              </w:rPr>
            </w:pPr>
            <w:r>
              <w:rPr>
                <w:rFonts w:ascii="Arial" w:cs="Arial" w:eastAsia="Arial" w:hAnsi="Arial"/>
                <w:sz w:val="18"/>
                <w:szCs w:val="18"/>
                <w:color w:val="auto"/>
              </w:rPr>
              <w:t>Background and Other Related Data</w:t>
            </w:r>
          </w:p>
        </w:tc>
        <w:tc>
          <w:tcPr>
            <w:tcW w:w="24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Customer Authentication Credentials</w:t>
            </w:r>
          </w:p>
        </w:tc>
        <w:tc>
          <w:tcPr>
            <w:tcW w:w="6160" w:type="dxa"/>
            <w:vAlign w:val="bottom"/>
            <w:gridSpan w:val="2"/>
          </w:tcPr>
          <w:p>
            <w:pPr>
              <w:spacing w:after="0"/>
              <w:rPr>
                <w:sz w:val="20"/>
                <w:szCs w:val="20"/>
                <w:color w:val="auto"/>
              </w:rPr>
            </w:pPr>
            <w:r>
              <w:rPr>
                <w:rFonts w:ascii="Arial" w:cs="Arial" w:eastAsia="Arial" w:hAnsi="Arial"/>
                <w:sz w:val="18"/>
                <w:szCs w:val="18"/>
                <w:color w:val="auto"/>
              </w:rPr>
              <w:t>Values used by customers to authenticate and permit access to:</w:t>
            </w:r>
          </w:p>
        </w:tc>
      </w:tr>
      <w:tr>
        <w:trPr>
          <w:trHeight w:val="384"/>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Data Element</w:t>
            </w:r>
          </w:p>
        </w:tc>
        <w:tc>
          <w:tcPr>
            <w:tcW w:w="4060" w:type="dxa"/>
            <w:vAlign w:val="bottom"/>
          </w:tcPr>
          <w:p>
            <w:pPr>
              <w:spacing w:after="0"/>
              <w:rPr>
                <w:sz w:val="24"/>
                <w:szCs w:val="24"/>
                <w:color w:val="auto"/>
              </w:rPr>
            </w:pPr>
          </w:p>
        </w:tc>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Description</w:t>
            </w:r>
          </w:p>
        </w:tc>
      </w:tr>
      <w:tr>
        <w:trPr>
          <w:trHeight w:val="298"/>
        </w:trPr>
        <w:tc>
          <w:tcPr>
            <w:tcW w:w="4860" w:type="dxa"/>
            <w:vAlign w:val="bottom"/>
            <w:gridSpan w:val="2"/>
          </w:tcPr>
          <w:p>
            <w:pPr>
              <w:spacing w:after="0"/>
              <w:rPr>
                <w:sz w:val="20"/>
                <w:szCs w:val="20"/>
                <w:color w:val="auto"/>
              </w:rPr>
            </w:pPr>
            <w:r>
              <w:rPr>
                <w:rFonts w:ascii="Arial" w:cs="Arial" w:eastAsia="Arial" w:hAnsi="Arial"/>
                <w:sz w:val="18"/>
                <w:szCs w:val="18"/>
                <w:color w:val="auto"/>
              </w:rPr>
              <w:t>Applies to Customers only</w:t>
            </w:r>
          </w:p>
        </w:tc>
        <w:tc>
          <w:tcPr>
            <w:tcW w:w="24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310"/>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w w:val="92"/>
              </w:rPr>
              <w:t>1.    The customer’s personal information, including Customer Proprietary Network</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Information (CPNI) and AT&amp;T Proprietary</w:t>
            </w:r>
          </w:p>
        </w:tc>
      </w:tr>
      <w:tr>
        <w:trPr>
          <w:trHeight w:val="338"/>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(Sensitive Personal Information)</w:t>
            </w:r>
          </w:p>
        </w:tc>
      </w:tr>
      <w:tr>
        <w:trPr>
          <w:trHeight w:val="338"/>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 or —</w:t>
            </w:r>
          </w:p>
        </w:tc>
      </w:tr>
      <w:tr>
        <w:trPr>
          <w:trHeight w:val="310"/>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w w:val="96"/>
              </w:rPr>
              <w:t>2.    An application enabling the customer to subscribe to, or unsubscribe from,</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AT&amp;T services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 or —</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3.    An AT&amp;T service the customer is subscribed to</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Includes: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1.    Personal Identification Numbers (PINs), passwords, passcodes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w w:val="92"/>
              </w:rPr>
              <w:t>2.    Templates (e.g. “vector” equivalents) of biometrics, photographs or signatures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Excludes:</w:t>
            </w:r>
          </w:p>
        </w:tc>
      </w:tr>
      <w:tr>
        <w:trPr>
          <w:trHeight w:val="310"/>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w w:val="99"/>
              </w:rPr>
              <w:t>1.    Excludes Card Security Codes (CSC) and PINs used in association with</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tcPr>
          <w:p>
            <w:pPr>
              <w:ind w:left="120"/>
              <w:spacing w:after="0"/>
              <w:rPr>
                <w:sz w:val="20"/>
                <w:szCs w:val="20"/>
                <w:color w:val="auto"/>
              </w:rPr>
            </w:pPr>
            <w:r>
              <w:rPr>
                <w:rFonts w:ascii="Arial" w:cs="Arial" w:eastAsia="Arial" w:hAnsi="Arial"/>
                <w:sz w:val="18"/>
                <w:szCs w:val="18"/>
                <w:color w:val="auto"/>
              </w:rPr>
              <w:t>payment cards.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7"/>
                <w:szCs w:val="17"/>
                <w:color w:val="auto"/>
                <w:w w:val="70"/>
              </w:rPr>
              <w:t>2. </w:t>
            </w:r>
          </w:p>
        </w:tc>
        <w:tc>
          <w:tcPr>
            <w:tcW w:w="5920" w:type="dxa"/>
            <w:vAlign w:val="bottom"/>
          </w:tcPr>
          <w:p>
            <w:pPr>
              <w:ind w:left="80"/>
              <w:spacing w:after="0"/>
              <w:rPr>
                <w:sz w:val="20"/>
                <w:szCs w:val="20"/>
                <w:color w:val="auto"/>
              </w:rPr>
            </w:pPr>
            <w:r>
              <w:rPr>
                <w:rFonts w:ascii="Arial" w:cs="Arial" w:eastAsia="Arial" w:hAnsi="Arial"/>
                <w:sz w:val="18"/>
                <w:szCs w:val="18"/>
                <w:color w:val="auto"/>
              </w:rPr>
              <w:t> Full biometrics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7"/>
                <w:szCs w:val="17"/>
                <w:color w:val="auto"/>
                <w:w w:val="70"/>
              </w:rPr>
              <w:t>3. </w:t>
            </w:r>
          </w:p>
        </w:tc>
        <w:tc>
          <w:tcPr>
            <w:tcW w:w="5920" w:type="dxa"/>
            <w:vAlign w:val="bottom"/>
          </w:tcPr>
          <w:p>
            <w:pPr>
              <w:ind w:left="80"/>
              <w:spacing w:after="0"/>
              <w:rPr>
                <w:sz w:val="20"/>
                <w:szCs w:val="20"/>
                <w:color w:val="auto"/>
              </w:rPr>
            </w:pPr>
            <w:r>
              <w:rPr>
                <w:rFonts w:ascii="Arial" w:cs="Arial" w:eastAsia="Arial" w:hAnsi="Arial"/>
                <w:sz w:val="18"/>
                <w:szCs w:val="18"/>
                <w:color w:val="auto"/>
              </w:rPr>
              <w:t> Full photograph</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7"/>
                <w:szCs w:val="17"/>
                <w:color w:val="auto"/>
                <w:w w:val="70"/>
              </w:rPr>
              <w:t>4. </w:t>
            </w:r>
          </w:p>
        </w:tc>
        <w:tc>
          <w:tcPr>
            <w:tcW w:w="5920" w:type="dxa"/>
            <w:vAlign w:val="bottom"/>
          </w:tcPr>
          <w:p>
            <w:pPr>
              <w:ind w:left="80"/>
              <w:spacing w:after="0"/>
              <w:rPr>
                <w:sz w:val="20"/>
                <w:szCs w:val="20"/>
                <w:color w:val="auto"/>
              </w:rPr>
            </w:pPr>
            <w:r>
              <w:rPr>
                <w:rFonts w:ascii="Arial" w:cs="Arial" w:eastAsia="Arial" w:hAnsi="Arial"/>
                <w:sz w:val="18"/>
                <w:szCs w:val="18"/>
                <w:color w:val="auto"/>
              </w:rPr>
              <w:t> Full signature</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Customer Authentication Credential Hints</w:t>
            </w:r>
          </w:p>
        </w:tc>
        <w:tc>
          <w:tcPr>
            <w:tcW w:w="6160" w:type="dxa"/>
            <w:vAlign w:val="bottom"/>
            <w:gridSpan w:val="2"/>
          </w:tcPr>
          <w:p>
            <w:pPr>
              <w:spacing w:after="0"/>
              <w:rPr>
                <w:sz w:val="20"/>
                <w:szCs w:val="20"/>
                <w:color w:val="auto"/>
              </w:rPr>
            </w:pPr>
            <w:r>
              <w:rPr>
                <w:rFonts w:ascii="Arial" w:cs="Arial" w:eastAsia="Arial" w:hAnsi="Arial"/>
                <w:sz w:val="18"/>
                <w:szCs w:val="18"/>
                <w:color w:val="auto"/>
              </w:rPr>
              <w:t>Answers to questions used to retrieve customer authentication credentials.</w:t>
            </w:r>
          </w:p>
        </w:tc>
      </w:tr>
      <w:tr>
        <w:trPr>
          <w:trHeight w:val="385"/>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Data Element</w:t>
            </w:r>
          </w:p>
        </w:tc>
        <w:tc>
          <w:tcPr>
            <w:tcW w:w="4060" w:type="dxa"/>
            <w:vAlign w:val="bottom"/>
          </w:tcPr>
          <w:p>
            <w:pPr>
              <w:spacing w:after="0"/>
              <w:rPr>
                <w:sz w:val="24"/>
                <w:szCs w:val="24"/>
                <w:color w:val="auto"/>
              </w:rPr>
            </w:pPr>
          </w:p>
        </w:tc>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Description</w:t>
            </w:r>
          </w:p>
        </w:tc>
      </w:tr>
      <w:tr>
        <w:trPr>
          <w:trHeight w:val="298"/>
        </w:trPr>
        <w:tc>
          <w:tcPr>
            <w:tcW w:w="4860" w:type="dxa"/>
            <w:vAlign w:val="bottom"/>
            <w:gridSpan w:val="2"/>
          </w:tcPr>
          <w:p>
            <w:pPr>
              <w:spacing w:after="0"/>
              <w:rPr>
                <w:sz w:val="20"/>
                <w:szCs w:val="20"/>
                <w:color w:val="auto"/>
              </w:rPr>
            </w:pPr>
            <w:r>
              <w:rPr>
                <w:rFonts w:ascii="Arial" w:cs="Arial" w:eastAsia="Arial" w:hAnsi="Arial"/>
                <w:sz w:val="18"/>
                <w:szCs w:val="18"/>
                <w:color w:val="auto"/>
              </w:rPr>
              <w:t>Applies to Customers only</w:t>
            </w:r>
          </w:p>
        </w:tc>
        <w:tc>
          <w:tcPr>
            <w:tcW w:w="240" w:type="dxa"/>
            <w:vAlign w:val="bottom"/>
          </w:tcPr>
          <w:p>
            <w:pPr>
              <w:spacing w:after="0"/>
              <w:rPr>
                <w:sz w:val="24"/>
                <w:szCs w:val="24"/>
                <w:color w:val="auto"/>
              </w:rPr>
            </w:pPr>
          </w:p>
        </w:tc>
        <w:tc>
          <w:tcPr>
            <w:tcW w:w="5920" w:type="dxa"/>
            <w:vAlign w:val="bottom"/>
          </w:tcPr>
          <w:p>
            <w:pPr>
              <w:spacing w:after="0"/>
              <w:rPr>
                <w:sz w:val="24"/>
                <w:szCs w:val="24"/>
                <w:color w:val="auto"/>
              </w:rPr>
            </w:pPr>
          </w:p>
        </w:tc>
      </w:tr>
      <w:tr>
        <w:trPr>
          <w:trHeight w:val="310"/>
        </w:trPr>
        <w:tc>
          <w:tcPr>
            <w:tcW w:w="4860" w:type="dxa"/>
            <w:vAlign w:val="bottom"/>
            <w:gridSpan w:val="2"/>
          </w:tcPr>
          <w:p>
            <w:pPr>
              <w:spacing w:after="0"/>
              <w:rPr>
                <w:sz w:val="20"/>
                <w:szCs w:val="20"/>
                <w:color w:val="auto"/>
              </w:rPr>
            </w:pPr>
            <w:r>
              <w:rPr>
                <w:rFonts w:ascii="Arial" w:cs="Arial" w:eastAsia="Arial" w:hAnsi="Arial"/>
                <w:sz w:val="18"/>
                <w:szCs w:val="18"/>
                <w:color w:val="auto"/>
              </w:rPr>
              <w:t>Location-Based Information (LBI)</w:t>
            </w:r>
          </w:p>
        </w:tc>
        <w:tc>
          <w:tcPr>
            <w:tcW w:w="6160" w:type="dxa"/>
            <w:vAlign w:val="bottom"/>
            <w:gridSpan w:val="2"/>
          </w:tcPr>
          <w:p>
            <w:pPr>
              <w:spacing w:after="0"/>
              <w:rPr>
                <w:sz w:val="20"/>
                <w:szCs w:val="20"/>
                <w:color w:val="auto"/>
              </w:rPr>
            </w:pPr>
            <w:r>
              <w:rPr>
                <w:rFonts w:ascii="Arial" w:cs="Arial" w:eastAsia="Arial" w:hAnsi="Arial"/>
                <w:sz w:val="18"/>
                <w:szCs w:val="18"/>
                <w:color w:val="auto"/>
              </w:rPr>
              <w:t>Information that identifies the current or past location of a specific individual’s</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mobile device.</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860"/>
        <w:spacing w:after="0" w:line="259" w:lineRule="auto"/>
        <w:rPr>
          <w:sz w:val="20"/>
          <w:szCs w:val="20"/>
          <w:color w:val="auto"/>
        </w:rPr>
      </w:pPr>
      <w:r>
        <w:rPr>
          <w:rFonts w:ascii="Arial" w:cs="Arial" w:eastAsia="Arial" w:hAnsi="Arial"/>
          <w:sz w:val="18"/>
          <w:szCs w:val="18"/>
          <w:color w:val="auto"/>
        </w:rPr>
        <w:t>A mobile device’s location (e.g. a map address, or latitude and longitude together with altitude where known) derived from the mobile device through activities such as GPS or network connectivity rather than as a result of user action (e.g. revealing location in the content of an email, or SMS).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139 of 206</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62" w:name="page263"/>
    <w:bookmarkEnd w:id="262"/>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Criminal History</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Background Checks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Racial or Ethnic Origin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Union Membership</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Related to an Individual’s Political Affiliation, Religious Belief, or Sexual Orientation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Health Data</w:t>
      </w:r>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Data Element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U.S. Protected Health Information (PHI)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Data Element</w:t>
      </w:r>
    </w:p>
    <w:p>
      <w:pPr>
        <w:spacing w:after="0" w:line="20" w:lineRule="exact"/>
        <w:rPr>
          <w:sz w:val="20"/>
          <w:szCs w:val="20"/>
          <w:color w:val="auto"/>
        </w:rPr>
      </w:pPr>
      <w:r>
        <w:rPr>
          <w:sz w:val="20"/>
          <w:szCs w:val="20"/>
          <w:color w:val="auto"/>
        </w:rPr>
        <w:br w:type="column"/>
      </w:r>
    </w:p>
    <w:p>
      <w:pPr>
        <w:ind w:left="3540"/>
        <w:spacing w:after="0"/>
        <w:rPr>
          <w:sz w:val="20"/>
          <w:szCs w:val="20"/>
          <w:color w:val="auto"/>
        </w:rPr>
      </w:pPr>
      <w:r>
        <w:rPr>
          <w:rFonts w:ascii="Arial" w:cs="Arial" w:eastAsia="Arial" w:hAnsi="Arial"/>
          <w:sz w:val="16"/>
          <w:szCs w:val="16"/>
          <w:color w:val="auto"/>
        </w:rPr>
        <w:t>AT&amp;T Agreement No. 53258.A.005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-201295</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6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Information about an individual’s criminal history, e.g. criminal check portion of a background check.</w:t>
      </w:r>
    </w:p>
    <w:p>
      <w:pPr>
        <w:spacing w:after="0" w:line="7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Third party (non-AT&amp;T) checks including credit history, employment history, driving records.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Data specifying and/or confirming an individual’s racial or ethnic origin.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Data specifying and/or confirming an individual is a member of a trade union.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Data specifying and/or confirming an individual’s political affiliation, religious or similar beliefs, or sexual life or orientation.</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9090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9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Includes any U.S. health information used in AT&amp;T’s Group Health Care plans or belonging to AT&amp;T’s customers that identifies the individual or for which there is a reasonable basis to believe it can be used to identify the individuals that include information about:</w:t>
      </w:r>
    </w:p>
    <w:p>
      <w:pPr>
        <w:spacing w:after="0" w:line="79" w:lineRule="exact"/>
        <w:rPr>
          <w:sz w:val="20"/>
          <w:szCs w:val="20"/>
          <w:color w:val="auto"/>
        </w:rPr>
      </w:pPr>
    </w:p>
    <w:p>
      <w:pPr>
        <w:ind w:left="80"/>
        <w:spacing w:after="0"/>
        <w:rPr>
          <w:sz w:val="20"/>
          <w:szCs w:val="20"/>
          <w:color w:val="auto"/>
        </w:rPr>
      </w:pPr>
      <w:r>
        <w:rPr>
          <w:rFonts w:ascii="Arial" w:cs="Arial" w:eastAsia="Arial" w:hAnsi="Arial"/>
          <w:sz w:val="16"/>
          <w:szCs w:val="16"/>
          <w:color w:val="auto"/>
        </w:rPr>
        <w:t>•    The individual’s past, present or future physical or mental health or condition,</w:t>
      </w:r>
    </w:p>
    <w:p>
      <w:pPr>
        <w:spacing w:after="0" w:line="154" w:lineRule="exact"/>
        <w:rPr>
          <w:sz w:val="20"/>
          <w:szCs w:val="20"/>
          <w:color w:val="auto"/>
        </w:rPr>
      </w:pPr>
    </w:p>
    <w:p>
      <w:pPr>
        <w:ind w:left="80"/>
        <w:spacing w:after="0"/>
        <w:rPr>
          <w:sz w:val="20"/>
          <w:szCs w:val="20"/>
          <w:color w:val="auto"/>
        </w:rPr>
      </w:pPr>
      <w:r>
        <w:rPr>
          <w:rFonts w:ascii="Arial" w:cs="Arial" w:eastAsia="Arial" w:hAnsi="Arial"/>
          <w:sz w:val="18"/>
          <w:szCs w:val="18"/>
          <w:color w:val="auto"/>
        </w:rPr>
        <w:t>•    The provision of health care to the individual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131" w:lineRule="exact"/>
        <w:rPr>
          <w:sz w:val="20"/>
          <w:szCs w:val="20"/>
          <w:color w:val="auto"/>
        </w:rPr>
      </w:pPr>
    </w:p>
    <w:p>
      <w:pPr>
        <w:ind w:left="360" w:right="500" w:hanging="269"/>
        <w:spacing w:after="0" w:line="277" w:lineRule="auto"/>
        <w:rPr>
          <w:sz w:val="20"/>
          <w:szCs w:val="20"/>
          <w:color w:val="auto"/>
        </w:rPr>
      </w:pPr>
      <w:r>
        <w:rPr>
          <w:rFonts w:ascii="Arial" w:cs="Arial" w:eastAsia="Arial" w:hAnsi="Arial"/>
          <w:sz w:val="18"/>
          <w:szCs w:val="18"/>
          <w:color w:val="auto"/>
        </w:rPr>
        <w:t>•   The past, present, or future payment for the provision of health care to the individual.</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390906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3909060" cy="8255"/>
                    </a:xfrm>
                    <a:prstGeom prst="rect">
                      <a:avLst/>
                    </a:prstGeom>
                    <a:noFill/>
                  </pic:spPr>
                </pic:pic>
              </a:graphicData>
            </a:graphic>
          </wp:anchor>
        </w:drawing>
      </w:r>
    </w:p>
    <w:p>
      <w:pPr>
        <w:spacing w:after="0" w:line="1"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Health information of retirees, employees, or employee beneficiaries used by AT&amp;T for purposes other than a group health plan is not PHI.</w:t>
      </w:r>
    </w:p>
    <w:p>
      <w:pPr>
        <w:spacing w:after="0" w:line="106" w:lineRule="exact"/>
        <w:rPr>
          <w:sz w:val="20"/>
          <w:szCs w:val="20"/>
          <w:color w:val="auto"/>
        </w:rPr>
      </w:pPr>
    </w:p>
    <w:p>
      <w:pPr>
        <w:sectPr>
          <w:pgSz w:w="11900" w:h="16838" w:orient="portrait"/>
          <w:cols w:equalWidth="0" w:num="2">
            <w:col w:w="4240" w:space="620"/>
            <w:col w:w="6160"/>
          </w:cols>
          <w:pgMar w:left="440" w:top="274" w:right="439" w:bottom="1440" w:gutter="0" w:footer="0" w:header="0"/>
        </w:sectPr>
      </w:pPr>
    </w:p>
    <w:p>
      <w:pPr>
        <w:jc w:val="right"/>
        <w:spacing w:after="0"/>
        <w:rPr>
          <w:sz w:val="20"/>
          <w:szCs w:val="20"/>
          <w:color w:val="auto"/>
        </w:rPr>
      </w:pPr>
      <w:r>
        <w:rPr>
          <w:rFonts w:ascii="Arial" w:cs="Arial" w:eastAsia="Arial" w:hAnsi="Arial"/>
          <w:sz w:val="18"/>
          <w:szCs w:val="18"/>
          <w:color w:val="auto"/>
        </w:rPr>
        <w:t>Page 140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type w:val="continuous"/>
        </w:sectPr>
      </w:pPr>
    </w:p>
    <w:bookmarkStart w:id="263" w:name="page264"/>
    <w:bookmarkEnd w:id="263"/>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40" w:type="dxa"/>
            <w:vAlign w:val="bottom"/>
            <w:gridSpan w:val="2"/>
          </w:tcPr>
          <w:p>
            <w:pPr>
              <w:ind w:left="3300"/>
              <w:spacing w:after="0"/>
              <w:rPr>
                <w:sz w:val="20"/>
                <w:szCs w:val="20"/>
                <w:color w:val="auto"/>
              </w:rPr>
            </w:pPr>
            <w:r>
              <w:rPr>
                <w:rFonts w:ascii="Arial" w:cs="Arial" w:eastAsia="Arial" w:hAnsi="Arial"/>
                <w:sz w:val="18"/>
                <w:szCs w:val="18"/>
                <w:color w:val="auto"/>
                <w:w w:val="93"/>
              </w:rPr>
              <w:t>AT&amp;T Agreement No. 53258.A.005</w:t>
            </w:r>
          </w:p>
        </w:tc>
      </w:tr>
      <w:tr>
        <w:trPr>
          <w:trHeight w:val="365"/>
        </w:trPr>
        <w:tc>
          <w:tcPr>
            <w:tcW w:w="4860" w:type="dxa"/>
            <w:vAlign w:val="bottom"/>
            <w:gridSpan w:val="2"/>
          </w:tcPr>
          <w:p>
            <w:pPr>
              <w:spacing w:after="0"/>
              <w:rPr>
                <w:sz w:val="20"/>
                <w:szCs w:val="20"/>
                <w:color w:val="auto"/>
              </w:rPr>
            </w:pPr>
            <w:r>
              <w:rPr>
                <w:rFonts w:ascii="Arial" w:cs="Arial" w:eastAsia="Arial" w:hAnsi="Arial"/>
                <w:sz w:val="18"/>
                <w:szCs w:val="18"/>
                <w:color w:val="auto"/>
              </w:rPr>
              <w:t>Background and Other Related Data</w:t>
            </w:r>
          </w:p>
        </w:tc>
        <w:tc>
          <w:tcPr>
            <w:tcW w:w="2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84"/>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Data Element</w:t>
            </w:r>
          </w:p>
        </w:tc>
        <w:tc>
          <w:tcPr>
            <w:tcW w:w="40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4"/>
                <w:szCs w:val="14"/>
                <w:color w:val="auto"/>
              </w:rPr>
              <w:t>Description</w:t>
            </w:r>
          </w:p>
        </w:tc>
      </w:tr>
      <w:tr>
        <w:trPr>
          <w:trHeight w:val="189"/>
        </w:trPr>
        <w:tc>
          <w:tcPr>
            <w:tcW w:w="4860" w:type="dxa"/>
            <w:vAlign w:val="bottom"/>
            <w:gridSpan w:val="2"/>
          </w:tcPr>
          <w:p>
            <w:pPr>
              <w:spacing w:after="0" w:line="189" w:lineRule="exact"/>
              <w:rPr>
                <w:sz w:val="20"/>
                <w:szCs w:val="20"/>
                <w:color w:val="auto"/>
              </w:rPr>
            </w:pPr>
            <w:r>
              <w:rPr>
                <w:rFonts w:ascii="Arial" w:cs="Arial" w:eastAsia="Arial" w:hAnsi="Arial"/>
                <w:sz w:val="18"/>
                <w:szCs w:val="18"/>
                <w:color w:val="auto"/>
              </w:rPr>
              <w:t>Medical and Health Information</w:t>
            </w:r>
          </w:p>
        </w:tc>
        <w:tc>
          <w:tcPr>
            <w:tcW w:w="616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w w:val="98"/>
              </w:rPr>
              <w:t>Any information concerning physical or mental health conditions or disabilities.</w:t>
            </w:r>
          </w:p>
        </w:tc>
        <w:tc>
          <w:tcPr>
            <w:tcW w:w="20" w:type="dxa"/>
            <w:vAlign w:val="bottom"/>
          </w:tcPr>
          <w:p>
            <w:pPr>
              <w:spacing w:after="0"/>
              <w:rPr>
                <w:sz w:val="16"/>
                <w:szCs w:val="16"/>
                <w:color w:val="auto"/>
              </w:rPr>
            </w:pP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Includes: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7"/>
                <w:szCs w:val="17"/>
                <w:color w:val="auto"/>
                <w:w w:val="70"/>
              </w:rPr>
              <w:t>1. </w:t>
            </w:r>
          </w:p>
        </w:tc>
        <w:tc>
          <w:tcPr>
            <w:tcW w:w="5940" w:type="dxa"/>
            <w:vAlign w:val="bottom"/>
            <w:gridSpan w:val="2"/>
          </w:tcPr>
          <w:p>
            <w:pPr>
              <w:ind w:left="80"/>
              <w:spacing w:after="0"/>
              <w:rPr>
                <w:sz w:val="20"/>
                <w:szCs w:val="20"/>
                <w:color w:val="auto"/>
              </w:rPr>
            </w:pPr>
            <w:r>
              <w:rPr>
                <w:rFonts w:ascii="Arial" w:cs="Arial" w:eastAsia="Arial" w:hAnsi="Arial"/>
                <w:sz w:val="18"/>
                <w:szCs w:val="18"/>
                <w:color w:val="auto"/>
              </w:rPr>
              <w:t> Medical record number</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2.    Health plan beneficiary number</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3.    Medical device identifiers and serial numbers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7"/>
                <w:szCs w:val="17"/>
                <w:color w:val="auto"/>
                <w:w w:val="70"/>
              </w:rPr>
              <w:t>4. </w:t>
            </w:r>
          </w:p>
        </w:tc>
        <w:tc>
          <w:tcPr>
            <w:tcW w:w="5940" w:type="dxa"/>
            <w:vAlign w:val="bottom"/>
            <w:gridSpan w:val="2"/>
          </w:tcPr>
          <w:p>
            <w:pPr>
              <w:ind w:left="80"/>
              <w:spacing w:after="0"/>
              <w:rPr>
                <w:sz w:val="20"/>
                <w:szCs w:val="20"/>
                <w:color w:val="auto"/>
              </w:rPr>
            </w:pPr>
            <w:r>
              <w:rPr>
                <w:rFonts w:ascii="Arial" w:cs="Arial" w:eastAsia="Arial" w:hAnsi="Arial"/>
                <w:sz w:val="18"/>
                <w:szCs w:val="18"/>
                <w:color w:val="auto"/>
              </w:rPr>
              <w:t> Prescription (Rx) number</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5.    Health insurance identification or account number</w:t>
            </w:r>
          </w:p>
        </w:tc>
      </w:tr>
      <w:tr>
        <w:trPr>
          <w:trHeight w:val="310"/>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0"/>
              </w:rPr>
              <w:t>6.    Medical treatment – Information about the management and care of a patient or</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40" w:type="dxa"/>
            <w:vAlign w:val="bottom"/>
            <w:gridSpan w:val="2"/>
          </w:tcPr>
          <w:p>
            <w:pPr>
              <w:ind w:left="120"/>
              <w:spacing w:after="0"/>
              <w:rPr>
                <w:sz w:val="20"/>
                <w:szCs w:val="20"/>
                <w:color w:val="auto"/>
              </w:rPr>
            </w:pPr>
            <w:r>
              <w:rPr>
                <w:rFonts w:ascii="Arial" w:cs="Arial" w:eastAsia="Arial" w:hAnsi="Arial"/>
                <w:sz w:val="18"/>
                <w:szCs w:val="18"/>
                <w:color w:val="auto"/>
              </w:rPr>
              <w:t>the combating of disease or disorder.</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7"/>
                <w:szCs w:val="17"/>
                <w:color w:val="auto"/>
                <w:w w:val="70"/>
              </w:rPr>
              <w:t>7. </w:t>
            </w:r>
          </w:p>
        </w:tc>
        <w:tc>
          <w:tcPr>
            <w:tcW w:w="5940" w:type="dxa"/>
            <w:vAlign w:val="bottom"/>
            <w:gridSpan w:val="2"/>
          </w:tcPr>
          <w:p>
            <w:pPr>
              <w:ind w:left="80"/>
              <w:spacing w:after="0"/>
              <w:rPr>
                <w:sz w:val="20"/>
                <w:szCs w:val="20"/>
                <w:color w:val="auto"/>
              </w:rPr>
            </w:pPr>
            <w:r>
              <w:rPr>
                <w:rFonts w:ascii="Arial" w:cs="Arial" w:eastAsia="Arial" w:hAnsi="Arial"/>
                <w:sz w:val="18"/>
                <w:szCs w:val="18"/>
                <w:color w:val="auto"/>
              </w:rPr>
              <w:t> Medical diagnosis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7"/>
                <w:szCs w:val="17"/>
                <w:color w:val="auto"/>
                <w:w w:val="70"/>
              </w:rPr>
              <w:t>8. </w:t>
            </w:r>
          </w:p>
        </w:tc>
        <w:tc>
          <w:tcPr>
            <w:tcW w:w="5940" w:type="dxa"/>
            <w:vAlign w:val="bottom"/>
            <w:gridSpan w:val="2"/>
          </w:tcPr>
          <w:p>
            <w:pPr>
              <w:ind w:left="80"/>
              <w:spacing w:after="0"/>
              <w:rPr>
                <w:sz w:val="20"/>
                <w:szCs w:val="20"/>
                <w:color w:val="auto"/>
              </w:rPr>
            </w:pPr>
            <w:r>
              <w:rPr>
                <w:rFonts w:ascii="Arial" w:cs="Arial" w:eastAsia="Arial" w:hAnsi="Arial"/>
                <w:sz w:val="18"/>
                <w:szCs w:val="18"/>
                <w:color w:val="auto"/>
              </w:rPr>
              <w:t> Medical history</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7"/>
                <w:szCs w:val="17"/>
                <w:color w:val="auto"/>
                <w:w w:val="70"/>
              </w:rPr>
              <w:t>9. </w:t>
            </w:r>
          </w:p>
        </w:tc>
        <w:tc>
          <w:tcPr>
            <w:tcW w:w="5940" w:type="dxa"/>
            <w:vAlign w:val="bottom"/>
            <w:gridSpan w:val="2"/>
          </w:tcPr>
          <w:p>
            <w:pPr>
              <w:ind w:left="80"/>
              <w:spacing w:after="0"/>
              <w:rPr>
                <w:sz w:val="20"/>
                <w:szCs w:val="20"/>
                <w:color w:val="auto"/>
              </w:rPr>
            </w:pPr>
            <w:r>
              <w:rPr>
                <w:rFonts w:ascii="Arial" w:cs="Arial" w:eastAsia="Arial" w:hAnsi="Arial"/>
                <w:sz w:val="18"/>
                <w:szCs w:val="18"/>
                <w:color w:val="auto"/>
              </w:rPr>
              <w:t> Medical payment information</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10.   Medical claims data</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11.   Medical images and metadata</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12.   Drugs, therapies, or medical products or equipment used</w:t>
            </w:r>
          </w:p>
        </w:tc>
      </w:tr>
      <w:tr>
        <w:trPr>
          <w:trHeight w:val="310"/>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13.   Family health or morbidity history—an account of all medical events and</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40" w:type="dxa"/>
            <w:vAlign w:val="bottom"/>
            <w:gridSpan w:val="2"/>
          </w:tcPr>
          <w:p>
            <w:pPr>
              <w:ind w:left="120"/>
              <w:spacing w:after="0"/>
              <w:rPr>
                <w:sz w:val="20"/>
                <w:szCs w:val="20"/>
                <w:color w:val="auto"/>
              </w:rPr>
            </w:pPr>
            <w:r>
              <w:rPr>
                <w:rFonts w:ascii="Arial" w:cs="Arial" w:eastAsia="Arial" w:hAnsi="Arial"/>
                <w:sz w:val="18"/>
                <w:szCs w:val="18"/>
                <w:color w:val="auto"/>
              </w:rPr>
              <w:t>problems experienced by members of the family</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14.   Other medical and health information</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Genetic Information</w:t>
            </w:r>
          </w:p>
        </w:tc>
        <w:tc>
          <w:tcPr>
            <w:tcW w:w="6180" w:type="dxa"/>
            <w:vAlign w:val="bottom"/>
            <w:gridSpan w:val="3"/>
          </w:tcPr>
          <w:p>
            <w:pPr>
              <w:spacing w:after="0"/>
              <w:rPr>
                <w:sz w:val="20"/>
                <w:szCs w:val="20"/>
                <w:color w:val="auto"/>
              </w:rPr>
            </w:pPr>
            <w:r>
              <w:rPr>
                <w:rFonts w:ascii="Arial" w:cs="Arial" w:eastAsia="Arial" w:hAnsi="Arial"/>
                <w:sz w:val="18"/>
                <w:szCs w:val="18"/>
                <w:color w:val="auto"/>
              </w:rPr>
              <w:t>Includes: Information about an individual’s genetic tests.</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Customer Privacy Data</w:t>
            </w:r>
          </w:p>
        </w:tc>
        <w:tc>
          <w:tcPr>
            <w:tcW w:w="24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1"/>
        </w:trPr>
        <w:tc>
          <w:tcPr>
            <w:tcW w:w="48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Data Element</w:t>
            </w:r>
          </w:p>
        </w:tc>
        <w:tc>
          <w:tcPr>
            <w:tcW w:w="6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Description</w:t>
            </w:r>
          </w:p>
        </w:tc>
        <w:tc>
          <w:tcPr>
            <w:tcW w:w="20" w:type="dxa"/>
            <w:vAlign w:val="bottom"/>
          </w:tcPr>
          <w:p>
            <w:pPr>
              <w:spacing w:after="0"/>
              <w:rPr>
                <w:sz w:val="24"/>
                <w:szCs w:val="24"/>
                <w:color w:val="auto"/>
              </w:rPr>
            </w:pPr>
          </w:p>
        </w:tc>
      </w:tr>
      <w:tr>
        <w:trPr>
          <w:trHeight w:val="311"/>
        </w:trPr>
        <w:tc>
          <w:tcPr>
            <w:tcW w:w="4860" w:type="dxa"/>
            <w:vAlign w:val="bottom"/>
            <w:gridSpan w:val="2"/>
          </w:tcPr>
          <w:p>
            <w:pPr>
              <w:spacing w:after="0"/>
              <w:rPr>
                <w:sz w:val="20"/>
                <w:szCs w:val="20"/>
                <w:color w:val="auto"/>
              </w:rPr>
            </w:pPr>
            <w:r>
              <w:rPr>
                <w:rFonts w:ascii="Arial" w:cs="Arial" w:eastAsia="Arial" w:hAnsi="Arial"/>
                <w:sz w:val="18"/>
                <w:szCs w:val="18"/>
                <w:color w:val="auto"/>
              </w:rPr>
              <w:t>Customer Web Browsing and Search History</w:t>
            </w:r>
          </w:p>
        </w:tc>
        <w:tc>
          <w:tcPr>
            <w:tcW w:w="6180" w:type="dxa"/>
            <w:vAlign w:val="bottom"/>
            <w:gridSpan w:val="3"/>
          </w:tcPr>
          <w:p>
            <w:pPr>
              <w:spacing w:after="0"/>
              <w:rPr>
                <w:sz w:val="20"/>
                <w:szCs w:val="20"/>
                <w:color w:val="auto"/>
              </w:rPr>
            </w:pPr>
            <w:r>
              <w:rPr>
                <w:rFonts w:ascii="Arial" w:cs="Arial" w:eastAsia="Arial" w:hAnsi="Arial"/>
                <w:sz w:val="18"/>
                <w:szCs w:val="18"/>
                <w:color w:val="auto"/>
              </w:rPr>
              <w:t>Includes: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1.    Information about what searches our customers perform</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860"/>
        <w:spacing w:after="0"/>
        <w:rPr>
          <w:sz w:val="20"/>
          <w:szCs w:val="20"/>
          <w:color w:val="auto"/>
        </w:rPr>
      </w:pPr>
      <w:r>
        <w:rPr>
          <w:rFonts w:ascii="Arial" w:cs="Arial" w:eastAsia="Arial" w:hAnsi="Arial"/>
          <w:sz w:val="18"/>
          <w:szCs w:val="18"/>
          <w:color w:val="auto"/>
        </w:rPr>
        <w:t>2.    Web sites our customers visit</w:t>
      </w:r>
    </w:p>
    <w:p>
      <w:pPr>
        <w:spacing w:after="0" w:line="117"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3.    Web pages our customers view</w:t>
      </w:r>
    </w:p>
    <w:p>
      <w:pPr>
        <w:spacing w:after="0" w:line="117" w:lineRule="exact"/>
        <w:rPr>
          <w:sz w:val="20"/>
          <w:szCs w:val="20"/>
          <w:color w:val="auto"/>
        </w:rPr>
      </w:pPr>
    </w:p>
    <w:p>
      <w:pPr>
        <w:ind w:left="5220" w:right="300" w:hanging="359"/>
        <w:spacing w:after="0" w:line="277" w:lineRule="auto"/>
        <w:rPr>
          <w:sz w:val="20"/>
          <w:szCs w:val="20"/>
          <w:color w:val="auto"/>
        </w:rPr>
      </w:pPr>
      <w:r>
        <w:rPr>
          <w:rFonts w:ascii="Arial" w:cs="Arial" w:eastAsia="Arial" w:hAnsi="Arial"/>
          <w:sz w:val="18"/>
          <w:szCs w:val="18"/>
          <w:color w:val="auto"/>
        </w:rPr>
        <w:t>4.   Applications our customers use on an AT&amp;T Network (wireline and wireless including wi-fi).</w:t>
      </w:r>
    </w:p>
    <w:p>
      <w:pPr>
        <w:spacing w:after="0" w:line="62"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Excludes:</w:t>
      </w:r>
    </w:p>
    <w:p>
      <w:pPr>
        <w:spacing w:after="0" w:line="117" w:lineRule="exact"/>
        <w:rPr>
          <w:sz w:val="20"/>
          <w:szCs w:val="20"/>
          <w:color w:val="auto"/>
        </w:rPr>
      </w:pPr>
    </w:p>
    <w:p>
      <w:pPr>
        <w:ind w:left="5220" w:right="300" w:hanging="359"/>
        <w:spacing w:after="0" w:line="277" w:lineRule="auto"/>
        <w:rPr>
          <w:sz w:val="20"/>
          <w:szCs w:val="20"/>
          <w:color w:val="auto"/>
        </w:rPr>
      </w:pPr>
      <w:r>
        <w:rPr>
          <w:rFonts w:ascii="Arial" w:cs="Arial" w:eastAsia="Arial" w:hAnsi="Arial"/>
          <w:sz w:val="18"/>
          <w:szCs w:val="18"/>
          <w:color w:val="auto"/>
        </w:rPr>
        <w:t>1.   Searching, browsing and activities associated with customers’ use of official AT&amp;T corporate web sites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141 of 206</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80" w:type="dxa"/>
            <w:vAlign w:val="bottom"/>
            <w:gridSpan w:val="2"/>
          </w:tcPr>
          <w:p>
            <w:pPr>
              <w:ind w:left="3540"/>
              <w:spacing w:after="0"/>
              <w:rPr>
                <w:sz w:val="20"/>
                <w:szCs w:val="20"/>
                <w:color w:val="auto"/>
              </w:rPr>
            </w:pPr>
            <w:r>
              <w:rPr>
                <w:rFonts w:ascii="Arial" w:cs="Arial" w:eastAsia="Arial" w:hAnsi="Arial"/>
                <w:sz w:val="18"/>
                <w:szCs w:val="18"/>
                <w:color w:val="auto"/>
                <w:w w:val="93"/>
              </w:rPr>
              <w:t>AT&amp;T Agreement No. 53258.A.005</w:t>
            </w:r>
          </w:p>
        </w:tc>
      </w:tr>
      <w:tr>
        <w:trPr>
          <w:trHeight w:val="520"/>
        </w:trPr>
        <w:tc>
          <w:tcPr>
            <w:tcW w:w="486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618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202"/>
        </w:trPr>
        <w:tc>
          <w:tcPr>
            <w:tcW w:w="800" w:type="dxa"/>
            <w:vAlign w:val="bottom"/>
            <w:tcBorders>
              <w:top w:val="single" w:sz="8" w:color="auto"/>
            </w:tcBorders>
          </w:tcPr>
          <w:p>
            <w:pPr>
              <w:spacing w:after="0"/>
              <w:rPr>
                <w:sz w:val="17"/>
                <w:szCs w:val="17"/>
                <w:color w:val="auto"/>
              </w:rPr>
            </w:pPr>
          </w:p>
        </w:tc>
        <w:tc>
          <w:tcPr>
            <w:tcW w:w="4060" w:type="dxa"/>
            <w:vAlign w:val="bottom"/>
          </w:tcPr>
          <w:p>
            <w:pPr>
              <w:spacing w:after="0"/>
              <w:rPr>
                <w:sz w:val="17"/>
                <w:szCs w:val="17"/>
                <w:color w:val="auto"/>
              </w:rPr>
            </w:pPr>
          </w:p>
        </w:tc>
        <w:tc>
          <w:tcPr>
            <w:tcW w:w="6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2.    History captured at the network level prior to processing (e.g. raw data streams</w:t>
            </w:r>
          </w:p>
        </w:tc>
        <w:tc>
          <w:tcPr>
            <w:tcW w:w="20" w:type="dxa"/>
            <w:vAlign w:val="bottom"/>
          </w:tcPr>
          <w:p>
            <w:pPr>
              <w:spacing w:after="0"/>
              <w:rPr>
                <w:sz w:val="17"/>
                <w:szCs w:val="17"/>
                <w:color w:val="auto"/>
              </w:rPr>
            </w:pP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80" w:type="dxa"/>
            <w:vAlign w:val="bottom"/>
            <w:gridSpan w:val="2"/>
          </w:tcPr>
          <w:p>
            <w:pPr>
              <w:ind w:left="360"/>
              <w:spacing w:after="0"/>
              <w:rPr>
                <w:sz w:val="20"/>
                <w:szCs w:val="20"/>
                <w:color w:val="auto"/>
              </w:rPr>
            </w:pPr>
            <w:r>
              <w:rPr>
                <w:rFonts w:ascii="Arial" w:cs="Arial" w:eastAsia="Arial" w:hAnsi="Arial"/>
                <w:sz w:val="18"/>
                <w:szCs w:val="18"/>
                <w:color w:val="auto"/>
              </w:rPr>
              <w:t>not associated with a customer).</w:t>
            </w:r>
          </w:p>
        </w:tc>
      </w:tr>
      <w:tr>
        <w:trPr>
          <w:trHeight w:val="310"/>
        </w:trPr>
        <w:tc>
          <w:tcPr>
            <w:tcW w:w="4860" w:type="dxa"/>
            <w:vAlign w:val="bottom"/>
            <w:gridSpan w:val="2"/>
          </w:tcPr>
          <w:p>
            <w:pPr>
              <w:spacing w:after="0"/>
              <w:rPr>
                <w:sz w:val="20"/>
                <w:szCs w:val="20"/>
                <w:color w:val="auto"/>
              </w:rPr>
            </w:pPr>
            <w:r>
              <w:rPr>
                <w:rFonts w:ascii="Arial" w:cs="Arial" w:eastAsia="Arial" w:hAnsi="Arial"/>
                <w:sz w:val="18"/>
                <w:szCs w:val="18"/>
                <w:color w:val="auto"/>
              </w:rPr>
              <w:t>Customer Viewing History</w:t>
            </w:r>
          </w:p>
        </w:tc>
        <w:tc>
          <w:tcPr>
            <w:tcW w:w="6180" w:type="dxa"/>
            <w:vAlign w:val="bottom"/>
            <w:gridSpan w:val="2"/>
          </w:tcPr>
          <w:p>
            <w:pPr>
              <w:spacing w:after="0"/>
              <w:rPr>
                <w:sz w:val="20"/>
                <w:szCs w:val="20"/>
                <w:color w:val="auto"/>
              </w:rPr>
            </w:pPr>
            <w:r>
              <w:rPr>
                <w:rFonts w:ascii="Arial" w:cs="Arial" w:eastAsia="Arial" w:hAnsi="Arial"/>
                <w:sz w:val="18"/>
                <w:szCs w:val="18"/>
                <w:color w:val="auto"/>
                <w:w w:val="91"/>
              </w:rPr>
              <w:t>Information about programs watched or recorded, games and applications used, etc.</w:t>
            </w:r>
          </w:p>
        </w:tc>
      </w:tr>
      <w:tr>
        <w:trPr>
          <w:trHeight w:val="216"/>
        </w:trPr>
        <w:tc>
          <w:tcPr>
            <w:tcW w:w="8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(e.g. DIRECTV (DTV) Set Top Box viewing, DIRECTV NOW viewing, videos</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80" w:type="dxa"/>
            <w:vAlign w:val="bottom"/>
            <w:gridSpan w:val="2"/>
          </w:tcPr>
          <w:p>
            <w:pPr>
              <w:spacing w:after="0"/>
              <w:rPr>
                <w:sz w:val="20"/>
                <w:szCs w:val="20"/>
                <w:color w:val="auto"/>
              </w:rPr>
            </w:pPr>
            <w:r>
              <w:rPr>
                <w:rFonts w:ascii="Arial" w:cs="Arial" w:eastAsia="Arial" w:hAnsi="Arial"/>
                <w:sz w:val="18"/>
                <w:szCs w:val="18"/>
                <w:color w:val="auto"/>
              </w:rPr>
              <w:t>viewed).</w:t>
            </w:r>
          </w:p>
        </w:tc>
      </w:tr>
      <w:tr>
        <w:trPr>
          <w:trHeight w:val="324"/>
        </w:trPr>
        <w:tc>
          <w:tcPr>
            <w:tcW w:w="4860" w:type="dxa"/>
            <w:vAlign w:val="bottom"/>
            <w:gridSpan w:val="2"/>
          </w:tcPr>
          <w:p>
            <w:pPr>
              <w:spacing w:after="0"/>
              <w:rPr>
                <w:sz w:val="20"/>
                <w:szCs w:val="20"/>
                <w:color w:val="auto"/>
              </w:rPr>
            </w:pPr>
            <w:r>
              <w:rPr>
                <w:rFonts w:ascii="Arial" w:cs="Arial" w:eastAsia="Arial" w:hAnsi="Arial"/>
                <w:sz w:val="18"/>
                <w:szCs w:val="18"/>
                <w:color w:val="auto"/>
              </w:rPr>
              <w:t>Customer Web Communications Payload AT&amp;T Use</w:t>
            </w:r>
          </w:p>
        </w:tc>
        <w:tc>
          <w:tcPr>
            <w:tcW w:w="6180" w:type="dxa"/>
            <w:vAlign w:val="bottom"/>
            <w:gridSpan w:val="2"/>
          </w:tcPr>
          <w:p>
            <w:pPr>
              <w:spacing w:after="0"/>
              <w:rPr>
                <w:sz w:val="20"/>
                <w:szCs w:val="20"/>
                <w:color w:val="auto"/>
              </w:rPr>
            </w:pPr>
            <w:r>
              <w:rPr>
                <w:rFonts w:ascii="Arial" w:cs="Arial" w:eastAsia="Arial" w:hAnsi="Arial"/>
                <w:sz w:val="18"/>
                <w:szCs w:val="18"/>
                <w:color w:val="auto"/>
                <w:w w:val="92"/>
              </w:rPr>
              <w:t>When captured as part of service analysis, e.g., Deep Packet Inspection (DPI) data.</w:t>
            </w: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Footnotes:</w:t>
      </w:r>
    </w:p>
    <w:p>
      <w:pPr>
        <w:spacing w:after="0" w:line="11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Where data elements have the term “Subject to non-U.S. jurisdiction” associated with them, that data element is to be classified as AT&amp;T Proprietary (Sensitive Personal Information) when applied to data elements subject to non-U.S. jurisdiction, irrespective of whether the data is created, handled, processed, destroyed or sanitized inside or outside the United States.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Table 2—AT&amp;T SCD Data Elements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Data elements in the following table must be treated as SCD when used in their entirety, unless explicitly stated in the following table. This applies to all data formats including scanned images, screen captures and recordings, PDFs, JPGs and any other unified communication, and collaboration tools/content.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142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Sensitive Customer Data (Customer Privacy) – Involving Personally Identifiable Information</w:t>
      </w:r>
    </w:p>
    <w:p>
      <w:pPr>
        <w:spacing w:after="0" w:line="200" w:lineRule="exact"/>
        <w:rPr>
          <w:sz w:val="20"/>
          <w:szCs w:val="20"/>
          <w:color w:val="auto"/>
        </w:rPr>
      </w:pPr>
    </w:p>
    <w:p>
      <w:pPr>
        <w:spacing w:after="0" w:line="264"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486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6160" w:type="dxa"/>
            <w:vAlign w:val="bottom"/>
          </w:tcPr>
          <w:p>
            <w:pPr>
              <w:spacing w:after="0"/>
              <w:rPr>
                <w:sz w:val="20"/>
                <w:szCs w:val="20"/>
                <w:color w:val="auto"/>
              </w:rPr>
            </w:pPr>
            <w:r>
              <w:rPr>
                <w:rFonts w:ascii="Arial" w:cs="Arial" w:eastAsia="Arial" w:hAnsi="Arial"/>
                <w:sz w:val="14"/>
                <w:szCs w:val="14"/>
                <w:color w:val="auto"/>
              </w:rPr>
              <w:t>Description</w:t>
            </w:r>
          </w:p>
        </w:tc>
      </w:tr>
      <w:tr>
        <w:trPr>
          <w:trHeight w:val="217"/>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Customer</w:t>
            </w:r>
          </w:p>
        </w:tc>
        <w:tc>
          <w:tcPr>
            <w:tcW w:w="4060" w:type="dxa"/>
            <w:vAlign w:val="bottom"/>
          </w:tcPr>
          <w:p>
            <w:pPr>
              <w:spacing w:after="0" w:line="190" w:lineRule="exact"/>
              <w:rPr>
                <w:sz w:val="20"/>
                <w:szCs w:val="20"/>
                <w:color w:val="auto"/>
              </w:rPr>
            </w:pPr>
            <w:r>
              <w:rPr>
                <w:rFonts w:ascii="Arial" w:cs="Arial" w:eastAsia="Arial" w:hAnsi="Arial"/>
                <w:sz w:val="18"/>
                <w:szCs w:val="18"/>
                <w:color w:val="auto"/>
              </w:rPr>
              <w:t>“messaging” content</w:t>
            </w:r>
          </w:p>
        </w:tc>
        <w:tc>
          <w:tcPr>
            <w:tcW w:w="6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Including:</w:t>
            </w:r>
          </w:p>
        </w:tc>
      </w:tr>
      <w:tr>
        <w:trPr>
          <w:trHeight w:val="310"/>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5"/>
              </w:rPr>
              <w:t>Email, text messages, conference call recordings, and voice mail call recordings.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Excluding:</w:t>
            </w:r>
          </w:p>
        </w:tc>
      </w:tr>
      <w:tr>
        <w:trPr>
          <w:trHeight w:val="310"/>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1.    “Messaging” between customers and AT&amp;T in conducting official AT&amp;T</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60" w:type="dxa"/>
            <w:vAlign w:val="bottom"/>
          </w:tcPr>
          <w:p>
            <w:pPr>
              <w:ind w:left="360"/>
              <w:spacing w:after="0"/>
              <w:rPr>
                <w:sz w:val="20"/>
                <w:szCs w:val="20"/>
                <w:color w:val="auto"/>
              </w:rPr>
            </w:pPr>
            <w:r>
              <w:rPr>
                <w:rFonts w:ascii="Arial" w:cs="Arial" w:eastAsia="Arial" w:hAnsi="Arial"/>
                <w:sz w:val="18"/>
                <w:szCs w:val="18"/>
                <w:color w:val="auto"/>
              </w:rPr>
              <w:t>corporate business.</w:t>
            </w:r>
          </w:p>
        </w:tc>
      </w:tr>
      <w:tr>
        <w:trPr>
          <w:trHeight w:val="324"/>
        </w:trPr>
        <w:tc>
          <w:tcPr>
            <w:tcW w:w="8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2.    Any other data.</w:t>
            </w:r>
          </w:p>
        </w:tc>
      </w:tr>
      <w:tr>
        <w:trPr>
          <w:trHeight w:val="310"/>
        </w:trPr>
        <w:tc>
          <w:tcPr>
            <w:tcW w:w="4860" w:type="dxa"/>
            <w:vAlign w:val="bottom"/>
            <w:gridSpan w:val="2"/>
          </w:tcPr>
          <w:p>
            <w:pPr>
              <w:spacing w:after="0"/>
              <w:rPr>
                <w:sz w:val="20"/>
                <w:szCs w:val="20"/>
                <w:color w:val="auto"/>
              </w:rPr>
            </w:pPr>
            <w:r>
              <w:rPr>
                <w:rFonts w:ascii="Arial" w:cs="Arial" w:eastAsia="Arial" w:hAnsi="Arial"/>
                <w:sz w:val="18"/>
                <w:szCs w:val="18"/>
                <w:color w:val="auto"/>
              </w:rPr>
              <w:t>Customer Telemetry Data</w:t>
            </w:r>
          </w:p>
        </w:tc>
        <w:tc>
          <w:tcPr>
            <w:tcW w:w="6160" w:type="dxa"/>
            <w:vAlign w:val="bottom"/>
          </w:tcPr>
          <w:p>
            <w:pPr>
              <w:spacing w:after="0"/>
              <w:rPr>
                <w:sz w:val="20"/>
                <w:szCs w:val="20"/>
                <w:color w:val="auto"/>
              </w:rPr>
            </w:pPr>
            <w:r>
              <w:rPr>
                <w:rFonts w:ascii="Arial" w:cs="Arial" w:eastAsia="Arial" w:hAnsi="Arial"/>
                <w:sz w:val="18"/>
                <w:szCs w:val="18"/>
                <w:color w:val="auto"/>
                <w:w w:val="97"/>
              </w:rPr>
              <w:t>Automated communications for monitoring by the customer (rather than AT&amp;T).</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Customer Use</w:t>
            </w:r>
          </w:p>
        </w:tc>
        <w:tc>
          <w:tcPr>
            <w:tcW w:w="6160" w:type="dxa"/>
            <w:vAlign w:val="bottom"/>
          </w:tcPr>
          <w:p>
            <w:pPr>
              <w:spacing w:after="0" w:line="216" w:lineRule="exact"/>
              <w:rPr>
                <w:sz w:val="20"/>
                <w:szCs w:val="20"/>
                <w:color w:val="auto"/>
              </w:rPr>
            </w:pPr>
            <w:r>
              <w:rPr>
                <w:rFonts w:ascii="Arial" w:cs="Arial" w:eastAsia="Arial" w:hAnsi="Arial"/>
                <w:sz w:val="17"/>
                <w:szCs w:val="17"/>
                <w:color w:val="auto"/>
                <w:w w:val="97"/>
              </w:rPr>
              <w:t>Including all data that is generated by our customers’ use of the Digital Life</w:t>
            </w:r>
            <w:r>
              <w:rPr>
                <w:rFonts w:ascii="Arial" w:cs="Arial" w:eastAsia="Arial" w:hAnsi="Arial"/>
                <w:sz w:val="25"/>
                <w:szCs w:val="25"/>
                <w:color w:val="auto"/>
                <w:w w:val="97"/>
                <w:vertAlign w:val="superscript"/>
              </w:rPr>
              <w:t>®</w:t>
            </w:r>
            <w:r>
              <w:rPr>
                <w:rFonts w:ascii="Arial" w:cs="Arial" w:eastAsia="Arial" w:hAnsi="Arial"/>
                <w:sz w:val="17"/>
                <w:szCs w:val="17"/>
                <w:color w:val="auto"/>
                <w:w w:val="97"/>
              </w:rPr>
              <w:t xml:space="preserve"> service</w:t>
            </w:r>
          </w:p>
        </w:tc>
      </w:tr>
      <w:tr>
        <w:trPr>
          <w:trHeight w:val="216"/>
        </w:trPr>
        <w:tc>
          <w:tcPr>
            <w:tcW w:w="80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w w:val="92"/>
              </w:rPr>
              <w:t>or any other Internet of Things (IOT) service that is used by the customer to monitor</w:t>
            </w:r>
          </w:p>
        </w:tc>
      </w:tr>
      <w:tr>
        <w:trPr>
          <w:trHeight w:val="230"/>
        </w:trPr>
        <w:tc>
          <w:tcPr>
            <w:tcW w:w="80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or control the service. For example, video files.</w:t>
            </w:r>
          </w:p>
        </w:tc>
      </w:tr>
    </w:tbl>
    <w:p>
      <w:pPr>
        <w:spacing w:after="0" w:line="107" w:lineRule="exact"/>
        <w:rPr>
          <w:sz w:val="20"/>
          <w:szCs w:val="20"/>
          <w:color w:val="auto"/>
        </w:rPr>
      </w:pPr>
    </w:p>
    <w:p>
      <w:pPr>
        <w:ind w:left="424" w:hanging="424"/>
        <w:spacing w:after="0"/>
        <w:tabs>
          <w:tab w:leader="none" w:pos="42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Offshore Information Technology Services Requirements</w:t>
      </w:r>
    </w:p>
    <w:p>
      <w:pPr>
        <w:spacing w:after="0" w:line="117" w:lineRule="exact"/>
        <w:rPr>
          <w:rFonts w:ascii="Arial" w:cs="Arial" w:eastAsia="Arial" w:hAnsi="Arial"/>
          <w:sz w:val="18"/>
          <w:szCs w:val="18"/>
          <w:color w:val="auto"/>
        </w:rPr>
      </w:pPr>
    </w:p>
    <w:p>
      <w:pPr>
        <w:ind w:left="444" w:right="80"/>
        <w:spacing w:after="0" w:line="277" w:lineRule="auto"/>
        <w:rPr>
          <w:rFonts w:ascii="Arial" w:cs="Arial" w:eastAsia="Arial" w:hAnsi="Arial"/>
          <w:sz w:val="18"/>
          <w:szCs w:val="18"/>
          <w:color w:val="auto"/>
        </w:rPr>
      </w:pPr>
      <w:r>
        <w:rPr>
          <w:rFonts w:ascii="Arial" w:cs="Arial" w:eastAsia="Arial" w:hAnsi="Arial"/>
          <w:sz w:val="18"/>
          <w:szCs w:val="18"/>
          <w:color w:val="auto"/>
        </w:rPr>
        <w:t>In the event Supplier currently provides or will be providing Offshore Information Technology Services in conjunction with this Agreement, then, in addition to the foregoing, the following requirements shall apply to Supplier:</w:t>
      </w:r>
    </w:p>
    <w:p>
      <w:pPr>
        <w:spacing w:after="0" w:line="76" w:lineRule="exact"/>
        <w:rPr>
          <w:sz w:val="20"/>
          <w:szCs w:val="20"/>
          <w:color w:val="auto"/>
        </w:rPr>
      </w:pPr>
    </w:p>
    <w:p>
      <w:pPr>
        <w:ind w:left="424" w:right="720" w:hanging="424"/>
        <w:spacing w:after="0" w:line="308" w:lineRule="auto"/>
        <w:tabs>
          <w:tab w:leader="none" w:pos="424" w:val="left"/>
        </w:tabs>
        <w:numPr>
          <w:ilvl w:val="0"/>
          <w:numId w:val="281"/>
        </w:numPr>
        <w:rPr>
          <w:rFonts w:ascii="Arial" w:cs="Arial" w:eastAsia="Arial" w:hAnsi="Arial"/>
          <w:sz w:val="17"/>
          <w:szCs w:val="17"/>
          <w:color w:val="auto"/>
        </w:rPr>
      </w:pPr>
      <w:r>
        <w:rPr>
          <w:rFonts w:ascii="Arial" w:cs="Arial" w:eastAsia="Arial" w:hAnsi="Arial"/>
          <w:sz w:val="17"/>
          <w:szCs w:val="17"/>
          <w:color w:val="auto"/>
        </w:rPr>
        <w:t>Strong authentication controls must be established for firewalls, firewall management servers, and firewall hop boxes. Options for strong authentication may include two-factor authentication methods such as tokens, smart-cards and/or one-time passwords.</w:t>
      </w:r>
    </w:p>
    <w:p>
      <w:pPr>
        <w:spacing w:after="0" w:line="52" w:lineRule="exact"/>
        <w:rPr>
          <w:sz w:val="20"/>
          <w:szCs w:val="20"/>
          <w:color w:val="auto"/>
        </w:rPr>
      </w:pPr>
    </w:p>
    <w:p>
      <w:pPr>
        <w:ind w:left="424" w:right="80" w:hanging="424"/>
        <w:spacing w:after="0" w:line="277" w:lineRule="auto"/>
        <w:tabs>
          <w:tab w:leader="none" w:pos="424" w:val="left"/>
        </w:tabs>
        <w:numPr>
          <w:ilvl w:val="0"/>
          <w:numId w:val="282"/>
        </w:numPr>
        <w:rPr>
          <w:rFonts w:ascii="Arial" w:cs="Arial" w:eastAsia="Arial" w:hAnsi="Arial"/>
          <w:sz w:val="18"/>
          <w:szCs w:val="18"/>
          <w:color w:val="auto"/>
        </w:rPr>
      </w:pPr>
      <w:r>
        <w:rPr>
          <w:rFonts w:ascii="Arial" w:cs="Arial" w:eastAsia="Arial" w:hAnsi="Arial"/>
          <w:sz w:val="18"/>
          <w:szCs w:val="18"/>
          <w:color w:val="auto"/>
        </w:rPr>
        <w:t>Supplier must ensure that firewall configurations are hardened by selecting a sample of firewalls and verifying that the default rule set ensures the following:</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IP source routing is disabled.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Loopback address is prohibited from entering the internal network,</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Anti-spoofing filters are implemented.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Broadcast packets are disallowed from entering the network,</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ICMP redirects are disabled.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Fragmented packets are dropped.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2"/>
        </w:numPr>
        <w:rPr>
          <w:rFonts w:ascii="Arial" w:cs="Arial" w:eastAsia="Arial" w:hAnsi="Arial"/>
          <w:sz w:val="18"/>
          <w:szCs w:val="18"/>
          <w:color w:val="auto"/>
        </w:rPr>
      </w:pPr>
      <w:r>
        <w:rPr>
          <w:rFonts w:ascii="Arial" w:cs="Arial" w:eastAsia="Arial" w:hAnsi="Arial"/>
          <w:sz w:val="18"/>
          <w:szCs w:val="18"/>
          <w:color w:val="auto"/>
        </w:rPr>
        <w:t>Ruleset ends with a DENY ALL statement</w:t>
      </w:r>
    </w:p>
    <w:p>
      <w:pPr>
        <w:spacing w:after="0" w:line="131" w:lineRule="exact"/>
        <w:rPr>
          <w:sz w:val="20"/>
          <w:szCs w:val="20"/>
          <w:color w:val="auto"/>
        </w:rPr>
      </w:pPr>
    </w:p>
    <w:p>
      <w:pPr>
        <w:ind w:left="424" w:hanging="424"/>
        <w:spacing w:after="0"/>
        <w:tabs>
          <w:tab w:leader="none" w:pos="424"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Screen savers or connection timeouts are required to prevent unauthorized access to unattended workstations.</w:t>
      </w:r>
    </w:p>
    <w:p>
      <w:pPr>
        <w:spacing w:after="0" w:line="131" w:lineRule="exact"/>
        <w:rPr>
          <w:sz w:val="20"/>
          <w:szCs w:val="20"/>
          <w:color w:val="auto"/>
        </w:rPr>
      </w:pPr>
    </w:p>
    <w:p>
      <w:pPr>
        <w:ind w:left="424" w:right="280" w:hanging="424"/>
        <w:spacing w:after="0" w:line="263" w:lineRule="auto"/>
        <w:tabs>
          <w:tab w:leader="none" w:pos="424" w:val="left"/>
        </w:tabs>
        <w:numPr>
          <w:ilvl w:val="0"/>
          <w:numId w:val="284"/>
        </w:numPr>
        <w:rPr>
          <w:rFonts w:ascii="Arial" w:cs="Arial" w:eastAsia="Arial" w:hAnsi="Arial"/>
          <w:sz w:val="18"/>
          <w:szCs w:val="18"/>
          <w:color w:val="auto"/>
        </w:rPr>
      </w:pPr>
      <w:r>
        <w:rPr>
          <w:rFonts w:ascii="Arial" w:cs="Arial" w:eastAsia="Arial" w:hAnsi="Arial"/>
          <w:sz w:val="18"/>
          <w:szCs w:val="18"/>
          <w:color w:val="auto"/>
        </w:rPr>
        <w:t>Perform [***] revalidations on the user account list on firewalls, firewall management servers, and firewall hop boxes to ensure that only those users authorized for access to manage these devices have an account. This includes the need to revalidate the authorization level of each user account to ensure appropriate permission levels are maintained.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143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460" w:hanging="424"/>
        <w:spacing w:after="0" w:line="277" w:lineRule="auto"/>
        <w:tabs>
          <w:tab w:leader="none" w:pos="42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Production support personnel and development personnel must have enough separation and auditable controls to ensure that standard change management procedures are always consistently followed.</w:t>
      </w:r>
    </w:p>
    <w:p>
      <w:pPr>
        <w:spacing w:after="0" w:line="76" w:lineRule="exact"/>
        <w:rPr>
          <w:sz w:val="20"/>
          <w:szCs w:val="20"/>
          <w:color w:val="auto"/>
        </w:rPr>
      </w:pPr>
    </w:p>
    <w:p>
      <w:pPr>
        <w:jc w:val="both"/>
        <w:ind w:left="424" w:right="160" w:hanging="424"/>
        <w:spacing w:after="0" w:line="263" w:lineRule="auto"/>
        <w:tabs>
          <w:tab w:leader="none" w:pos="42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Developers cannot access production platforms “at will”. For some trouble-shooting situations, developers may be provided access to production platforms but only on an “as needed basis” and for a limited duration. All temporary access should be documented (who, what, when, where and why).</w:t>
      </w:r>
    </w:p>
    <w:p>
      <w:pPr>
        <w:spacing w:after="0" w:line="89" w:lineRule="exact"/>
        <w:rPr>
          <w:sz w:val="20"/>
          <w:szCs w:val="20"/>
          <w:color w:val="auto"/>
        </w:rPr>
      </w:pPr>
    </w:p>
    <w:p>
      <w:pPr>
        <w:ind w:left="424" w:hanging="424"/>
        <w:spacing w:after="0"/>
        <w:tabs>
          <w:tab w:leader="none" w:pos="424" w:val="left"/>
        </w:tabs>
        <w:numPr>
          <w:ilvl w:val="0"/>
          <w:numId w:val="287"/>
        </w:numPr>
        <w:rPr>
          <w:rFonts w:ascii="Arial" w:cs="Arial" w:eastAsia="Arial" w:hAnsi="Arial"/>
          <w:sz w:val="16"/>
          <w:szCs w:val="16"/>
          <w:color w:val="auto"/>
        </w:rPr>
      </w:pPr>
      <w:r>
        <w:rPr>
          <w:rFonts w:ascii="Arial" w:cs="Arial" w:eastAsia="Arial" w:hAnsi="Arial"/>
          <w:sz w:val="16"/>
          <w:szCs w:val="16"/>
          <w:color w:val="auto"/>
        </w:rPr>
        <w:t>Track and approve changes to firewall rules is required and must be validated annually. Inappropriate firewall rules must be removed immediately.</w:t>
      </w:r>
    </w:p>
    <w:p>
      <w:pPr>
        <w:spacing w:after="0" w:line="153"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8</w:t>
      </w:r>
      <w:r>
        <w:rPr>
          <w:rFonts w:ascii="Arial" w:cs="Arial" w:eastAsia="Arial" w:hAnsi="Arial"/>
          <w:sz w:val="16"/>
          <w:szCs w:val="16"/>
          <w:color w:val="auto"/>
        </w:rPr>
        <w:t>Require a clean desk policy at the end of the day.</w:t>
      </w:r>
    </w:p>
    <w:p>
      <w:pPr>
        <w:spacing w:after="0" w:line="130"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9A   Supplier resources shall be notified of the restriction that AT&amp;T Data may not be downloaded and taken offsite.</w:t>
      </w:r>
    </w:p>
    <w:p>
      <w:pPr>
        <w:spacing w:after="0" w:line="131" w:lineRule="exact"/>
        <w:rPr>
          <w:sz w:val="20"/>
          <w:szCs w:val="20"/>
          <w:color w:val="auto"/>
        </w:rPr>
      </w:pPr>
    </w:p>
    <w:p>
      <w:pPr>
        <w:ind w:left="424" w:right="260" w:hanging="419"/>
        <w:spacing w:after="0" w:line="263" w:lineRule="auto"/>
        <w:tabs>
          <w:tab w:leader="none" w:pos="404" w:val="left"/>
        </w:tabs>
        <w:rPr>
          <w:sz w:val="20"/>
          <w:szCs w:val="20"/>
          <w:color w:val="auto"/>
        </w:rPr>
      </w:pPr>
      <w:r>
        <w:rPr>
          <w:rFonts w:ascii="Arial" w:cs="Arial" w:eastAsia="Arial" w:hAnsi="Arial"/>
          <w:sz w:val="18"/>
          <w:szCs w:val="18"/>
          <w:color w:val="auto"/>
        </w:rPr>
        <w:t>9B</w:t>
        <w:tab/>
        <w:t>Wireless networking technologies must not be used for communicating unless the following steps are taken by Amdocs to maintain the confidentiality and integrity of the communication and to prevent unauthorized access to the transmitting device and/or receiving device. When wireless networking technologies are used:</w:t>
      </w:r>
    </w:p>
    <w:p>
      <w:pPr>
        <w:spacing w:after="0" w:line="89" w:lineRule="exact"/>
        <w:rPr>
          <w:sz w:val="20"/>
          <w:szCs w:val="20"/>
          <w:color w:val="auto"/>
        </w:rPr>
      </w:pPr>
    </w:p>
    <w:p>
      <w:pPr>
        <w:ind w:left="964" w:hanging="532"/>
        <w:spacing w:after="0"/>
        <w:tabs>
          <w:tab w:leader="none" w:pos="96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All communications over wireless networks must be transmitted via Virtual Private Network (VPN) session(s) using Strong Encryption.</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Strong authentication (e.g., two factor token or digital certificates) must be used for authenticating VPN access.</w:t>
      </w:r>
    </w:p>
    <w:p>
      <w:pPr>
        <w:spacing w:after="0" w:line="130" w:lineRule="exact"/>
        <w:rPr>
          <w:rFonts w:ascii="Arial" w:cs="Arial" w:eastAsia="Arial" w:hAnsi="Arial"/>
          <w:sz w:val="18"/>
          <w:szCs w:val="18"/>
          <w:color w:val="auto"/>
        </w:rPr>
      </w:pPr>
    </w:p>
    <w:p>
      <w:pPr>
        <w:ind w:left="964" w:right="200" w:hanging="532"/>
        <w:spacing w:after="0" w:line="277" w:lineRule="auto"/>
        <w:tabs>
          <w:tab w:leader="none" w:pos="96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Wireless hardware (with the exception of wireless network cards and access points) must be located in a physically secure area (e.g., in a locked wiring closet or locked machine room).</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All services not being used on the access point, router, and VPN concentrator must be disabled.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88"/>
        </w:numPr>
        <w:rPr>
          <w:rFonts w:ascii="Arial" w:cs="Arial" w:eastAsia="Arial" w:hAnsi="Arial"/>
          <w:sz w:val="17"/>
          <w:szCs w:val="17"/>
          <w:color w:val="auto"/>
        </w:rPr>
      </w:pPr>
      <w:r>
        <w:rPr>
          <w:rFonts w:ascii="Arial" w:cs="Arial" w:eastAsia="Arial" w:hAnsi="Arial"/>
          <w:sz w:val="17"/>
          <w:szCs w:val="17"/>
          <w:color w:val="auto"/>
        </w:rPr>
        <w:t>Enable Media Access Control (MAC)-based filtering so that only specified wireless cards can communicate to the access point.</w:t>
      </w:r>
    </w:p>
    <w:p>
      <w:pPr>
        <w:spacing w:after="0" w:line="142" w:lineRule="exact"/>
        <w:rPr>
          <w:sz w:val="20"/>
          <w:szCs w:val="20"/>
          <w:color w:val="auto"/>
        </w:rPr>
      </w:pPr>
    </w:p>
    <w:p>
      <w:pPr>
        <w:ind w:left="424" w:right="20" w:hanging="424"/>
        <w:spacing w:after="0" w:line="263" w:lineRule="auto"/>
        <w:tabs>
          <w:tab w:leader="none" w:pos="42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Supplier must implement procedures to ensure that AT&amp;T Data is not downloaded and removed by Supplier. To the extent Supplier suspects that AT&amp;T Data may have been removed, Supplier agrees to conduct searches of suspected persons and their belongings when exiting AT&amp;T restricted areas and Supplier’s premises to the extent such searches are permissible by local law.</w:t>
      </w:r>
    </w:p>
    <w:p>
      <w:pPr>
        <w:spacing w:after="0" w:line="89" w:lineRule="exact"/>
        <w:rPr>
          <w:rFonts w:ascii="Arial" w:cs="Arial" w:eastAsia="Arial" w:hAnsi="Arial"/>
          <w:sz w:val="18"/>
          <w:szCs w:val="18"/>
          <w:color w:val="auto"/>
        </w:rPr>
      </w:pPr>
    </w:p>
    <w:p>
      <w:pPr>
        <w:ind w:left="424" w:right="180" w:hanging="424"/>
        <w:spacing w:after="0" w:line="263" w:lineRule="auto"/>
        <w:tabs>
          <w:tab w:leader="none" w:pos="42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Notify individuals that removal of AT&amp;T Data from the work area or Supplier’s premises is not allowed, to include signage that communicates this policy and that people and personal property including, without limitation, packages, briefcases, and purses are subject to inspection prior to exiting AT&amp;T restricted areas and Supplier’s premises.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144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40" w:hanging="424"/>
        <w:spacing w:after="0" w:line="279" w:lineRule="auto"/>
        <w:tabs>
          <w:tab w:leader="none" w:pos="42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Verify that all printed media containing AT&amp;T Data (any information obtained from or provided by AT&amp;T, including information about AT&amp;T Systems, its employees and its customers) is securely stored, and that a mechanism is in place to protect the security and privacy of AT&amp;T Data. Procedures are required to restrict access to AT&amp;T Data to authorized Supplier personnel only, and to ensure that all media containing AT&amp;T Data is accounted for and reconciled on [***] to ensure that the information is not removed from Supplier’s premises.</w:t>
      </w:r>
    </w:p>
    <w:p>
      <w:pPr>
        <w:spacing w:after="0" w:line="76" w:lineRule="exact"/>
        <w:rPr>
          <w:rFonts w:ascii="Arial" w:cs="Arial" w:eastAsia="Arial" w:hAnsi="Arial"/>
          <w:sz w:val="17"/>
          <w:szCs w:val="17"/>
          <w:color w:val="auto"/>
        </w:rPr>
      </w:pPr>
    </w:p>
    <w:p>
      <w:pPr>
        <w:ind w:left="424" w:right="20" w:hanging="424"/>
        <w:spacing w:after="0" w:line="301" w:lineRule="auto"/>
        <w:tabs>
          <w:tab w:leader="none" w:pos="424" w:val="left"/>
        </w:tabs>
        <w:numPr>
          <w:ilvl w:val="0"/>
          <w:numId w:val="290"/>
        </w:numPr>
        <w:rPr>
          <w:rFonts w:ascii="Arial" w:cs="Arial" w:eastAsia="Arial" w:hAnsi="Arial"/>
          <w:sz w:val="16"/>
          <w:szCs w:val="16"/>
          <w:color w:val="auto"/>
        </w:rPr>
      </w:pPr>
      <w:r>
        <w:rPr>
          <w:rFonts w:ascii="Arial" w:cs="Arial" w:eastAsia="Arial" w:hAnsi="Arial"/>
          <w:sz w:val="16"/>
          <w:szCs w:val="16"/>
          <w:color w:val="auto"/>
        </w:rPr>
        <w:t>All access to electronic documentation of AT&amp;T Data retained locally must be password protected and restricted to the very minimum number of Supplier personnel. Supplier must implement procedures to ensure that AT&amp;T Data is not downloaded and removed by Supplier personnel, including, at a minimum, searches. To the extent Supplier suspects that AT&amp;T Data may have been removed, Supplier agrees to conduct searches of persons and their belongings when exiting AT&amp;T restricted areas and Supplier’s premises to the extent searches are permissible under local law.</w:t>
      </w:r>
    </w:p>
    <w:p>
      <w:pPr>
        <w:spacing w:after="0" w:line="62" w:lineRule="exact"/>
        <w:rPr>
          <w:rFonts w:ascii="Arial" w:cs="Arial" w:eastAsia="Arial" w:hAnsi="Arial"/>
          <w:sz w:val="16"/>
          <w:szCs w:val="16"/>
          <w:color w:val="auto"/>
        </w:rPr>
      </w:pPr>
    </w:p>
    <w:p>
      <w:pPr>
        <w:ind w:left="424" w:right="300" w:hanging="424"/>
        <w:spacing w:after="0" w:line="308" w:lineRule="auto"/>
        <w:tabs>
          <w:tab w:leader="none" w:pos="424" w:val="left"/>
        </w:tabs>
        <w:numPr>
          <w:ilvl w:val="0"/>
          <w:numId w:val="290"/>
        </w:numPr>
        <w:rPr>
          <w:rFonts w:ascii="Arial" w:cs="Arial" w:eastAsia="Arial" w:hAnsi="Arial"/>
          <w:sz w:val="17"/>
          <w:szCs w:val="17"/>
          <w:color w:val="auto"/>
        </w:rPr>
      </w:pPr>
      <w:r>
        <w:rPr>
          <w:rFonts w:ascii="Arial" w:cs="Arial" w:eastAsia="Arial" w:hAnsi="Arial"/>
          <w:sz w:val="17"/>
          <w:szCs w:val="17"/>
          <w:color w:val="auto"/>
        </w:rPr>
        <w:t>All electronically stored or printed AT&amp;T Data no longer needed must be shredded onsite or destroyed onsite by authorized Supplier personnel assigned to AT&amp;T projects. Shred bins must be located in AT&amp;T restricted areas and locked until the shredding takes place.</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A [***] Metric Report of Perimeter Security on the Supplier’s system should be reported to AT&amp;T that consists of:</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Location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Date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 of Intrusions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Type of Intrusions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Source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Destination</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Detail</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Actions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Security IDS audit logs must be retained online for [***] and offline for a period of at least [***]</w:t>
      </w:r>
    </w:p>
    <w:p>
      <w:pPr>
        <w:spacing w:after="0" w:line="131" w:lineRule="exact"/>
        <w:rPr>
          <w:sz w:val="20"/>
          <w:szCs w:val="20"/>
          <w:color w:val="auto"/>
        </w:rPr>
      </w:pPr>
    </w:p>
    <w:p>
      <w:pPr>
        <w:ind w:left="424" w:right="200" w:hanging="424"/>
        <w:spacing w:after="0" w:line="311" w:lineRule="auto"/>
        <w:tabs>
          <w:tab w:leader="none" w:pos="424" w:val="left"/>
        </w:tabs>
        <w:numPr>
          <w:ilvl w:val="0"/>
          <w:numId w:val="291"/>
        </w:numPr>
        <w:rPr>
          <w:rFonts w:ascii="Arial" w:cs="Arial" w:eastAsia="Arial" w:hAnsi="Arial"/>
          <w:sz w:val="16"/>
          <w:szCs w:val="16"/>
          <w:color w:val="auto"/>
        </w:rPr>
      </w:pPr>
      <w:r>
        <w:rPr>
          <w:rFonts w:ascii="Arial" w:cs="Arial" w:eastAsia="Arial" w:hAnsi="Arial"/>
          <w:sz w:val="16"/>
          <w:szCs w:val="16"/>
          <w:color w:val="auto"/>
        </w:rPr>
        <w:t>Remote access to AT&amp;T Networks or AT&amp;T Data is prohibited. All work on AT&amp;T projects must be performed within the AT&amp;T restricted area on Supplier’s premises and any exceptions must be in accordance with the Limited Offshore Remote Access in this Appendix D. Prior written exception to this prohibition must be obtained from [***] Supplier’s use of laptops offsite must have written approval from the [***]</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145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80" w:hanging="424"/>
        <w:spacing w:after="0" w:line="259"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Randomly check Supplier-based email and internet-based email so that AT&amp;T Data is not sent to an unauthorized recipient. Effective January 1, 2011, Amdocs must check for the AT&amp;T Proprietary – Restricted and AT&amp;T Proprietary – Sensitive Personal Information markings in emails and attachments sent from Amdocs to non-AT&amp;T personnel outside. Any unauthorized transmissions must be reported by Amdocs in an email to the [***] promptly but in any case within [***]</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B2B VPN connections to AT&amp;T are required to be secured from other remote connections.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Device-specific monitoring tools must be used to assure that firewall hardware is operational.</w:t>
      </w:r>
    </w:p>
    <w:p>
      <w:pPr>
        <w:spacing w:after="0" w:line="130" w:lineRule="exact"/>
        <w:rPr>
          <w:rFonts w:ascii="Arial" w:cs="Arial" w:eastAsia="Arial" w:hAnsi="Arial"/>
          <w:sz w:val="18"/>
          <w:szCs w:val="18"/>
          <w:color w:val="auto"/>
        </w:rPr>
      </w:pPr>
    </w:p>
    <w:p>
      <w:pPr>
        <w:ind w:left="424" w:right="540" w:hanging="424"/>
        <w:spacing w:after="0" w:line="277"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To minimize the risk exposure to visiting AT&amp;T employees in locations that are of medium-high risk of terrorist attacks, Supplier shall take necessary security measures customary for the location.</w:t>
      </w:r>
    </w:p>
    <w:p>
      <w:pPr>
        <w:spacing w:after="0" w:line="75" w:lineRule="exact"/>
        <w:rPr>
          <w:rFonts w:ascii="Arial" w:cs="Arial" w:eastAsia="Arial" w:hAnsi="Arial"/>
          <w:sz w:val="18"/>
          <w:szCs w:val="18"/>
          <w:color w:val="auto"/>
        </w:rPr>
      </w:pPr>
    </w:p>
    <w:p>
      <w:pPr>
        <w:ind w:left="424" w:right="80" w:hanging="424"/>
        <w:spacing w:after="0" w:line="257"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All access points into the Supplier’s building(s) where AT&amp;T work is being performed must be locked by either physical keys or a card key system, or controlled by a guard service to restrict access only to authorized individuals. These mechanisms must be in working order and utilized at all times. Proper identification must be worn by all persons inside the Supplier’s building and a procedure in place to challenge those not wearing appropriate identification in the Supplier’s building. The cable vault, electrical and telephone areas should be secured to give access only to those authorized.</w:t>
      </w:r>
    </w:p>
    <w:p>
      <w:pPr>
        <w:spacing w:after="0" w:line="93" w:lineRule="exact"/>
        <w:rPr>
          <w:rFonts w:ascii="Arial" w:cs="Arial" w:eastAsia="Arial" w:hAnsi="Arial"/>
          <w:sz w:val="18"/>
          <w:szCs w:val="18"/>
          <w:color w:val="auto"/>
        </w:rPr>
      </w:pPr>
    </w:p>
    <w:p>
      <w:pPr>
        <w:ind w:left="424" w:right="160" w:hanging="424"/>
        <w:spacing w:after="0" w:line="254"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Card key access lists and event logs must be reviewed by Supplier at a minimum of weekly to validate that building card key access is limited to only those individuals with a need to be in the Supplier’s building and restricted area where AT&amp;T work is being performed. Ensure that all keys are accounted for and limited to those individuals with a need to be in the Supplier’s building and restricted areas and all locks are changed on a regular interval (at a minimum annually). Ensure that Supplier personnel surrender company identification, keys and access cards before leaving the premises when access to an area is no longer required or upon voluntarily or involuntarily ceasing to work for Supplier and that the access cards are deactivated. Weekly reviews should include employee, contractor and supplier termination records and any associated unauthorized access attempts in the event logs.</w:t>
      </w:r>
    </w:p>
    <w:p>
      <w:pPr>
        <w:spacing w:after="0" w:line="100"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Alarmed doors and monitored electronic systems are required to detect unauthorized access or access attempts with a plan to respond to and document incidents. 24/7 recorded video surveillance is required of the area where work on AT&amp;T projects is performed, including entry and exit points.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146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460" w:hanging="424"/>
        <w:spacing w:after="0" w:line="259"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 xml:space="preserve">Prior to permitting any person access to an AT&amp;T project source or origin code (for example, software development), and at annual intervals thereafter, Supplier must ensure that such person (employee, contractor, subcontractor) is not on the Denied Persons List or the Specially Designated Nationals List of the US Department of Commerce – Bureau of Industry and Security. – Those lists are located at </w:t>
      </w:r>
      <w:r>
        <w:rPr>
          <w:rFonts w:ascii="Arial" w:cs="Arial" w:eastAsia="Arial" w:hAnsi="Arial"/>
          <w:sz w:val="18"/>
          <w:szCs w:val="18"/>
          <w:u w:val="single" w:color="auto"/>
          <w:color w:val="auto"/>
        </w:rPr>
        <w:t>http://www.bis.doc.gov/ComplianceAndEnforcement/ListsToCheck.htm.</w:t>
      </w:r>
    </w:p>
    <w:p>
      <w:pPr>
        <w:spacing w:after="0" w:line="78" w:lineRule="exact"/>
        <w:rPr>
          <w:rFonts w:ascii="Arial" w:cs="Arial" w:eastAsia="Arial" w:hAnsi="Arial"/>
          <w:sz w:val="18"/>
          <w:szCs w:val="18"/>
          <w:color w:val="auto"/>
        </w:rPr>
      </w:pPr>
    </w:p>
    <w:p>
      <w:pPr>
        <w:ind w:left="444" w:right="20"/>
        <w:spacing w:after="0" w:line="257" w:lineRule="auto"/>
        <w:rPr>
          <w:rFonts w:ascii="Arial" w:cs="Arial" w:eastAsia="Arial" w:hAnsi="Arial"/>
          <w:sz w:val="18"/>
          <w:szCs w:val="18"/>
          <w:color w:val="auto"/>
        </w:rPr>
      </w:pPr>
      <w:r>
        <w:rPr>
          <w:rFonts w:ascii="Arial" w:cs="Arial" w:eastAsia="Arial" w:hAnsi="Arial"/>
          <w:sz w:val="18"/>
          <w:szCs w:val="18"/>
          <w:color w:val="auto"/>
        </w:rPr>
        <w:t>Prior to permitting any person direct or indirect access, whether physical, virtual, or otherwise, to any of AT&amp;T’s company, employee, or customer information, or any of AT&amp;T’s or AT&amp;T’s customers’ premises, systems, software, or networks, Supplier must have a reputable security company perform a criminal background check and verification of the identity of such person (employee, contractor, or subcontractor including onsite security guards responsible for physical security of Supplier’s premises and AT&amp;T restricted areas, and unescorted cleaning/maintenance personnel).</w:t>
      </w:r>
    </w:p>
    <w:p>
      <w:pPr>
        <w:spacing w:after="0" w:line="93" w:lineRule="exact"/>
        <w:rPr>
          <w:rFonts w:ascii="Arial" w:cs="Arial" w:eastAsia="Arial" w:hAnsi="Arial"/>
          <w:sz w:val="18"/>
          <w:szCs w:val="18"/>
          <w:color w:val="auto"/>
        </w:rPr>
      </w:pPr>
    </w:p>
    <w:p>
      <w:pPr>
        <w:ind w:left="424" w:right="40" w:hanging="424"/>
        <w:spacing w:after="0" w:line="263"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 security plan must be in place to include training of Supplier personnel to report suspicious activity/security incidents and complaints that did or could affect AT&amp;T, to include documentation, follow-up and reporting to the AT&amp;T IT:OFFSHORE organization and, as necessary, law enforcement.</w:t>
      </w:r>
    </w:p>
    <w:p>
      <w:pPr>
        <w:spacing w:after="0" w:line="75"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Information to be reported to the Executive Director of the IT:OFFSHORE organization would consist of at least: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Date of Incident</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Who—Identify those involved and be descriptive (suspects, vehicles, property, license plate numbers, ... )</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What—What happened and how?</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When—When did the incident occur?</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Where—Where did the incident take place?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3"/>
        </w:numPr>
        <w:rPr>
          <w:rFonts w:ascii="Arial" w:cs="Arial" w:eastAsia="Arial" w:hAnsi="Arial"/>
          <w:sz w:val="18"/>
          <w:szCs w:val="18"/>
          <w:color w:val="auto"/>
        </w:rPr>
      </w:pPr>
      <w:r>
        <w:rPr>
          <w:rFonts w:ascii="Arial" w:cs="Arial" w:eastAsia="Arial" w:hAnsi="Arial"/>
          <w:sz w:val="18"/>
          <w:szCs w:val="18"/>
          <w:color w:val="auto"/>
        </w:rPr>
        <w:t>Action Taken – What action was taken? Was law enforcement notified?</w:t>
      </w:r>
    </w:p>
    <w:p>
      <w:pPr>
        <w:spacing w:after="0" w:line="130"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An exercise of Supplier’s recovery strategy must be conducted annually. Within [***] days from the completion of a disaster recovery exercise by Amdocs, Amdocs will produce a documented conclusion with a corrective action plan and proposed committed timeframes for corrective action upon which the Parties will agree within [***] days from receipt of the action plan.</w:t>
      </w:r>
    </w:p>
    <w:p>
      <w:pPr>
        <w:spacing w:after="0" w:line="89" w:lineRule="exact"/>
        <w:rPr>
          <w:rFonts w:ascii="Arial" w:cs="Arial" w:eastAsia="Arial" w:hAnsi="Arial"/>
          <w:sz w:val="18"/>
          <w:szCs w:val="18"/>
          <w:color w:val="auto"/>
        </w:rPr>
      </w:pPr>
    </w:p>
    <w:p>
      <w:pPr>
        <w:ind w:left="424" w:right="160" w:hanging="424"/>
        <w:spacing w:after="0" w:line="277"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Failover processes and procedures are required to support AT&amp;T applications and these failover processes and procedures are exercised annually (at a minimum).</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Business continuity communication documents, processes, and procedures must be readily available and current.</w:t>
      </w:r>
    </w:p>
    <w:p>
      <w:pPr>
        <w:spacing w:after="0" w:line="130" w:lineRule="exact"/>
        <w:rPr>
          <w:rFonts w:ascii="Arial" w:cs="Arial" w:eastAsia="Arial" w:hAnsi="Arial"/>
          <w:sz w:val="18"/>
          <w:szCs w:val="18"/>
          <w:color w:val="auto"/>
        </w:rPr>
      </w:pPr>
    </w:p>
    <w:p>
      <w:pPr>
        <w:jc w:val="both"/>
        <w:ind w:left="424" w:right="460" w:hanging="424"/>
        <w:spacing w:after="0" w:line="263" w:lineRule="auto"/>
        <w:tabs>
          <w:tab w:leader="none" w:pos="42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As soon as reasonably possible after the execution of this Agreement and on an annual basis thereafter, Supplier will, at no charge to AT&amp;T, perform a security audit utilizing a reputable independent auditor, as agreed by the Parties. Such security audit shall ensure that Supplier will strictly follow these AT&amp;T Supplier Information Security Requirements.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147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hanging="424"/>
        <w:spacing w:after="0"/>
        <w:tabs>
          <w:tab w:leader="none" w:pos="42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Requirements for Offshore Information Technology Services Requiring Elevated Rights</w:t>
      </w:r>
    </w:p>
    <w:p>
      <w:pPr>
        <w:spacing w:after="0" w:line="117" w:lineRule="exact"/>
        <w:rPr>
          <w:rFonts w:ascii="Arial" w:cs="Arial" w:eastAsia="Arial" w:hAnsi="Arial"/>
          <w:sz w:val="18"/>
          <w:szCs w:val="18"/>
          <w:color w:val="auto"/>
        </w:rPr>
      </w:pPr>
    </w:p>
    <w:p>
      <w:pPr>
        <w:ind w:left="444" w:right="40"/>
        <w:spacing w:after="0" w:line="263" w:lineRule="auto"/>
        <w:rPr>
          <w:rFonts w:ascii="Arial" w:cs="Arial" w:eastAsia="Arial" w:hAnsi="Arial"/>
          <w:sz w:val="18"/>
          <w:szCs w:val="18"/>
          <w:color w:val="auto"/>
        </w:rPr>
      </w:pPr>
      <w:r>
        <w:rPr>
          <w:rFonts w:ascii="Arial" w:cs="Arial" w:eastAsia="Arial" w:hAnsi="Arial"/>
          <w:sz w:val="18"/>
          <w:szCs w:val="18"/>
          <w:color w:val="auto"/>
        </w:rPr>
        <w:t>In the event Supplier currently provides or will be providing system, database, and or network administrator/root (or privileged, super user, or the like) access to host operating systems located on AT&amp;T non-public networks in conjunction with this Agreement from an Offshore Location, then, in addition to the foregoing, the following requirements shall apply to Supplier:</w:t>
      </w:r>
    </w:p>
    <w:p>
      <w:pPr>
        <w:spacing w:after="0" w:line="89" w:lineRule="exact"/>
        <w:rPr>
          <w:sz w:val="20"/>
          <w:szCs w:val="20"/>
          <w:color w:val="auto"/>
        </w:rPr>
      </w:pPr>
    </w:p>
    <w:p>
      <w:pPr>
        <w:jc w:val="both"/>
        <w:ind w:left="544" w:right="40" w:hanging="544"/>
        <w:spacing w:after="0" w:line="263" w:lineRule="auto"/>
        <w:tabs>
          <w:tab w:leader="none" w:pos="544" w:val="left"/>
        </w:tabs>
        <w:numPr>
          <w:ilvl w:val="0"/>
          <w:numId w:val="295"/>
        </w:numPr>
        <w:rPr>
          <w:rFonts w:ascii="Arial" w:cs="Arial" w:eastAsia="Arial" w:hAnsi="Arial"/>
          <w:sz w:val="18"/>
          <w:szCs w:val="18"/>
          <w:color w:val="auto"/>
        </w:rPr>
      </w:pPr>
      <w:r>
        <w:rPr>
          <w:rFonts w:ascii="Arial" w:cs="Arial" w:eastAsia="Arial" w:hAnsi="Arial"/>
          <w:sz w:val="18"/>
          <w:szCs w:val="18"/>
          <w:color w:val="auto"/>
        </w:rPr>
        <w:t>Access for privileged offshore users will be via a front-end Citrix farm that requires SecurID authentication, with front end Citrix servers located in a DMZ segment. An alternative to this is an AT&amp;T-provided Client VPN with a SecurID token used over a secure connection (NOT the public Internet) as reviewed and approved by AT&amp;T’s Chief Security Office (CSO).</w:t>
      </w:r>
    </w:p>
    <w:p>
      <w:pPr>
        <w:spacing w:after="0" w:line="89" w:lineRule="exact"/>
        <w:rPr>
          <w:sz w:val="20"/>
          <w:szCs w:val="20"/>
          <w:color w:val="auto"/>
        </w:rPr>
      </w:pPr>
    </w:p>
    <w:p>
      <w:pPr>
        <w:ind w:left="544" w:right="40" w:hanging="544"/>
        <w:spacing w:after="0" w:line="286" w:lineRule="auto"/>
        <w:tabs>
          <w:tab w:leader="none" w:pos="54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Auditing options must be enabled on any Supplier perimeter equipment which controls access to the Supplier equipment used to do AT&amp;T work. To ensure integrity of audit log entries, all Supplier system clocks must be synchronized to the same time source. Synchronization to AT&amp;T clocks is not required. At a minimum, security audit log(s) must be automatically updated for the following system events:</w:t>
      </w:r>
    </w:p>
    <w:p>
      <w:pPr>
        <w:spacing w:after="0" w:line="70" w:lineRule="exact"/>
        <w:rPr>
          <w:rFonts w:ascii="Arial" w:cs="Arial" w:eastAsia="Arial" w:hAnsi="Arial"/>
          <w:sz w:val="17"/>
          <w:szCs w:val="17"/>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Successful and unsuccessful login attempts.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Successful and unsuccessful attempts to switch to another user’s account (where applicable).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Logoffs.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User attempts to access files or resources outside their privilege level.</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User access to all privileged files and/or processes.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Operating system configuration changes.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Operating system program changes.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All changes that can feasibly be captured, to system hardware and software.</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All security-related changes, including adding users.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Failures for computer, program, communications, and operations.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296"/>
        </w:numPr>
        <w:rPr>
          <w:rFonts w:ascii="Arial" w:cs="Arial" w:eastAsia="Arial" w:hAnsi="Arial"/>
          <w:sz w:val="18"/>
          <w:szCs w:val="18"/>
          <w:color w:val="auto"/>
        </w:rPr>
      </w:pPr>
      <w:r>
        <w:rPr>
          <w:rFonts w:ascii="Arial" w:cs="Arial" w:eastAsia="Arial" w:hAnsi="Arial"/>
          <w:sz w:val="18"/>
          <w:szCs w:val="18"/>
          <w:color w:val="auto"/>
        </w:rPr>
        <w:t>Starting and stopping of audit logging.</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Security audit logs must be maintained online for [***] and offline for [***]</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148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both"/>
        <w:ind w:left="424" w:right="40" w:hanging="424"/>
        <w:spacing w:after="0" w:line="311" w:lineRule="auto"/>
        <w:tabs>
          <w:tab w:leader="none" w:pos="424" w:val="left"/>
        </w:tabs>
        <w:numPr>
          <w:ilvl w:val="0"/>
          <w:numId w:val="297"/>
        </w:numPr>
        <w:rPr>
          <w:rFonts w:ascii="Arial" w:cs="Arial" w:eastAsia="Arial" w:hAnsi="Arial"/>
          <w:sz w:val="16"/>
          <w:szCs w:val="16"/>
          <w:color w:val="auto"/>
        </w:rPr>
      </w:pPr>
      <w:r>
        <w:rPr>
          <w:rFonts w:ascii="Arial" w:cs="Arial" w:eastAsia="Arial" w:hAnsi="Arial"/>
          <w:sz w:val="16"/>
          <w:szCs w:val="16"/>
          <w:color w:val="auto"/>
        </w:rPr>
        <w:t>AT&amp;T reserves the right to perform vulnerability scans and review the scanning results of Supplier systems in a pre-announced, scheduled manner on Supplier’s equipment on an AT&amp;T isolated LAN segment and Supplier Network equipment used to access AT&amp;T Networks, systems, and data or Supplier agrees to reveal to the [***] the detailed scanning findings and closure activities related to vulnerabilities found [***]</w:t>
      </w:r>
    </w:p>
    <w:p>
      <w:pPr>
        <w:spacing w:after="0" w:line="40" w:lineRule="exact"/>
        <w:rPr>
          <w:rFonts w:ascii="Arial" w:cs="Arial" w:eastAsia="Arial" w:hAnsi="Arial"/>
          <w:sz w:val="16"/>
          <w:szCs w:val="16"/>
          <w:color w:val="auto"/>
        </w:rPr>
      </w:pPr>
    </w:p>
    <w:p>
      <w:pPr>
        <w:ind w:left="444"/>
        <w:spacing w:after="0"/>
        <w:rPr>
          <w:rFonts w:ascii="Arial" w:cs="Arial" w:eastAsia="Arial" w:hAnsi="Arial"/>
          <w:sz w:val="16"/>
          <w:szCs w:val="16"/>
          <w:color w:val="auto"/>
        </w:rPr>
      </w:pPr>
      <w:r>
        <w:rPr>
          <w:rFonts w:ascii="Arial" w:cs="Arial" w:eastAsia="Arial" w:hAnsi="Arial"/>
          <w:sz w:val="18"/>
          <w:szCs w:val="18"/>
          <w:color w:val="auto"/>
        </w:rPr>
        <w:t>Information to be reported to the AT&amp;T-IT OCE would consist of at least:</w:t>
      </w:r>
    </w:p>
    <w:p>
      <w:pPr>
        <w:spacing w:after="0" w:line="130" w:lineRule="exact"/>
        <w:rPr>
          <w:rFonts w:ascii="Arial" w:cs="Arial" w:eastAsia="Arial" w:hAnsi="Arial"/>
          <w:sz w:val="16"/>
          <w:szCs w:val="16"/>
          <w:color w:val="auto"/>
        </w:rPr>
      </w:pPr>
    </w:p>
    <w:p>
      <w:pPr>
        <w:ind w:left="964" w:hanging="424"/>
        <w:spacing w:after="0"/>
        <w:tabs>
          <w:tab w:leader="none" w:pos="9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Date of discovery of vulnerability</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How it was remediated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What was remediated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What are the plans to remediate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Estimated Date of closure</w:t>
      </w:r>
    </w:p>
    <w:p>
      <w:pPr>
        <w:spacing w:after="0" w:line="131" w:lineRule="exact"/>
        <w:rPr>
          <w:sz w:val="20"/>
          <w:szCs w:val="20"/>
          <w:color w:val="auto"/>
        </w:rPr>
      </w:pPr>
    </w:p>
    <w:p>
      <w:pPr>
        <w:ind w:left="424" w:hanging="424"/>
        <w:spacing w:after="0"/>
        <w:tabs>
          <w:tab w:leader="none" w:pos="424"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An Intrusion Prevention System (IPS) is required on Supplier’s data network to prevent unauthorized access.</w:t>
      </w:r>
    </w:p>
    <w:p>
      <w:pPr>
        <w:spacing w:after="0" w:line="131" w:lineRule="exact"/>
        <w:rPr>
          <w:sz w:val="20"/>
          <w:szCs w:val="20"/>
          <w:color w:val="auto"/>
        </w:rPr>
      </w:pPr>
    </w:p>
    <w:p>
      <w:pPr>
        <w:ind w:left="424" w:hanging="424"/>
        <w:spacing w:after="0"/>
        <w:tabs>
          <w:tab w:leader="none" w:pos="42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Limited Offshore Remote Access (“LORA”) to AT&amp;T Systems</w:t>
      </w:r>
    </w:p>
    <w:p>
      <w:pPr>
        <w:spacing w:after="0" w:line="117" w:lineRule="exact"/>
        <w:rPr>
          <w:rFonts w:ascii="Arial" w:cs="Arial" w:eastAsia="Arial" w:hAnsi="Arial"/>
          <w:sz w:val="18"/>
          <w:szCs w:val="18"/>
          <w:color w:val="auto"/>
        </w:rPr>
      </w:pPr>
    </w:p>
    <w:p>
      <w:pPr>
        <w:ind w:left="444" w:right="120"/>
        <w:spacing w:after="0" w:line="263" w:lineRule="auto"/>
        <w:rPr>
          <w:rFonts w:ascii="Arial" w:cs="Arial" w:eastAsia="Arial" w:hAnsi="Arial"/>
          <w:sz w:val="18"/>
          <w:szCs w:val="18"/>
          <w:color w:val="auto"/>
        </w:rPr>
      </w:pPr>
      <w:r>
        <w:rPr>
          <w:rFonts w:ascii="Arial" w:cs="Arial" w:eastAsia="Arial" w:hAnsi="Arial"/>
          <w:sz w:val="18"/>
          <w:szCs w:val="18"/>
          <w:color w:val="auto"/>
        </w:rPr>
        <w:t>The following outlines the AT&amp;T requirements and procedures to which the Supplier must adhere for allowance of select pre-authorized offshore Supplier personnel to have remote access to AT&amp;T systems, for which the Supplier is already under contract with AT&amp;T to perform IT support services.</w:t>
      </w:r>
    </w:p>
    <w:p>
      <w:pPr>
        <w:spacing w:after="0" w:line="75" w:lineRule="exact"/>
        <w:rPr>
          <w:rFonts w:ascii="Arial" w:cs="Arial" w:eastAsia="Arial" w:hAnsi="Arial"/>
          <w:sz w:val="18"/>
          <w:szCs w:val="18"/>
          <w:color w:val="auto"/>
        </w:rPr>
      </w:pPr>
    </w:p>
    <w:p>
      <w:pPr>
        <w:ind w:left="444" w:right="40"/>
        <w:spacing w:after="0" w:line="301" w:lineRule="auto"/>
        <w:rPr>
          <w:rFonts w:ascii="Arial" w:cs="Arial" w:eastAsia="Arial" w:hAnsi="Arial"/>
          <w:sz w:val="18"/>
          <w:szCs w:val="18"/>
          <w:color w:val="auto"/>
        </w:rPr>
      </w:pPr>
      <w:r>
        <w:rPr>
          <w:rFonts w:ascii="Arial" w:cs="Arial" w:eastAsia="Arial" w:hAnsi="Arial"/>
          <w:sz w:val="16"/>
          <w:szCs w:val="16"/>
          <w:color w:val="auto"/>
        </w:rPr>
        <w:t>This remote access program (the “Limited Offshore Remote Access”) set forth herein defines the program requirements and how the Supplier shall work with the AT&amp;T Offshore Compliance and Enablement organization to determine if Supplier can utilize the LORA for an existing or new information technology Services engagement. Examples of engagements where AT&amp;T will consider Supplier’s request for LORA would be a Work Order where offshore Supplier personnel are required to perform after-hours work monitoring support services and access AT&amp;T data.</w:t>
      </w:r>
    </w:p>
    <w:p>
      <w:pPr>
        <w:spacing w:after="0" w:line="306" w:lineRule="exact"/>
        <w:rPr>
          <w:sz w:val="20"/>
          <w:szCs w:val="20"/>
          <w:color w:val="auto"/>
        </w:rPr>
      </w:pPr>
    </w:p>
    <w:p>
      <w:pPr>
        <w:ind w:left="424" w:hanging="424"/>
        <w:spacing w:after="0"/>
        <w:tabs>
          <w:tab w:leader="none" w:pos="424" w:val="left"/>
        </w:tabs>
        <w:numPr>
          <w:ilvl w:val="0"/>
          <w:numId w:val="300"/>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444" w:right="340"/>
        <w:spacing w:after="0" w:line="263" w:lineRule="auto"/>
        <w:rPr>
          <w:rFonts w:ascii="Arial" w:cs="Arial" w:eastAsia="Arial" w:hAnsi="Arial"/>
          <w:sz w:val="18"/>
          <w:szCs w:val="18"/>
          <w:color w:val="auto"/>
        </w:rPr>
      </w:pPr>
      <w:r>
        <w:rPr>
          <w:rFonts w:ascii="Arial" w:cs="Arial" w:eastAsia="Arial" w:hAnsi="Arial"/>
          <w:sz w:val="18"/>
          <w:szCs w:val="18"/>
          <w:color w:val="auto"/>
        </w:rPr>
        <w:t>AT&amp;T IT Offshore Compliance &amp; Enablement (IT OCE) - AT&amp;T Information Technology organization that manages oversight of the Limited Offshore Remote Access program. The IT OCE will serve as the front door and provide authorization to Supplier. IT OCE point of contact is identified below.</w:t>
      </w:r>
    </w:p>
    <w:p>
      <w:pPr>
        <w:spacing w:after="0" w:line="75" w:lineRule="exact"/>
        <w:rPr>
          <w:rFonts w:ascii="Arial" w:cs="Arial" w:eastAsia="Arial" w:hAnsi="Arial"/>
          <w:sz w:val="18"/>
          <w:szCs w:val="18"/>
          <w:color w:val="auto"/>
        </w:rPr>
      </w:pPr>
    </w:p>
    <w:p>
      <w:pPr>
        <w:ind w:left="444" w:right="160"/>
        <w:spacing w:after="0" w:line="263" w:lineRule="auto"/>
        <w:rPr>
          <w:rFonts w:ascii="Arial" w:cs="Arial" w:eastAsia="Arial" w:hAnsi="Arial"/>
          <w:sz w:val="18"/>
          <w:szCs w:val="18"/>
          <w:color w:val="auto"/>
        </w:rPr>
      </w:pPr>
      <w:r>
        <w:rPr>
          <w:rFonts w:ascii="Arial" w:cs="Arial" w:eastAsia="Arial" w:hAnsi="Arial"/>
          <w:sz w:val="18"/>
          <w:szCs w:val="18"/>
          <w:color w:val="auto"/>
        </w:rPr>
        <w:t>“AT&amp;T Proprietary - Restricted Information” or “Restricted Information” means: any Information that has a higher level of sensitivity and therefore must be shared only among persons with a clear business need to know; or any Information that requires a high degree of protection by law and loss or unauthorized disclosure could require notification by AT&amp;T to government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149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2" w:name="page273"/>
    <w:bookmarkEnd w:id="272"/>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444" w:right="260"/>
        <w:spacing w:after="0" w:line="272" w:lineRule="auto"/>
        <w:rPr>
          <w:sz w:val="20"/>
          <w:szCs w:val="20"/>
          <w:color w:val="auto"/>
        </w:rPr>
      </w:pPr>
      <w:r>
        <w:rPr>
          <w:rFonts w:ascii="Arial" w:cs="Arial" w:eastAsia="Arial" w:hAnsi="Arial"/>
          <w:sz w:val="17"/>
          <w:szCs w:val="17"/>
          <w:color w:val="auto"/>
        </w:rPr>
        <w:t>agencies, individuals or law enforcement; or any Information that if revealed widely could present an increased risk of compromising computer systems, fraud, or increased likelihood of disrupting business operations. Examples of Restricted Information include, but are not limited to, unpublished financial information, designs and development plans for new or improved products, services, or processes, Customer Proprietary Network Information (CPNI), marketing information including customer contact lists, software source code for business critical applications, other companies’ confidential information that is shared with AT&amp;T under contract or an NDA, internal AT&amp;T authentication credentials (e.g., passwords, PINs and password hint answers), and security and/or network information including: logs, engineering or architecture diagrams, configuration files, firewall rules, security incident reports, and vulnerability information.</w:t>
      </w:r>
    </w:p>
    <w:p>
      <w:pPr>
        <w:spacing w:after="0" w:line="69" w:lineRule="exact"/>
        <w:rPr>
          <w:sz w:val="20"/>
          <w:szCs w:val="20"/>
          <w:color w:val="auto"/>
        </w:rPr>
      </w:pPr>
    </w:p>
    <w:p>
      <w:pPr>
        <w:ind w:left="444" w:right="400"/>
        <w:spacing w:after="0" w:line="308" w:lineRule="auto"/>
        <w:rPr>
          <w:sz w:val="20"/>
          <w:szCs w:val="20"/>
          <w:color w:val="auto"/>
        </w:rPr>
      </w:pPr>
      <w:r>
        <w:rPr>
          <w:rFonts w:ascii="Arial" w:cs="Arial" w:eastAsia="Arial" w:hAnsi="Arial"/>
          <w:sz w:val="17"/>
          <w:szCs w:val="17"/>
          <w:color w:val="auto"/>
        </w:rPr>
        <w:t>Limited Offshore Remote Access (“LORA”) - the ability, with prior AT&amp;T IT OCE approval, for an Offshore Supplier resource to connect to AT&amp;T systems via AT&amp;T client VPN from their Resource Home Location for the purposes of completing contracted work for AT&amp;T.</w:t>
      </w:r>
    </w:p>
    <w:p>
      <w:pPr>
        <w:spacing w:after="0" w:line="38" w:lineRule="exact"/>
        <w:rPr>
          <w:sz w:val="20"/>
          <w:szCs w:val="20"/>
          <w:color w:val="auto"/>
        </w:rPr>
      </w:pPr>
    </w:p>
    <w:p>
      <w:pPr>
        <w:ind w:left="444" w:right="40"/>
        <w:spacing w:after="0" w:line="291" w:lineRule="auto"/>
        <w:rPr>
          <w:sz w:val="20"/>
          <w:szCs w:val="20"/>
          <w:color w:val="auto"/>
        </w:rPr>
      </w:pPr>
      <w:r>
        <w:rPr>
          <w:rFonts w:ascii="Arial" w:cs="Arial" w:eastAsia="Arial" w:hAnsi="Arial"/>
          <w:sz w:val="16"/>
          <w:szCs w:val="16"/>
          <w:color w:val="auto"/>
        </w:rPr>
        <w:t>“Remote Access Laptop” - limited in use by Amdocs Offshore resources that require a laptop to perform their day-to-day duties, who support the AT&amp;T account, from the Amdocs facility, Resource Home Location or travel. There will be no transfer of or storage of SPI and AT&amp;T Proprietary</w:t>
      </w:r>
    </w:p>
    <w:p>
      <w:pPr>
        <w:ind w:left="444" w:right="640" w:hanging="4"/>
        <w:spacing w:after="0" w:line="323" w:lineRule="auto"/>
        <w:tabs>
          <w:tab w:leader="none" w:pos="549" w:val="left"/>
        </w:tabs>
        <w:numPr>
          <w:ilvl w:val="0"/>
          <w:numId w:val="301"/>
        </w:numPr>
        <w:rPr>
          <w:rFonts w:ascii="Arial" w:cs="Arial" w:eastAsia="Arial" w:hAnsi="Arial"/>
          <w:sz w:val="16"/>
          <w:szCs w:val="16"/>
          <w:color w:val="auto"/>
        </w:rPr>
      </w:pPr>
      <w:r>
        <w:rPr>
          <w:rFonts w:ascii="Arial" w:cs="Arial" w:eastAsia="Arial" w:hAnsi="Arial"/>
          <w:sz w:val="16"/>
          <w:szCs w:val="16"/>
          <w:color w:val="auto"/>
        </w:rPr>
        <w:t>Restricted Information or Restricted Information on this device. For clarity the only access to SPI and AT&amp;T Proprietary - Restricted Information or Restricted Information will be as defined in Article II #3 below, “Remote Access Laptop with AT&amp;T Data other than SPI”.</w:t>
      </w:r>
    </w:p>
    <w:p>
      <w:pPr>
        <w:spacing w:after="0" w:line="30" w:lineRule="exact"/>
        <w:rPr>
          <w:sz w:val="20"/>
          <w:szCs w:val="20"/>
          <w:color w:val="auto"/>
        </w:rPr>
      </w:pPr>
    </w:p>
    <w:p>
      <w:pPr>
        <w:ind w:left="444" w:right="60"/>
        <w:spacing w:after="0" w:line="277" w:lineRule="auto"/>
        <w:rPr>
          <w:sz w:val="20"/>
          <w:szCs w:val="20"/>
          <w:color w:val="auto"/>
        </w:rPr>
      </w:pPr>
      <w:r>
        <w:rPr>
          <w:rFonts w:ascii="Arial" w:cs="Arial" w:eastAsia="Arial" w:hAnsi="Arial"/>
          <w:sz w:val="18"/>
          <w:szCs w:val="18"/>
          <w:color w:val="auto"/>
        </w:rPr>
        <w:t>Resource Home Location - The home residence of a Supplier resource. Each approved Supplier resource can have LORA from only one Resource Home Location.</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7"/>
          <w:szCs w:val="17"/>
          <w:color w:val="auto"/>
        </w:rPr>
        <w:t>Controlled and Audited Supplier Facility - The designated offshore Supplier work location, which is governed by controls specified by AT&amp;T.</w:t>
      </w:r>
    </w:p>
    <w:p>
      <w:pPr>
        <w:spacing w:after="0" w:line="3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is the Supplier resource’s primary work location.</w:t>
      </w:r>
    </w:p>
    <w:p>
      <w:pPr>
        <w:spacing w:after="0" w:line="103" w:lineRule="exact"/>
        <w:rPr>
          <w:sz w:val="20"/>
          <w:szCs w:val="20"/>
          <w:color w:val="auto"/>
        </w:rPr>
      </w:pPr>
    </w:p>
    <w:p>
      <w:pPr>
        <w:ind w:left="444" w:right="560"/>
        <w:spacing w:after="0" w:line="277" w:lineRule="auto"/>
        <w:rPr>
          <w:sz w:val="20"/>
          <w:szCs w:val="20"/>
          <w:color w:val="auto"/>
        </w:rPr>
      </w:pPr>
      <w:r>
        <w:rPr>
          <w:rFonts w:ascii="Arial" w:cs="Arial" w:eastAsia="Arial" w:hAnsi="Arial"/>
          <w:sz w:val="18"/>
          <w:szCs w:val="18"/>
          <w:color w:val="auto"/>
        </w:rPr>
        <w:t>Remote Access Solution - From the Resource Home Location, an approved Supplier resource will use a Remote Access Laptop/Desktop to connect to the AT&amp;T Secure VPN Gateway.</w:t>
      </w:r>
    </w:p>
    <w:p>
      <w:pPr>
        <w:spacing w:after="0" w:line="62" w:lineRule="exact"/>
        <w:rPr>
          <w:sz w:val="20"/>
          <w:szCs w:val="20"/>
          <w:color w:val="auto"/>
        </w:rPr>
      </w:pPr>
    </w:p>
    <w:p>
      <w:pPr>
        <w:ind w:left="444" w:right="480"/>
        <w:spacing w:after="0" w:line="277" w:lineRule="auto"/>
        <w:rPr>
          <w:sz w:val="20"/>
          <w:szCs w:val="20"/>
          <w:color w:val="auto"/>
        </w:rPr>
      </w:pPr>
      <w:r>
        <w:rPr>
          <w:rFonts w:ascii="Arial" w:cs="Arial" w:eastAsia="Arial" w:hAnsi="Arial"/>
          <w:sz w:val="18"/>
          <w:szCs w:val="18"/>
          <w:color w:val="auto"/>
        </w:rPr>
        <w:t>Permanent Workstation/Virtual Workstation - laptop or desktop located in a controlled and audited Supplier facility that is used to access the AT&amp;T network for contracted services.</w:t>
      </w:r>
    </w:p>
    <w:p>
      <w:pPr>
        <w:spacing w:after="0" w:line="319" w:lineRule="exact"/>
        <w:rPr>
          <w:sz w:val="20"/>
          <w:szCs w:val="20"/>
          <w:color w:val="auto"/>
        </w:rPr>
      </w:pPr>
    </w:p>
    <w:p>
      <w:pPr>
        <w:ind w:left="424" w:hanging="424"/>
        <w:spacing w:after="0"/>
        <w:tabs>
          <w:tab w:leader="none" w:pos="424" w:val="left"/>
        </w:tabs>
        <w:numPr>
          <w:ilvl w:val="0"/>
          <w:numId w:val="302"/>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LORA requirements:</w:t>
      </w:r>
    </w:p>
    <w:p>
      <w:pPr>
        <w:spacing w:after="0" w:line="130" w:lineRule="exact"/>
        <w:rPr>
          <w:rFonts w:ascii="Arial" w:cs="Arial" w:eastAsia="Arial" w:hAnsi="Arial"/>
          <w:sz w:val="18"/>
          <w:szCs w:val="18"/>
          <w:u w:val="single" w:color="auto"/>
          <w:color w:val="auto"/>
        </w:rPr>
      </w:pPr>
    </w:p>
    <w:p>
      <w:pPr>
        <w:ind w:left="964" w:hanging="532"/>
        <w:spacing w:after="0"/>
        <w:tabs>
          <w:tab w:leader="none" w:pos="964" w:val="left"/>
        </w:tabs>
        <w:numPr>
          <w:ilvl w:val="1"/>
          <w:numId w:val="302"/>
        </w:numPr>
        <w:rPr>
          <w:rFonts w:ascii="Arial" w:cs="Arial" w:eastAsia="Arial" w:hAnsi="Arial"/>
          <w:sz w:val="18"/>
          <w:szCs w:val="18"/>
          <w:color w:val="auto"/>
        </w:rPr>
      </w:pPr>
      <w:r>
        <w:rPr>
          <w:rFonts w:ascii="Arial" w:cs="Arial" w:eastAsia="Arial" w:hAnsi="Arial"/>
          <w:sz w:val="18"/>
          <w:szCs w:val="18"/>
          <w:color w:val="auto"/>
        </w:rPr>
        <w:t>General requirements: Supplier shall adhere to the following:</w:t>
      </w:r>
    </w:p>
    <w:p>
      <w:pPr>
        <w:spacing w:after="0" w:line="130" w:lineRule="exact"/>
        <w:rPr>
          <w:rFonts w:ascii="Arial" w:cs="Arial" w:eastAsia="Arial" w:hAnsi="Arial"/>
          <w:sz w:val="18"/>
          <w:szCs w:val="18"/>
          <w:color w:val="auto"/>
        </w:rPr>
      </w:pPr>
    </w:p>
    <w:p>
      <w:pPr>
        <w:ind w:left="1424" w:right="240" w:hanging="439"/>
        <w:spacing w:after="0" w:line="277" w:lineRule="auto"/>
        <w:tabs>
          <w:tab w:leader="none" w:pos="1424" w:val="left"/>
        </w:tabs>
        <w:numPr>
          <w:ilvl w:val="2"/>
          <w:numId w:val="302"/>
        </w:numPr>
        <w:rPr>
          <w:rFonts w:ascii="Arial" w:cs="Arial" w:eastAsia="Arial" w:hAnsi="Arial"/>
          <w:sz w:val="18"/>
          <w:szCs w:val="18"/>
          <w:color w:val="auto"/>
        </w:rPr>
      </w:pPr>
      <w:r>
        <w:rPr>
          <w:rFonts w:ascii="Arial" w:cs="Arial" w:eastAsia="Arial" w:hAnsi="Arial"/>
          <w:sz w:val="18"/>
          <w:szCs w:val="18"/>
          <w:color w:val="auto"/>
        </w:rPr>
        <w:t>Each individual LORA user shall be reviewed and either approved or denied [***] from receipt of written request to the AT&amp;T IT Offshore Compliance &amp; Enablement (IT OCE).</w:t>
      </w:r>
    </w:p>
    <w:p>
      <w:pPr>
        <w:spacing w:after="0" w:line="75" w:lineRule="exact"/>
        <w:rPr>
          <w:rFonts w:ascii="Arial" w:cs="Arial" w:eastAsia="Arial" w:hAnsi="Arial"/>
          <w:sz w:val="18"/>
          <w:szCs w:val="18"/>
          <w:color w:val="auto"/>
        </w:rPr>
      </w:pPr>
    </w:p>
    <w:p>
      <w:pPr>
        <w:ind w:left="1424" w:right="200" w:hanging="439"/>
        <w:spacing w:after="0" w:line="277" w:lineRule="auto"/>
        <w:tabs>
          <w:tab w:leader="none" w:pos="1424" w:val="left"/>
        </w:tabs>
        <w:numPr>
          <w:ilvl w:val="2"/>
          <w:numId w:val="302"/>
        </w:numPr>
        <w:rPr>
          <w:rFonts w:ascii="Arial" w:cs="Arial" w:eastAsia="Arial" w:hAnsi="Arial"/>
          <w:sz w:val="18"/>
          <w:szCs w:val="18"/>
          <w:color w:val="auto"/>
        </w:rPr>
      </w:pPr>
      <w:r>
        <w:rPr>
          <w:rFonts w:ascii="Arial" w:cs="Arial" w:eastAsia="Arial" w:hAnsi="Arial"/>
          <w:sz w:val="18"/>
          <w:szCs w:val="18"/>
          <w:color w:val="auto"/>
        </w:rPr>
        <w:t>Each individual LORA request must be linked with a specific statement of work covered under an existing or pending Work Order issued under a current Master Agreement between AT&amp;T and the Supplier.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302"/>
        </w:numPr>
        <w:rPr>
          <w:rFonts w:ascii="Arial" w:cs="Arial" w:eastAsia="Arial" w:hAnsi="Arial"/>
          <w:sz w:val="18"/>
          <w:szCs w:val="18"/>
          <w:color w:val="auto"/>
        </w:rPr>
      </w:pPr>
      <w:r>
        <w:rPr>
          <w:rFonts w:ascii="Arial" w:cs="Arial" w:eastAsia="Arial" w:hAnsi="Arial"/>
          <w:sz w:val="18"/>
          <w:szCs w:val="18"/>
          <w:color w:val="auto"/>
        </w:rPr>
        <w:t>Supplier is to maintain a history log of all requests for LORA.</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150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964" w:hanging="532"/>
        <w:spacing w:after="0"/>
        <w:tabs>
          <w:tab w:leader="none" w:pos="96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Supplier is to submit all new LORA requests to IT OCE, in a format specified by AT&amp;T.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The IT OCE Sr. Technical Director or equivalent will approve or deny each request.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 is the AT&amp;T IT OCE interface at the time of this document being implemented. This is subject to change by AT&amp;T.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03"/>
        </w:numPr>
        <w:rPr>
          <w:rFonts w:ascii="Arial" w:cs="Arial" w:eastAsia="Arial" w:hAnsi="Arial"/>
          <w:sz w:val="16"/>
          <w:szCs w:val="16"/>
          <w:color w:val="auto"/>
        </w:rPr>
      </w:pPr>
      <w:r>
        <w:rPr>
          <w:rFonts w:ascii="Arial" w:cs="Arial" w:eastAsia="Arial" w:hAnsi="Arial"/>
          <w:sz w:val="16"/>
          <w:szCs w:val="16"/>
          <w:color w:val="auto"/>
        </w:rPr>
        <w:t>Supplier may also request AT&amp;T IT OCE approval for temporary remote access from a location other than the Resource Home Location.</w:t>
      </w:r>
    </w:p>
    <w:p>
      <w:pPr>
        <w:spacing w:after="0" w:line="153" w:lineRule="exact"/>
        <w:rPr>
          <w:rFonts w:ascii="Arial" w:cs="Arial" w:eastAsia="Arial" w:hAnsi="Arial"/>
          <w:sz w:val="16"/>
          <w:szCs w:val="16"/>
          <w:color w:val="auto"/>
        </w:rPr>
      </w:pPr>
    </w:p>
    <w:p>
      <w:pPr>
        <w:ind w:left="964" w:right="340" w:hanging="532"/>
        <w:spacing w:after="0" w:line="263" w:lineRule="auto"/>
        <w:tabs>
          <w:tab w:leader="none" w:pos="964" w:val="left"/>
        </w:tabs>
        <w:numPr>
          <w:ilvl w:val="1"/>
          <w:numId w:val="303"/>
        </w:numPr>
        <w:rPr>
          <w:rFonts w:ascii="Arial" w:cs="Arial" w:eastAsia="Arial" w:hAnsi="Arial"/>
          <w:sz w:val="18"/>
          <w:szCs w:val="18"/>
          <w:color w:val="auto"/>
        </w:rPr>
      </w:pPr>
      <w:r>
        <w:rPr>
          <w:rFonts w:ascii="Arial" w:cs="Arial" w:eastAsia="Arial" w:hAnsi="Arial"/>
          <w:sz w:val="18"/>
          <w:szCs w:val="18"/>
          <w:color w:val="auto"/>
        </w:rPr>
        <w:t>Resource Home Location shall be subject to voluntary inspection /verification, as agreed upon by the Parties, by Supplier or AT&amp;T representative if AT&amp;T information/resource is present. The Supplier resource must notify AT&amp;T/Supplier of any changes in Resource Home Location.</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303"/>
        </w:numPr>
        <w:rPr>
          <w:rFonts w:ascii="Arial" w:cs="Arial" w:eastAsia="Arial" w:hAnsi="Arial"/>
          <w:sz w:val="17"/>
          <w:szCs w:val="17"/>
          <w:color w:val="auto"/>
        </w:rPr>
      </w:pPr>
      <w:r>
        <w:rPr>
          <w:rFonts w:ascii="Arial" w:cs="Arial" w:eastAsia="Arial" w:hAnsi="Arial"/>
          <w:sz w:val="17"/>
          <w:szCs w:val="17"/>
          <w:color w:val="auto"/>
        </w:rPr>
        <w:t>Amdocs will notify AT&amp;T immediately upon an Amdocs resource’s change in status that would no longer require them to have LORA.</w:t>
      </w:r>
    </w:p>
    <w:p>
      <w:pPr>
        <w:spacing w:after="0" w:line="142" w:lineRule="exact"/>
        <w:rPr>
          <w:rFonts w:ascii="Arial" w:cs="Arial" w:eastAsia="Arial" w:hAnsi="Arial"/>
          <w:sz w:val="17"/>
          <w:szCs w:val="17"/>
          <w:color w:val="auto"/>
        </w:rPr>
      </w:pPr>
    </w:p>
    <w:p>
      <w:pPr>
        <w:ind w:left="424" w:right="80" w:hanging="424"/>
        <w:spacing w:after="0" w:line="277" w:lineRule="auto"/>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and immediately upon approval, all offshore Supplier personnel approved for LORA must complete Supplier-provided compliance training, which shall include but not be limited to:</w:t>
      </w:r>
    </w:p>
    <w:p>
      <w:pPr>
        <w:spacing w:after="0" w:line="75" w:lineRule="exact"/>
        <w:rPr>
          <w:rFonts w:ascii="Arial" w:cs="Arial" w:eastAsia="Arial" w:hAnsi="Arial"/>
          <w:sz w:val="18"/>
          <w:szCs w:val="18"/>
          <w:color w:val="auto"/>
        </w:rPr>
      </w:pPr>
    </w:p>
    <w:p>
      <w:pPr>
        <w:ind w:left="964" w:right="40" w:hanging="532"/>
        <w:spacing w:after="0" w:line="259" w:lineRule="auto"/>
        <w:tabs>
          <w:tab w:leader="none" w:pos="96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A review of all of the requirements outlined in this Agreement that pertain to the end-users of the Remote Access Solution. The review shall include but not be limited to: the use of the Remote Access Solution from only a single Resource Home Location; the Remote Access Laptop theft/loss reporting requirements; and the prohibition of the use of the Remote Access Solution for anything other than responding to on-call situations.</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Review of the following guidelines: https://spsf05.web.att.com/sites/AssetProtection/APO/Investigations/LaptopThefts.aspx.</w:t>
      </w:r>
    </w:p>
    <w:p>
      <w:pPr>
        <w:spacing w:after="0" w:line="130" w:lineRule="exact"/>
        <w:rPr>
          <w:rFonts w:ascii="Arial" w:cs="Arial" w:eastAsia="Arial" w:hAnsi="Arial"/>
          <w:sz w:val="18"/>
          <w:szCs w:val="18"/>
          <w:color w:val="auto"/>
        </w:rPr>
      </w:pPr>
    </w:p>
    <w:p>
      <w:pPr>
        <w:ind w:left="964" w:right="340" w:hanging="532"/>
        <w:spacing w:after="0" w:line="277" w:lineRule="auto"/>
        <w:tabs>
          <w:tab w:leader="none" w:pos="964" w:val="left"/>
        </w:tabs>
        <w:numPr>
          <w:ilvl w:val="1"/>
          <w:numId w:val="304"/>
        </w:numPr>
        <w:rPr>
          <w:rFonts w:ascii="Arial" w:cs="Arial" w:eastAsia="Arial" w:hAnsi="Arial"/>
          <w:sz w:val="18"/>
          <w:szCs w:val="18"/>
          <w:color w:val="auto"/>
        </w:rPr>
      </w:pPr>
      <w:r>
        <w:rPr>
          <w:rFonts w:ascii="Arial" w:cs="Arial" w:eastAsia="Arial" w:hAnsi="Arial"/>
          <w:sz w:val="18"/>
          <w:szCs w:val="18"/>
          <w:color w:val="auto"/>
        </w:rPr>
        <w:t>Upon AT&amp;T request, Supplier shall provide to the AT&amp;T IT Offshore Compliance &amp; Enablement (IT OCE) team confirmation that the above training has been completed annually and upon LORA approvals.</w:t>
      </w:r>
    </w:p>
    <w:p>
      <w:pPr>
        <w:spacing w:after="0" w:line="197" w:lineRule="exact"/>
        <w:rPr>
          <w:rFonts w:ascii="Arial" w:cs="Arial" w:eastAsia="Arial" w:hAnsi="Arial"/>
          <w:sz w:val="18"/>
          <w:szCs w:val="18"/>
          <w:color w:val="auto"/>
        </w:rPr>
      </w:pPr>
    </w:p>
    <w:p>
      <w:pPr>
        <w:ind w:left="424" w:right="100" w:hanging="424"/>
        <w:spacing w:after="0" w:line="277" w:lineRule="auto"/>
        <w:tabs>
          <w:tab w:leader="none" w:pos="424" w:val="left"/>
        </w:tabs>
        <w:numPr>
          <w:ilvl w:val="0"/>
          <w:numId w:val="304"/>
        </w:numPr>
        <w:rPr>
          <w:rFonts w:ascii="Arial" w:cs="Arial" w:eastAsia="Arial" w:hAnsi="Arial"/>
          <w:sz w:val="18"/>
          <w:szCs w:val="18"/>
          <w:color w:val="auto"/>
        </w:rPr>
      </w:pPr>
      <w:r>
        <w:rPr>
          <w:rFonts w:ascii="Arial" w:cs="Arial" w:eastAsia="Arial" w:hAnsi="Arial"/>
          <w:sz w:val="18"/>
          <w:szCs w:val="18"/>
          <w:color w:val="auto"/>
        </w:rPr>
        <w:t>Remote Access Laptop with AT&amp;T Data other than SPI or AT&amp;T Proprietary – Restricted Information (“APRI”) or Restricted Information (“RI”)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831215</wp:posOffset>
            </wp:positionH>
            <wp:positionV relativeFrom="paragraph">
              <wp:posOffset>134620</wp:posOffset>
            </wp:positionV>
            <wp:extent cx="5332095" cy="14916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5332095" cy="149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Supplier shall adhere to the following:</w:t>
      </w:r>
    </w:p>
    <w:p>
      <w:pPr>
        <w:spacing w:after="0" w:line="131" w:lineRule="exact"/>
        <w:rPr>
          <w:sz w:val="20"/>
          <w:szCs w:val="20"/>
          <w:color w:val="auto"/>
        </w:rPr>
      </w:pPr>
    </w:p>
    <w:p>
      <w:pPr>
        <w:ind w:left="964" w:right="220" w:hanging="532"/>
        <w:spacing w:after="0" w:line="277" w:lineRule="auto"/>
        <w:tabs>
          <w:tab w:leader="none" w:pos="964" w:val="left"/>
        </w:tabs>
        <w:numPr>
          <w:ilvl w:val="0"/>
          <w:numId w:val="305"/>
        </w:numPr>
        <w:rPr>
          <w:rFonts w:ascii="Arial" w:cs="Arial" w:eastAsia="Arial" w:hAnsi="Arial"/>
          <w:sz w:val="18"/>
          <w:szCs w:val="18"/>
          <w:color w:val="auto"/>
        </w:rPr>
      </w:pPr>
      <w:r>
        <w:rPr>
          <w:rFonts w:ascii="Arial" w:cs="Arial" w:eastAsia="Arial" w:hAnsi="Arial"/>
          <w:sz w:val="18"/>
          <w:szCs w:val="18"/>
          <w:color w:val="auto"/>
        </w:rPr>
        <w:t>Supplier shall designate, provide and support the Remote Access Laptop to be used from the Resource Home Location, Amdocs Facility and travel.</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151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920" w:hanging="532"/>
        <w:spacing w:after="0"/>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Each Remote Access Laptop shall have anti-virus and firewall software installed and operating.</w:t>
      </w:r>
    </w:p>
    <w:p>
      <w:pPr>
        <w:spacing w:after="0" w:line="130" w:lineRule="exact"/>
        <w:rPr>
          <w:rFonts w:ascii="Arial" w:cs="Arial" w:eastAsia="Arial" w:hAnsi="Arial"/>
          <w:sz w:val="18"/>
          <w:szCs w:val="18"/>
          <w:color w:val="auto"/>
        </w:rPr>
      </w:pPr>
    </w:p>
    <w:p>
      <w:pPr>
        <w:jc w:val="both"/>
        <w:ind w:left="920" w:hanging="532"/>
        <w:spacing w:after="0" w:line="263" w:lineRule="auto"/>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configuration file that controls these settings required for LORA shall be read only for the user and editable only by authorized domain administrators (e.g., settings that control full hard drive encryption, antivirus and [***], for application installations) or resources approved for LORA shall not have administrator rights on the Remote Access Laptop.</w:t>
      </w:r>
    </w:p>
    <w:p>
      <w:pPr>
        <w:spacing w:after="0" w:line="89" w:lineRule="exact"/>
        <w:rPr>
          <w:rFonts w:ascii="Arial" w:cs="Arial" w:eastAsia="Arial" w:hAnsi="Arial"/>
          <w:sz w:val="18"/>
          <w:szCs w:val="18"/>
          <w:color w:val="auto"/>
        </w:rPr>
      </w:pPr>
    </w:p>
    <w:p>
      <w:pPr>
        <w:ind w:left="920" w:right="60" w:hanging="532"/>
        <w:spacing w:after="0" w:line="311" w:lineRule="auto"/>
        <w:tabs>
          <w:tab w:leader="none" w:pos="92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Each Remote Access Laptop shall have a full hard drive encryption solution, such as [***], installed and operating, with all data encrypted as long as the laptop is “locked” (screensaver has turned on) or the Remote Access Laptop is shut down. The configuration file that controls the above settings shall be read only for the user and editable only by authorized domain administrators.</w:t>
      </w:r>
    </w:p>
    <w:p>
      <w:pPr>
        <w:spacing w:after="0" w:line="54" w:lineRule="exact"/>
        <w:rPr>
          <w:rFonts w:ascii="Arial" w:cs="Arial" w:eastAsia="Arial" w:hAnsi="Arial"/>
          <w:sz w:val="16"/>
          <w:szCs w:val="16"/>
          <w:color w:val="auto"/>
        </w:rPr>
      </w:pPr>
    </w:p>
    <w:p>
      <w:pPr>
        <w:ind w:left="920" w:right="200" w:hanging="532"/>
        <w:spacing w:after="0" w:line="259" w:lineRule="auto"/>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Remote Access Laptops with no [***] software or equivalent product installed must require both a password and biometric (i.e., thumb print scan) authentication for both logging into the device and “unlocking” the device (gaining control of the device after the screensaver has turned on). The configuration file that controls the above settings shall be read only for the user and editable only by authorized domain administrators.</w:t>
      </w:r>
    </w:p>
    <w:p>
      <w:pPr>
        <w:spacing w:after="0" w:line="92" w:lineRule="exact"/>
        <w:rPr>
          <w:rFonts w:ascii="Arial" w:cs="Arial" w:eastAsia="Arial" w:hAnsi="Arial"/>
          <w:sz w:val="18"/>
          <w:szCs w:val="18"/>
          <w:color w:val="auto"/>
        </w:rPr>
      </w:pPr>
    </w:p>
    <w:p>
      <w:pPr>
        <w:ind w:left="920" w:right="260" w:hanging="532"/>
        <w:spacing w:after="0" w:line="342" w:lineRule="auto"/>
        <w:tabs>
          <w:tab w:leader="none" w:pos="920" w:val="left"/>
        </w:tabs>
        <w:numPr>
          <w:ilvl w:val="0"/>
          <w:numId w:val="306"/>
        </w:numPr>
        <w:rPr>
          <w:rFonts w:ascii="Arial" w:cs="Arial" w:eastAsia="Arial" w:hAnsi="Arial"/>
          <w:sz w:val="16"/>
          <w:szCs w:val="16"/>
          <w:color w:val="auto"/>
        </w:rPr>
      </w:pPr>
      <w:r>
        <w:rPr>
          <w:rFonts w:ascii="Arial" w:cs="Arial" w:eastAsia="Arial" w:hAnsi="Arial"/>
          <w:sz w:val="16"/>
          <w:szCs w:val="16"/>
          <w:color w:val="auto"/>
        </w:rPr>
        <w:t>Password and/or biometric-protected screensavers must be set with the inactivity timeout set to [***] minutes or less. The configuration file that controls the above settings shall be read only for the user and editable only by authorized domain administrators.</w:t>
      </w:r>
    </w:p>
    <w:p>
      <w:pPr>
        <w:spacing w:after="0" w:line="29" w:lineRule="exact"/>
        <w:rPr>
          <w:rFonts w:ascii="Arial" w:cs="Arial" w:eastAsia="Arial" w:hAnsi="Arial"/>
          <w:sz w:val="16"/>
          <w:szCs w:val="16"/>
          <w:color w:val="auto"/>
        </w:rPr>
      </w:pPr>
    </w:p>
    <w:p>
      <w:pPr>
        <w:ind w:left="920" w:right="60" w:hanging="532"/>
        <w:spacing w:after="0" w:line="271" w:lineRule="auto"/>
        <w:tabs>
          <w:tab w:leader="none" w:pos="920" w:val="left"/>
        </w:tabs>
        <w:numPr>
          <w:ilvl w:val="0"/>
          <w:numId w:val="306"/>
        </w:numPr>
        <w:rPr>
          <w:rFonts w:ascii="Arial" w:cs="Arial" w:eastAsia="Arial" w:hAnsi="Arial"/>
          <w:sz w:val="17"/>
          <w:szCs w:val="17"/>
          <w:color w:val="auto"/>
        </w:rPr>
      </w:pPr>
      <w:r>
        <w:rPr>
          <w:rFonts w:ascii="Arial" w:cs="Arial" w:eastAsia="Arial" w:hAnsi="Arial"/>
          <w:sz w:val="17"/>
          <w:szCs w:val="17"/>
          <w:color w:val="auto"/>
        </w:rPr>
        <w:t>Each Remote Access Laptop shall have the [***] or equivalent product installed and operating, with the configuration file that controls the above settings set to be read only for the user and editable only by authorized domain administrators. Supplier shall initiate the [***] or equivalent data wipe process for all lost or stolen laptops within [***] [***] of the reported theft or loss of a Remote Access Laptop. Supplier is to notify AT&amp;T at [***] of a lost or stolen Remote Access Laptop within [***], including in such notification a description of AT&amp;T information that was on the Remote Access Laptop. Supplier shall provide full and proactive cooperation with any investigation related to AT&amp;T. In addition to Amdocs’ obligation to indemnify , in the event of such a loss of equipment, if it is determined that the lost equipment included personnel Information (personal data such as HR information, SSN, address, etc.) and the Supplier has failed to comply with the provisions of subsections b, c, d, e, and f, above the Supplier shall provide [***].</w:t>
      </w:r>
    </w:p>
    <w:p>
      <w:pPr>
        <w:spacing w:after="0" w:line="83" w:lineRule="exact"/>
        <w:rPr>
          <w:rFonts w:ascii="Arial" w:cs="Arial" w:eastAsia="Arial" w:hAnsi="Arial"/>
          <w:sz w:val="17"/>
          <w:szCs w:val="17"/>
          <w:color w:val="auto"/>
        </w:rPr>
      </w:pPr>
    </w:p>
    <w:p>
      <w:pPr>
        <w:ind w:left="920" w:hanging="532"/>
        <w:spacing w:after="0"/>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Each Remote Access Laptop shall only be able to connect to [***] network at any one time.</w:t>
      </w:r>
    </w:p>
    <w:p>
      <w:pPr>
        <w:spacing w:after="0" w:line="130" w:lineRule="exact"/>
        <w:rPr>
          <w:rFonts w:ascii="Arial" w:cs="Arial" w:eastAsia="Arial" w:hAnsi="Arial"/>
          <w:sz w:val="18"/>
          <w:szCs w:val="18"/>
          <w:color w:val="auto"/>
        </w:rPr>
      </w:pPr>
    </w:p>
    <w:p>
      <w:pPr>
        <w:ind w:left="920" w:right="20" w:hanging="532"/>
        <w:spacing w:after="0" w:line="263" w:lineRule="auto"/>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Remote Access Laptops shall use either (i) a VPN connection to AT&amp;T through AT&amp;T’s approved Client VPN or (ii) another VPN connection to connect to the Supplier’s corporate network. The Remote Access Laptop may not use both (i) and (ii) at the same time or any other connection method(s).</w:t>
      </w:r>
    </w:p>
    <w:p>
      <w:pPr>
        <w:spacing w:after="0" w:line="89" w:lineRule="exact"/>
        <w:rPr>
          <w:rFonts w:ascii="Arial" w:cs="Arial" w:eastAsia="Arial" w:hAnsi="Arial"/>
          <w:sz w:val="18"/>
          <w:szCs w:val="18"/>
          <w:color w:val="auto"/>
        </w:rPr>
      </w:pPr>
    </w:p>
    <w:p>
      <w:pPr>
        <w:ind w:left="920" w:right="20" w:hanging="532"/>
        <w:spacing w:after="0" w:line="259" w:lineRule="auto"/>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The data and voice connection in the Resource Home Location and all associated costs shall be provided by the Supplier per the Supplier’s policy and will be either a wired or wireless connection. AT&amp;T will not be required to cover the charges for data and voice connections in the Resource Home Locations. Wired data connections are preferred. However, if the connection is wireless (e.g., WIFI or cellular wireless connection), the connection must be encrypted and adequately secured.</w:t>
      </w:r>
    </w:p>
    <w:p>
      <w:pPr>
        <w:spacing w:after="0" w:line="92" w:lineRule="exact"/>
        <w:rPr>
          <w:rFonts w:ascii="Arial" w:cs="Arial" w:eastAsia="Arial" w:hAnsi="Arial"/>
          <w:sz w:val="18"/>
          <w:szCs w:val="18"/>
          <w:color w:val="auto"/>
        </w:rPr>
      </w:pPr>
    </w:p>
    <w:p>
      <w:pPr>
        <w:ind w:left="920" w:hanging="532"/>
        <w:spacing w:after="0"/>
        <w:tabs>
          <w:tab w:leader="none" w:pos="9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Supplier resources shall be notified of the restriction that AT&amp;T Data may not be downloaded and taken offsite.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152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964" w:hanging="532"/>
        <w:spacing w:after="0"/>
        <w:tabs>
          <w:tab w:leader="none" w:pos="96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Except where expressly stated, all aforementioned software and hardware shall be provided by the Supplier.</w:t>
      </w:r>
    </w:p>
    <w:p>
      <w:pPr>
        <w:spacing w:after="0" w:line="130" w:lineRule="exact"/>
        <w:rPr>
          <w:rFonts w:ascii="Arial" w:cs="Arial" w:eastAsia="Arial" w:hAnsi="Arial"/>
          <w:sz w:val="18"/>
          <w:szCs w:val="18"/>
          <w:color w:val="auto"/>
        </w:rPr>
      </w:pPr>
    </w:p>
    <w:p>
      <w:pPr>
        <w:ind w:left="964" w:right="980" w:hanging="532"/>
        <w:spacing w:after="0" w:line="342" w:lineRule="auto"/>
        <w:tabs>
          <w:tab w:leader="none" w:pos="964" w:val="left"/>
        </w:tabs>
        <w:numPr>
          <w:ilvl w:val="1"/>
          <w:numId w:val="307"/>
        </w:numPr>
        <w:rPr>
          <w:rFonts w:ascii="Arial" w:cs="Arial" w:eastAsia="Arial" w:hAnsi="Arial"/>
          <w:sz w:val="16"/>
          <w:szCs w:val="16"/>
          <w:color w:val="auto"/>
        </w:rPr>
      </w:pPr>
      <w:r>
        <w:rPr>
          <w:rFonts w:ascii="Arial" w:cs="Arial" w:eastAsia="Arial" w:hAnsi="Arial"/>
          <w:sz w:val="16"/>
          <w:szCs w:val="16"/>
          <w:color w:val="auto"/>
        </w:rPr>
        <w:t>Security audit logs shall be maintained by the Supplier to track system events, including login attempts, user sessions, logoffs, configuration changes, and other pertinent events and data. Logs shall be retained online for [***] and offline for [***].</w:t>
      </w:r>
    </w:p>
    <w:p>
      <w:pPr>
        <w:spacing w:after="0" w:line="29" w:lineRule="exact"/>
        <w:rPr>
          <w:rFonts w:ascii="Arial" w:cs="Arial" w:eastAsia="Arial" w:hAnsi="Arial"/>
          <w:sz w:val="16"/>
          <w:szCs w:val="16"/>
          <w:color w:val="auto"/>
        </w:rPr>
      </w:pPr>
    </w:p>
    <w:p>
      <w:pPr>
        <w:ind w:left="964" w:right="200" w:hanging="532"/>
        <w:spacing w:after="0" w:line="277" w:lineRule="auto"/>
        <w:tabs>
          <w:tab w:leader="none" w:pos="96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At all times, the Remote Access Laptop shall be kept in the possession of either the AT&amp;T-approved offshore Supplier resource to whom Supplier has assigned the device or Supplier personnel that are responsible for administering the LORA.</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Changes in Program:</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08"/>
        </w:numPr>
        <w:rPr>
          <w:rFonts w:ascii="Arial" w:cs="Arial" w:eastAsia="Arial" w:hAnsi="Arial"/>
          <w:sz w:val="18"/>
          <w:szCs w:val="18"/>
          <w:color w:val="auto"/>
        </w:rPr>
      </w:pPr>
      <w:r>
        <w:rPr>
          <w:rFonts w:ascii="Arial" w:cs="Arial" w:eastAsia="Arial" w:hAnsi="Arial"/>
          <w:sz w:val="18"/>
          <w:szCs w:val="18"/>
          <w:color w:val="auto"/>
        </w:rPr>
        <w:t>The Limited Remote Offshore Access program is subject to change as directed by AT&amp;T.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08"/>
        </w:numPr>
        <w:rPr>
          <w:rFonts w:ascii="Arial" w:cs="Arial" w:eastAsia="Arial" w:hAnsi="Arial"/>
          <w:sz w:val="18"/>
          <w:szCs w:val="18"/>
          <w:color w:val="auto"/>
        </w:rPr>
      </w:pPr>
      <w:r>
        <w:rPr>
          <w:rFonts w:ascii="Arial" w:cs="Arial" w:eastAsia="Arial" w:hAnsi="Arial"/>
          <w:sz w:val="18"/>
          <w:szCs w:val="18"/>
          <w:color w:val="auto"/>
        </w:rPr>
        <w:t>AT&amp;T reserves the right to cancel any approved Limited Remote Offshore Access requests upon written notice to the Supplier.</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Work from Resource Residence</w:t>
      </w:r>
    </w:p>
    <w:p>
      <w:pPr>
        <w:spacing w:after="0" w:line="117" w:lineRule="exact"/>
        <w:rPr>
          <w:rFonts w:ascii="Arial" w:cs="Arial" w:eastAsia="Arial" w:hAnsi="Arial"/>
          <w:sz w:val="18"/>
          <w:szCs w:val="18"/>
          <w:color w:val="auto"/>
        </w:rPr>
      </w:pPr>
    </w:p>
    <w:p>
      <w:pPr>
        <w:ind w:left="444" w:right="60"/>
        <w:spacing w:after="0" w:line="259" w:lineRule="auto"/>
        <w:rPr>
          <w:rFonts w:ascii="Arial" w:cs="Arial" w:eastAsia="Arial" w:hAnsi="Arial"/>
          <w:sz w:val="18"/>
          <w:szCs w:val="18"/>
          <w:color w:val="auto"/>
        </w:rPr>
      </w:pPr>
      <w:r>
        <w:rPr>
          <w:rFonts w:ascii="Arial" w:cs="Arial" w:eastAsia="Arial" w:hAnsi="Arial"/>
          <w:sz w:val="18"/>
          <w:szCs w:val="18"/>
          <w:color w:val="auto"/>
        </w:rPr>
        <w:t>Notwithstanding any contradicting terms in this Agreement, the Parties agree that Supplier resources providing Services under this Agreement are approved to use a Remote Access Laptop/Desktop to connect to the AT&amp;T Secure VPN Gateway from their residence in the USA and outside of USA while adhering to applicable terms in Subsection 3. Remote Access Laptop with AT&amp;T Data other than SPI or AT&amp;T Proprietary – Restricted Information (“APRI”) or Restricted Information (“RI”) requirements.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153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Appendix E – Prime Supplier MBE/WBE/DVBE Participation Plan and Results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154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16"/>
        <w:spacing w:after="0" w:line="389" w:lineRule="auto"/>
        <w:rPr>
          <w:sz w:val="20"/>
          <w:szCs w:val="20"/>
          <w:color w:val="auto"/>
        </w:rPr>
      </w:pPr>
      <w:r>
        <w:rPr>
          <w:rFonts w:ascii="Arial" w:cs="Arial" w:eastAsia="Arial" w:hAnsi="Arial"/>
          <w:sz w:val="18"/>
          <w:szCs w:val="18"/>
          <w:color w:val="auto"/>
        </w:rPr>
        <w:t>Appendix E, Exhibit 1 – Prime Supplier MBE/WBE/DVBE Participation Plan PRIME SUPPLIER MBE/WBE/DVBE PARTICIPATION PLAN YEAR REPORTING:</w:t>
      </w:r>
    </w:p>
    <w:p>
      <w:pPr>
        <w:spacing w:after="0" w:line="101"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PRIME SUPPLIER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14605</wp:posOffset>
            </wp:positionV>
            <wp:extent cx="252031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-121920</wp:posOffset>
            </wp:positionV>
            <wp:extent cx="252031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3" w:lineRule="exact"/>
        <w:rPr>
          <w:sz w:val="20"/>
          <w:szCs w:val="20"/>
          <w:color w:val="auto"/>
        </w:rPr>
      </w:pPr>
    </w:p>
    <w:p>
      <w:pPr>
        <w:ind w:left="4"/>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22860</wp:posOffset>
            </wp:positionV>
            <wp:extent cx="2520315"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2520315" cy="8890"/>
                    </a:xfrm>
                    <a:prstGeom prst="rect">
                      <a:avLst/>
                    </a:prstGeom>
                    <a:noFill/>
                  </pic:spPr>
                </pic:pic>
              </a:graphicData>
            </a:graphic>
          </wp:anchor>
        </w:drawing>
        <w:drawing>
          <wp:anchor simplePos="0" relativeHeight="251657728" behindDoc="1" locked="0" layoutInCell="0" allowOverlap="1">
            <wp:simplePos x="0" y="0"/>
            <wp:positionH relativeFrom="column">
              <wp:posOffset>2314575</wp:posOffset>
            </wp:positionH>
            <wp:positionV relativeFrom="paragraph">
              <wp:posOffset>-121920</wp:posOffset>
            </wp:positionV>
            <wp:extent cx="252031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31" w:lineRule="exact"/>
        <w:rPr>
          <w:sz w:val="20"/>
          <w:szCs w:val="20"/>
          <w:color w:val="auto"/>
        </w:rPr>
      </w:pPr>
    </w:p>
    <w:p>
      <w:pPr>
        <w:ind w:left="4"/>
        <w:spacing w:after="0"/>
        <w:rPr>
          <w:sz w:val="20"/>
          <w:szCs w:val="20"/>
          <w:color w:val="auto"/>
        </w:rPr>
      </w:pPr>
      <w:r>
        <w:rPr>
          <w:rFonts w:ascii="Arial" w:cs="Arial" w:eastAsia="Arial" w:hAnsi="Arial"/>
          <w:sz w:val="18"/>
          <w:szCs w:val="18"/>
          <w:color w:val="auto"/>
        </w:rPr>
        <w:t>DESCRIBE GOODS OR SERVICES BEING PROVIDED UNDER THIS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(What product or service is the Prime Supplier providing to AT&amp;T)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DESCRIBE YOUR M/WBE-DVBE OR SUPPLIER DIVERSITY PROGRAM AND THE PERSONNEL DEDICATED TO THAT PROGRAM</w:t>
      </w:r>
    </w:p>
    <w:p>
      <w:pPr>
        <w:spacing w:after="0" w:line="22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(Prime Supplier should note their outreach activities to diverse suppliers, membership in National Diversity Organizations, commitment from company leadership on engaging diversity suppliers, etc.)</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TOGETHER WITH ANY ATTACHMENTS IS SUBMITTED AS AN MBE/WBE/DVBE PARTICIPATION PLAN.</w:t>
      </w:r>
    </w:p>
    <w:p>
      <w:pPr>
        <w:spacing w:after="0" w:line="252" w:lineRule="exact"/>
        <w:rPr>
          <w:sz w:val="20"/>
          <w:szCs w:val="20"/>
          <w:color w:val="auto"/>
        </w:rPr>
      </w:pPr>
    </w:p>
    <w:p>
      <w:pPr>
        <w:ind w:left="424" w:hanging="424"/>
        <w:spacing w:after="0"/>
        <w:tabs>
          <w:tab w:leader="none" w:pos="42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GOALS</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7"/>
          <w:szCs w:val="17"/>
          <w:color w:val="auto"/>
        </w:rPr>
        <w:t>WHAT ARE YOUR MBE/WBE/DVBE PARTICIPATION GOALS?</w:t>
      </w:r>
    </w:p>
    <w:p>
      <w:pPr>
        <w:spacing w:after="0" w:line="117" w:lineRule="exact"/>
        <w:rPr>
          <w:sz w:val="20"/>
          <w:szCs w:val="20"/>
          <w:color w:val="auto"/>
        </w:rPr>
      </w:pPr>
    </w:p>
    <w:p>
      <w:pPr>
        <w:ind w:left="984"/>
        <w:spacing w:after="0"/>
        <w:tabs>
          <w:tab w:leader="none" w:pos="4384" w:val="left"/>
        </w:tabs>
        <w:rPr>
          <w:sz w:val="20"/>
          <w:szCs w:val="20"/>
          <w:color w:val="auto"/>
        </w:rPr>
      </w:pPr>
      <w:r>
        <w:rPr>
          <w:rFonts w:ascii="Arial" w:cs="Arial" w:eastAsia="Arial" w:hAnsi="Arial"/>
          <w:sz w:val="18"/>
          <w:szCs w:val="18"/>
          <w:color w:val="auto"/>
        </w:rPr>
        <w:t>MINORITY BUSINESS ENTERPRISES</w:t>
      </w:r>
      <w:r>
        <w:rPr>
          <w:sz w:val="20"/>
          <w:szCs w:val="20"/>
          <w:color w:val="auto"/>
        </w:rPr>
        <w:tab/>
      </w:r>
      <w:r>
        <w:rPr>
          <w:rFonts w:ascii="Arial" w:cs="Arial" w:eastAsia="Arial" w:hAnsi="Arial"/>
          <w:sz w:val="17"/>
          <w:szCs w:val="17"/>
          <w:color w:val="auto"/>
        </w:rPr>
        <w:t>(MBEs)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3736975</wp:posOffset>
            </wp:positionH>
            <wp:positionV relativeFrom="paragraph">
              <wp:posOffset>-10160</wp:posOffset>
            </wp:positionV>
            <wp:extent cx="45720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 w:lineRule="exact"/>
        <w:rPr>
          <w:sz w:val="20"/>
          <w:szCs w:val="20"/>
          <w:color w:val="auto"/>
        </w:rPr>
      </w:pPr>
    </w:p>
    <w:p>
      <w:pPr>
        <w:ind w:left="984"/>
        <w:spacing w:after="0"/>
        <w:tabs>
          <w:tab w:leader="none" w:pos="4384" w:val="left"/>
        </w:tabs>
        <w:rPr>
          <w:sz w:val="20"/>
          <w:szCs w:val="20"/>
          <w:color w:val="auto"/>
        </w:rPr>
      </w:pPr>
      <w:r>
        <w:rPr>
          <w:rFonts w:ascii="Arial" w:cs="Arial" w:eastAsia="Arial" w:hAnsi="Arial"/>
          <w:sz w:val="18"/>
          <w:szCs w:val="18"/>
          <w:color w:val="auto"/>
        </w:rPr>
        <w:t>WOMAN BUSINESS ENTERPRISES</w:t>
      </w:r>
      <w:r>
        <w:rPr>
          <w:sz w:val="20"/>
          <w:szCs w:val="20"/>
          <w:color w:val="auto"/>
        </w:rPr>
        <w:tab/>
      </w:r>
      <w:r>
        <w:rPr>
          <w:rFonts w:ascii="Arial" w:cs="Arial" w:eastAsia="Arial" w:hAnsi="Arial"/>
          <w:sz w:val="17"/>
          <w:szCs w:val="17"/>
          <w:color w:val="auto"/>
        </w:rPr>
        <w:t>(WBEs)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3743325</wp:posOffset>
            </wp:positionH>
            <wp:positionV relativeFrom="paragraph">
              <wp:posOffset>-19050</wp:posOffset>
            </wp:positionV>
            <wp:extent cx="4572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ind w:left="984"/>
        <w:spacing w:after="0"/>
        <w:rPr>
          <w:sz w:val="20"/>
          <w:szCs w:val="20"/>
          <w:color w:val="auto"/>
        </w:rPr>
      </w:pPr>
      <w:r>
        <w:rPr>
          <w:rFonts w:ascii="Arial" w:cs="Arial" w:eastAsia="Arial" w:hAnsi="Arial"/>
          <w:sz w:val="18"/>
          <w:szCs w:val="18"/>
          <w:color w:val="auto"/>
        </w:rPr>
        <w:t>DISABLED VETERAN BUSINESS ENTERPRISES (DVBEs)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3727450</wp:posOffset>
            </wp:positionH>
            <wp:positionV relativeFrom="paragraph">
              <wp:posOffset>-19050</wp:posOffset>
            </wp:positionV>
            <wp:extent cx="5143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96" w:lineRule="exact"/>
        <w:rPr>
          <w:sz w:val="20"/>
          <w:szCs w:val="20"/>
          <w:color w:val="auto"/>
        </w:rPr>
      </w:pPr>
    </w:p>
    <w:p>
      <w:pPr>
        <w:ind w:left="964" w:hanging="532"/>
        <w:spacing w:after="0"/>
        <w:tabs>
          <w:tab w:leader="none" w:pos="96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WHAT IS THE ESTIMATED ANNUAL VALUE OF THIS CONTRACT: $</w:t>
      </w:r>
    </w:p>
    <w:p>
      <w:pPr>
        <w:spacing w:after="0" w:line="130" w:lineRule="exact"/>
        <w:rPr>
          <w:rFonts w:ascii="Arial" w:cs="Arial" w:eastAsia="Arial" w:hAnsi="Arial"/>
          <w:sz w:val="18"/>
          <w:szCs w:val="18"/>
          <w:color w:val="auto"/>
        </w:rPr>
      </w:pPr>
    </w:p>
    <w:p>
      <w:pPr>
        <w:ind w:left="1424" w:right="2580" w:hanging="992"/>
        <w:spacing w:after="0" w:line="399" w:lineRule="auto"/>
        <w:tabs>
          <w:tab w:leader="none" w:pos="964" w:val="left"/>
        </w:tabs>
        <w:numPr>
          <w:ilvl w:val="0"/>
          <w:numId w:val="310"/>
        </w:numPr>
        <w:rPr>
          <w:rFonts w:ascii="Arial" w:cs="Arial" w:eastAsia="Arial" w:hAnsi="Arial"/>
          <w:sz w:val="18"/>
          <w:szCs w:val="18"/>
          <w:color w:val="auto"/>
        </w:rPr>
      </w:pPr>
      <w:r>
        <w:rPr>
          <w:rFonts w:ascii="Arial" w:cs="Arial" w:eastAsia="Arial" w:hAnsi="Arial"/>
          <w:sz w:val="18"/>
          <w:szCs w:val="18"/>
          <w:color w:val="auto"/>
        </w:rPr>
        <w:t>WHAT ARE THE DOLLAR AMOUNTS OF YOUR PROJECTED MBE/WBE/DVBE PURCHASES: Multiply % in A. above against contract value listed in B.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4116070</wp:posOffset>
            </wp:positionH>
            <wp:positionV relativeFrom="paragraph">
              <wp:posOffset>-530225</wp:posOffset>
            </wp:positionV>
            <wp:extent cx="57150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155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8" w:name="page279"/>
    <w:bookmarkEnd w:id="278"/>
    <w:tbl>
      <w:tblPr>
        <w:tblLayout w:type="fixed"/>
        <w:tblInd w:w="984" w:type="dxa"/>
        <w:tblCellMar>
          <w:top w:w="0" w:type="dxa"/>
          <w:left w:w="0" w:type="dxa"/>
          <w:bottom w:w="0" w:type="dxa"/>
          <w:right w:w="0" w:type="dxa"/>
        </w:tblCellMar>
      </w:tblPr>
      <w:tr>
        <w:trPr>
          <w:trHeight w:val="230"/>
        </w:trPr>
        <w:tc>
          <w:tcPr>
            <w:tcW w:w="5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160" w:type="dxa"/>
            <w:vAlign w:val="bottom"/>
            <w:gridSpan w:val="4"/>
          </w:tcPr>
          <w:p>
            <w:pPr>
              <w:ind w:left="540"/>
              <w:spacing w:after="0"/>
              <w:rPr>
                <w:sz w:val="20"/>
                <w:szCs w:val="20"/>
                <w:color w:val="auto"/>
              </w:rPr>
            </w:pPr>
            <w:r>
              <w:rPr>
                <w:rFonts w:ascii="Arial" w:cs="Arial" w:eastAsia="Arial" w:hAnsi="Arial"/>
                <w:sz w:val="18"/>
                <w:szCs w:val="18"/>
                <w:color w:val="auto"/>
                <w:w w:val="93"/>
              </w:rPr>
              <w:t>AT&amp;T Agreement No. 53258.A.005</w:t>
            </w:r>
          </w:p>
        </w:tc>
      </w:tr>
      <w:tr>
        <w:trPr>
          <w:trHeight w:val="324"/>
        </w:trPr>
        <w:tc>
          <w:tcPr>
            <w:tcW w:w="5180" w:type="dxa"/>
            <w:vAlign w:val="bottom"/>
          </w:tcPr>
          <w:p>
            <w:pPr>
              <w:spacing w:after="0"/>
              <w:rPr>
                <w:sz w:val="20"/>
                <w:szCs w:val="20"/>
                <w:color w:val="auto"/>
              </w:rPr>
            </w:pPr>
            <w:r>
              <w:rPr>
                <w:rFonts w:ascii="Arial" w:cs="Arial" w:eastAsia="Arial" w:hAnsi="Arial"/>
                <w:sz w:val="18"/>
                <w:szCs w:val="18"/>
                <w:color w:val="auto"/>
              </w:rPr>
              <w:t>MINORITY BUSINESS ENTERPRISES (MBEs)</w:t>
            </w:r>
          </w:p>
        </w:tc>
        <w:tc>
          <w:tcPr>
            <w:tcW w:w="17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196"/>
        </w:trPr>
        <w:tc>
          <w:tcPr>
            <w:tcW w:w="5180" w:type="dxa"/>
            <w:vAlign w:val="bottom"/>
          </w:tcPr>
          <w:p>
            <w:pPr>
              <w:spacing w:after="0" w:line="196" w:lineRule="exact"/>
              <w:rPr>
                <w:sz w:val="20"/>
                <w:szCs w:val="20"/>
                <w:color w:val="auto"/>
              </w:rPr>
            </w:pPr>
            <w:r>
              <w:rPr>
                <w:rFonts w:ascii="Arial" w:cs="Arial" w:eastAsia="Arial" w:hAnsi="Arial"/>
                <w:sz w:val="18"/>
                <w:szCs w:val="18"/>
                <w:color w:val="auto"/>
              </w:rPr>
              <w:t>WOMAN BUSINESS ENTERPRISES (WBEs)</w:t>
            </w:r>
          </w:p>
        </w:tc>
        <w:tc>
          <w:tcPr>
            <w:tcW w:w="3320" w:type="dxa"/>
            <w:vAlign w:val="bottom"/>
            <w:gridSpan w:val="6"/>
          </w:tcPr>
          <w:p>
            <w:pPr>
              <w:jc w:val="right"/>
              <w:ind w:right="720"/>
              <w:spacing w:after="0" w:line="196" w:lineRule="exact"/>
              <w:rPr>
                <w:sz w:val="20"/>
                <w:szCs w:val="20"/>
                <w:color w:val="auto"/>
              </w:rPr>
            </w:pPr>
            <w:r>
              <w:rPr>
                <w:rFonts w:ascii="Arial" w:cs="Arial" w:eastAsia="Arial" w:hAnsi="Arial"/>
                <w:sz w:val="18"/>
                <w:szCs w:val="18"/>
                <w:color w:val="auto"/>
              </w:rPr>
              <w:t>$</w:t>
            </w:r>
          </w:p>
        </w:tc>
        <w:tc>
          <w:tcPr>
            <w:tcW w:w="1540" w:type="dxa"/>
            <w:vAlign w:val="bottom"/>
          </w:tcPr>
          <w:p>
            <w:pPr>
              <w:spacing w:after="0"/>
              <w:rPr>
                <w:sz w:val="17"/>
                <w:szCs w:val="17"/>
                <w:color w:val="auto"/>
              </w:rPr>
            </w:pPr>
          </w:p>
        </w:tc>
      </w:tr>
      <w:tr>
        <w:trPr>
          <w:trHeight w:val="196"/>
        </w:trPr>
        <w:tc>
          <w:tcPr>
            <w:tcW w:w="5180" w:type="dxa"/>
            <w:vAlign w:val="bottom"/>
          </w:tcPr>
          <w:p>
            <w:pPr>
              <w:spacing w:after="0" w:line="196" w:lineRule="exact"/>
              <w:rPr>
                <w:sz w:val="20"/>
                <w:szCs w:val="20"/>
                <w:color w:val="auto"/>
              </w:rPr>
            </w:pPr>
            <w:r>
              <w:rPr>
                <w:rFonts w:ascii="Arial" w:cs="Arial" w:eastAsia="Arial" w:hAnsi="Arial"/>
                <w:sz w:val="18"/>
                <w:szCs w:val="18"/>
                <w:color w:val="auto"/>
              </w:rPr>
              <w:t>DISABLED VETERAN BUSINESS ENTERPRISES (DVBEs)</w:t>
            </w:r>
          </w:p>
        </w:tc>
        <w:tc>
          <w:tcPr>
            <w:tcW w:w="6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540" w:type="dxa"/>
            <w:vAlign w:val="bottom"/>
          </w:tcPr>
          <w:p>
            <w:pPr>
              <w:spacing w:after="0"/>
              <w:rPr>
                <w:sz w:val="17"/>
                <w:szCs w:val="17"/>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24" w:right="660" w:hanging="424"/>
        <w:spacing w:after="0" w:line="277" w:lineRule="auto"/>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color w:val="auto"/>
        </w:rPr>
        <w:t>LIST THE PRINCIPAL GOODS AND SERVICES TO BE SUBCONTRACTED TO MBE/WBE/DVBEs OR DELIVERED THROUGH MBE/WBE/DVBE VALUE ADDED RESELLERS</w:t>
      </w:r>
    </w:p>
    <w:p>
      <w:pPr>
        <w:spacing w:after="0" w:line="278"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u w:val="single" w:color="auto"/>
          <w:color w:val="auto"/>
        </w:rPr>
        <w:t>(What part of the Prime Suppliers supply chain provides opportunities for diversity subcontracting)</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156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9" w:name="page280"/>
    <w:bookmarkEnd w:id="2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E, Exhibit 2 – MBE/WBE/DVBE Results Report</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MBE/WBE/DVBE RESULTS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DETAILED PLAN FOR USE OF MBE/WBE/DVBEs AS SUBCONTRACTORS, DISTRIBUTORS, VALUE ADDED RESELLERS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every product and service you intend to use, provide the following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(attach additional sheets if necessary)</w:t>
      </w:r>
    </w:p>
    <w:tbl>
      <w:tblPr>
        <w:tblLayout w:type="fixed"/>
        <w:tblInd w:w="440" w:type="dxa"/>
        <w:tblCellMar>
          <w:top w:w="0" w:type="dxa"/>
          <w:left w:w="0" w:type="dxa"/>
          <w:bottom w:w="0" w:type="dxa"/>
          <w:right w:w="0" w:type="dxa"/>
        </w:tblCellMar>
      </w:tblPr>
      <w:tr>
        <w:trPr>
          <w:trHeight w:val="139"/>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Company Name</w:t>
            </w:r>
          </w:p>
        </w:tc>
        <w:tc>
          <w:tcPr>
            <w:tcW w:w="1480" w:type="dxa"/>
            <w:vAlign w:val="bottom"/>
            <w:gridSpan w:val="2"/>
          </w:tcPr>
          <w:p>
            <w:pPr>
              <w:jc w:val="center"/>
              <w:ind w:right="200"/>
              <w:spacing w:after="0" w:line="139" w:lineRule="exact"/>
              <w:rPr>
                <w:sz w:val="20"/>
                <w:szCs w:val="20"/>
                <w:color w:val="auto"/>
              </w:rPr>
            </w:pPr>
            <w:r>
              <w:rPr>
                <w:rFonts w:ascii="Arial" w:cs="Arial" w:eastAsia="Arial" w:hAnsi="Arial"/>
                <w:sz w:val="14"/>
                <w:szCs w:val="14"/>
                <w:color w:val="auto"/>
                <w:w w:val="96"/>
              </w:rPr>
              <w:t>Classification</w:t>
            </w:r>
          </w:p>
        </w:tc>
        <w:tc>
          <w:tcPr>
            <w:tcW w:w="1120" w:type="dxa"/>
            <w:vAlign w:val="bottom"/>
          </w:tcPr>
          <w:p>
            <w:pPr>
              <w:jc w:val="right"/>
              <w:spacing w:after="0" w:line="139" w:lineRule="exact"/>
              <w:rPr>
                <w:sz w:val="20"/>
                <w:szCs w:val="20"/>
                <w:color w:val="auto"/>
              </w:rPr>
            </w:pPr>
            <w:r>
              <w:rPr>
                <w:rFonts w:ascii="Arial" w:cs="Arial" w:eastAsia="Arial" w:hAnsi="Arial"/>
                <w:sz w:val="14"/>
                <w:szCs w:val="14"/>
                <w:color w:val="auto"/>
                <w:w w:val="93"/>
              </w:rPr>
              <w:t>Products/Services</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360" w:type="dxa"/>
            <w:vAlign w:val="bottom"/>
            <w:gridSpan w:val="2"/>
            <w:vMerge w:val="continue"/>
          </w:tcPr>
          <w:p>
            <w:pPr>
              <w:spacing w:after="0"/>
              <w:rPr>
                <w:sz w:val="13"/>
                <w:szCs w:val="13"/>
                <w:color w:val="auto"/>
              </w:rPr>
            </w:pPr>
          </w:p>
        </w:tc>
        <w:tc>
          <w:tcPr>
            <w:tcW w:w="1480" w:type="dxa"/>
            <w:vAlign w:val="bottom"/>
            <w:gridSpan w:val="2"/>
          </w:tcPr>
          <w:p>
            <w:pPr>
              <w:jc w:val="center"/>
              <w:ind w:right="200"/>
              <w:spacing w:after="0" w:line="154" w:lineRule="exact"/>
              <w:rPr>
                <w:sz w:val="20"/>
                <w:szCs w:val="20"/>
                <w:color w:val="auto"/>
              </w:rPr>
            </w:pPr>
            <w:r>
              <w:rPr>
                <w:rFonts w:ascii="Arial" w:cs="Arial" w:eastAsia="Arial" w:hAnsi="Arial"/>
                <w:sz w:val="14"/>
                <w:szCs w:val="14"/>
                <w:color w:val="auto"/>
              </w:rPr>
              <w:t>(MBE/WBE/DVBE)</w:t>
            </w:r>
          </w:p>
        </w:tc>
        <w:tc>
          <w:tcPr>
            <w:tcW w:w="1120" w:type="dxa"/>
            <w:vAlign w:val="bottom"/>
          </w:tcPr>
          <w:p>
            <w:pPr>
              <w:jc w:val="right"/>
              <w:ind w:right="59"/>
              <w:spacing w:after="0" w:line="154" w:lineRule="exact"/>
              <w:rPr>
                <w:sz w:val="20"/>
                <w:szCs w:val="20"/>
                <w:color w:val="auto"/>
              </w:rPr>
            </w:pPr>
            <w:r>
              <w:rPr>
                <w:rFonts w:ascii="Arial" w:cs="Arial" w:eastAsia="Arial" w:hAnsi="Arial"/>
                <w:sz w:val="14"/>
                <w:szCs w:val="14"/>
                <w:color w:val="auto"/>
              </w:rPr>
              <w:t>to be provided</w:t>
            </w:r>
          </w:p>
        </w:tc>
        <w:tc>
          <w:tcPr>
            <w:tcW w:w="200" w:type="dxa"/>
            <w:vAlign w:val="bottom"/>
          </w:tcPr>
          <w:p>
            <w:pPr>
              <w:spacing w:after="0"/>
              <w:rPr>
                <w:sz w:val="13"/>
                <w:szCs w:val="13"/>
                <w:color w:val="auto"/>
              </w:rPr>
            </w:pPr>
          </w:p>
        </w:tc>
        <w:tc>
          <w:tcPr>
            <w:tcW w:w="980" w:type="dxa"/>
            <w:vAlign w:val="bottom"/>
            <w:gridSpan w:val="2"/>
          </w:tcPr>
          <w:p>
            <w:pPr>
              <w:ind w:left="180"/>
              <w:spacing w:after="0" w:line="154" w:lineRule="exact"/>
              <w:rPr>
                <w:sz w:val="20"/>
                <w:szCs w:val="20"/>
                <w:color w:val="auto"/>
              </w:rPr>
            </w:pPr>
            <w:r>
              <w:rPr>
                <w:rFonts w:ascii="Arial" w:cs="Arial" w:eastAsia="Arial" w:hAnsi="Arial"/>
                <w:sz w:val="14"/>
                <w:szCs w:val="14"/>
                <w:color w:val="auto"/>
              </w:rPr>
              <w:t>$ Value</w:t>
            </w:r>
          </w:p>
        </w:tc>
        <w:tc>
          <w:tcPr>
            <w:tcW w:w="980" w:type="dxa"/>
            <w:vAlign w:val="bottom"/>
          </w:tcPr>
          <w:p>
            <w:pPr>
              <w:jc w:val="right"/>
              <w:spacing w:after="0" w:line="154" w:lineRule="exact"/>
              <w:rPr>
                <w:sz w:val="20"/>
                <w:szCs w:val="20"/>
                <w:color w:val="auto"/>
              </w:rPr>
            </w:pPr>
            <w:r>
              <w:rPr>
                <w:rFonts w:ascii="Arial" w:cs="Arial" w:eastAsia="Arial" w:hAnsi="Arial"/>
                <w:sz w:val="14"/>
                <w:szCs w:val="14"/>
                <w:color w:val="auto"/>
              </w:rPr>
              <w:t>Date to Begin</w:t>
            </w:r>
          </w:p>
        </w:tc>
        <w:tc>
          <w:tcPr>
            <w:tcW w:w="0" w:type="dxa"/>
            <w:vAlign w:val="bottom"/>
          </w:tcPr>
          <w:p>
            <w:pPr>
              <w:spacing w:after="0"/>
              <w:rPr>
                <w:sz w:val="1"/>
                <w:szCs w:val="1"/>
                <w:color w:val="auto"/>
              </w:rPr>
            </w:pPr>
          </w:p>
        </w:tc>
      </w:tr>
      <w:tr>
        <w:trPr>
          <w:trHeight w:val="20"/>
        </w:trPr>
        <w:tc>
          <w:tcPr>
            <w:tcW w:w="940" w:type="dxa"/>
            <w:vAlign w:val="bottom"/>
            <w:shd w:val="clear" w:color="auto" w:fill="000000"/>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360" w:type="dxa"/>
            <w:vAlign w:val="bottom"/>
            <w:gridSpan w:val="2"/>
          </w:tcPr>
          <w:p>
            <w:pPr>
              <w:spacing w:after="0" w:line="189" w:lineRule="exact"/>
              <w:rPr>
                <w:sz w:val="20"/>
                <w:szCs w:val="20"/>
                <w:color w:val="auto"/>
              </w:rPr>
            </w:pPr>
            <w:r>
              <w:rPr>
                <w:rFonts w:ascii="Arial" w:cs="Arial" w:eastAsia="Arial" w:hAnsi="Arial"/>
                <w:sz w:val="18"/>
                <w:szCs w:val="18"/>
                <w:color w:val="auto"/>
              </w:rPr>
              <w:t>__________________</w:t>
            </w:r>
          </w:p>
        </w:tc>
        <w:tc>
          <w:tcPr>
            <w:tcW w:w="1280" w:type="dxa"/>
            <w:vAlign w:val="bottom"/>
          </w:tcPr>
          <w:p>
            <w:pPr>
              <w:jc w:val="right"/>
              <w:ind w:right="19"/>
              <w:spacing w:after="0" w:line="189" w:lineRule="exact"/>
              <w:rPr>
                <w:sz w:val="20"/>
                <w:szCs w:val="20"/>
                <w:color w:val="auto"/>
              </w:rPr>
            </w:pPr>
            <w:r>
              <w:rPr>
                <w:rFonts w:ascii="Arial" w:cs="Arial" w:eastAsia="Arial" w:hAnsi="Arial"/>
                <w:sz w:val="18"/>
                <w:szCs w:val="18"/>
                <w:color w:val="auto"/>
                <w:w w:val="89"/>
              </w:rPr>
              <w:t>_____________</w:t>
            </w:r>
          </w:p>
        </w:tc>
        <w:tc>
          <w:tcPr>
            <w:tcW w:w="200" w:type="dxa"/>
            <w:vAlign w:val="bottom"/>
            <w:vMerge w:val="continue"/>
          </w:tcPr>
          <w:p>
            <w:pPr>
              <w:spacing w:after="0"/>
              <w:rPr>
                <w:sz w:val="16"/>
                <w:szCs w:val="16"/>
                <w:color w:val="auto"/>
              </w:rPr>
            </w:pPr>
          </w:p>
        </w:tc>
        <w:tc>
          <w:tcPr>
            <w:tcW w:w="1120" w:type="dxa"/>
            <w:vAlign w:val="bottom"/>
          </w:tcPr>
          <w:p>
            <w:pPr>
              <w:jc w:val="right"/>
              <w:ind w:right="139"/>
              <w:spacing w:after="0" w:line="189" w:lineRule="exact"/>
              <w:rPr>
                <w:sz w:val="20"/>
                <w:szCs w:val="20"/>
                <w:color w:val="auto"/>
              </w:rPr>
            </w:pPr>
            <w:r>
              <w:rPr>
                <w:rFonts w:ascii="Arial" w:cs="Arial" w:eastAsia="Arial" w:hAnsi="Arial"/>
                <w:sz w:val="18"/>
                <w:szCs w:val="18"/>
                <w:color w:val="auto"/>
                <w:w w:val="87"/>
              </w:rPr>
              <w:t>__________</w:t>
            </w:r>
          </w:p>
        </w:tc>
        <w:tc>
          <w:tcPr>
            <w:tcW w:w="200" w:type="dxa"/>
            <w:vAlign w:val="bottom"/>
            <w:vMerge w:val="continue"/>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Arial" w:cs="Arial" w:eastAsia="Arial" w:hAnsi="Arial"/>
                <w:sz w:val="18"/>
                <w:szCs w:val="18"/>
                <w:color w:val="auto"/>
                <w:w w:val="87"/>
              </w:rPr>
              <w:t>________</w:t>
            </w:r>
          </w:p>
        </w:tc>
        <w:tc>
          <w:tcPr>
            <w:tcW w:w="200" w:type="dxa"/>
            <w:vAlign w:val="bottom"/>
            <w:vMerge w:val="continue"/>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w w:val="87"/>
              </w:rPr>
              <w:t>__________</w:t>
            </w:r>
          </w:p>
        </w:tc>
        <w:tc>
          <w:tcPr>
            <w:tcW w:w="0" w:type="dxa"/>
            <w:vAlign w:val="bottom"/>
          </w:tcPr>
          <w:p>
            <w:pPr>
              <w:spacing w:after="0"/>
              <w:rPr>
                <w:sz w:val="1"/>
                <w:szCs w:val="1"/>
                <w:color w:val="auto"/>
              </w:rPr>
            </w:pPr>
          </w:p>
        </w:tc>
      </w:tr>
      <w:tr>
        <w:trPr>
          <w:trHeight w:val="230"/>
        </w:trPr>
        <w:tc>
          <w:tcPr>
            <w:tcW w:w="5360" w:type="dxa"/>
            <w:vAlign w:val="bottom"/>
            <w:gridSpan w:val="2"/>
          </w:tcPr>
          <w:p>
            <w:pPr>
              <w:spacing w:after="0"/>
              <w:rPr>
                <w:sz w:val="20"/>
                <w:szCs w:val="20"/>
                <w:color w:val="auto"/>
              </w:rPr>
            </w:pPr>
            <w:r>
              <w:rPr>
                <w:rFonts w:ascii="Arial" w:cs="Arial" w:eastAsia="Arial" w:hAnsi="Arial"/>
                <w:sz w:val="18"/>
                <w:szCs w:val="18"/>
                <w:color w:val="auto"/>
              </w:rPr>
              <w:t>__________________</w:t>
            </w:r>
          </w:p>
        </w:tc>
        <w:tc>
          <w:tcPr>
            <w:tcW w:w="1280" w:type="dxa"/>
            <w:vAlign w:val="bottom"/>
          </w:tcPr>
          <w:p>
            <w:pPr>
              <w:jc w:val="right"/>
              <w:ind w:right="19"/>
              <w:spacing w:after="0"/>
              <w:rPr>
                <w:sz w:val="20"/>
                <w:szCs w:val="20"/>
                <w:color w:val="auto"/>
              </w:rPr>
            </w:pPr>
            <w:r>
              <w:rPr>
                <w:rFonts w:ascii="Arial" w:cs="Arial" w:eastAsia="Arial" w:hAnsi="Arial"/>
                <w:sz w:val="18"/>
                <w:szCs w:val="18"/>
                <w:color w:val="auto"/>
                <w:w w:val="89"/>
              </w:rPr>
              <w:t>_____________</w:t>
            </w:r>
          </w:p>
        </w:tc>
        <w:tc>
          <w:tcPr>
            <w:tcW w:w="200" w:type="dxa"/>
            <w:vAlign w:val="bottom"/>
          </w:tcPr>
          <w:p>
            <w:pPr>
              <w:spacing w:after="0"/>
              <w:rPr>
                <w:sz w:val="20"/>
                <w:szCs w:val="20"/>
                <w:color w:val="auto"/>
              </w:rPr>
            </w:pPr>
          </w:p>
        </w:tc>
        <w:tc>
          <w:tcPr>
            <w:tcW w:w="1120" w:type="dxa"/>
            <w:vAlign w:val="bottom"/>
          </w:tcPr>
          <w:p>
            <w:pPr>
              <w:jc w:val="right"/>
              <w:ind w:right="139"/>
              <w:spacing w:after="0"/>
              <w:rPr>
                <w:sz w:val="20"/>
                <w:szCs w:val="20"/>
                <w:color w:val="auto"/>
              </w:rPr>
            </w:pPr>
            <w:r>
              <w:rPr>
                <w:rFonts w:ascii="Arial" w:cs="Arial" w:eastAsia="Arial" w:hAnsi="Arial"/>
                <w:sz w:val="18"/>
                <w:szCs w:val="18"/>
                <w:color w:val="auto"/>
                <w:w w:val="87"/>
              </w:rPr>
              <w:t>__________</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________</w:t>
            </w:r>
          </w:p>
        </w:tc>
        <w:tc>
          <w:tcPr>
            <w:tcW w:w="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7"/>
              </w:rPr>
              <w:t>__________</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SELLER AGREES THAT IT WILL MAINTAIN ALL NECESSARY DOCUMENTS AND RECORDS TO SUPPORT ITS EFFORTS TO ACHIEVE ITS MBE/WBE/DVBE PARTICIPATION GOAL(S). SELLER ALSO ACKNOWLEDGES THE FACT THAT IT IS RESPONSIBLE FOR IDENTIFYING, SOLICITING AND QUALIFYING MBE/WBE/DVBE SUBCONTRACTORS, DISTRIBUTORS AND VALUE ADDED RESELLERS.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 ACTING IN THE CAPACITY OF MBE/WBE/DVBE COORDINATOR FOR SELLER, WILL:</w:t>
      </w:r>
    </w:p>
    <w:p>
      <w:pPr>
        <w:spacing w:after="0" w:line="117"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Administer the MBE/WBE/DVBE Participation Plan, submit summary reports, and cooperate in any studies or surveys as may be required in order to determine the extent of compliance by the Seller with the participation plan.</w:t>
      </w:r>
    </w:p>
    <w:p>
      <w:pPr>
        <w:spacing w:after="0" w:line="62" w:lineRule="exact"/>
        <w:rPr>
          <w:sz w:val="20"/>
          <w:szCs w:val="20"/>
          <w:color w:val="auto"/>
        </w:rPr>
      </w:pPr>
    </w:p>
    <w:p>
      <w:pPr>
        <w:ind w:left="440" w:right="280"/>
        <w:spacing w:after="0" w:line="259" w:lineRule="auto"/>
        <w:rPr>
          <w:sz w:val="20"/>
          <w:szCs w:val="20"/>
          <w:color w:val="auto"/>
        </w:rPr>
      </w:pPr>
      <w:r>
        <w:rPr>
          <w:rFonts w:ascii="Arial" w:cs="Arial" w:eastAsia="Arial" w:hAnsi="Arial"/>
          <w:sz w:val="18"/>
          <w:szCs w:val="18"/>
          <w:color w:val="auto"/>
        </w:rPr>
        <w:t>In accordance with Section 3.42, Supplier shall email a copy of the annual plan to [***]. Thereafter, Supplier shall furnish its [***] results to AT&amp;T in accordance with instructions to be provided to Supplier following AT&amp;T’s receipt of Supplier’s initial annual plan. When reporting results, Supplier shall count only expenditures with entities that are certified as MBE, WBE, or DVBE firms by Third Party certifying agencies recognized by AT&amp;T, as listed on http://www.attsuppliers.com.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252031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252031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2520315"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252031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1960245</wp:posOffset>
            </wp:positionH>
            <wp:positionV relativeFrom="paragraph">
              <wp:posOffset>14605</wp:posOffset>
            </wp:positionV>
            <wp:extent cx="252031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157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F – Acceptance Letter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Acceptance Letter</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[Print on AT&amp;T Letterhead Stationery]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[Supplier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accordance with Section 3.0, “General Terms”, of that certain Master Services Agreement 53258.C, between Amdocs Development Limited and AT&amp;T Services, Inc., effective [Effective Date], the undersigned accepts the Custom Software described on Order [Order No.] to the above-mentioned Agreement as of [Date of Acceptance].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AT&amp;T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14605</wp:posOffset>
            </wp:positionV>
            <wp:extent cx="21259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14605</wp:posOffset>
            </wp:positionV>
            <wp:extent cx="21259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14605</wp:posOffset>
            </wp:positionV>
            <wp:extent cx="21259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666115</wp:posOffset>
            </wp:positionH>
            <wp:positionV relativeFrom="paragraph">
              <wp:posOffset>14605</wp:posOffset>
            </wp:positionV>
            <wp:extent cx="21259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2125980" cy="8255"/>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158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1" w:name="page282"/>
    <w:bookmarkEnd w:id="281"/>
    <w:tbl>
      <w:tblPr>
        <w:tblLayout w:type="fixed"/>
        <w:tblInd w:w="4" w:type="dxa"/>
        <w:tblCellMar>
          <w:top w:w="0" w:type="dxa"/>
          <w:left w:w="0" w:type="dxa"/>
          <w:bottom w:w="0" w:type="dxa"/>
          <w:right w:w="0" w:type="dxa"/>
        </w:tblCellMar>
      </w:tblPr>
      <w:tr>
        <w:trPr>
          <w:trHeight w:val="230"/>
        </w:trPr>
        <w:tc>
          <w:tcPr>
            <w:tcW w:w="2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180" w:type="dxa"/>
            <w:vAlign w:val="bottom"/>
            <w:gridSpan w:val="3"/>
          </w:tcPr>
          <w:p>
            <w:pPr>
              <w:ind w:left="2560"/>
              <w:spacing w:after="0"/>
              <w:rPr>
                <w:sz w:val="20"/>
                <w:szCs w:val="20"/>
                <w:color w:val="auto"/>
              </w:rPr>
            </w:pPr>
            <w:r>
              <w:rPr>
                <w:rFonts w:ascii="Arial" w:cs="Arial" w:eastAsia="Arial" w:hAnsi="Arial"/>
                <w:sz w:val="18"/>
                <w:szCs w:val="18"/>
                <w:color w:val="auto"/>
                <w:w w:val="93"/>
              </w:rPr>
              <w:t>AT&amp;T Agreement No. 53258.A.005</w:t>
            </w:r>
          </w:p>
        </w:tc>
      </w:tr>
      <w:tr>
        <w:trPr>
          <w:trHeight w:val="364"/>
        </w:trPr>
        <w:tc>
          <w:tcPr>
            <w:tcW w:w="2720" w:type="dxa"/>
            <w:vAlign w:val="bottom"/>
          </w:tcPr>
          <w:p>
            <w:pPr>
              <w:spacing w:after="0"/>
              <w:rPr>
                <w:sz w:val="24"/>
                <w:szCs w:val="24"/>
                <w:color w:val="auto"/>
              </w:rPr>
            </w:pPr>
          </w:p>
        </w:tc>
        <w:tc>
          <w:tcPr>
            <w:tcW w:w="8300" w:type="dxa"/>
            <w:vAlign w:val="bottom"/>
            <w:gridSpan w:val="6"/>
          </w:tcPr>
          <w:p>
            <w:pPr>
              <w:ind w:left="100"/>
              <w:spacing w:after="0"/>
              <w:rPr>
                <w:sz w:val="20"/>
                <w:szCs w:val="20"/>
                <w:color w:val="auto"/>
              </w:rPr>
            </w:pPr>
            <w:r>
              <w:rPr>
                <w:rFonts w:ascii="Arial" w:cs="Arial" w:eastAsia="Arial" w:hAnsi="Arial"/>
                <w:sz w:val="18"/>
                <w:szCs w:val="18"/>
                <w:color w:val="auto"/>
              </w:rPr>
              <w:t>Appendix G – Agreement Regarding Non-Employment Status with AT&amp;T</w:t>
            </w:r>
          </w:p>
        </w:tc>
      </w:tr>
      <w:tr>
        <w:trPr>
          <w:trHeight w:val="392"/>
        </w:trPr>
        <w:tc>
          <w:tcPr>
            <w:tcW w:w="2720" w:type="dxa"/>
            <w:vAlign w:val="bottom"/>
          </w:tcPr>
          <w:p>
            <w:pPr>
              <w:spacing w:after="0"/>
              <w:rPr>
                <w:sz w:val="20"/>
                <w:szCs w:val="20"/>
                <w:color w:val="auto"/>
              </w:rPr>
            </w:pPr>
            <w:r>
              <w:rPr>
                <w:rFonts w:ascii="Arial" w:cs="Arial" w:eastAsia="Arial" w:hAnsi="Arial"/>
                <w:sz w:val="18"/>
                <w:szCs w:val="18"/>
                <w:color w:val="auto"/>
                <w:w w:val="91"/>
              </w:rPr>
              <w:t>This Agreement (“Agreement”) dated</w:t>
            </w:r>
          </w:p>
        </w:tc>
        <w:tc>
          <w:tcPr>
            <w:tcW w:w="940" w:type="dxa"/>
            <w:vAlign w:val="bottom"/>
          </w:tcPr>
          <w:p>
            <w:pPr>
              <w:spacing w:after="0"/>
              <w:rPr>
                <w:sz w:val="24"/>
                <w:szCs w:val="24"/>
                <w:color w:val="auto"/>
              </w:rPr>
            </w:pPr>
          </w:p>
        </w:tc>
        <w:tc>
          <w:tcPr>
            <w:tcW w:w="7360" w:type="dxa"/>
            <w:vAlign w:val="bottom"/>
            <w:gridSpan w:val="5"/>
          </w:tcPr>
          <w:p>
            <w:pPr>
              <w:spacing w:after="0"/>
              <w:rPr>
                <w:sz w:val="20"/>
                <w:szCs w:val="20"/>
                <w:color w:val="auto"/>
              </w:rPr>
            </w:pPr>
            <w:r>
              <w:rPr>
                <w:rFonts w:ascii="Arial" w:cs="Arial" w:eastAsia="Arial" w:hAnsi="Arial"/>
                <w:sz w:val="18"/>
                <w:szCs w:val="18"/>
                <w:color w:val="auto"/>
              </w:rPr>
              <w:t>is made by the individual named below (“I” or “me”), who is engaged to perform work at</w:t>
            </w:r>
          </w:p>
        </w:tc>
      </w:tr>
      <w:tr>
        <w:trPr>
          <w:trHeight w:val="20"/>
        </w:trPr>
        <w:tc>
          <w:tcPr>
            <w:tcW w:w="27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940" w:type="dxa"/>
            <w:vAlign w:val="bottom"/>
            <w:gridSpan w:val="3"/>
          </w:tcPr>
          <w:p>
            <w:pPr>
              <w:spacing w:after="0" w:line="196" w:lineRule="exact"/>
              <w:rPr>
                <w:sz w:val="20"/>
                <w:szCs w:val="20"/>
                <w:color w:val="auto"/>
              </w:rPr>
            </w:pPr>
            <w:r>
              <w:rPr>
                <w:rFonts w:ascii="Arial" w:cs="Arial" w:eastAsia="Arial" w:hAnsi="Arial"/>
                <w:sz w:val="18"/>
                <w:szCs w:val="18"/>
                <w:color w:val="auto"/>
                <w:w w:val="93"/>
              </w:rPr>
              <w:t>[Insert name of AT&amp;T company that worker will be doing work for.]</w:t>
            </w:r>
          </w:p>
        </w:tc>
        <w:tc>
          <w:tcPr>
            <w:tcW w:w="900" w:type="dxa"/>
            <w:vAlign w:val="bottom"/>
            <w:tcBorders>
              <w:bottom w:val="single" w:sz="8" w:color="auto"/>
            </w:tcBorders>
          </w:tcPr>
          <w:p>
            <w:pPr>
              <w:spacing w:after="0"/>
              <w:rPr>
                <w:sz w:val="17"/>
                <w:szCs w:val="17"/>
                <w:color w:val="auto"/>
              </w:rPr>
            </w:pPr>
          </w:p>
        </w:tc>
        <w:tc>
          <w:tcPr>
            <w:tcW w:w="5180" w:type="dxa"/>
            <w:vAlign w:val="bottom"/>
            <w:gridSpan w:val="3"/>
          </w:tcPr>
          <w:p>
            <w:pPr>
              <w:ind w:left="40"/>
              <w:spacing w:after="0" w:line="196" w:lineRule="exact"/>
              <w:rPr>
                <w:sz w:val="20"/>
                <w:szCs w:val="20"/>
                <w:color w:val="auto"/>
              </w:rPr>
            </w:pPr>
            <w:r>
              <w:rPr>
                <w:rFonts w:ascii="Arial" w:cs="Arial" w:eastAsia="Arial" w:hAnsi="Arial"/>
                <w:sz w:val="18"/>
                <w:szCs w:val="18"/>
                <w:color w:val="auto"/>
                <w:w w:val="98"/>
              </w:rPr>
              <w:t>(“AT&amp;T Company”), as a worker of Amdocs Development Limited</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color w:val="auto"/>
        </w:rPr>
        <w:t>(“Supplier”) under the terms and conditions of the agreement named below between Supplier and AT&amp;T Services, Inc.</w:t>
      </w:r>
    </w:p>
    <w:p>
      <w:pPr>
        <w:spacing w:after="0" w:line="131" w:lineRule="exact"/>
        <w:rPr>
          <w:sz w:val="20"/>
          <w:szCs w:val="20"/>
          <w:color w:val="auto"/>
        </w:rPr>
      </w:pPr>
    </w:p>
    <w:p>
      <w:pPr>
        <w:ind w:left="424" w:hanging="424"/>
        <w:spacing w:after="0"/>
        <w:tabs>
          <w:tab w:leader="none" w:pos="424" w:val="left"/>
        </w:tabs>
        <w:numPr>
          <w:ilvl w:val="0"/>
          <w:numId w:val="312"/>
        </w:numPr>
        <w:rPr>
          <w:rFonts w:ascii="Arial" w:cs="Arial" w:eastAsia="Arial" w:hAnsi="Arial"/>
          <w:sz w:val="18"/>
          <w:szCs w:val="18"/>
          <w:color w:val="auto"/>
        </w:rPr>
      </w:pPr>
      <w:r>
        <w:rPr>
          <w:rFonts w:ascii="Arial" w:cs="Arial" w:eastAsia="Arial" w:hAnsi="Arial"/>
          <w:sz w:val="18"/>
          <w:szCs w:val="18"/>
          <w:color w:val="auto"/>
        </w:rPr>
        <w:t>Status</w:t>
      </w:r>
    </w:p>
    <w:p>
      <w:pPr>
        <w:spacing w:after="0" w:line="117"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I have been hired by Supplier as a full or part-time employee, a temporary worker, or as an independent contractor and Supplier will be providing services to AT&amp;T Company. I understand that no employment relationship between me and the AT&amp;T Company is created by this Agreement or by my agreement with the Supplier to provide services to Supplier or AT&amp;T Company.</w:t>
      </w:r>
    </w:p>
    <w:p>
      <w:pPr>
        <w:spacing w:after="0" w:line="76"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I acknowledge and agree that Supplier shall be solely responsible for all payments to me including payment of compensation, premium payments for overtime, bonuses, and other incentive payments, if any, and payments for vacation, holiday, sick days or other personal days, if any. Also, I will be solely responsible for negotiating and agreeing with Supplier for participation in any Supplier benefit plans, including any pension, savings, or health and welfare plan. Unless AT&amp;T Company expressly provides otherwise in writing, I further understand and agree that I am not eligible to participate in or receive any benefits under the terms of the AT&amp;T Company’s pension plans, savings plans, health plans, vision plans, disability plans, life insurance plans, stock option plans, or any employee benefit plan sponsored by the AT&amp;T Company for any period of time. I understand and agree that the cash payments and benefits which I receive from Supplier shall represent the sole compensation to which I am entitled, and that Supplier will be solely responsible for all matters relating to compliance with all employer tax obligations arising from the performance of Services in connection with this Agreement. These tax obligations include but are not limited to the obligation to withhold employee taxes under local, state and federal income tax laws, unemployment compensation insurance tax laws, state disability insurance tax laws, social security and Medicare tax laws, and all other payroll tax laws or similar laws.</w:t>
      </w:r>
    </w:p>
    <w:p>
      <w:pPr>
        <w:spacing w:after="0" w:line="87" w:lineRule="exact"/>
        <w:rPr>
          <w:sz w:val="20"/>
          <w:szCs w:val="20"/>
          <w:color w:val="auto"/>
        </w:rPr>
      </w:pPr>
    </w:p>
    <w:p>
      <w:pPr>
        <w:ind w:left="424" w:hanging="424"/>
        <w:spacing w:after="0"/>
        <w:tabs>
          <w:tab w:leader="none" w:pos="424" w:val="left"/>
        </w:tabs>
        <w:numPr>
          <w:ilvl w:val="0"/>
          <w:numId w:val="313"/>
        </w:numPr>
        <w:rPr>
          <w:rFonts w:ascii="Arial" w:cs="Arial" w:eastAsia="Arial" w:hAnsi="Arial"/>
          <w:sz w:val="18"/>
          <w:szCs w:val="18"/>
          <w:color w:val="auto"/>
        </w:rPr>
      </w:pPr>
      <w:r>
        <w:rPr>
          <w:rFonts w:ascii="Arial" w:cs="Arial" w:eastAsia="Arial" w:hAnsi="Arial"/>
          <w:sz w:val="18"/>
          <w:szCs w:val="18"/>
          <w:color w:val="auto"/>
        </w:rPr>
        <w:t>Work Policies and Rules</w:t>
      </w:r>
    </w:p>
    <w:p>
      <w:pPr>
        <w:spacing w:after="0" w:line="130" w:lineRule="exact"/>
        <w:rPr>
          <w:rFonts w:ascii="Arial" w:cs="Arial" w:eastAsia="Arial" w:hAnsi="Arial"/>
          <w:sz w:val="18"/>
          <w:szCs w:val="18"/>
          <w:color w:val="auto"/>
        </w:rPr>
      </w:pPr>
    </w:p>
    <w:p>
      <w:pPr>
        <w:ind w:left="1424" w:right="220" w:hanging="439"/>
        <w:spacing w:after="0" w:line="291" w:lineRule="auto"/>
        <w:tabs>
          <w:tab w:leader="none" w:pos="1424" w:val="left"/>
        </w:tabs>
        <w:numPr>
          <w:ilvl w:val="1"/>
          <w:numId w:val="313"/>
        </w:numPr>
        <w:rPr>
          <w:rFonts w:ascii="Arial" w:cs="Arial" w:eastAsia="Arial" w:hAnsi="Arial"/>
          <w:sz w:val="16"/>
          <w:szCs w:val="16"/>
          <w:color w:val="auto"/>
        </w:rPr>
      </w:pPr>
      <w:r>
        <w:rPr>
          <w:rFonts w:ascii="Arial" w:cs="Arial" w:eastAsia="Arial" w:hAnsi="Arial"/>
          <w:sz w:val="16"/>
          <w:szCs w:val="16"/>
          <w:color w:val="auto"/>
        </w:rPr>
        <w:t>I understand that it is my responsibility to ensure that my personal conduct and comments in the workplace are ethical, evidence a high degree of integrity, and support a professional environment free of (i) inappropriate behavior, language, jokes, or actions; (ii) harassment or biased, demeaning, offensive, or derogatory behavior to others based upon race, color, religion, national origin, sex, age, sexual orientation, marital status, veteran’s status, or disability; or (iii) violence. I further agree to refrain from (i) words or conduct that is threatening, intimidating, and/or disrespectful of others, (ii) bringing a firearm or other weapon on any AT&amp;T premises; and (iii) using data services on a wireless device, such as texting or accessing the mobile web or other distracting activities, while driving to or from AT&amp;T’s premises or while operating a vehicle in the performance of any work for AT&amp;T.</w:t>
      </w:r>
    </w:p>
    <w:p>
      <w:pPr>
        <w:spacing w:after="0" w:line="71" w:lineRule="exact"/>
        <w:rPr>
          <w:rFonts w:ascii="Arial" w:cs="Arial" w:eastAsia="Arial" w:hAnsi="Arial"/>
          <w:sz w:val="16"/>
          <w:szCs w:val="16"/>
          <w:color w:val="auto"/>
        </w:rPr>
      </w:pPr>
    </w:p>
    <w:p>
      <w:pPr>
        <w:ind w:left="1424" w:right="180" w:hanging="439"/>
        <w:spacing w:after="0" w:line="277" w:lineRule="auto"/>
        <w:tabs>
          <w:tab w:leader="none" w:pos="1424" w:val="left"/>
        </w:tabs>
        <w:numPr>
          <w:ilvl w:val="1"/>
          <w:numId w:val="313"/>
        </w:numPr>
        <w:rPr>
          <w:rFonts w:ascii="Arial" w:cs="Arial" w:eastAsia="Arial" w:hAnsi="Arial"/>
          <w:sz w:val="18"/>
          <w:szCs w:val="18"/>
          <w:color w:val="auto"/>
        </w:rPr>
      </w:pPr>
      <w:r>
        <w:rPr>
          <w:rFonts w:ascii="Arial" w:cs="Arial" w:eastAsia="Arial" w:hAnsi="Arial"/>
          <w:sz w:val="18"/>
          <w:szCs w:val="18"/>
          <w:color w:val="auto"/>
        </w:rPr>
        <w:t>If AT&amp;T Company provides me access to its computer systems, I agree (a) to use such systems in a professional manner, (b) to use such systems only for business purposes and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159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82" w:name="page283"/>
    <w:bookmarkEnd w:id="282"/>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1424" w:right="80"/>
        <w:spacing w:after="0" w:line="273" w:lineRule="auto"/>
        <w:rPr>
          <w:sz w:val="20"/>
          <w:szCs w:val="20"/>
          <w:color w:val="auto"/>
        </w:rPr>
      </w:pPr>
      <w:r>
        <w:rPr>
          <w:rFonts w:ascii="Arial" w:cs="Arial" w:eastAsia="Arial" w:hAnsi="Arial"/>
          <w:sz w:val="17"/>
          <w:szCs w:val="17"/>
          <w:color w:val="auto"/>
        </w:rPr>
        <w:t>solely for the purposes of performing under the agreement named below, (c) to use such systems in compliance with AT&amp;T Company’s applicable standards and guidelines for computer systems use, and (d) to use password devices, if applicable and if requested by AT&amp;T Company. Without limiting the foregoing, AT&amp;T Company property, including but not limited to Intranet and Internet services, shall not be used for personal purposes or for any purpose which is not directly related to the business which is the subject of the agreement named below. I acknowledge and agree that I must have a valid AT&amp;T Company business reason to access the Intranet and/or the Internet from within AT&amp;T Company’s private corporate network.</w:t>
      </w:r>
    </w:p>
    <w:p>
      <w:pPr>
        <w:spacing w:after="0" w:line="205" w:lineRule="exact"/>
        <w:rPr>
          <w:sz w:val="20"/>
          <w:szCs w:val="20"/>
          <w:color w:val="auto"/>
        </w:rPr>
      </w:pPr>
    </w:p>
    <w:p>
      <w:pPr>
        <w:ind w:left="424" w:hanging="424"/>
        <w:spacing w:after="0"/>
        <w:tabs>
          <w:tab w:leader="none" w:pos="424" w:val="left"/>
        </w:tabs>
        <w:numPr>
          <w:ilvl w:val="0"/>
          <w:numId w:val="314"/>
        </w:numPr>
        <w:rPr>
          <w:rFonts w:ascii="Arial" w:cs="Arial" w:eastAsia="Arial" w:hAnsi="Arial"/>
          <w:sz w:val="18"/>
          <w:szCs w:val="18"/>
          <w:color w:val="auto"/>
        </w:rPr>
      </w:pPr>
      <w:r>
        <w:rPr>
          <w:rFonts w:ascii="Arial" w:cs="Arial" w:eastAsia="Arial" w:hAnsi="Arial"/>
          <w:sz w:val="18"/>
          <w:szCs w:val="18"/>
          <w:color w:val="auto"/>
        </w:rPr>
        <w:t>Administrative Terms</w:t>
      </w:r>
    </w:p>
    <w:p>
      <w:pPr>
        <w:spacing w:after="0" w:line="130" w:lineRule="exact"/>
        <w:rPr>
          <w:rFonts w:ascii="Arial" w:cs="Arial" w:eastAsia="Arial" w:hAnsi="Arial"/>
          <w:sz w:val="18"/>
          <w:szCs w:val="18"/>
          <w:color w:val="auto"/>
        </w:rPr>
      </w:pPr>
    </w:p>
    <w:p>
      <w:pPr>
        <w:ind w:left="1424" w:right="560" w:hanging="439"/>
        <w:spacing w:after="0" w:line="277" w:lineRule="auto"/>
        <w:tabs>
          <w:tab w:leader="none" w:pos="1424" w:val="left"/>
        </w:tabs>
        <w:numPr>
          <w:ilvl w:val="1"/>
          <w:numId w:val="314"/>
        </w:numPr>
        <w:rPr>
          <w:rFonts w:ascii="Arial" w:cs="Arial" w:eastAsia="Arial" w:hAnsi="Arial"/>
          <w:sz w:val="18"/>
          <w:szCs w:val="18"/>
          <w:color w:val="auto"/>
        </w:rPr>
      </w:pPr>
      <w:r>
        <w:rPr>
          <w:rFonts w:ascii="Arial" w:cs="Arial" w:eastAsia="Arial" w:hAnsi="Arial"/>
          <w:sz w:val="18"/>
          <w:szCs w:val="18"/>
          <w:color w:val="auto"/>
        </w:rPr>
        <w:t>This Agreement shall be effective as of the date executed below, and shall remain in effect notwithstanding my termination of employment with Supplier or termination of my work at AT&amp;T Company.</w:t>
      </w:r>
    </w:p>
    <w:p>
      <w:pPr>
        <w:spacing w:after="0" w:line="75" w:lineRule="exact"/>
        <w:rPr>
          <w:rFonts w:ascii="Arial" w:cs="Arial" w:eastAsia="Arial" w:hAnsi="Arial"/>
          <w:sz w:val="18"/>
          <w:szCs w:val="18"/>
          <w:color w:val="auto"/>
        </w:rPr>
      </w:pPr>
    </w:p>
    <w:p>
      <w:pPr>
        <w:ind w:left="1424" w:right="160" w:hanging="439"/>
        <w:spacing w:after="0" w:line="342" w:lineRule="auto"/>
        <w:tabs>
          <w:tab w:leader="none" w:pos="1424" w:val="left"/>
        </w:tabs>
        <w:numPr>
          <w:ilvl w:val="1"/>
          <w:numId w:val="314"/>
        </w:numPr>
        <w:rPr>
          <w:rFonts w:ascii="Arial" w:cs="Arial" w:eastAsia="Arial" w:hAnsi="Arial"/>
          <w:sz w:val="16"/>
          <w:szCs w:val="16"/>
          <w:color w:val="auto"/>
        </w:rPr>
      </w:pPr>
      <w:r>
        <w:rPr>
          <w:rFonts w:ascii="Arial" w:cs="Arial" w:eastAsia="Arial" w:hAnsi="Arial"/>
          <w:sz w:val="16"/>
          <w:szCs w:val="16"/>
          <w:color w:val="auto"/>
        </w:rPr>
        <w:t>In the event that any provision of this Agreement is held to be invalid or unenforceable, then such invalid or enforceable provisions shall be severed, and the remaining provisions shall remain in full force and effect to the fullest extent permitted by law.</w:t>
      </w:r>
    </w:p>
    <w:p>
      <w:pPr>
        <w:spacing w:after="0" w:line="16" w:lineRule="exact"/>
        <w:rPr>
          <w:sz w:val="20"/>
          <w:szCs w:val="20"/>
          <w:color w:val="auto"/>
        </w:rPr>
      </w:pPr>
    </w:p>
    <w:p>
      <w:pPr>
        <w:ind w:left="1384"/>
        <w:spacing w:after="0"/>
        <w:rPr>
          <w:sz w:val="20"/>
          <w:szCs w:val="20"/>
          <w:color w:val="auto"/>
        </w:rPr>
      </w:pPr>
      <w:r>
        <w:rPr>
          <w:rFonts w:ascii="Arial" w:cs="Arial" w:eastAsia="Arial" w:hAnsi="Arial"/>
          <w:sz w:val="18"/>
          <w:szCs w:val="18"/>
          <w:color w:val="auto"/>
        </w:rPr>
        <w:t>I have read, understand and agree to abide by this Agreement.</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14605</wp:posOffset>
            </wp:positionV>
            <wp:extent cx="248602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14605</wp:posOffset>
            </wp:positionV>
            <wp:extent cx="2486025"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11" w:lineRule="exact"/>
        <w:rPr>
          <w:sz w:val="20"/>
          <w:szCs w:val="20"/>
          <w:color w:val="auto"/>
        </w:rPr>
      </w:pPr>
    </w:p>
    <w:p>
      <w:pPr>
        <w:ind w:left="4"/>
        <w:spacing w:after="0"/>
        <w:tabs>
          <w:tab w:leader="none" w:pos="3904" w:val="left"/>
        </w:tabs>
        <w:rPr>
          <w:sz w:val="20"/>
          <w:szCs w:val="20"/>
          <w:color w:val="auto"/>
        </w:rPr>
      </w:pPr>
      <w:r>
        <w:rPr>
          <w:rFonts w:ascii="Arial" w:cs="Arial" w:eastAsia="Arial" w:hAnsi="Arial"/>
          <w:sz w:val="18"/>
          <w:szCs w:val="18"/>
          <w:color w:val="auto"/>
        </w:rPr>
        <w:t>Print</w:t>
      </w:r>
      <w:r>
        <w:rPr>
          <w:sz w:val="20"/>
          <w:szCs w:val="20"/>
          <w:color w:val="auto"/>
        </w:rPr>
        <w:tab/>
      </w:r>
      <w:r>
        <w:rPr>
          <w:rFonts w:ascii="Arial" w:cs="Arial" w:eastAsia="Arial" w:hAnsi="Arial"/>
          <w:sz w:val="18"/>
          <w:szCs w:val="18"/>
          <w:color w:val="auto"/>
        </w:rPr>
        <w:t>Name:</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AT&amp;T User ID (if assigned)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-10160</wp:posOffset>
            </wp:positionV>
            <wp:extent cx="8001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497205</wp:posOffset>
            </wp:positionH>
            <wp:positionV relativeFrom="paragraph">
              <wp:posOffset>14605</wp:posOffset>
            </wp:positionV>
            <wp:extent cx="335153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11"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 No. between Supplier and AT&amp;T: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2383155</wp:posOffset>
            </wp:positionH>
            <wp:positionV relativeFrom="paragraph">
              <wp:posOffset>14605</wp:posOffset>
            </wp:positionV>
            <wp:extent cx="1465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11" w:lineRule="exact"/>
        <w:rPr>
          <w:sz w:val="20"/>
          <w:szCs w:val="20"/>
          <w:color w:val="auto"/>
        </w:rPr>
      </w:pPr>
    </w:p>
    <w:p>
      <w:pPr>
        <w:ind w:left="4"/>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771525</wp:posOffset>
            </wp:positionH>
            <wp:positionV relativeFrom="paragraph">
              <wp:posOffset>14605</wp:posOffset>
            </wp:positionV>
            <wp:extent cx="120015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160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H – Vendor Expense Policy</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6"/>
          <w:szCs w:val="16"/>
          <w:color w:val="auto"/>
        </w:rPr>
        <w:t>General</w:t>
      </w:r>
    </w:p>
    <w:p>
      <w:pPr>
        <w:spacing w:after="0" w:line="117"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The AT&amp;T Vendor Expense Policy (VEP) provides guidelines to be followed by all vendors of AT&amp;T in requesting reimbursement for business travel, meals and other business related expense. Expenses outside this policy are not reimbursable.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principles apply to requests for expense reimbursement: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When spending money that is to be reimbursed, vendors must ensure that an AT&amp;T Company (“Company”) receives proper value in return.</w:t>
      </w:r>
    </w:p>
    <w:p>
      <w:pPr>
        <w:spacing w:after="0" w:line="129"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Personal expenditures reported for reimbursement should be billed exactly as they were incurred. The use of averages for any type expenditure or combination of expenditures is not permitted except as specifically provided or documented in a contract.</w:t>
      </w:r>
    </w:p>
    <w:p>
      <w:pPr>
        <w:spacing w:after="0" w:line="62" w:lineRule="exact"/>
        <w:rPr>
          <w:sz w:val="20"/>
          <w:szCs w:val="20"/>
          <w:color w:val="auto"/>
        </w:rPr>
      </w:pPr>
    </w:p>
    <w:p>
      <w:pPr>
        <w:ind w:left="440" w:right="40"/>
        <w:spacing w:after="0" w:line="286" w:lineRule="auto"/>
        <w:rPr>
          <w:sz w:val="20"/>
          <w:szCs w:val="20"/>
          <w:color w:val="auto"/>
        </w:rPr>
      </w:pPr>
      <w:r>
        <w:rPr>
          <w:rFonts w:ascii="Arial" w:cs="Arial" w:eastAsia="Arial" w:hAnsi="Arial"/>
          <w:sz w:val="17"/>
          <w:szCs w:val="17"/>
          <w:color w:val="auto"/>
        </w:rPr>
        <w:t>Every vendor and AT&amp;T employee who certifies or approves the correctness of any voucher or bill should have reasonable knowledge the expense and amounts are proper and reasonable. In the absence of the adoption of such policy, or existing contractual agreements, these guidelines are considered the minimum requirements for requesting reimbursement of Company funds.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Deviations from this VEP must be approved in writing by the sponsoring Senior Manager or Officer of an AT&amp;T Company.</w:t>
      </w:r>
    </w:p>
    <w:p>
      <w:pPr>
        <w:spacing w:after="0" w:line="117" w:lineRule="exact"/>
        <w:rPr>
          <w:sz w:val="20"/>
          <w:szCs w:val="20"/>
          <w:color w:val="auto"/>
        </w:rPr>
      </w:pPr>
    </w:p>
    <w:p>
      <w:pPr>
        <w:ind w:left="440" w:right="720"/>
        <w:spacing w:after="0" w:line="277" w:lineRule="auto"/>
        <w:rPr>
          <w:sz w:val="20"/>
          <w:szCs w:val="20"/>
          <w:color w:val="auto"/>
        </w:rPr>
      </w:pPr>
      <w:r>
        <w:rPr>
          <w:rFonts w:ascii="Arial" w:cs="Arial" w:eastAsia="Arial" w:hAnsi="Arial"/>
          <w:sz w:val="18"/>
          <w:szCs w:val="18"/>
          <w:color w:val="auto"/>
        </w:rPr>
        <w:t>Receipts will be requested and reviewed for any unusual or out of the ordinary expenses or where the approver cannot make a reasonable determination of the propriety of the invoice without a receipt.</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Non-Reimbursable Expenses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although not all inclusive, of expenses considered not reimbursable:</w:t>
      </w:r>
    </w:p>
    <w:p>
      <w:pPr>
        <w:spacing w:after="0" w:line="131" w:lineRule="exact"/>
        <w:rPr>
          <w:sz w:val="20"/>
          <w:szCs w:val="20"/>
          <w:color w:val="auto"/>
        </w:rPr>
      </w:pPr>
    </w:p>
    <w:p>
      <w:pPr>
        <w:ind w:left="960" w:hanging="424"/>
        <w:spacing w:after="0"/>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Airline club membership fees, dues, or upgrade coupon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Baggage fees beyond the first piece of luggage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Barber/Hairstylist/Beautician Expenses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Birthday cakes, lunches, balloons, and other personal celebration/recognition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Break-room supplies for the vendor, such as coffee, creamer, paper products, soft drinks, snack food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5"/>
        </w:numPr>
        <w:rPr>
          <w:rFonts w:ascii="Arial" w:cs="Arial" w:eastAsia="Arial" w:hAnsi="Arial"/>
          <w:sz w:val="17"/>
          <w:szCs w:val="17"/>
          <w:color w:val="auto"/>
        </w:rPr>
      </w:pPr>
      <w:r>
        <w:rPr>
          <w:rFonts w:ascii="Arial" w:cs="Arial" w:eastAsia="Arial" w:hAnsi="Arial"/>
          <w:sz w:val="17"/>
          <w:szCs w:val="17"/>
          <w:color w:val="auto"/>
        </w:rPr>
        <w:t>Car rental additional fees as an example: Global Positioning System (GPS) devices, or fee charged for airline frequent flyer miles.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Car Washes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Clothing, personal care items, and toiletries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Credit card fees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Dependent care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5"/>
        </w:numPr>
        <w:rPr>
          <w:rFonts w:ascii="Arial" w:cs="Arial" w:eastAsia="Arial" w:hAnsi="Arial"/>
          <w:sz w:val="18"/>
          <w:szCs w:val="18"/>
          <w:color w:val="auto"/>
        </w:rPr>
      </w:pPr>
      <w:r>
        <w:rPr>
          <w:rFonts w:ascii="Arial" w:cs="Arial" w:eastAsia="Arial" w:hAnsi="Arial"/>
          <w:sz w:val="18"/>
          <w:szCs w:val="18"/>
          <w:color w:val="auto"/>
        </w:rPr>
        <w:t>Entertainment expenses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161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Expenses associated with spouses or other travel companions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Expenses to cover meals or expenses for an AT&amp;T employee, whether in a home location or on official travel</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Flowers, cards and gifts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Health Club and Fitness facilities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Hotel pay-per-view movies, Video Games and/or mini bar items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Hotel no-show or cancellation charges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Insurance for rental car and or flight</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Internet access in hotels (added to 3.5)</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Laundry (except when overnight travel is required for 7 or more consecutive nights)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Lawn care</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Lost: luggage, cash, personal items and valuables, and tickets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Magazines &amp; newspapers</w:t>
      </w:r>
    </w:p>
    <w:p>
      <w:pPr>
        <w:spacing w:after="0" w:line="130" w:lineRule="exact"/>
        <w:rPr>
          <w:rFonts w:ascii="Arial" w:cs="Arial" w:eastAsia="Arial" w:hAnsi="Arial"/>
          <w:sz w:val="18"/>
          <w:szCs w:val="18"/>
          <w:color w:val="auto"/>
        </w:rPr>
      </w:pPr>
    </w:p>
    <w:p>
      <w:pPr>
        <w:ind w:left="920" w:right="260" w:hanging="424"/>
        <w:spacing w:after="0" w:line="277" w:lineRule="auto"/>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Meals not consistent with AT&amp;T’s Global Employee Expense Policy and or meals not directly required for doing business on the AT&amp;T account (e.g. vendors cannot voucher lunch with each other simply to talk about AT&amp;T)</w:t>
      </w:r>
    </w:p>
    <w:p>
      <w:pPr>
        <w:spacing w:after="0" w:line="75"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Medical supplies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Membership fees to exercise facilities or social/country clubs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Movies purchased while on an airplane</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Office expenses of vendors for example: a calendar</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PC, cell phone, and other vendor support expenses (unless specifically authorized in the agreement)</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Personal entertainment</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Phone usage / Wi-Fi on airline unless prior written approval by AT&amp;T</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Safe rentals during a hotel stay</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Souvenirs, personal gifts</w:t>
      </w:r>
    </w:p>
    <w:p>
      <w:pPr>
        <w:spacing w:after="0" w:line="130" w:lineRule="exact"/>
        <w:rPr>
          <w:rFonts w:ascii="Arial" w:cs="Arial" w:eastAsia="Arial" w:hAnsi="Arial"/>
          <w:sz w:val="18"/>
          <w:szCs w:val="18"/>
          <w:color w:val="auto"/>
        </w:rPr>
      </w:pPr>
    </w:p>
    <w:p>
      <w:pPr>
        <w:ind w:left="920" w:right="80" w:hanging="424"/>
        <w:spacing w:after="0" w:line="263" w:lineRule="auto"/>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Surcharges for providing fast service (not related to delivery charges such as FedEx, UPS, etc.). AT&amp;T expects all vendors to complete the terms of contracts in the shortest period practicable. Charges for shortening the timeframe in which contracts are fulfilled are not permissible.</w:t>
      </w:r>
    </w:p>
    <w:p>
      <w:pPr>
        <w:spacing w:after="0" w:line="89"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Tips for housekeeping and excessive tips, i.e., in excess of 15% to 18% of cost of meal or services, excluding tax</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Tobacco Products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Traffic or Parking Fines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Travel purchased with prepaid air passes.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Upgrades on airline, hotel, or car rental fees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6"/>
        </w:numPr>
        <w:rPr>
          <w:rFonts w:ascii="Arial" w:cs="Arial" w:eastAsia="Arial" w:hAnsi="Arial"/>
          <w:sz w:val="16"/>
          <w:szCs w:val="16"/>
          <w:color w:val="auto"/>
        </w:rPr>
      </w:pPr>
      <w:r>
        <w:rPr>
          <w:rFonts w:ascii="Arial" w:cs="Arial" w:eastAsia="Arial" w:hAnsi="Arial"/>
          <w:sz w:val="16"/>
          <w:szCs w:val="16"/>
          <w:color w:val="auto"/>
        </w:rPr>
        <w:t>Water (bottled or dispensed by a supplier), (unless authorized for specific countries where it is recommended that bottled water is used)</w:t>
      </w:r>
    </w:p>
    <w:p>
      <w:pPr>
        <w:spacing w:after="0" w:line="153" w:lineRule="exact"/>
        <w:rPr>
          <w:rFonts w:ascii="Arial" w:cs="Arial" w:eastAsia="Arial" w:hAnsi="Arial"/>
          <w:sz w:val="16"/>
          <w:szCs w:val="16"/>
          <w:color w:val="auto"/>
        </w:rPr>
      </w:pPr>
    </w:p>
    <w:p>
      <w:pPr>
        <w:ind w:left="920" w:hanging="424"/>
        <w:spacing w:after="0"/>
        <w:tabs>
          <w:tab w:leader="none" w:pos="920" w:val="left"/>
        </w:tabs>
        <w:numPr>
          <w:ilvl w:val="0"/>
          <w:numId w:val="316"/>
        </w:numPr>
        <w:rPr>
          <w:rFonts w:ascii="Arial" w:cs="Arial" w:eastAsia="Arial" w:hAnsi="Arial"/>
          <w:sz w:val="18"/>
          <w:szCs w:val="18"/>
          <w:color w:val="auto"/>
        </w:rPr>
      </w:pPr>
      <w:r>
        <w:rPr>
          <w:rFonts w:ascii="Arial" w:cs="Arial" w:eastAsia="Arial" w:hAnsi="Arial"/>
          <w:sz w:val="18"/>
          <w:szCs w:val="18"/>
          <w:color w:val="auto"/>
        </w:rPr>
        <w:t>Fee charged for advanced reservation for airport parking</w:t>
      </w:r>
    </w:p>
    <w:p>
      <w:pPr>
        <w:spacing w:after="0" w:line="130" w:lineRule="exact"/>
        <w:rPr>
          <w:rFonts w:ascii="Arial" w:cs="Arial" w:eastAsia="Arial" w:hAnsi="Arial"/>
          <w:sz w:val="18"/>
          <w:szCs w:val="18"/>
          <w:color w:val="auto"/>
        </w:rPr>
      </w:pPr>
    </w:p>
    <w:p>
      <w:pPr>
        <w:ind w:left="920" w:right="220" w:hanging="424"/>
        <w:spacing w:after="0" w:line="308" w:lineRule="auto"/>
        <w:tabs>
          <w:tab w:leader="none" w:pos="92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Supplier shall not bill for travel, meal, or living expenses when its employees are working from their own homes or office locations or at an AT&amp;T location that is one hour’s driving time or less away from the employees’ residences or office locations.</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162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85" w:name="page286"/>
    <w:bookmarkEnd w:id="28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440" w:right="180"/>
        <w:spacing w:after="0" w:line="277" w:lineRule="auto"/>
        <w:rPr>
          <w:sz w:val="20"/>
          <w:szCs w:val="20"/>
          <w:color w:val="auto"/>
        </w:rPr>
      </w:pPr>
      <w:r>
        <w:rPr>
          <w:rFonts w:ascii="Arial" w:cs="Arial" w:eastAsia="Arial" w:hAnsi="Arial"/>
          <w:sz w:val="18"/>
          <w:szCs w:val="18"/>
          <w:color w:val="auto"/>
        </w:rPr>
        <w:t>The failure to comply with the above mentioned restrictions will result in the Company refusing payment of charges or pursuing restitution from the vendor.</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2.0</w:t>
      </w:r>
      <w:r>
        <w:rPr>
          <w:sz w:val="20"/>
          <w:szCs w:val="20"/>
          <w:color w:val="auto"/>
        </w:rPr>
        <w:tab/>
      </w:r>
      <w:r>
        <w:rPr>
          <w:rFonts w:ascii="Arial" w:cs="Arial" w:eastAsia="Arial" w:hAnsi="Arial"/>
          <w:sz w:val="16"/>
          <w:szCs w:val="16"/>
          <w:color w:val="auto"/>
        </w:rPr>
        <w:t>Responsibilities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Vendor’s Responsibility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Vendors are responsible for ensuring clarification of any questions from sponsoring AT&amp;T managers relative to reimbursable business expenses.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mandatory that financial transactions are recorded in a timely manner.</w:t>
      </w:r>
    </w:p>
    <w:p>
      <w:pPr>
        <w:spacing w:after="0" w:line="117" w:lineRule="exact"/>
        <w:rPr>
          <w:sz w:val="20"/>
          <w:szCs w:val="20"/>
          <w:color w:val="auto"/>
        </w:rPr>
      </w:pPr>
    </w:p>
    <w:p>
      <w:pPr>
        <w:ind w:left="440" w:right="560"/>
        <w:spacing w:after="0" w:line="277" w:lineRule="auto"/>
        <w:rPr>
          <w:sz w:val="20"/>
          <w:szCs w:val="20"/>
          <w:color w:val="auto"/>
        </w:rPr>
      </w:pPr>
      <w:r>
        <w:rPr>
          <w:rFonts w:ascii="Arial" w:cs="Arial" w:eastAsia="Arial" w:hAnsi="Arial"/>
          <w:sz w:val="18"/>
          <w:szCs w:val="18"/>
          <w:color w:val="auto"/>
        </w:rPr>
        <w:t>Out-of-pocket business expense(s) for vendors that are not submitted for reimbursement within 90 calendar days from the date incurred are considered non-reimbursable.</w:t>
      </w:r>
    </w:p>
    <w:p>
      <w:pPr>
        <w:spacing w:after="0" w:line="62"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Company managers who are responsible for approving reimbursable expenses of vendors should ensure they are submitted and approved in a timely manner.</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3.0</w:t>
      </w:r>
      <w:r>
        <w:rPr>
          <w:sz w:val="20"/>
          <w:szCs w:val="20"/>
          <w:color w:val="auto"/>
        </w:rPr>
        <w:tab/>
      </w:r>
      <w:r>
        <w:rPr>
          <w:rFonts w:ascii="Arial" w:cs="Arial" w:eastAsia="Arial" w:hAnsi="Arial"/>
          <w:sz w:val="17"/>
          <w:szCs w:val="17"/>
          <w:color w:val="auto"/>
        </w:rPr>
        <w:t>Travel Policy</w:t>
      </w:r>
    </w:p>
    <w:p>
      <w:pPr>
        <w:spacing w:after="0" w:line="117" w:lineRule="exact"/>
        <w:rPr>
          <w:sz w:val="20"/>
          <w:szCs w:val="20"/>
          <w:color w:val="auto"/>
        </w:rPr>
      </w:pPr>
    </w:p>
    <w:p>
      <w:pPr>
        <w:jc w:val="both"/>
        <w:ind w:left="440" w:right="840"/>
        <w:spacing w:after="0" w:line="342" w:lineRule="auto"/>
        <w:rPr>
          <w:sz w:val="20"/>
          <w:szCs w:val="20"/>
          <w:color w:val="auto"/>
        </w:rPr>
      </w:pPr>
      <w:r>
        <w:rPr>
          <w:rFonts w:ascii="Arial" w:cs="Arial" w:eastAsia="Arial" w:hAnsi="Arial"/>
          <w:sz w:val="16"/>
          <w:szCs w:val="16"/>
          <w:color w:val="auto"/>
        </w:rPr>
        <w:t>Vendors must first consider the feasibility of using videoconferencing or teleconferencing as an alternative to travel. Travel that is to be reimbursed by AT&amp;T should be incurred only as necessary and pre-approved by AT&amp;T (unless otherwise authorized in the agreement).</w:t>
      </w:r>
    </w:p>
    <w:p>
      <w:pPr>
        <w:spacing w:after="0" w:line="16" w:lineRule="exact"/>
        <w:rPr>
          <w:sz w:val="20"/>
          <w:szCs w:val="20"/>
          <w:color w:val="auto"/>
        </w:rPr>
      </w:pPr>
    </w:p>
    <w:p>
      <w:pPr>
        <w:ind w:left="440" w:right="180"/>
        <w:spacing w:after="0" w:line="277" w:lineRule="auto"/>
        <w:rPr>
          <w:sz w:val="20"/>
          <w:szCs w:val="20"/>
          <w:color w:val="auto"/>
        </w:rPr>
      </w:pPr>
      <w:r>
        <w:rPr>
          <w:rFonts w:ascii="Arial" w:cs="Arial" w:eastAsia="Arial" w:hAnsi="Arial"/>
          <w:sz w:val="18"/>
          <w:szCs w:val="18"/>
          <w:color w:val="auto"/>
        </w:rPr>
        <w:t>AT&amp;T reserves the right to dispute any expense submittal and if not verifiable as valid may reject reimbursement. Reimbursements will be made to vendor only after expenses are verified as valid.</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Travel Authorization</w:t>
      </w:r>
    </w:p>
    <w:p>
      <w:pPr>
        <w:spacing w:after="0" w:line="117"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Travel requiring overnight stays must be pre-approved by the sponsoring AT&amp;T 3rd Level Manager or above and should be approved only if it is necessary for the vendor to travel to perform required work.</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Travel Reservations</w:t>
      </w:r>
    </w:p>
    <w:p>
      <w:pPr>
        <w:spacing w:after="0" w:line="117"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Vendors are expected to procure the most cost efficient travel arrangements, preferably equivalent to the AT&amp;T discount rate. AT&amp;T does not reimburse for travel purchased with prepaid air passes.</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Travel Expense Reimbursement</w:t>
      </w:r>
    </w:p>
    <w:p>
      <w:pPr>
        <w:spacing w:after="0" w:line="117"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Vendor travel expenses incurred for company business are reimbursable only as specified in these guidelines. Travel expenses may include the following:</w:t>
      </w:r>
    </w:p>
    <w:p>
      <w:pPr>
        <w:spacing w:after="0" w:line="76" w:lineRule="exact"/>
        <w:rPr>
          <w:sz w:val="20"/>
          <w:szCs w:val="20"/>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Transportation (airfare or other commercial transportation, car rental, personal auto mileage, taxi and shuttle service)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Meals and lodging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Parking and tolls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Tips/porter service (if necessary and reasonable)</w:t>
      </w:r>
    </w:p>
    <w:p>
      <w:pPr>
        <w:spacing w:after="0" w:line="130" w:lineRule="exact"/>
        <w:rPr>
          <w:rFonts w:ascii="Arial" w:cs="Arial" w:eastAsia="Arial" w:hAnsi="Arial"/>
          <w:sz w:val="18"/>
          <w:szCs w:val="18"/>
          <w:color w:val="auto"/>
        </w:rPr>
      </w:pPr>
    </w:p>
    <w:p>
      <w:pPr>
        <w:ind w:left="960" w:right="160" w:hanging="424"/>
        <w:spacing w:after="0" w:line="263" w:lineRule="auto"/>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Vendors who stay with friends or relatives or other vendor employees while on a Company business trip will NOT be reimbursed for lodging, nor will they be reimbursed for expenditures made to reciprocate their hospitality by buying groceries, being host at a restaurant, etc.</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163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6" w:name="page287"/>
    <w:bookmarkEnd w:id="28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440" w:right="1120"/>
        <w:spacing w:after="0" w:line="277" w:lineRule="auto"/>
        <w:rPr>
          <w:sz w:val="20"/>
          <w:szCs w:val="20"/>
          <w:color w:val="auto"/>
        </w:rPr>
      </w:pPr>
      <w:r>
        <w:rPr>
          <w:rFonts w:ascii="Arial" w:cs="Arial" w:eastAsia="Arial" w:hAnsi="Arial"/>
          <w:sz w:val="18"/>
          <w:szCs w:val="18"/>
          <w:color w:val="auto"/>
        </w:rPr>
        <w:t>The expense must be ordinary and necessary, not lavish or extravagant, in the judgment of the AT&amp;T sponsoring management. Any reimbursement request must be for actual expenditures only.</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Air Travel Arrangements</w:t>
      </w:r>
    </w:p>
    <w:p>
      <w:pPr>
        <w:spacing w:after="0" w:line="117" w:lineRule="exact"/>
        <w:rPr>
          <w:sz w:val="20"/>
          <w:szCs w:val="20"/>
          <w:color w:val="auto"/>
        </w:rPr>
      </w:pPr>
    </w:p>
    <w:p>
      <w:pPr>
        <w:ind w:left="440" w:right="180"/>
        <w:spacing w:after="0" w:line="257" w:lineRule="auto"/>
        <w:rPr>
          <w:sz w:val="20"/>
          <w:szCs w:val="20"/>
          <w:color w:val="auto"/>
        </w:rPr>
      </w:pPr>
      <w:r>
        <w:rPr>
          <w:rFonts w:ascii="Arial" w:cs="Arial" w:eastAsia="Arial" w:hAnsi="Arial"/>
          <w:sz w:val="18"/>
          <w:szCs w:val="18"/>
          <w:color w:val="auto"/>
        </w:rPr>
        <w:t>Vendors must select lowest logical coach airfare (fares available in the market at the time of booking, preferably well in advance of trip to attain lowest possible airfare). Vendors must consider non-refundable fares, routing requiring one additional interim stop in each direction, or an alternate flight within 2 hours of the original departure and arrival time. First class bookings are not reimbursable. Vendors can request business class when a single segment of flight time (“in air time” excluding stops, layovers and ground time) is greater than 8 continuous hours providing the relevant manager pre-approves.</w:t>
      </w:r>
    </w:p>
    <w:p>
      <w:pPr>
        <w:spacing w:after="0" w:line="33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color w:val="auto"/>
        </w:rPr>
        <w:t>Hotel Arrangements</w:t>
      </w:r>
    </w:p>
    <w:p>
      <w:pPr>
        <w:spacing w:after="0" w:line="117" w:lineRule="exact"/>
        <w:rPr>
          <w:sz w:val="20"/>
          <w:szCs w:val="20"/>
          <w:color w:val="auto"/>
        </w:rPr>
      </w:pPr>
    </w:p>
    <w:p>
      <w:pPr>
        <w:ind w:left="440" w:right="100"/>
        <w:spacing w:after="0" w:line="290" w:lineRule="auto"/>
        <w:rPr>
          <w:sz w:val="20"/>
          <w:szCs w:val="20"/>
          <w:color w:val="auto"/>
        </w:rPr>
      </w:pPr>
      <w:r>
        <w:rPr>
          <w:rFonts w:ascii="Arial" w:cs="Arial" w:eastAsia="Arial" w:hAnsi="Arial"/>
          <w:sz w:val="16"/>
          <w:szCs w:val="16"/>
          <w:color w:val="auto"/>
        </w:rPr>
        <w:t>AT&amp;T has established Market-Based Room Rate Guidelines for vendors to reference when making hotel reservations in the United States. Vendors should contact their AT&amp;T sponsoring manager to receive guidance for hotel rates when traveling in the U.S. Sponsoring managers may access Travel Central to obtain information on the AT&amp;T U.S. Market Guidelines. Vendors traveling outside the U.S. should reference the GSA, Government Per Diem as a guide: https://aoprals.state.gov/web920/per_diem.asp. Non-US vendors may use these dollar per diems as a guide, but any locally specified per diems will take precedence. Vendors are expected to abide by these guidelines when making hotel arrangements or use specified AT&amp;T preferred hotels/maximum location rates or reasonably priced hotels outside of the U.S. The AT&amp;T sponsoring manager can advise which hotel/max rate to use if there is a hotel in the location concerned. AT&amp;T will only reimburse vendors up to the established room rate guideline/AT&amp;T preferred hotel rate in each market, or for actual hotel lodging charges incurred, whichever is less.</w:t>
      </w:r>
    </w:p>
    <w:p>
      <w:pPr>
        <w:spacing w:after="0" w:line="57"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There must be a strong business justification for incurring any cost for internet access, and a request for reimbursement must be accompanied by a detailed explanation regarding reason for charge.</w:t>
      </w:r>
    </w:p>
    <w:p>
      <w:pPr>
        <w:spacing w:after="0" w:line="62"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Note: Vendors must indicate the number of room nights on the transaction line when invoicing for reimbursement of hotel expenses. Copies of all hotel bills must be made available for any invoice containing lodging charges.</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Ground Transportation</w:t>
      </w:r>
    </w:p>
    <w:p>
      <w:pPr>
        <w:spacing w:after="0" w:line="117" w:lineRule="exact"/>
        <w:rPr>
          <w:sz w:val="20"/>
          <w:szCs w:val="20"/>
          <w:color w:val="auto"/>
        </w:rPr>
      </w:pPr>
    </w:p>
    <w:p>
      <w:pPr>
        <w:ind w:left="440" w:right="300"/>
        <w:spacing w:after="0" w:line="311" w:lineRule="auto"/>
        <w:rPr>
          <w:sz w:val="20"/>
          <w:szCs w:val="20"/>
          <w:color w:val="auto"/>
        </w:rPr>
      </w:pPr>
      <w:r>
        <w:rPr>
          <w:rFonts w:ascii="Arial" w:cs="Arial" w:eastAsia="Arial" w:hAnsi="Arial"/>
          <w:sz w:val="16"/>
          <w:szCs w:val="16"/>
          <w:color w:val="auto"/>
        </w:rPr>
        <w:t>While away from their home location overnight, vendors are expected to utilize rapid transit or local shuttle service. If the hotel provides a complimentary shuttle, vendors are to use this service before paying for transportation. If complimentary service is not provided a taxi or other local transportation is reimbursable as a business expense. Tips provided to taxi drivers cannot exceed 15% of the value of the total fare.</w:t>
      </w:r>
    </w:p>
    <w:p>
      <w:pPr>
        <w:spacing w:after="0" w:line="41" w:lineRule="exact"/>
        <w:rPr>
          <w:sz w:val="20"/>
          <w:szCs w:val="20"/>
          <w:color w:val="auto"/>
        </w:rPr>
      </w:pPr>
    </w:p>
    <w:p>
      <w:pPr>
        <w:jc w:val="both"/>
        <w:ind w:left="440" w:right="600"/>
        <w:spacing w:after="0" w:line="263" w:lineRule="auto"/>
        <w:rPr>
          <w:sz w:val="20"/>
          <w:szCs w:val="20"/>
          <w:color w:val="auto"/>
        </w:rPr>
      </w:pPr>
      <w:r>
        <w:rPr>
          <w:rFonts w:ascii="Arial" w:cs="Arial" w:eastAsia="Arial" w:hAnsi="Arial"/>
          <w:sz w:val="18"/>
          <w:szCs w:val="18"/>
          <w:color w:val="auto"/>
        </w:rPr>
        <w:t>A rental car is appropriate when the anticipated business cost is less than that of other available public transportation. Except to the extent necessary to accommodate several travelers and/or luggage requirements, vendors will not be reimbursed for automobile rentals other than economy or mid-sized/intermediate models.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164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7" w:name="page288"/>
    <w:bookmarkEnd w:id="287"/>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440" w:right="160"/>
        <w:spacing w:after="0" w:line="263" w:lineRule="auto"/>
        <w:rPr>
          <w:sz w:val="20"/>
          <w:szCs w:val="20"/>
          <w:color w:val="auto"/>
        </w:rPr>
      </w:pPr>
      <w:r>
        <w:rPr>
          <w:rFonts w:ascii="Arial" w:cs="Arial" w:eastAsia="Arial" w:hAnsi="Arial"/>
          <w:sz w:val="18"/>
          <w:szCs w:val="18"/>
          <w:color w:val="auto"/>
        </w:rPr>
        <w:t>“Loss Damage Waiver” and “Extended Liability Coverage” are not considered reimbursable in the US. Prepaid fuel or refueling charges at the time of return are not reimbursable. Rental cars should be refueled before returning to the rental company, since gas purchased through the rental company carries an expensive refueling service charge.</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Use of Personal Vehicle</w:t>
      </w:r>
    </w:p>
    <w:p>
      <w:pPr>
        <w:spacing w:after="0" w:line="117"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When use of personal vehicle is required for business travel, AT&amp;T will reimburse for daily mileage for amounts over 50 miles (first 50 miles not reimbursable). This includes parking and toll fees. Vendors/suppliers should provide the following information:</w:t>
      </w:r>
    </w:p>
    <w:p>
      <w:pPr>
        <w:spacing w:after="0" w:line="76" w:lineRule="exact"/>
        <w:rPr>
          <w:sz w:val="20"/>
          <w:szCs w:val="20"/>
          <w:color w:val="auto"/>
        </w:rPr>
      </w:pPr>
    </w:p>
    <w:p>
      <w:pPr>
        <w:ind w:left="960" w:hanging="424"/>
        <w:spacing w:after="0"/>
        <w:tabs>
          <w:tab w:leader="none" w:pos="9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Purpose of the trip</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Date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Starting Point and Destination</w:t>
      </w:r>
    </w:p>
    <w:p>
      <w:pPr>
        <w:spacing w:after="0" w:line="130" w:lineRule="exact"/>
        <w:rPr>
          <w:rFonts w:ascii="Arial" w:cs="Arial" w:eastAsia="Arial" w:hAnsi="Arial"/>
          <w:sz w:val="18"/>
          <w:szCs w:val="18"/>
          <w:color w:val="auto"/>
        </w:rPr>
      </w:pPr>
    </w:p>
    <w:p>
      <w:pPr>
        <w:ind w:left="960" w:right="320" w:hanging="424"/>
        <w:spacing w:after="0" w:line="308" w:lineRule="auto"/>
        <w:tabs>
          <w:tab w:leader="none" w:pos="96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Mileage log –when combining numerous trips, a mileage log should be provided showing the total mileage of the daily trips less the 50 miles not allowed for reimbursement (See Section 3.16, “Expenses Incurred in the vicinity of home/work location” below).</w:t>
      </w:r>
    </w:p>
    <w:p>
      <w:pPr>
        <w:spacing w:after="0" w:line="29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Parking</w:t>
      </w:r>
    </w:p>
    <w:p>
      <w:pPr>
        <w:spacing w:after="0" w:line="117"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If airport parking is necessary, vendors must use long term parking facilities. Additional costs for short term, valet or covered parking are not reimbursable.</w:t>
      </w:r>
    </w:p>
    <w:p>
      <w:pPr>
        <w:spacing w:after="0" w:line="3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6"/>
          <w:szCs w:val="16"/>
          <w:color w:val="auto"/>
        </w:rPr>
        <w:t>Entertainment</w:t>
      </w:r>
    </w:p>
    <w:p>
      <w:pPr>
        <w:spacing w:after="0" w:line="117" w:lineRule="exact"/>
        <w:rPr>
          <w:sz w:val="20"/>
          <w:szCs w:val="20"/>
          <w:color w:val="auto"/>
        </w:rPr>
      </w:pPr>
    </w:p>
    <w:p>
      <w:pPr>
        <w:ind w:left="440" w:right="300"/>
        <w:spacing w:after="0" w:line="263" w:lineRule="auto"/>
        <w:rPr>
          <w:sz w:val="20"/>
          <w:szCs w:val="20"/>
          <w:color w:val="auto"/>
        </w:rPr>
      </w:pPr>
      <w:r>
        <w:rPr>
          <w:rFonts w:ascii="Arial" w:cs="Arial" w:eastAsia="Arial" w:hAnsi="Arial"/>
          <w:sz w:val="18"/>
          <w:szCs w:val="18"/>
          <w:color w:val="auto"/>
        </w:rPr>
        <w:t>Entertainment expense is not reimbursable to vendors. Entertainment includes meal expense involving AT&amp;T personnel, golf fees, tickets to events and related incidental expenses. Hotel charges for a pay-per-view movie, individual sightseeing tours, or other individual activities (i.e., golf, sporting event, movie, etc.) are not reimbursable.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3.10  Laundry and Cleaning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Reasonable laundry charges during business trips of seven or more consecutive nights are reimbursable based on actual expenses incurred.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3.11  Communications</w:t>
      </w:r>
    </w:p>
    <w:p>
      <w:pPr>
        <w:spacing w:after="0" w:line="131" w:lineRule="exact"/>
        <w:rPr>
          <w:sz w:val="20"/>
          <w:szCs w:val="20"/>
          <w:color w:val="auto"/>
        </w:rPr>
      </w:pPr>
    </w:p>
    <w:p>
      <w:pPr>
        <w:ind w:left="960" w:hanging="424"/>
        <w:spacing w:after="0"/>
        <w:tabs>
          <w:tab w:leader="none" w:pos="960"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actual cost of landline telephone calls for AT&amp;T business is reimbursable. The use of AT&amp;T products is required when available.</w:t>
      </w:r>
    </w:p>
    <w:p>
      <w:pPr>
        <w:spacing w:after="0" w:line="142" w:lineRule="exact"/>
        <w:rPr>
          <w:rFonts w:ascii="Arial" w:cs="Arial" w:eastAsia="Arial" w:hAnsi="Arial"/>
          <w:sz w:val="17"/>
          <w:szCs w:val="17"/>
          <w:color w:val="auto"/>
        </w:rPr>
      </w:pPr>
    </w:p>
    <w:p>
      <w:pPr>
        <w:ind w:left="960" w:right="400" w:hanging="424"/>
        <w:spacing w:after="0" w:line="263" w:lineRule="auto"/>
        <w:tabs>
          <w:tab w:leader="none" w:pos="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AT&amp;T will not reimburse vendors for cell phone bills unless approved under the contract. With prior consent of the sponsoring AT&amp;T Senior Manager, only individual calls that exceed a vendor’s rate plan that are necessary to conduct business for AT&amp;T may be reimbursed.</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Charges for high speed internet access are not reimbursable unless specifically approved in the contract.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3.12  Business Meals (Travel and Non-Travel)</w:t>
      </w:r>
    </w:p>
    <w:p>
      <w:pPr>
        <w:spacing w:after="0" w:line="117" w:lineRule="exact"/>
        <w:rPr>
          <w:sz w:val="20"/>
          <w:szCs w:val="20"/>
          <w:color w:val="auto"/>
        </w:rPr>
      </w:pPr>
    </w:p>
    <w:p>
      <w:pPr>
        <w:jc w:val="both"/>
        <w:ind w:left="440" w:right="80"/>
        <w:spacing w:after="0" w:line="259" w:lineRule="auto"/>
        <w:rPr>
          <w:sz w:val="20"/>
          <w:szCs w:val="20"/>
          <w:color w:val="auto"/>
        </w:rPr>
      </w:pPr>
      <w:r>
        <w:rPr>
          <w:rFonts w:ascii="Arial" w:cs="Arial" w:eastAsia="Arial" w:hAnsi="Arial"/>
          <w:sz w:val="18"/>
          <w:szCs w:val="18"/>
          <w:color w:val="auto"/>
        </w:rPr>
        <w:t>Vendors when dining alone on an out-of-town business trip are expected to spend $62 USD or less per day inclusive of tax and gratuity for meals within the U.S. and $153 USD equivalent or less per day inclusive of tax and gratuity for meals outside the U.S. except where governed by law or mandatory per diem. This includes all meals purchased during the day. Vendors should take into consideration the travel destination and exercise good judgment in incurring reasonable meal expenses.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165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8" w:name="page289"/>
    <w:bookmarkEnd w:id="28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AT&amp;T managers authorizing invoices will be held accountable for ensuring that vendors are following this policy and are spending Company funds economically.</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3.13  Flowers, Greeting Cards, Gifts and Incentive Awards</w:t>
      </w:r>
    </w:p>
    <w:p>
      <w:pPr>
        <w:spacing w:after="0" w:line="117" w:lineRule="exact"/>
        <w:rPr>
          <w:sz w:val="20"/>
          <w:szCs w:val="20"/>
          <w:color w:val="auto"/>
        </w:rPr>
      </w:pPr>
    </w:p>
    <w:p>
      <w:pPr>
        <w:ind w:left="440" w:right="420"/>
        <w:spacing w:after="0" w:line="308" w:lineRule="auto"/>
        <w:rPr>
          <w:sz w:val="20"/>
          <w:szCs w:val="20"/>
          <w:color w:val="auto"/>
        </w:rPr>
      </w:pPr>
      <w:r>
        <w:rPr>
          <w:rFonts w:ascii="Arial" w:cs="Arial" w:eastAsia="Arial" w:hAnsi="Arial"/>
          <w:sz w:val="17"/>
          <w:szCs w:val="17"/>
          <w:color w:val="auto"/>
        </w:rPr>
        <w:t>The cost of gifts, flowers, birthday lunches, or greeting cards is considered a personal expense and is not reimbursable. For example, vendors making a donation or providing a gift for a fund-raiser for AT&amp;T may not submit such an expense to AT&amp;T for reimbursement.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3.14  Loss or Damage to Personal Property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assumes no responsibility for loss or damage to a vendor’s personal property during business functions or hours.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3.15  Publications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Subscriptions to or purchases of magazines, newspapers and other publications are not reimbursable.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color w:val="auto"/>
        </w:rPr>
        <w:t>3.16  Expenses incurred in the vicinity of home/work location</w:t>
      </w:r>
    </w:p>
    <w:p>
      <w:pPr>
        <w:spacing w:after="0" w:line="117" w:lineRule="exact"/>
        <w:rPr>
          <w:sz w:val="20"/>
          <w:szCs w:val="20"/>
          <w:color w:val="auto"/>
        </w:rPr>
      </w:pPr>
    </w:p>
    <w:p>
      <w:pPr>
        <w:ind w:left="440" w:right="600"/>
        <w:spacing w:after="0" w:line="277" w:lineRule="auto"/>
        <w:rPr>
          <w:sz w:val="20"/>
          <w:szCs w:val="20"/>
          <w:color w:val="auto"/>
        </w:rPr>
      </w:pPr>
      <w:r>
        <w:rPr>
          <w:rFonts w:ascii="Arial" w:cs="Arial" w:eastAsia="Arial" w:hAnsi="Arial"/>
          <w:sz w:val="18"/>
          <w:szCs w:val="18"/>
          <w:color w:val="auto"/>
        </w:rPr>
        <w:t>Supplier shall not bill for travel, meal or living expenses when employees are working from their own homes, office locations or an AT&amp;T location that is within 50 miles of the employees’ residence or work location.</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166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Appendix I – Non-Disclosure Agreements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167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168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3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Appendix I, Exhibit 1 – Non-Disclosure Agreement between Amdocs and External Auditors, Other Vendors, or Consultants for AT&amp;T</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NON – DISCLOSURE AND CONFIDENTIALITY AGREEMENT</w:t>
      </w:r>
    </w:p>
    <w:p>
      <w:pPr>
        <w:spacing w:after="0" w:line="208" w:lineRule="exact"/>
        <w:rPr>
          <w:sz w:val="20"/>
          <w:szCs w:val="20"/>
          <w:color w:val="auto"/>
        </w:rPr>
      </w:pPr>
    </w:p>
    <w:tbl>
      <w:tblPr>
        <w:tblLayout w:type="fixed"/>
        <w:tblInd w:w="4" w:type="dxa"/>
        <w:tblCellMar>
          <w:top w:w="0" w:type="dxa"/>
          <w:left w:w="0" w:type="dxa"/>
          <w:bottom w:w="0" w:type="dxa"/>
          <w:right w:w="0" w:type="dxa"/>
        </w:tblCellMar>
      </w:tblPr>
      <w:tr>
        <w:trPr>
          <w:trHeight w:val="207"/>
        </w:trPr>
        <w:tc>
          <w:tcPr>
            <w:tcW w:w="8880" w:type="dxa"/>
            <w:vAlign w:val="bottom"/>
            <w:gridSpan w:val="14"/>
          </w:tcPr>
          <w:p>
            <w:pPr>
              <w:spacing w:after="0"/>
              <w:rPr>
                <w:sz w:val="20"/>
                <w:szCs w:val="20"/>
                <w:color w:val="auto"/>
              </w:rPr>
            </w:pPr>
            <w:r>
              <w:rPr>
                <w:rFonts w:ascii="Arial" w:cs="Arial" w:eastAsia="Arial" w:hAnsi="Arial"/>
                <w:sz w:val="18"/>
                <w:szCs w:val="18"/>
                <w:color w:val="auto"/>
              </w:rPr>
              <w:t>THIS NON-DISCLOSURE AND CONFIDENTIALITY AGREEMENT (“Agreement”) is made as of the    day of</w:t>
            </w:r>
          </w:p>
        </w:tc>
        <w:tc>
          <w:tcPr>
            <w:tcW w:w="1860" w:type="dxa"/>
            <w:vAlign w:val="bottom"/>
            <w:gridSpan w:val="4"/>
          </w:tcPr>
          <w:p>
            <w:pPr>
              <w:ind w:left="280"/>
              <w:spacing w:after="0"/>
              <w:rPr>
                <w:sz w:val="20"/>
                <w:szCs w:val="20"/>
                <w:color w:val="auto"/>
              </w:rPr>
            </w:pPr>
            <w:r>
              <w:rPr>
                <w:rFonts w:ascii="Arial" w:cs="Arial" w:eastAsia="Arial" w:hAnsi="Arial"/>
                <w:sz w:val="18"/>
                <w:szCs w:val="18"/>
                <w:color w:val="auto"/>
                <w:w w:val="99"/>
              </w:rPr>
              <w:t>, 20   (the “Effective</w:t>
            </w:r>
          </w:p>
        </w:tc>
      </w:tr>
      <w:tr>
        <w:trPr>
          <w:trHeight w:val="20"/>
        </w:trPr>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700" w:type="dxa"/>
            <w:vAlign w:val="bottom"/>
            <w:gridSpan w:val="3"/>
          </w:tcPr>
          <w:p>
            <w:pPr>
              <w:spacing w:after="0" w:line="196" w:lineRule="exact"/>
              <w:rPr>
                <w:sz w:val="20"/>
                <w:szCs w:val="20"/>
                <w:color w:val="auto"/>
              </w:rPr>
            </w:pPr>
            <w:r>
              <w:rPr>
                <w:rFonts w:ascii="Arial" w:cs="Arial" w:eastAsia="Arial" w:hAnsi="Arial"/>
                <w:sz w:val="18"/>
                <w:szCs w:val="18"/>
                <w:color w:val="auto"/>
                <w:w w:val="92"/>
              </w:rPr>
              <w:t>Date”) by and between</w:t>
            </w:r>
          </w:p>
        </w:tc>
        <w:tc>
          <w:tcPr>
            <w:tcW w:w="1080" w:type="dxa"/>
            <w:vAlign w:val="bottom"/>
            <w:tcBorders>
              <w:bottom w:val="single" w:sz="8" w:color="auto"/>
            </w:tcBorders>
          </w:tcPr>
          <w:p>
            <w:pPr>
              <w:spacing w:after="0"/>
              <w:rPr>
                <w:sz w:val="17"/>
                <w:szCs w:val="17"/>
                <w:color w:val="auto"/>
              </w:rPr>
            </w:pPr>
          </w:p>
        </w:tc>
        <w:tc>
          <w:tcPr>
            <w:tcW w:w="3160" w:type="dxa"/>
            <w:vAlign w:val="bottom"/>
            <w:gridSpan w:val="4"/>
          </w:tcPr>
          <w:p>
            <w:pPr>
              <w:spacing w:after="0" w:line="196" w:lineRule="exact"/>
              <w:rPr>
                <w:sz w:val="20"/>
                <w:szCs w:val="20"/>
                <w:color w:val="auto"/>
              </w:rPr>
            </w:pPr>
            <w:r>
              <w:rPr>
                <w:rFonts w:ascii="Arial" w:cs="Arial" w:eastAsia="Arial" w:hAnsi="Arial"/>
                <w:sz w:val="18"/>
                <w:szCs w:val="18"/>
                <w:color w:val="auto"/>
                <w:w w:val="90"/>
              </w:rPr>
              <w:t>, a company incorporated under the laws of</w:t>
            </w:r>
          </w:p>
        </w:tc>
        <w:tc>
          <w:tcPr>
            <w:tcW w:w="720" w:type="dxa"/>
            <w:vAlign w:val="bottom"/>
            <w:tcBorders>
              <w:bottom w:val="single" w:sz="8" w:color="auto"/>
            </w:tcBorders>
          </w:tcPr>
          <w:p>
            <w:pPr>
              <w:spacing w:after="0"/>
              <w:rPr>
                <w:sz w:val="17"/>
                <w:szCs w:val="17"/>
                <w:color w:val="auto"/>
              </w:rPr>
            </w:pPr>
          </w:p>
        </w:tc>
        <w:tc>
          <w:tcPr>
            <w:tcW w:w="2220" w:type="dxa"/>
            <w:vAlign w:val="bottom"/>
            <w:gridSpan w:val="5"/>
          </w:tcPr>
          <w:p>
            <w:pPr>
              <w:spacing w:after="0" w:line="196" w:lineRule="exact"/>
              <w:rPr>
                <w:sz w:val="20"/>
                <w:szCs w:val="20"/>
                <w:color w:val="auto"/>
              </w:rPr>
            </w:pPr>
            <w:r>
              <w:rPr>
                <w:rFonts w:ascii="Arial" w:cs="Arial" w:eastAsia="Arial" w:hAnsi="Arial"/>
                <w:sz w:val="18"/>
                <w:szCs w:val="18"/>
                <w:color w:val="auto"/>
                <w:w w:val="93"/>
              </w:rPr>
              <w:t>, having its principal offices at</w:t>
            </w:r>
          </w:p>
        </w:tc>
        <w:tc>
          <w:tcPr>
            <w:tcW w:w="2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96"/>
        </w:trPr>
        <w:tc>
          <w:tcPr>
            <w:tcW w:w="5940" w:type="dxa"/>
            <w:vAlign w:val="bottom"/>
            <w:gridSpan w:val="8"/>
          </w:tcPr>
          <w:p>
            <w:pPr>
              <w:ind w:left="500"/>
              <w:spacing w:after="0" w:line="196" w:lineRule="exact"/>
              <w:rPr>
                <w:sz w:val="20"/>
                <w:szCs w:val="20"/>
                <w:color w:val="auto"/>
              </w:rPr>
            </w:pPr>
            <w:r>
              <w:rPr>
                <w:rFonts w:ascii="Arial" w:cs="Arial" w:eastAsia="Arial" w:hAnsi="Arial"/>
                <w:sz w:val="18"/>
                <w:szCs w:val="18"/>
                <w:color w:val="auto"/>
              </w:rPr>
              <w:t>(“Company” or [“include the name of the other party”]) and Amdocs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0" w:type="dxa"/>
            <w:vAlign w:val="bottom"/>
            <w:gridSpan w:val="8"/>
          </w:tcPr>
          <w:p>
            <w:pPr>
              <w:spacing w:after="0" w:line="196" w:lineRule="exact"/>
              <w:rPr>
                <w:sz w:val="20"/>
                <w:szCs w:val="20"/>
                <w:color w:val="auto"/>
              </w:rPr>
            </w:pPr>
            <w:r>
              <w:rPr>
                <w:rFonts w:ascii="Arial" w:cs="Arial" w:eastAsia="Arial" w:hAnsi="Arial"/>
                <w:sz w:val="18"/>
                <w:szCs w:val="18"/>
                <w:color w:val="auto"/>
              </w:rPr>
              <w:t>, a company incorporated under the laws of</w:t>
            </w:r>
          </w:p>
        </w:tc>
      </w:tr>
      <w:tr>
        <w:trPr>
          <w:trHeight w:val="20"/>
        </w:trPr>
        <w:tc>
          <w:tcPr>
            <w:tcW w:w="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5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2220" w:type="dxa"/>
            <w:vAlign w:val="bottom"/>
            <w:gridSpan w:val="3"/>
          </w:tcPr>
          <w:p>
            <w:pPr>
              <w:spacing w:after="0" w:line="196" w:lineRule="exact"/>
              <w:rPr>
                <w:sz w:val="20"/>
                <w:szCs w:val="20"/>
                <w:color w:val="auto"/>
              </w:rPr>
            </w:pPr>
            <w:r>
              <w:rPr>
                <w:rFonts w:ascii="Arial" w:cs="Arial" w:eastAsia="Arial" w:hAnsi="Arial"/>
                <w:sz w:val="18"/>
                <w:szCs w:val="18"/>
                <w:color w:val="auto"/>
                <w:w w:val="93"/>
              </w:rPr>
              <w:t>, having its principal offices at</w:t>
            </w:r>
          </w:p>
        </w:tc>
        <w:tc>
          <w:tcPr>
            <w:tcW w:w="1440" w:type="dxa"/>
            <w:vAlign w:val="bottom"/>
            <w:tcBorders>
              <w:bottom w:val="single" w:sz="8" w:color="auto"/>
            </w:tcBorders>
          </w:tcPr>
          <w:p>
            <w:pPr>
              <w:spacing w:after="0"/>
              <w:rPr>
                <w:sz w:val="17"/>
                <w:szCs w:val="17"/>
                <w:color w:val="auto"/>
              </w:rPr>
            </w:pPr>
          </w:p>
        </w:tc>
        <w:tc>
          <w:tcPr>
            <w:tcW w:w="1200" w:type="dxa"/>
            <w:vAlign w:val="bottom"/>
            <w:gridSpan w:val="2"/>
          </w:tcPr>
          <w:p>
            <w:pPr>
              <w:spacing w:after="0" w:line="196" w:lineRule="exact"/>
              <w:rPr>
                <w:sz w:val="20"/>
                <w:szCs w:val="20"/>
                <w:color w:val="auto"/>
              </w:rPr>
            </w:pPr>
            <w:r>
              <w:rPr>
                <w:rFonts w:ascii="Arial" w:cs="Arial" w:eastAsia="Arial" w:hAnsi="Arial"/>
                <w:sz w:val="18"/>
                <w:szCs w:val="18"/>
                <w:color w:val="auto"/>
              </w:rPr>
              <w:t>(“Amdocs”).</w:t>
            </w: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29" w:lineRule="exact"/>
        <w:rPr>
          <w:sz w:val="20"/>
          <w:szCs w:val="20"/>
          <w:color w:val="auto"/>
        </w:rPr>
      </w:pPr>
    </w:p>
    <w:p>
      <w:pPr>
        <w:ind w:left="1444" w:right="440" w:hanging="1438"/>
        <w:spacing w:after="0" w:line="342" w:lineRule="auto"/>
        <w:rPr>
          <w:sz w:val="20"/>
          <w:szCs w:val="20"/>
          <w:color w:val="auto"/>
        </w:rPr>
      </w:pPr>
      <w:r>
        <w:rPr>
          <w:rFonts w:ascii="Arial" w:cs="Arial" w:eastAsia="Arial" w:hAnsi="Arial"/>
          <w:sz w:val="16"/>
          <w:szCs w:val="16"/>
          <w:color w:val="auto"/>
        </w:rPr>
        <w:t>WHEREAS Amdocs may disclose to Company information that is part of Amdocs’ Confidential Information (as defined below) in relation to (“Purpose”) and, therefore, the parties wish to set forth the manner in which Amdocs’ Confidential Information will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-74930</wp:posOffset>
            </wp:positionV>
            <wp:extent cx="91376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913765" cy="8255"/>
                    </a:xfrm>
                    <a:prstGeom prst="rect">
                      <a:avLst/>
                    </a:prstGeom>
                    <a:noFill/>
                  </pic:spPr>
                </pic:pic>
              </a:graphicData>
            </a:graphic>
          </wp:anchor>
        </w:drawing>
      </w:r>
    </w:p>
    <w:p>
      <w:pPr>
        <w:spacing w:after="0" w:line="104"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is hereby acknowledged, the parties, intending to be legally bound, agree as follows:</w:t>
      </w:r>
    </w:p>
    <w:p>
      <w:pPr>
        <w:spacing w:after="0" w:line="76" w:lineRule="exact"/>
        <w:rPr>
          <w:sz w:val="20"/>
          <w:szCs w:val="20"/>
          <w:color w:val="auto"/>
        </w:rPr>
      </w:pPr>
    </w:p>
    <w:p>
      <w:pPr>
        <w:ind w:left="424" w:right="400" w:hanging="424"/>
        <w:spacing w:after="0" w:line="287" w:lineRule="auto"/>
        <w:tabs>
          <w:tab w:leader="none" w:pos="424" w:val="left"/>
        </w:tabs>
        <w:numPr>
          <w:ilvl w:val="0"/>
          <w:numId w:val="320"/>
        </w:numPr>
        <w:rPr>
          <w:rFonts w:ascii="Arial" w:cs="Arial" w:eastAsia="Arial" w:hAnsi="Arial"/>
          <w:sz w:val="16"/>
          <w:szCs w:val="16"/>
          <w:color w:val="auto"/>
        </w:rPr>
      </w:pPr>
      <w:r>
        <w:rPr>
          <w:rFonts w:ascii="Arial" w:cs="Arial" w:eastAsia="Arial" w:hAnsi="Arial"/>
          <w:sz w:val="16"/>
          <w:szCs w:val="16"/>
          <w:color w:val="auto"/>
        </w:rPr>
        <w:t>“Confidential Information” means any information of a confidential nature relating to Amdocs that is disclosed (whether before or after the Effective Date and whether in writing, verbally, by inspection or demonstration, or by any other means, and whether directly or indirectly) by Amdocs or by another person on its behalf to the Company or to another person on its behalf including, without limitation, any information</w:t>
      </w:r>
    </w:p>
    <w:p>
      <w:pPr>
        <w:spacing w:after="0" w:line="2" w:lineRule="exact"/>
        <w:rPr>
          <w:sz w:val="20"/>
          <w:szCs w:val="20"/>
          <w:color w:val="auto"/>
        </w:rPr>
      </w:pPr>
    </w:p>
    <w:p>
      <w:pPr>
        <w:ind w:left="424" w:right="220"/>
        <w:spacing w:after="0" w:line="281" w:lineRule="auto"/>
        <w:rPr>
          <w:sz w:val="20"/>
          <w:szCs w:val="20"/>
          <w:color w:val="auto"/>
        </w:rPr>
      </w:pPr>
      <w:r>
        <w:rPr>
          <w:rFonts w:ascii="Arial" w:cs="Arial" w:eastAsia="Arial" w:hAnsi="Arial"/>
          <w:sz w:val="16"/>
          <w:szCs w:val="16"/>
          <w:color w:val="auto"/>
        </w:rPr>
        <w:t>relating to the Purpose or to Amdocs’ financial or credit status, product information, computer programs, documentation, trade secrets, systems, methodology, marketing and other commercial knowledge, techniques, specifications, operations, processes, plans or intentions, know-how, design rights, market opportunities, and business affairs. “Confidential Information” shall also include the Purpose. For purposes of this Agreement, any Confidential Information related to or disclosed by Amdocs’ affiliates, clients, consultants, and/or subcontractors shall be considered Confidential Information. [For Amdocs competitors, add: Notwithstanding the foregoing, Company shall not be entitled to access or</w:t>
      </w:r>
    </w:p>
    <w:p>
      <w:pPr>
        <w:spacing w:after="0" w:line="3" w:lineRule="exact"/>
        <w:rPr>
          <w:sz w:val="20"/>
          <w:szCs w:val="20"/>
          <w:color w:val="auto"/>
        </w:rPr>
      </w:pPr>
    </w:p>
    <w:p>
      <w:pPr>
        <w:ind w:left="424" w:right="20"/>
        <w:spacing w:after="0" w:line="260" w:lineRule="auto"/>
        <w:rPr>
          <w:sz w:val="20"/>
          <w:szCs w:val="20"/>
          <w:color w:val="auto"/>
        </w:rPr>
      </w:pPr>
      <w:r>
        <w:rPr>
          <w:rFonts w:ascii="Arial" w:cs="Arial" w:eastAsia="Arial" w:hAnsi="Arial"/>
          <w:sz w:val="18"/>
          <w:szCs w:val="18"/>
          <w:color w:val="auto"/>
        </w:rPr>
        <w:t>use in any matter any Confidential Information consisting of . If Company obtains any such Confidential Information, it shall return it to Amdocs as soon as possible.]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3069590</wp:posOffset>
            </wp:positionH>
            <wp:positionV relativeFrom="paragraph">
              <wp:posOffset>-172720</wp:posOffset>
            </wp:positionV>
            <wp:extent cx="6858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71" w:lineRule="exact"/>
        <w:rPr>
          <w:sz w:val="20"/>
          <w:szCs w:val="20"/>
          <w:color w:val="auto"/>
        </w:rPr>
      </w:pPr>
    </w:p>
    <w:p>
      <w:pPr>
        <w:ind w:left="424" w:right="40" w:hanging="424"/>
        <w:spacing w:after="0" w:line="296" w:lineRule="auto"/>
        <w:tabs>
          <w:tab w:leader="none" w:pos="424"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Company agrees: (a) to keep confidential and not to disclose the Confidential Information to anyone, other than to its employees who have a need to know such Confidential Information for the Purpose [For Amdocs competitors, add—and who are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made a part hereof (the “Authorized Individuals”) (the Company’s personnel not listed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not be permitted access, nor shall they be exposed to any Confidential Information under any circumstances)]; and (b) not to use the Confidential Information for any purposes other than the Purpose; and (c) not to alter, decompile, disassemble, reverse engineer, or otherwise modify the Confidential Information.</w:t>
      </w:r>
    </w:p>
    <w:p>
      <w:pPr>
        <w:spacing w:after="0" w:line="66" w:lineRule="exact"/>
        <w:rPr>
          <w:rFonts w:ascii="Arial" w:cs="Arial" w:eastAsia="Arial" w:hAnsi="Arial"/>
          <w:sz w:val="16"/>
          <w:szCs w:val="16"/>
          <w:color w:val="auto"/>
        </w:rPr>
      </w:pPr>
    </w:p>
    <w:p>
      <w:pPr>
        <w:ind w:left="424" w:right="20" w:hanging="424"/>
        <w:spacing w:after="0" w:line="293" w:lineRule="auto"/>
        <w:tabs>
          <w:tab w:leader="none" w:pos="424"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Company shall protect the Confidential Information using at least the same degree of care that it uses to protect its own trade secrets, but no less than a reasonable degree of care. Without limiting the generality of the foregoing, Company shall: (a) inform parties to whom the disclosure is permitted under this Agreement about the confidential status of the Confidential Information and restrictions of this Agreement; (b) take adequate steps to bind such recipients with respect to the use and protection of the Confidential Information under terms and conditions substantially similar to those herein; and (c) require each employee to whom Confidential Information is disclosed [For Amdocs competitors, add—Authorized Individual] to sign a written acknowledgment in substantially the form of </w:t>
      </w:r>
      <w:r>
        <w:rPr>
          <w:rFonts w:ascii="Arial" w:cs="Arial" w:eastAsia="Arial" w:hAnsi="Arial"/>
          <w:sz w:val="16"/>
          <w:szCs w:val="16"/>
          <w:u w:val="single" w:color="auto"/>
          <w:color w:val="auto"/>
        </w:rPr>
        <w:t>Exhibit</w:t>
      </w:r>
      <w:r>
        <w:rPr>
          <w:rFonts w:ascii="Arial" w:cs="Arial" w:eastAsia="Arial" w:hAnsi="Arial"/>
          <w:sz w:val="16"/>
          <w:szCs w:val="16"/>
          <w:color w:val="auto"/>
        </w:rPr>
        <w:t xml:space="preserve"> [A][B] attached hereto and made a part hereof.</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169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360" w:hanging="424"/>
        <w:spacing w:after="0" w:line="275" w:lineRule="auto"/>
        <w:tabs>
          <w:tab w:leader="none" w:pos="424" w:val="left"/>
        </w:tabs>
        <w:numPr>
          <w:ilvl w:val="0"/>
          <w:numId w:val="322"/>
        </w:numPr>
        <w:rPr>
          <w:rFonts w:ascii="Arial" w:cs="Arial" w:eastAsia="Arial" w:hAnsi="Arial"/>
          <w:sz w:val="17"/>
          <w:szCs w:val="17"/>
          <w:color w:val="auto"/>
        </w:rPr>
      </w:pPr>
      <w:r>
        <w:rPr>
          <w:rFonts w:ascii="Arial" w:cs="Arial" w:eastAsia="Arial" w:hAnsi="Arial"/>
          <w:sz w:val="17"/>
          <w:szCs w:val="17"/>
          <w:color w:val="auto"/>
        </w:rPr>
        <w:t>[For Amdocs competitors—For a period commencing on the date first stated above and ending two (2) years following the conclusion of the involvement, whether directly or indirectly, of any Authorized Individual in the Purpose, such Authorized Individual shall not be assigned by Company to: (i) perform software development, maintenance, or support services relating to any Amdocs products for any third parties, or (ii) participate in any Competitive Project. For purposes of this Agreement a “Competitive Project” is any bid or project in which Amdocs and Company are competing with respect to the provision of licenses or services.</w:t>
      </w:r>
    </w:p>
    <w:p>
      <w:pPr>
        <w:spacing w:after="0" w:line="81" w:lineRule="exact"/>
        <w:rPr>
          <w:rFonts w:ascii="Arial" w:cs="Arial" w:eastAsia="Arial" w:hAnsi="Arial"/>
          <w:sz w:val="17"/>
          <w:szCs w:val="17"/>
          <w:color w:val="auto"/>
        </w:rPr>
      </w:pPr>
    </w:p>
    <w:p>
      <w:pPr>
        <w:ind w:left="424" w:right="280" w:hanging="424"/>
        <w:spacing w:after="0" w:line="308" w:lineRule="auto"/>
        <w:tabs>
          <w:tab w:leader="none" w:pos="424" w:val="left"/>
        </w:tabs>
        <w:numPr>
          <w:ilvl w:val="0"/>
          <w:numId w:val="322"/>
        </w:numPr>
        <w:rPr>
          <w:rFonts w:ascii="Arial" w:cs="Arial" w:eastAsia="Arial" w:hAnsi="Arial"/>
          <w:sz w:val="17"/>
          <w:szCs w:val="17"/>
          <w:color w:val="auto"/>
        </w:rPr>
      </w:pPr>
      <w:r>
        <w:rPr>
          <w:rFonts w:ascii="Arial" w:cs="Arial" w:eastAsia="Arial" w:hAnsi="Arial"/>
          <w:sz w:val="17"/>
          <w:szCs w:val="17"/>
          <w:color w:val="auto"/>
        </w:rPr>
        <w:t>[For Amdocs competitors, add – Company undertakes not to (i) disclose to any third parties that it has any familiarity with or knowledge of the Confidential Information disclosed under this Agreement; or (ii) disparage Amdocs products or services related to the Purpose.]</w:t>
      </w:r>
    </w:p>
    <w:p>
      <w:pPr>
        <w:spacing w:after="0" w:line="51" w:lineRule="exact"/>
        <w:rPr>
          <w:rFonts w:ascii="Arial" w:cs="Arial" w:eastAsia="Arial" w:hAnsi="Arial"/>
          <w:sz w:val="17"/>
          <w:szCs w:val="17"/>
          <w:color w:val="auto"/>
        </w:rPr>
      </w:pPr>
    </w:p>
    <w:p>
      <w:pPr>
        <w:ind w:left="424" w:right="440" w:hanging="424"/>
        <w:spacing w:after="0" w:line="277" w:lineRule="auto"/>
        <w:tabs>
          <w:tab w:leader="none" w:pos="42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Upon the termination and/or expiration of this Agreement for any reason or the conclusion of discussions regarding the Purpose and/or at the request of Amdocs, the Company shall immediately:</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return to Amdocs any Confidential Information; and/or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destroy any document or other material in any form that contains Confidential Information;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confirm to Amdocs in writing such return and/or destruction.</w:t>
      </w:r>
    </w:p>
    <w:p>
      <w:pPr>
        <w:spacing w:after="0" w:line="130"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All Confidential Information furnished hereunder shall remain the property of Amdocs, its affiliates, or their licensors, as the case may be. No patent, trademark, copyright, or other proprietary right or license is granted to the Company under this Agreement.</w:t>
      </w:r>
    </w:p>
    <w:p>
      <w:pPr>
        <w:spacing w:after="0" w:line="75" w:lineRule="exact"/>
        <w:rPr>
          <w:rFonts w:ascii="Arial" w:cs="Arial" w:eastAsia="Arial" w:hAnsi="Arial"/>
          <w:sz w:val="18"/>
          <w:szCs w:val="18"/>
          <w:color w:val="auto"/>
        </w:rPr>
      </w:pPr>
    </w:p>
    <w:p>
      <w:pPr>
        <w:ind w:left="424" w:right="560" w:hanging="424"/>
        <w:spacing w:after="0" w:line="308" w:lineRule="auto"/>
        <w:tabs>
          <w:tab w:leader="none" w:pos="424" w:val="left"/>
        </w:tabs>
        <w:numPr>
          <w:ilvl w:val="0"/>
          <w:numId w:val="322"/>
        </w:numPr>
        <w:rPr>
          <w:rFonts w:ascii="Arial" w:cs="Arial" w:eastAsia="Arial" w:hAnsi="Arial"/>
          <w:sz w:val="17"/>
          <w:szCs w:val="17"/>
          <w:color w:val="auto"/>
        </w:rPr>
      </w:pPr>
      <w:r>
        <w:rPr>
          <w:rFonts w:ascii="Arial" w:cs="Arial" w:eastAsia="Arial" w:hAnsi="Arial"/>
          <w:sz w:val="17"/>
          <w:szCs w:val="17"/>
          <w:color w:val="auto"/>
        </w:rPr>
        <w:t>Confidential Information under this Agreement is provided on an “AS IS” basis. Amdocs makes no a representation or warranty, express or implied, with respect to the truth, accuracy, completeness, or reasonableness of the Confidential Information.</w:t>
      </w:r>
    </w:p>
    <w:p>
      <w:pPr>
        <w:spacing w:after="0" w:line="51" w:lineRule="exact"/>
        <w:rPr>
          <w:rFonts w:ascii="Arial" w:cs="Arial" w:eastAsia="Arial" w:hAnsi="Arial"/>
          <w:sz w:val="17"/>
          <w:szCs w:val="17"/>
          <w:color w:val="auto"/>
        </w:rPr>
      </w:pPr>
    </w:p>
    <w:p>
      <w:pPr>
        <w:ind w:left="424" w:right="480" w:hanging="424"/>
        <w:spacing w:after="0" w:line="277" w:lineRule="auto"/>
        <w:tabs>
          <w:tab w:leader="none" w:pos="42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confidentiality obligations of the Company set forth herein shall not apply to such Confidential Information that Company can prove by written records: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becomes public domain without fault on the part of the Company;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is lawfully obtained by the Company from any source other than Amdocs, free of any obligation to keep it confidential;</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is previously known to the Company without an obligation to keep it confidential;</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2"/>
        </w:numPr>
        <w:rPr>
          <w:rFonts w:ascii="Arial" w:cs="Arial" w:eastAsia="Arial" w:hAnsi="Arial"/>
          <w:sz w:val="18"/>
          <w:szCs w:val="18"/>
          <w:color w:val="auto"/>
        </w:rPr>
      </w:pPr>
      <w:r>
        <w:rPr>
          <w:rFonts w:ascii="Arial" w:cs="Arial" w:eastAsia="Arial" w:hAnsi="Arial"/>
          <w:sz w:val="18"/>
          <w:szCs w:val="18"/>
          <w:color w:val="auto"/>
        </w:rPr>
        <w:t>is expressly released in writing from such obligations by Amdocs; or</w:t>
      </w:r>
    </w:p>
    <w:p>
      <w:pPr>
        <w:spacing w:after="0" w:line="130" w:lineRule="exact"/>
        <w:rPr>
          <w:rFonts w:ascii="Arial" w:cs="Arial" w:eastAsia="Arial" w:hAnsi="Arial"/>
          <w:sz w:val="18"/>
          <w:szCs w:val="18"/>
          <w:color w:val="auto"/>
        </w:rPr>
      </w:pPr>
    </w:p>
    <w:p>
      <w:pPr>
        <w:ind w:left="964" w:right="560" w:hanging="532"/>
        <w:spacing w:after="0" w:line="286" w:lineRule="auto"/>
        <w:tabs>
          <w:tab w:leader="none" w:pos="964" w:val="left"/>
        </w:tabs>
        <w:numPr>
          <w:ilvl w:val="1"/>
          <w:numId w:val="322"/>
        </w:numPr>
        <w:rPr>
          <w:rFonts w:ascii="Arial" w:cs="Arial" w:eastAsia="Arial" w:hAnsi="Arial"/>
          <w:sz w:val="17"/>
          <w:szCs w:val="17"/>
          <w:color w:val="auto"/>
        </w:rPr>
      </w:pPr>
      <w:r>
        <w:rPr>
          <w:rFonts w:ascii="Arial" w:cs="Arial" w:eastAsia="Arial" w:hAnsi="Arial"/>
          <w:sz w:val="17"/>
          <w:szCs w:val="17"/>
          <w:color w:val="auto"/>
        </w:rPr>
        <w:t>is required to be disclosed pursuant to law, regulation, judicial or administrative order, or request by a governmental or other entity authorized by law to make such request; provided, however, the Company first notifies Amdocs to enable it to seek relief from such requirement, and renders reasonable assistance requested by Amdocs in connection therewith.</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170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both"/>
        <w:ind w:left="424" w:right="120" w:hanging="424"/>
        <w:spacing w:after="0" w:line="263" w:lineRule="auto"/>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This Agreement shall be in full force and effect for a period of five (5) years commencing on the Effective Date. However, the obligations set out in Clauses 2, 5, 6 and 14[Need to conform if Sections 4 and 5 are not used because the Company is not an Amdocs Competitor] shall survive the termination and/or expiration of this Agreement for any reason.</w:t>
      </w:r>
    </w:p>
    <w:p>
      <w:pPr>
        <w:spacing w:after="0" w:line="89"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Company acknowledges that its breach of this Agreement may cause Amdocs extensive and irreparable harm and damage, and agrees that Amdocs shall be entitled to seek injunctive relief to prevent use or disclosure of its Confidential Information not authorized by this Agreement, in addition to any other remedy available to Amdocs under equity or applicable law.</w:t>
      </w:r>
    </w:p>
    <w:p>
      <w:pPr>
        <w:spacing w:after="0" w:line="89"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The failure to exercise or delay in exercising a right or remedy provided by this Agreement or by law does not constitute a waiver of the right or remedy or a waiver of other rights or remedies. No single or partial exercise of a right or remedy provided by this Agreement or by law prevents a further exercise of the right or remedy or the exercise of another right or remedy.</w:t>
      </w:r>
    </w:p>
    <w:p>
      <w:pPr>
        <w:spacing w:after="0" w:line="89" w:lineRule="exact"/>
        <w:rPr>
          <w:rFonts w:ascii="Arial" w:cs="Arial" w:eastAsia="Arial" w:hAnsi="Arial"/>
          <w:sz w:val="18"/>
          <w:szCs w:val="18"/>
          <w:color w:val="auto"/>
        </w:rPr>
      </w:pPr>
    </w:p>
    <w:p>
      <w:pPr>
        <w:ind w:left="424" w:right="120" w:hanging="424"/>
        <w:spacing w:after="0" w:line="272" w:lineRule="auto"/>
        <w:tabs>
          <w:tab w:leader="none" w:pos="424" w:val="left"/>
        </w:tabs>
        <w:numPr>
          <w:ilvl w:val="0"/>
          <w:numId w:val="323"/>
        </w:numPr>
        <w:rPr>
          <w:rFonts w:ascii="Arial" w:cs="Arial" w:eastAsia="Arial" w:hAnsi="Arial"/>
          <w:sz w:val="17"/>
          <w:szCs w:val="17"/>
          <w:color w:val="auto"/>
        </w:rPr>
      </w:pPr>
      <w:r>
        <w:rPr>
          <w:rFonts w:ascii="Arial" w:cs="Arial" w:eastAsia="Arial" w:hAnsi="Arial"/>
          <w:sz w:val="17"/>
          <w:szCs w:val="17"/>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 If any provision of this Agreement is determined by a court of competent jurisdiction to be invalid or unenforceable, such invalidity or unenforceability shall not invalidate or render unenforceable the entire Agreement and the Agreement shall be construed as if not containing such invalid or unenforceable provision(s), and the rights and obligations of the parties shall be construed and enforced accordingly. Parties agree to cooperate to replace the invalid or unenforceable provision(s) with valid and enforceable provision(s) that will achieve the same result (to the maximum legal extent) as the provision(s) determined to be invalid or unenforceable.</w:t>
      </w:r>
    </w:p>
    <w:p>
      <w:pPr>
        <w:spacing w:after="0" w:line="82" w:lineRule="exact"/>
        <w:rPr>
          <w:rFonts w:ascii="Arial" w:cs="Arial" w:eastAsia="Arial" w:hAnsi="Arial"/>
          <w:sz w:val="17"/>
          <w:szCs w:val="17"/>
          <w:color w:val="auto"/>
        </w:rPr>
      </w:pPr>
    </w:p>
    <w:p>
      <w:pPr>
        <w:jc w:val="both"/>
        <w:ind w:left="424" w:right="120" w:hanging="424"/>
        <w:spacing w:after="0" w:line="263" w:lineRule="auto"/>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under the laws of the State of New York, U.S.A., excluding conflicts of law provisions. Each party irrevocably and unconditionally waives any right it may have to a trial by jury in respect of any legal action arising out of or relating to this Agreement or the transactions contemplated hereby.</w:t>
      </w:r>
    </w:p>
    <w:p>
      <w:pPr>
        <w:spacing w:after="0" w:line="89" w:lineRule="exact"/>
        <w:rPr>
          <w:rFonts w:ascii="Arial" w:cs="Arial" w:eastAsia="Arial" w:hAnsi="Arial"/>
          <w:sz w:val="18"/>
          <w:szCs w:val="18"/>
          <w:color w:val="auto"/>
        </w:rPr>
      </w:pPr>
    </w:p>
    <w:p>
      <w:pPr>
        <w:ind w:left="424" w:right="160" w:hanging="424"/>
        <w:spacing w:after="0" w:line="263" w:lineRule="auto"/>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This Agreement may be executed in several counterparts, each of which shall be deemed an original and all of which shall constitute one and the same instrument and shall become effective when counterparts have been signed by each of the parties; it being understood that all parties need not sign the same counterparts.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WITNESS WHEREOF, the parties hereto have executed this Agreement on the date(s) specified below</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[Include the name of the other party]</w:t>
            </w:r>
          </w:p>
        </w:tc>
        <w:tc>
          <w:tcPr>
            <w:tcW w:w="5860" w:type="dxa"/>
            <w:vAlign w:val="bottom"/>
            <w:gridSpan w:val="2"/>
          </w:tcPr>
          <w:p>
            <w:pPr>
              <w:ind w:left="580"/>
              <w:spacing w:after="0"/>
              <w:rPr>
                <w:sz w:val="20"/>
                <w:szCs w:val="20"/>
                <w:color w:val="auto"/>
              </w:rPr>
            </w:pPr>
            <w:r>
              <w:rPr>
                <w:rFonts w:ascii="Arial" w:cs="Arial" w:eastAsia="Arial" w:hAnsi="Arial"/>
                <w:sz w:val="18"/>
                <w:szCs w:val="18"/>
                <w:color w:val="auto"/>
              </w:rPr>
              <w:t>Amdocs Development Limited</w:t>
            </w:r>
          </w:p>
        </w:tc>
      </w:tr>
      <w:tr>
        <w:trPr>
          <w:trHeight w:val="43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620" w:type="dxa"/>
            <w:vAlign w:val="bottom"/>
            <w:tcBorders>
              <w:bottom w:val="single" w:sz="8" w:color="auto"/>
            </w:tcBorders>
          </w:tcPr>
          <w:p>
            <w:pPr>
              <w:spacing w:after="0"/>
              <w:rPr>
                <w:sz w:val="24"/>
                <w:szCs w:val="24"/>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4620" w:type="dxa"/>
            <w:vAlign w:val="bottom"/>
            <w:tcBorders>
              <w:bottom w:val="single" w:sz="8" w:color="auto"/>
            </w:tcBorders>
          </w:tcPr>
          <w:p>
            <w:pPr>
              <w:spacing w:after="0"/>
              <w:rPr>
                <w:sz w:val="24"/>
                <w:szCs w:val="24"/>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w w:val="98"/>
              </w:rPr>
              <w:t>Name:</w:t>
            </w:r>
          </w:p>
        </w:tc>
        <w:tc>
          <w:tcPr>
            <w:tcW w:w="4740" w:type="dxa"/>
            <w:vAlign w:val="bottom"/>
            <w:tcBorders>
              <w:bottom w:val="single" w:sz="8" w:color="auto"/>
            </w:tcBorders>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620" w:type="dxa"/>
            <w:vAlign w:val="bottom"/>
            <w:tcBorders>
              <w:bottom w:val="single" w:sz="8" w:color="auto"/>
            </w:tcBorders>
          </w:tcPr>
          <w:p>
            <w:pPr>
              <w:spacing w:after="0"/>
              <w:rPr>
                <w:sz w:val="24"/>
                <w:szCs w:val="24"/>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spacing w:after="0"/>
              <w:rPr>
                <w:sz w:val="24"/>
                <w:szCs w:val="24"/>
                <w:color w:val="auto"/>
              </w:rPr>
            </w:pPr>
          </w:p>
        </w:tc>
      </w:tr>
      <w:tr>
        <w:trPr>
          <w:trHeight w:val="412"/>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620" w:type="dxa"/>
            <w:vAlign w:val="bottom"/>
            <w:tcBorders>
              <w:bottom w:val="single" w:sz="8" w:color="auto"/>
            </w:tcBorders>
          </w:tcPr>
          <w:p>
            <w:pPr>
              <w:spacing w:after="0"/>
              <w:rPr>
                <w:sz w:val="24"/>
                <w:szCs w:val="24"/>
                <w:color w:val="auto"/>
              </w:rPr>
            </w:pPr>
          </w:p>
        </w:tc>
        <w:tc>
          <w:tcPr>
            <w:tcW w:w="1120" w:type="dxa"/>
            <w:vAlign w:val="bottom"/>
          </w:tcPr>
          <w:p>
            <w:pPr>
              <w:ind w:left="580"/>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171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LIST OF AUTHORIZED INDIVIDUALS</w:t>
      </w:r>
    </w:p>
    <w:p>
      <w:pPr>
        <w:spacing w:after="0" w:line="252" w:lineRule="exact"/>
        <w:rPr>
          <w:sz w:val="20"/>
          <w:szCs w:val="20"/>
          <w:color w:val="auto"/>
        </w:rPr>
      </w:pPr>
    </w:p>
    <w:p>
      <w:pPr>
        <w:spacing w:after="0"/>
        <w:tabs>
          <w:tab w:leader="none" w:pos="3960" w:val="left"/>
          <w:tab w:leader="none" w:pos="7600" w:val="left"/>
        </w:tabs>
        <w:rPr>
          <w:sz w:val="20"/>
          <w:szCs w:val="20"/>
          <w:color w:val="auto"/>
        </w:rPr>
      </w:pPr>
      <w:r>
        <w:rPr>
          <w:rFonts w:ascii="Arial" w:cs="Arial" w:eastAsia="Arial" w:hAnsi="Arial"/>
          <w:sz w:val="18"/>
          <w:szCs w:val="18"/>
          <w:color w:val="auto"/>
        </w:rPr>
        <w:t>First and last 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Office address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172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[B]</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ACKNOWLEDGMENT OF NON-DISCLOSURE OBLIGATIONS</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 have read and understand the Non-Disclosure and Confidentiality Agreement dated between Amdocs and Company and agree to be bound by all the provisions of that Agreement as if I were a party thereto.</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221170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221170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221170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221170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14605</wp:posOffset>
            </wp:positionV>
            <wp:extent cx="221170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173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96" w:name="page297"/>
    <w:bookmarkEnd w:id="296"/>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Appendix I, Exhibit 2 – Non-Disclosure between a Vendor, Consultant, Or Third Party to AT&amp;T and AT&amp;T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174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NON-DISCLOSURE AGREEMENT</w:t>
      </w:r>
    </w:p>
    <w:p>
      <w:pPr>
        <w:spacing w:after="0" w:line="225" w:lineRule="exact"/>
        <w:rPr>
          <w:sz w:val="20"/>
          <w:szCs w:val="20"/>
          <w:color w:val="auto"/>
        </w:rPr>
      </w:pPr>
    </w:p>
    <w:p>
      <w:pPr>
        <w:ind w:left="4" w:right="220"/>
        <w:spacing w:after="0" w:line="259" w:lineRule="auto"/>
        <w:rPr>
          <w:sz w:val="20"/>
          <w:szCs w:val="20"/>
          <w:color w:val="auto"/>
        </w:rPr>
      </w:pPr>
      <w:r>
        <w:rPr>
          <w:rFonts w:ascii="Arial" w:cs="Arial" w:eastAsia="Arial" w:hAnsi="Arial"/>
          <w:sz w:val="18"/>
          <w:szCs w:val="18"/>
          <w:color w:val="auto"/>
        </w:rPr>
        <w:t>THIS AGREEMENT, effective on the date when signed by the last Party (“Effective Date”), is between &lt;AT&amp;T Company&gt;, a &lt;AT&amp;T State Inc&gt; corporation, on behalf of itself and its Affiliates (collectively “AT&amp;T”), and &lt;Supplier Name&gt;, a &lt;Supplier State Inc&gt; corporation, on behalf of itself and its Affiliates (collectively the “Receiving Party”). Each Party may be referred to in the singular as a “Party” or in the plural as the “Parties” to this Agreement.</w:t>
      </w:r>
    </w:p>
    <w:p>
      <w:pPr>
        <w:spacing w:after="0" w:line="18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as follows:</w:t>
      </w:r>
    </w:p>
    <w:p>
      <w:pPr>
        <w:spacing w:after="0" w:line="131" w:lineRule="exact"/>
        <w:rPr>
          <w:sz w:val="20"/>
          <w:szCs w:val="20"/>
          <w:color w:val="auto"/>
        </w:rPr>
      </w:pPr>
    </w:p>
    <w:p>
      <w:pPr>
        <w:ind w:left="424" w:right="160" w:hanging="424"/>
        <w:spacing w:after="0" w:line="273" w:lineRule="auto"/>
        <w:tabs>
          <w:tab w:leader="none" w:pos="424" w:val="left"/>
        </w:tabs>
        <w:numPr>
          <w:ilvl w:val="0"/>
          <w:numId w:val="324"/>
        </w:numPr>
        <w:rPr>
          <w:rFonts w:ascii="Arial" w:cs="Arial" w:eastAsia="Arial" w:hAnsi="Arial"/>
          <w:sz w:val="17"/>
          <w:szCs w:val="17"/>
          <w:color w:val="auto"/>
        </w:rPr>
      </w:pPr>
      <w:r>
        <w:rPr>
          <w:rFonts w:ascii="Arial" w:cs="Arial" w:eastAsia="Arial" w:hAnsi="Arial"/>
          <w:sz w:val="17"/>
          <w:szCs w:val="17"/>
          <w:color w:val="auto"/>
        </w:rPr>
        <w:t>In connection with ongoing discussions or negotiations between AT&amp;T and the Receiving Party concerning Project Name (the “Project”), AT&amp;T may find it beneficial to disclose to the Receiving Party certain confidential or proprietary information in written, oral, or other tangible or intangible forms, which may include, but is not limited to, discoveries, ideas, concepts, know-how, techniques, designs, specifications, drawings, blueprints, tracings, diagrams, models, samples, flow charts, data, computer programs, disks, diskettes, tapes, marketing plans, customer names, and other technical, financial, or business information (individually and collectively, “Information”). Information provided by AT&amp;T or its contractors shall be deemed to be confidential and proprietary unless otherwise exempt as specified below.</w:t>
      </w:r>
    </w:p>
    <w:p>
      <w:pPr>
        <w:spacing w:after="0" w:line="83" w:lineRule="exact"/>
        <w:rPr>
          <w:rFonts w:ascii="Arial" w:cs="Arial" w:eastAsia="Arial" w:hAnsi="Arial"/>
          <w:sz w:val="17"/>
          <w:szCs w:val="17"/>
          <w:color w:val="auto"/>
        </w:rPr>
      </w:pPr>
    </w:p>
    <w:p>
      <w:pPr>
        <w:ind w:left="424" w:right="260" w:hanging="424"/>
        <w:spacing w:after="0" w:line="257" w:lineRule="auto"/>
        <w:tabs>
          <w:tab w:leader="none" w:pos="42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Receiving Party understands that, except as otherwise agreed in writing, the Information which it may receive concerning AT&amp;T’s future plans with respect to the Project is tentative and is not intended to represent firm decisions concerning the implementation of such plans. Information provided by AT&amp;T does not represent a commitment to purchase or otherwise acquire any products or services from the Receiving Party. If AT&amp;T desires to purchase or otherwise acquire any products or services from the Receiving Party, the Parties will execute a separate written Agreement to govern such transactions.</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324"/>
        </w:numPr>
        <w:rPr>
          <w:rFonts w:ascii="Arial" w:cs="Arial" w:eastAsia="Arial" w:hAnsi="Arial"/>
          <w:sz w:val="18"/>
          <w:szCs w:val="18"/>
          <w:color w:val="auto"/>
        </w:rPr>
      </w:pPr>
      <w:r>
        <w:rPr>
          <w:rFonts w:ascii="Arial" w:cs="Arial" w:eastAsia="Arial" w:hAnsi="Arial"/>
          <w:sz w:val="18"/>
          <w:szCs w:val="18"/>
          <w:color w:val="auto"/>
        </w:rPr>
        <w:t>The Receiving Party shall:</w:t>
      </w:r>
    </w:p>
    <w:p>
      <w:pPr>
        <w:spacing w:after="0" w:line="130" w:lineRule="exact"/>
        <w:rPr>
          <w:rFonts w:ascii="Arial" w:cs="Arial" w:eastAsia="Arial" w:hAnsi="Arial"/>
          <w:sz w:val="18"/>
          <w:szCs w:val="18"/>
          <w:color w:val="auto"/>
        </w:rPr>
      </w:pPr>
    </w:p>
    <w:p>
      <w:pPr>
        <w:ind w:left="964" w:right="720" w:hanging="532"/>
        <w:spacing w:after="0" w:line="277" w:lineRule="auto"/>
        <w:tabs>
          <w:tab w:leader="none" w:pos="96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hold such Information in confidence with the same degree of care with which the Receiving Party protects its own confidential or proprietary Information, but no less than reasonably prudent care;</w:t>
      </w:r>
    </w:p>
    <w:p>
      <w:pPr>
        <w:spacing w:after="0" w:line="75" w:lineRule="exact"/>
        <w:rPr>
          <w:rFonts w:ascii="Arial" w:cs="Arial" w:eastAsia="Arial" w:hAnsi="Arial"/>
          <w:sz w:val="18"/>
          <w:szCs w:val="18"/>
          <w:color w:val="auto"/>
        </w:rPr>
      </w:pPr>
    </w:p>
    <w:p>
      <w:pPr>
        <w:ind w:left="964" w:right="220" w:hanging="532"/>
        <w:spacing w:after="0" w:line="263" w:lineRule="auto"/>
        <w:tabs>
          <w:tab w:leader="none" w:pos="96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restrict disclosure of the Information solely to its employees, contractors, and agents with a need to know such Information, advise those persons of their obligations hereunder with respect to such Information, and ensure that such persons are bound by obligations of confidentiality no less stringent than those imposed in this Agreement;</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use the Information only as needed for the purposes of the Project;</w:t>
      </w:r>
    </w:p>
    <w:p>
      <w:pPr>
        <w:spacing w:after="0" w:line="130" w:lineRule="exact"/>
        <w:rPr>
          <w:rFonts w:ascii="Arial" w:cs="Arial" w:eastAsia="Arial" w:hAnsi="Arial"/>
          <w:sz w:val="18"/>
          <w:szCs w:val="18"/>
          <w:color w:val="auto"/>
        </w:rPr>
      </w:pPr>
    </w:p>
    <w:p>
      <w:pPr>
        <w:jc w:val="both"/>
        <w:ind w:left="964" w:right="340" w:hanging="532"/>
        <w:spacing w:after="0" w:line="342" w:lineRule="auto"/>
        <w:tabs>
          <w:tab w:leader="none" w:pos="964" w:val="left"/>
        </w:tabs>
        <w:numPr>
          <w:ilvl w:val="1"/>
          <w:numId w:val="324"/>
        </w:numPr>
        <w:rPr>
          <w:rFonts w:ascii="Arial" w:cs="Arial" w:eastAsia="Arial" w:hAnsi="Arial"/>
          <w:sz w:val="16"/>
          <w:szCs w:val="16"/>
          <w:color w:val="auto"/>
        </w:rPr>
      </w:pPr>
      <w:r>
        <w:rPr>
          <w:rFonts w:ascii="Arial" w:cs="Arial" w:eastAsia="Arial" w:hAnsi="Arial"/>
          <w:sz w:val="16"/>
          <w:szCs w:val="16"/>
          <w:color w:val="auto"/>
        </w:rPr>
        <w:t>except for the purposes of the Project, not copy, distribute, or otherwise use such Information or knowingly allow anyone else to copy, distribute, or otherwise use such Information, and any and all copies shall bear the same notices or legends, if any, as the originals; and</w:t>
      </w:r>
    </w:p>
    <w:p>
      <w:pPr>
        <w:spacing w:after="0" w:line="29" w:lineRule="exact"/>
        <w:rPr>
          <w:rFonts w:ascii="Arial" w:cs="Arial" w:eastAsia="Arial" w:hAnsi="Arial"/>
          <w:sz w:val="16"/>
          <w:szCs w:val="16"/>
          <w:color w:val="auto"/>
        </w:rPr>
      </w:pPr>
    </w:p>
    <w:p>
      <w:pPr>
        <w:ind w:left="964" w:right="40" w:hanging="532"/>
        <w:spacing w:after="0" w:line="259" w:lineRule="auto"/>
        <w:tabs>
          <w:tab w:leader="none" w:pos="96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upon request, promptly return to the AT&amp;T all Information that is in tangible form; as to Information that was disclosed in intangible form, including, but not limited to electronic mail, upon request by AT&amp;T, the Receiving Party shall certify in writing within five (5) business days to AT&amp;T that all such Information has been destroyed or, if the Information was recorded on an erasable storage medium, that all such Information has been erased.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175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680" w:hanging="424"/>
        <w:spacing w:after="0" w:line="277"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Receiving Party possessing or receiving Information shall have no obligation to preserve the confidential or proprietary nature of any Information which:</w:t>
      </w:r>
    </w:p>
    <w:p>
      <w:pPr>
        <w:spacing w:after="0" w:line="75" w:lineRule="exact"/>
        <w:rPr>
          <w:rFonts w:ascii="Arial" w:cs="Arial" w:eastAsia="Arial" w:hAnsi="Arial"/>
          <w:sz w:val="18"/>
          <w:szCs w:val="18"/>
          <w:color w:val="auto"/>
        </w:rPr>
      </w:pPr>
    </w:p>
    <w:p>
      <w:pPr>
        <w:ind w:left="964" w:right="100" w:hanging="532"/>
        <w:spacing w:after="0" w:line="277" w:lineRule="auto"/>
        <w:tabs>
          <w:tab w:leader="none" w:pos="96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was already known to the Receiving Party free of any obligation to keep it confidential at the time of its disclosure by AT&amp;T as evidenced by the Receiving Party’s written records prepared prior to such disclosure; 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is or becomes publicly known through no wrongful act of the Receiving Party; or</w:t>
      </w:r>
    </w:p>
    <w:p>
      <w:pPr>
        <w:spacing w:after="0" w:line="130"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is rightfully received from a third person having no direct or indirect secrecy or confidentiality obligation to AT&amp;T with respect to such Information; or</w:t>
      </w:r>
    </w:p>
    <w:p>
      <w:pPr>
        <w:spacing w:after="0" w:line="75"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is independently developed by an employee, contractor, or agent of the Receiving Party or another party not associated with the Project and who did not have any direct or indirect access to the Information; 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is approved for release by written authorization by AT&amp;T; or</w:t>
      </w:r>
    </w:p>
    <w:p>
      <w:pPr>
        <w:spacing w:after="0" w:line="130" w:lineRule="exact"/>
        <w:rPr>
          <w:rFonts w:ascii="Arial" w:cs="Arial" w:eastAsia="Arial" w:hAnsi="Arial"/>
          <w:sz w:val="18"/>
          <w:szCs w:val="18"/>
          <w:color w:val="auto"/>
        </w:rPr>
      </w:pPr>
    </w:p>
    <w:p>
      <w:pPr>
        <w:ind w:left="964" w:right="200" w:hanging="532"/>
        <w:spacing w:after="0" w:line="308" w:lineRule="auto"/>
        <w:tabs>
          <w:tab w:leader="none" w:pos="964" w:val="left"/>
        </w:tabs>
        <w:numPr>
          <w:ilvl w:val="1"/>
          <w:numId w:val="325"/>
        </w:numPr>
        <w:rPr>
          <w:rFonts w:ascii="Arial" w:cs="Arial" w:eastAsia="Arial" w:hAnsi="Arial"/>
          <w:sz w:val="17"/>
          <w:szCs w:val="17"/>
          <w:color w:val="auto"/>
        </w:rPr>
      </w:pPr>
      <w:r>
        <w:rPr>
          <w:rFonts w:ascii="Arial" w:cs="Arial" w:eastAsia="Arial" w:hAnsi="Arial"/>
          <w:sz w:val="17"/>
          <w:szCs w:val="17"/>
          <w:color w:val="auto"/>
        </w:rPr>
        <w:t>it is required to disclose pursuant to an order of a duly empowered government agency or a court of competent jurisdiction, provided due notice and an adequate opportunity to intervene is given to AT&amp;T, unless such notice is prohibited by such order.</w:t>
      </w:r>
    </w:p>
    <w:p>
      <w:pPr>
        <w:spacing w:after="0" w:line="51" w:lineRule="exact"/>
        <w:rPr>
          <w:rFonts w:ascii="Arial" w:cs="Arial" w:eastAsia="Arial" w:hAnsi="Arial"/>
          <w:sz w:val="17"/>
          <w:szCs w:val="17"/>
          <w:color w:val="auto"/>
        </w:rPr>
      </w:pPr>
    </w:p>
    <w:p>
      <w:pPr>
        <w:ind w:left="424" w:right="20" w:hanging="424"/>
        <w:spacing w:after="0" w:line="277"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This Agreement shall apply to all Information relating to the Project disclosed by AT&amp;T and shall continue for a period of five (5) years thereafter. The term of this Agreement is three (3) years from the above stated Effective Date.</w:t>
      </w:r>
    </w:p>
    <w:p>
      <w:pPr>
        <w:spacing w:after="0" w:line="75" w:lineRule="exact"/>
        <w:rPr>
          <w:rFonts w:ascii="Arial" w:cs="Arial" w:eastAsia="Arial" w:hAnsi="Arial"/>
          <w:sz w:val="18"/>
          <w:szCs w:val="18"/>
          <w:color w:val="auto"/>
        </w:rPr>
      </w:pPr>
    </w:p>
    <w:p>
      <w:pPr>
        <w:ind w:left="424" w:right="420" w:hanging="424"/>
        <w:spacing w:after="0" w:line="342" w:lineRule="auto"/>
        <w:tabs>
          <w:tab w:leader="none" w:pos="424" w:val="left"/>
        </w:tabs>
        <w:numPr>
          <w:ilvl w:val="0"/>
          <w:numId w:val="325"/>
        </w:numPr>
        <w:rPr>
          <w:rFonts w:ascii="Arial" w:cs="Arial" w:eastAsia="Arial" w:hAnsi="Arial"/>
          <w:sz w:val="16"/>
          <w:szCs w:val="16"/>
          <w:color w:val="auto"/>
        </w:rPr>
      </w:pPr>
      <w:r>
        <w:rPr>
          <w:rFonts w:ascii="Arial" w:cs="Arial" w:eastAsia="Arial" w:hAnsi="Arial"/>
          <w:sz w:val="16"/>
          <w:szCs w:val="16"/>
          <w:color w:val="auto"/>
        </w:rPr>
        <w:t>The Information shall be deemed the property of AT&amp;T, who exclusively shall retain all rights to such Information. Nothing contained in this Agreement shall be construed as granting or conferring any rights by license or otherwise in any such Information to the Receiving Party.</w:t>
      </w:r>
    </w:p>
    <w:p>
      <w:pPr>
        <w:spacing w:after="0" w:line="29" w:lineRule="exact"/>
        <w:rPr>
          <w:rFonts w:ascii="Arial" w:cs="Arial" w:eastAsia="Arial" w:hAnsi="Arial"/>
          <w:sz w:val="16"/>
          <w:szCs w:val="16"/>
          <w:color w:val="auto"/>
        </w:rPr>
      </w:pPr>
    </w:p>
    <w:p>
      <w:pPr>
        <w:ind w:left="424" w:right="220" w:hanging="424"/>
        <w:spacing w:after="0" w:line="259"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This Agreement shall benefit and be binding upon the Parties hereto and their respective Affiliates, successors, and assigns. For the purposes of this Agreement, the term “Affiliate” means (1) a company, whether incorporated or not, which owns, directly or indirectly, a majority interest in either Party (a “parent company”), and (2) a company, whether incorporated or not, in which a five percent (5%) or greater interest is owned, either directly or indirectly, by: (i) either Party or (ii) a parent company.</w:t>
      </w:r>
    </w:p>
    <w:p>
      <w:pPr>
        <w:spacing w:after="0" w:line="92"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AT&amp;T MAKES NO REPRESENTATIONS OR WARRANTIES OF ANY NATURE WHATSOEVER WITH RESPECT TO ANY INFORMATION FURNISHED HEREUNDER, INCLUDING, WITHOUT LIMITATION, ANY WARRANTIES OF MERCHANTABILITY OR FITNESS FOR A PARTICULAR PURPOSE OR AGAINST INFRINGEMENT.</w:t>
      </w:r>
    </w:p>
    <w:p>
      <w:pPr>
        <w:spacing w:after="0" w:line="92" w:lineRule="exact"/>
        <w:rPr>
          <w:rFonts w:ascii="Arial" w:cs="Arial" w:eastAsia="Arial" w:hAnsi="Arial"/>
          <w:sz w:val="18"/>
          <w:szCs w:val="18"/>
          <w:color w:val="auto"/>
        </w:rPr>
      </w:pPr>
    </w:p>
    <w:p>
      <w:pPr>
        <w:ind w:left="424" w:right="60" w:hanging="424"/>
        <w:spacing w:after="0" w:line="279" w:lineRule="auto"/>
        <w:tabs>
          <w:tab w:leader="none" w:pos="424" w:val="left"/>
        </w:tabs>
        <w:numPr>
          <w:ilvl w:val="0"/>
          <w:numId w:val="325"/>
        </w:numPr>
        <w:rPr>
          <w:rFonts w:ascii="Arial" w:cs="Arial" w:eastAsia="Arial" w:hAnsi="Arial"/>
          <w:sz w:val="17"/>
          <w:szCs w:val="17"/>
          <w:color w:val="auto"/>
        </w:rPr>
      </w:pPr>
      <w:r>
        <w:rPr>
          <w:rFonts w:ascii="Arial" w:cs="Arial" w:eastAsia="Arial" w:hAnsi="Arial"/>
          <w:sz w:val="17"/>
          <w:szCs w:val="17"/>
          <w:color w:val="auto"/>
        </w:rPr>
        <w:t>In the event the Receiving Party discloses, disseminates, or releases any confidential or proprietary Information received from AT&amp;T, except as provided in Section 4, such disclosure, dissemination, or release shall be deemed a material breach of this Agreement. AT&amp;T may demand prompt return of all confidential and proprietary Information previously provided to the Receiving Party and terminate this Agreement. The provisions of this Section are in addition to any other legal rights or remedies AT&amp;T may have in law or in equity.</w:t>
      </w:r>
    </w:p>
    <w:p>
      <w:pPr>
        <w:spacing w:after="0" w:line="76" w:lineRule="exact"/>
        <w:rPr>
          <w:rFonts w:ascii="Arial" w:cs="Arial" w:eastAsia="Arial" w:hAnsi="Arial"/>
          <w:sz w:val="17"/>
          <w:szCs w:val="17"/>
          <w:color w:val="auto"/>
        </w:rPr>
      </w:pPr>
    </w:p>
    <w:p>
      <w:pPr>
        <w:ind w:left="424" w:right="660" w:hanging="424"/>
        <w:spacing w:after="0" w:line="277"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This Agreement may only be changed or supplemented by a written amendment signed by authorized representatives of the Parties to this Agreement.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176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60" w:hanging="424"/>
        <w:spacing w:after="0" w:line="288" w:lineRule="auto"/>
        <w:tabs>
          <w:tab w:leader="none" w:pos="424" w:val="left"/>
        </w:tabs>
        <w:numPr>
          <w:ilvl w:val="0"/>
          <w:numId w:val="326"/>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Texas, irrespective of its choice of law principles. Each Party agrees to comply with all laws, including, but not limited to, laws and regulations regarding the export of information outside the United States. The Receiving Party will not knowingly transmit, directly or indirectly, in whole or in part, any Information of AT&amp;T, or export, directly or indirectly, any product of the Information in contravention of the laws of the United States or the laws of any other country governing the aforesaid activities. The Receiving Party will not transfer any Information received hereunder or any product made using such Information to any country prohibited from receiving such data or product by the U.S. Department of Commerce Export Administration Regulations without first obtaining a valid export license and written consent of AT&amp;T. In the event the Receiving Party violates the foregoing, it agrees to defend, indemnify, and hold harmless AT&amp;T from and against any claim, loss, liability, expense or damage including fines or legal fees, incurred by AT&amp;T with respect to the export or re-export activities contrary to the foregoing. Notwithstanding any other provision of this Agreement or any Supplement attached hereto, this Section shall survive any termination or expiration of this Agreement and any Supplements attached hereto.</w:t>
      </w:r>
    </w:p>
    <w:p>
      <w:pPr>
        <w:spacing w:after="0" w:line="168" w:lineRule="exact"/>
        <w:rPr>
          <w:sz w:val="20"/>
          <w:szCs w:val="20"/>
          <w:color w:val="auto"/>
        </w:rPr>
      </w:pPr>
    </w:p>
    <w:p>
      <w:pPr>
        <w:ind w:left="4" w:right="560"/>
        <w:spacing w:after="0" w:line="308" w:lineRule="auto"/>
        <w:rPr>
          <w:sz w:val="20"/>
          <w:szCs w:val="20"/>
          <w:color w:val="auto"/>
        </w:rPr>
      </w:pPr>
      <w:r>
        <w:rPr>
          <w:rFonts w:ascii="Arial" w:cs="Arial" w:eastAsia="Arial" w:hAnsi="Arial"/>
          <w:sz w:val="17"/>
          <w:szCs w:val="17"/>
          <w:color w:val="auto"/>
        </w:rPr>
        <w:t>IN WITNESS WHEREOF, the Parties have caused this Agreement to be executed, which may be in duplicate counterparts, each of which will be deemed to be an original instrument but all of which together shall constitute only one document, as of the date the last Party signs.</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177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&lt;Supplier Name&gt;</w:t>
            </w: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AT&amp;T Services, Inc.</w:t>
            </w:r>
          </w:p>
        </w:tc>
      </w:tr>
      <w:tr>
        <w:trPr>
          <w:trHeight w:val="432"/>
        </w:trPr>
        <w:tc>
          <w:tcPr>
            <w:tcW w:w="1200" w:type="dxa"/>
            <w:vAlign w:val="bottom"/>
          </w:tcPr>
          <w:p>
            <w:pPr>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4"/>
                <w:szCs w:val="24"/>
                <w:color w:val="auto"/>
              </w:rPr>
            </w:pPr>
          </w:p>
        </w:tc>
        <w:tc>
          <w:tcPr>
            <w:tcW w:w="1900" w:type="dxa"/>
            <w:vAlign w:val="bottom"/>
          </w:tcPr>
          <w:p>
            <w:pPr>
              <w:ind w:left="700"/>
              <w:spacing w:after="0"/>
              <w:rPr>
                <w:sz w:val="20"/>
                <w:szCs w:val="20"/>
                <w:color w:val="auto"/>
              </w:rPr>
            </w:pPr>
            <w:r>
              <w:rPr>
                <w:rFonts w:ascii="Arial" w:cs="Arial" w:eastAsia="Arial" w:hAnsi="Arial"/>
                <w:sz w:val="18"/>
                <w:szCs w:val="18"/>
                <w:color w:val="auto"/>
              </w:rPr>
              <w:t>By:</w:t>
            </w:r>
          </w:p>
        </w:tc>
        <w:tc>
          <w:tcPr>
            <w:tcW w:w="3960" w:type="dxa"/>
            <w:vAlign w:val="bottom"/>
            <w:tcBorders>
              <w:bottom w:val="single" w:sz="8" w:color="auto"/>
            </w:tcBorders>
          </w:tcPr>
          <w:p>
            <w:pPr>
              <w:spacing w:after="0"/>
              <w:rPr>
                <w:sz w:val="24"/>
                <w:szCs w:val="24"/>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Printed Name:</w:t>
            </w:r>
          </w:p>
        </w:tc>
        <w:tc>
          <w:tcPr>
            <w:tcW w:w="3960" w:type="dxa"/>
            <w:vAlign w:val="bottom"/>
            <w:tcBorders>
              <w:bottom w:val="single" w:sz="8" w:color="auto"/>
            </w:tcBorders>
          </w:tcPr>
          <w:p>
            <w:pPr>
              <w:spacing w:after="0"/>
              <w:rPr>
                <w:sz w:val="24"/>
                <w:szCs w:val="24"/>
                <w:color w:val="auto"/>
              </w:rPr>
            </w:pPr>
          </w:p>
        </w:tc>
        <w:tc>
          <w:tcPr>
            <w:tcW w:w="1900" w:type="dxa"/>
            <w:vAlign w:val="bottom"/>
          </w:tcPr>
          <w:p>
            <w:pPr>
              <w:ind w:left="700"/>
              <w:spacing w:after="0"/>
              <w:rPr>
                <w:sz w:val="20"/>
                <w:szCs w:val="20"/>
                <w:color w:val="auto"/>
              </w:rPr>
            </w:pPr>
            <w:r>
              <w:rPr>
                <w:rFonts w:ascii="Arial" w:cs="Arial" w:eastAsia="Arial" w:hAnsi="Arial"/>
                <w:sz w:val="18"/>
                <w:szCs w:val="18"/>
                <w:color w:val="auto"/>
              </w:rPr>
              <w:t>Printed Name:</w:t>
            </w:r>
          </w:p>
        </w:tc>
        <w:tc>
          <w:tcPr>
            <w:tcW w:w="3960" w:type="dxa"/>
            <w:vAlign w:val="bottom"/>
            <w:tcBorders>
              <w:bottom w:val="single" w:sz="8" w:color="auto"/>
            </w:tcBorders>
          </w:tcPr>
          <w:p>
            <w:pPr>
              <w:spacing w:after="0"/>
              <w:rPr>
                <w:sz w:val="24"/>
                <w:szCs w:val="24"/>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Title:</w:t>
            </w:r>
          </w:p>
        </w:tc>
        <w:tc>
          <w:tcPr>
            <w:tcW w:w="3960" w:type="dxa"/>
            <w:vAlign w:val="bottom"/>
            <w:tcBorders>
              <w:bottom w:val="single" w:sz="8" w:color="auto"/>
            </w:tcBorders>
          </w:tcPr>
          <w:p>
            <w:pPr>
              <w:spacing w:after="0"/>
              <w:rPr>
                <w:sz w:val="24"/>
                <w:szCs w:val="24"/>
                <w:color w:val="auto"/>
              </w:rPr>
            </w:pPr>
          </w:p>
        </w:tc>
        <w:tc>
          <w:tcPr>
            <w:tcW w:w="1900" w:type="dxa"/>
            <w:vAlign w:val="bottom"/>
          </w:tcPr>
          <w:p>
            <w:pPr>
              <w:ind w:left="700"/>
              <w:spacing w:after="0"/>
              <w:rPr>
                <w:sz w:val="20"/>
                <w:szCs w:val="20"/>
                <w:color w:val="auto"/>
              </w:rPr>
            </w:pPr>
            <w:r>
              <w:rPr>
                <w:rFonts w:ascii="Arial" w:cs="Arial" w:eastAsia="Arial" w:hAnsi="Arial"/>
                <w:sz w:val="18"/>
                <w:szCs w:val="18"/>
                <w:color w:val="auto"/>
              </w:rPr>
              <w:t>Title:</w:t>
            </w:r>
          </w:p>
        </w:tc>
        <w:tc>
          <w:tcPr>
            <w:tcW w:w="3960" w:type="dxa"/>
            <w:vAlign w:val="bottom"/>
            <w:tcBorders>
              <w:bottom w:val="single" w:sz="8" w:color="auto"/>
            </w:tcBorders>
          </w:tcPr>
          <w:p>
            <w:pPr>
              <w:spacing w:after="0"/>
              <w:rPr>
                <w:sz w:val="24"/>
                <w:szCs w:val="24"/>
                <w:color w:val="auto"/>
              </w:rPr>
            </w:pPr>
          </w:p>
        </w:tc>
      </w:tr>
      <w:tr>
        <w:trPr>
          <w:trHeight w:val="412"/>
        </w:trPr>
        <w:tc>
          <w:tcPr>
            <w:tcW w:w="1200" w:type="dxa"/>
            <w:vAlign w:val="bottom"/>
          </w:tcPr>
          <w:p>
            <w:pPr>
              <w:spacing w:after="0"/>
              <w:rPr>
                <w:sz w:val="20"/>
                <w:szCs w:val="20"/>
                <w:color w:val="auto"/>
              </w:rPr>
            </w:pPr>
            <w:r>
              <w:rPr>
                <w:rFonts w:ascii="Arial" w:cs="Arial" w:eastAsia="Arial" w:hAnsi="Arial"/>
                <w:sz w:val="18"/>
                <w:szCs w:val="18"/>
                <w:color w:val="auto"/>
              </w:rPr>
              <w:t>Date:</w:t>
            </w:r>
          </w:p>
        </w:tc>
        <w:tc>
          <w:tcPr>
            <w:tcW w:w="3960" w:type="dxa"/>
            <w:vAlign w:val="bottom"/>
            <w:tcBorders>
              <w:bottom w:val="single" w:sz="8" w:color="auto"/>
            </w:tcBorders>
          </w:tcPr>
          <w:p>
            <w:pPr>
              <w:spacing w:after="0"/>
              <w:rPr>
                <w:sz w:val="24"/>
                <w:szCs w:val="24"/>
                <w:color w:val="auto"/>
              </w:rPr>
            </w:pPr>
          </w:p>
        </w:tc>
        <w:tc>
          <w:tcPr>
            <w:tcW w:w="1900" w:type="dxa"/>
            <w:vAlign w:val="bottom"/>
          </w:tcPr>
          <w:p>
            <w:pPr>
              <w:ind w:left="700"/>
              <w:spacing w:after="0"/>
              <w:rPr>
                <w:sz w:val="20"/>
                <w:szCs w:val="20"/>
                <w:color w:val="auto"/>
              </w:rPr>
            </w:pPr>
            <w:r>
              <w:rPr>
                <w:rFonts w:ascii="Arial" w:cs="Arial" w:eastAsia="Arial" w:hAnsi="Arial"/>
                <w:sz w:val="18"/>
                <w:szCs w:val="18"/>
                <w:color w:val="auto"/>
              </w:rPr>
              <w:t>Date:</w:t>
            </w:r>
          </w:p>
        </w:tc>
        <w:tc>
          <w:tcPr>
            <w:tcW w:w="3960" w:type="dxa"/>
            <w:vAlign w:val="bottom"/>
            <w:tcBorders>
              <w:bottom w:val="single" w:sz="8" w:color="auto"/>
            </w:tcBorders>
          </w:tcPr>
          <w:p>
            <w:pPr>
              <w:spacing w:after="0"/>
              <w:rPr>
                <w:sz w:val="24"/>
                <w:szCs w:val="24"/>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178 of 206</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01" w:name="page302"/>
    <w:bookmarkEnd w:id="301"/>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Appendix J—Disaster Recovery Plan (“DRP”) and Business Continuity Plan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Amdocs BCP/DRP Summary</w:t>
      </w:r>
    </w:p>
    <w:p>
      <w:pPr>
        <w:spacing w:after="0" w:line="225"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Amdocs is a global company with development centers located around the world. At Amdocs, we are totally committed to providing the best possible products and services to our customers, and our commitment includes the ability to continue providing those products and services in the event of a major catastrophe at one of our development centers.</w:t>
      </w:r>
    </w:p>
    <w:p>
      <w:pPr>
        <w:spacing w:after="0" w:line="1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Our global presence inherently supports the BCP concept. All BCP/DRP operations world-wide are coordinated by a dedicated corporate BCP/DRP team. Since all of our development centers are interconnected, in the event of a major catastrophe, employees from damaged locations can relocate to alternate Amdocs facilities—in the same region or another region, depending on the situation—to continue supporting customer operations.</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DRP strategy is based on ongoing replication of data to other Amdocs facilities, allowing full recovery of data from damaged sites and ensuring our capability to fully restore the damaged environment. Amdocs data centers are remotely monitored 24 x 7 x 365 and supported by technical professionals spread across the globe. In addition to DRP preparations, backups are performed on a daily basis, and tapes are tested and shipped to off-site storage facilities on a regular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BCP/DRP plans are regularly tested and updated as needed to comply with changes in technologies and business needs.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size of the company and the level of expertise across sites allow Amdocs, in case of a catastrophic event, to send development, operational, and technical reinforcement teams to customer sites to provide support and resolve issues following a disaster. In addition, other professional groups can be sent to assist and reinforce disaster recovery personnel. This allows Amdocs to provide ongoing support to our customers in a disaster situation until normal operations can resume.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alternate BCP/DRP destinations for the Amdocs sites currently supporting AT&amp;T.</w:t>
      </w:r>
    </w:p>
    <w:p>
      <w:pPr>
        <w:spacing w:after="0" w:line="248" w:lineRule="exact"/>
        <w:rPr>
          <w:sz w:val="20"/>
          <w:szCs w:val="20"/>
          <w:color w:val="auto"/>
        </w:rPr>
      </w:pPr>
    </w:p>
    <w:tbl>
      <w:tblPr>
        <w:tblLayout w:type="fixed"/>
        <w:tblInd w:w="1760" w:type="dxa"/>
        <w:tblCellMar>
          <w:top w:w="0" w:type="dxa"/>
          <w:left w:w="0" w:type="dxa"/>
          <w:bottom w:w="0" w:type="dxa"/>
          <w:right w:w="0" w:type="dxa"/>
        </w:tblCellMar>
      </w:tblPr>
      <w:tr>
        <w:trPr>
          <w:trHeight w:val="187"/>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2"/>
              </w:rPr>
              <w:t>Development Site</w:t>
            </w:r>
          </w:p>
        </w:tc>
        <w:tc>
          <w:tcPr>
            <w:tcW w:w="4860" w:type="dxa"/>
            <w:vAlign w:val="bottom"/>
          </w:tcPr>
          <w:p>
            <w:pPr>
              <w:spacing w:after="0"/>
              <w:rPr>
                <w:sz w:val="16"/>
                <w:szCs w:val="16"/>
                <w:color w:val="auto"/>
              </w:rPr>
            </w:pPr>
          </w:p>
        </w:tc>
        <w:tc>
          <w:tcPr>
            <w:tcW w:w="1580" w:type="dxa"/>
            <w:vAlign w:val="bottom"/>
            <w:gridSpan w:val="2"/>
          </w:tcPr>
          <w:p>
            <w:pPr>
              <w:spacing w:after="0"/>
              <w:rPr>
                <w:sz w:val="20"/>
                <w:szCs w:val="20"/>
                <w:color w:val="auto"/>
              </w:rPr>
            </w:pPr>
            <w:r>
              <w:rPr>
                <w:rFonts w:ascii="Arial" w:cs="Arial" w:eastAsia="Arial" w:hAnsi="Arial"/>
                <w:sz w:val="14"/>
                <w:szCs w:val="14"/>
                <w:color w:val="auto"/>
                <w:w w:val="97"/>
              </w:rPr>
              <w:t>Alternative BCP/DRP Site</w:t>
            </w:r>
          </w:p>
        </w:tc>
      </w:tr>
      <w:tr>
        <w:trPr>
          <w:trHeight w:val="203"/>
        </w:trPr>
        <w:tc>
          <w:tcPr>
            <w:tcW w:w="59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Haifa</w:t>
            </w:r>
          </w:p>
        </w:tc>
        <w:tc>
          <w:tcPr>
            <w:tcW w:w="1520" w:type="dxa"/>
            <w:vAlign w:val="bottom"/>
            <w:tcBorders>
              <w:top w:val="single" w:sz="8" w:color="auto"/>
            </w:tcBorders>
            <w:shd w:val="clear" w:color="auto" w:fill="CCEEFF"/>
          </w:tcPr>
          <w:p>
            <w:pPr>
              <w:ind w:left="1140"/>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Nazareth</w:t>
            </w:r>
          </w:p>
        </w:tc>
        <w:tc>
          <w:tcPr>
            <w:tcW w:w="1580" w:type="dxa"/>
            <w:vAlign w:val="bottom"/>
            <w:gridSpan w:val="2"/>
          </w:tcPr>
          <w:p>
            <w:pPr>
              <w:ind w:left="114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Raanana</w:t>
            </w:r>
          </w:p>
        </w:tc>
        <w:tc>
          <w:tcPr>
            <w:tcW w:w="15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2"/>
          </w:tcPr>
          <w:p>
            <w:pPr>
              <w:spacing w:after="0"/>
              <w:rPr>
                <w:sz w:val="20"/>
                <w:szCs w:val="20"/>
                <w:color w:val="auto"/>
              </w:rPr>
            </w:pPr>
            <w:r>
              <w:rPr>
                <w:rFonts w:ascii="Arial" w:cs="Arial" w:eastAsia="Arial" w:hAnsi="Arial"/>
                <w:sz w:val="18"/>
                <w:szCs w:val="18"/>
                <w:color w:val="auto"/>
              </w:rPr>
              <w:t>Negev</w:t>
            </w:r>
          </w:p>
        </w:tc>
        <w:tc>
          <w:tcPr>
            <w:tcW w:w="1580" w:type="dxa"/>
            <w:vAlign w:val="bottom"/>
            <w:gridSpan w:val="2"/>
          </w:tcPr>
          <w:p>
            <w:pPr>
              <w:ind w:left="1140"/>
              <w:spacing w:after="0"/>
              <w:rPr>
                <w:sz w:val="20"/>
                <w:szCs w:val="20"/>
                <w:color w:val="auto"/>
              </w:rPr>
            </w:pPr>
            <w:r>
              <w:rPr>
                <w:rFonts w:ascii="Arial" w:cs="Arial" w:eastAsia="Arial" w:hAnsi="Arial"/>
                <w:sz w:val="18"/>
                <w:szCs w:val="18"/>
                <w:color w:val="auto"/>
              </w:rPr>
              <w:t>[***]</w:t>
            </w:r>
          </w:p>
        </w:tc>
      </w:tr>
      <w:tr>
        <w:trPr>
          <w:trHeight w:val="216"/>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Cyprus / Maritime</w:t>
            </w:r>
          </w:p>
        </w:tc>
        <w:tc>
          <w:tcPr>
            <w:tcW w:w="1580" w:type="dxa"/>
            <w:vAlign w:val="bottom"/>
            <w:gridSpan w:val="2"/>
            <w:shd w:val="clear" w:color="auto" w:fill="CCEEFF"/>
          </w:tcPr>
          <w:p>
            <w:pPr>
              <w:ind w:left="1140"/>
              <w:spacing w:after="0"/>
              <w:rPr>
                <w:sz w:val="20"/>
                <w:szCs w:val="20"/>
                <w:color w:val="auto"/>
              </w:rPr>
            </w:pPr>
            <w:r>
              <w:rPr>
                <w:rFonts w:ascii="Arial" w:cs="Arial" w:eastAsia="Arial" w:hAnsi="Arial"/>
                <w:sz w:val="18"/>
                <w:szCs w:val="18"/>
                <w:color w:val="auto"/>
              </w:rPr>
              <w:t>[***]</w:t>
            </w:r>
          </w:p>
        </w:tc>
      </w:tr>
      <w:tr>
        <w:trPr>
          <w:trHeight w:val="230"/>
        </w:trPr>
        <w:tc>
          <w:tcPr>
            <w:tcW w:w="5900" w:type="dxa"/>
            <w:vAlign w:val="bottom"/>
            <w:gridSpan w:val="2"/>
          </w:tcPr>
          <w:p>
            <w:pPr>
              <w:spacing w:after="0"/>
              <w:rPr>
                <w:sz w:val="20"/>
                <w:szCs w:val="20"/>
                <w:color w:val="auto"/>
              </w:rPr>
            </w:pPr>
            <w:r>
              <w:rPr>
                <w:rFonts w:ascii="Arial" w:cs="Arial" w:eastAsia="Arial" w:hAnsi="Arial"/>
                <w:sz w:val="18"/>
                <w:szCs w:val="18"/>
                <w:color w:val="auto"/>
              </w:rPr>
              <w:t>India / Magarpatta</w:t>
            </w:r>
          </w:p>
        </w:tc>
        <w:tc>
          <w:tcPr>
            <w:tcW w:w="1580" w:type="dxa"/>
            <w:vAlign w:val="bottom"/>
            <w:gridSpan w:val="2"/>
          </w:tcPr>
          <w:p>
            <w:pPr>
              <w:ind w:left="1140"/>
              <w:spacing w:after="0"/>
              <w:rPr>
                <w:sz w:val="20"/>
                <w:szCs w:val="20"/>
                <w:color w:val="auto"/>
              </w:rPr>
            </w:pPr>
            <w:r>
              <w:rPr>
                <w:rFonts w:ascii="Arial" w:cs="Arial" w:eastAsia="Arial" w:hAnsi="Arial"/>
                <w:sz w:val="18"/>
                <w:szCs w:val="18"/>
                <w:color w:val="auto"/>
              </w:rPr>
              <w:t>[***]</w:t>
            </w:r>
          </w:p>
        </w:tc>
      </w:tr>
    </w:tbl>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179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Appendix K—EU Data Privacy and GDPR Data Processing Obligations</w:t>
      </w:r>
    </w:p>
    <w:p>
      <w:pPr>
        <w:spacing w:after="0" w:line="225" w:lineRule="exact"/>
        <w:rPr>
          <w:sz w:val="20"/>
          <w:szCs w:val="20"/>
          <w:color w:val="auto"/>
        </w:rPr>
      </w:pPr>
    </w:p>
    <w:p>
      <w:pPr>
        <w:jc w:val="both"/>
        <w:ind w:left="4" w:right="140"/>
        <w:spacing w:after="0" w:line="342" w:lineRule="auto"/>
        <w:rPr>
          <w:sz w:val="20"/>
          <w:szCs w:val="20"/>
          <w:color w:val="auto"/>
        </w:rPr>
      </w:pPr>
      <w:r>
        <w:rPr>
          <w:rFonts w:ascii="Arial" w:cs="Arial" w:eastAsia="Arial" w:hAnsi="Arial"/>
          <w:sz w:val="16"/>
          <w:szCs w:val="16"/>
          <w:color w:val="auto"/>
        </w:rPr>
        <w:t>The provisions in this Appendix shall be applicable to the Processing of Personal Data that is subject to Data Privacy Laws. To the extent that there is a conflict between the terms and conditions elsewhere in this Agreement and those in this Appendix, the latter shall control to the extent of such conflict.</w:t>
      </w:r>
    </w:p>
    <w:p>
      <w:pPr>
        <w:spacing w:after="0" w:line="272" w:lineRule="exact"/>
        <w:rPr>
          <w:sz w:val="20"/>
          <w:szCs w:val="20"/>
          <w:color w:val="auto"/>
        </w:rPr>
      </w:pPr>
    </w:p>
    <w:p>
      <w:pPr>
        <w:ind w:left="424" w:hanging="424"/>
        <w:spacing w:after="0"/>
        <w:tabs>
          <w:tab w:leader="none" w:pos="42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definitions shall apply to this Appendix:</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Data Controller: a natural or legal person who is considered to be a “controller” in relation to the Personal Data under the GDPR.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Data Processor: a natural or legal person who is considered to be a “processor” of the Data Controller under the GDPR.</w:t>
      </w:r>
    </w:p>
    <w:p>
      <w:pPr>
        <w:spacing w:after="0" w:line="225"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Data Privacy Laws: applicable laws or regulations of the European Union (including those applicable in the European Economic Area) and member states of the European Economic Area in relation to Personal Data.</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Data Subject: has the meaning ascribed to “data subject” under the GDPR.</w:t>
      </w:r>
    </w:p>
    <w:p>
      <w:pPr>
        <w:spacing w:after="0" w:line="225" w:lineRule="exact"/>
        <w:rPr>
          <w:sz w:val="20"/>
          <w:szCs w:val="20"/>
          <w:color w:val="auto"/>
        </w:rPr>
      </w:pPr>
    </w:p>
    <w:p>
      <w:pPr>
        <w:ind w:left="4" w:right="240"/>
        <w:spacing w:after="0" w:line="342" w:lineRule="auto"/>
        <w:rPr>
          <w:sz w:val="20"/>
          <w:szCs w:val="20"/>
          <w:color w:val="auto"/>
        </w:rPr>
      </w:pPr>
      <w:r>
        <w:rPr>
          <w:rFonts w:ascii="Arial" w:cs="Arial" w:eastAsia="Arial" w:hAnsi="Arial"/>
          <w:sz w:val="16"/>
          <w:szCs w:val="16"/>
          <w:color w:val="auto"/>
        </w:rPr>
        <w:t>GDPR: Regulation (EU) 2016/679 of the European Parliament and of the Council of 27 April 2016 on the protection of natural persons with regard to the processing of personal data and on the free movement of such data, and repealing Directive 95/46/EC (General Data Protection Regulation).</w:t>
      </w:r>
    </w:p>
    <w:p>
      <w:pPr>
        <w:spacing w:after="0" w:line="124" w:lineRule="exact"/>
        <w:rPr>
          <w:sz w:val="20"/>
          <w:szCs w:val="20"/>
          <w:color w:val="auto"/>
        </w:rPr>
      </w:pPr>
    </w:p>
    <w:p>
      <w:pPr>
        <w:ind w:left="4"/>
        <w:spacing w:after="0"/>
        <w:rPr>
          <w:sz w:val="20"/>
          <w:szCs w:val="20"/>
          <w:color w:val="auto"/>
        </w:rPr>
      </w:pPr>
      <w:r>
        <w:rPr>
          <w:rFonts w:ascii="Arial" w:cs="Arial" w:eastAsia="Arial" w:hAnsi="Arial"/>
          <w:sz w:val="18"/>
          <w:szCs w:val="18"/>
          <w:color w:val="auto"/>
        </w:rPr>
        <w:t>Personal Data: any information that is considered under the GDPR to be “personal data” that Supplier Processes under this Agreement.</w:t>
      </w:r>
    </w:p>
    <w:p>
      <w:pPr>
        <w:spacing w:after="0" w:line="225"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Personal Data Breach: has the meaning ascribed to “personal data breach” under the GDPR, to the extent that such breach occurs with respect to Personal Data.</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Process and Processing: have the meaning ascribed to “process” or “processing” under the GDPR.</w:t>
      </w:r>
    </w:p>
    <w:p>
      <w:pPr>
        <w:spacing w:after="0" w:line="225" w:lineRule="exact"/>
        <w:rPr>
          <w:sz w:val="20"/>
          <w:szCs w:val="20"/>
          <w:color w:val="auto"/>
        </w:rPr>
      </w:pPr>
    </w:p>
    <w:p>
      <w:pPr>
        <w:ind w:left="4" w:right="340"/>
        <w:spacing w:after="0" w:line="308" w:lineRule="auto"/>
        <w:rPr>
          <w:sz w:val="20"/>
          <w:szCs w:val="20"/>
          <w:color w:val="auto"/>
        </w:rPr>
      </w:pPr>
      <w:r>
        <w:rPr>
          <w:rFonts w:ascii="Arial" w:cs="Arial" w:eastAsia="Arial" w:hAnsi="Arial"/>
          <w:sz w:val="17"/>
          <w:szCs w:val="17"/>
          <w:color w:val="auto"/>
        </w:rPr>
        <w:t>Restricted Jurisdiction: a country outside the European Union or, if applicable, a specific territory or sector within such a country, or an international organization, in each case, which the European Commission has not decided ensures an adequate level of data protection.</w:t>
      </w:r>
    </w:p>
    <w:p>
      <w:pPr>
        <w:spacing w:after="0" w:line="146"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Sub-Data Processor: a natural or legal person who is engaged (directly or indirectly) by the Data Processor to carry out specific Processing activities on behalf of the Data Controller.</w:t>
      </w:r>
    </w:p>
    <w:p>
      <w:pPr>
        <w:spacing w:after="0" w:line="170" w:lineRule="exact"/>
        <w:rPr>
          <w:sz w:val="20"/>
          <w:szCs w:val="20"/>
          <w:color w:val="auto"/>
        </w:rPr>
      </w:pPr>
    </w:p>
    <w:p>
      <w:pPr>
        <w:ind w:left="4" w:right="180"/>
        <w:spacing w:after="0" w:line="277" w:lineRule="auto"/>
        <w:rPr>
          <w:sz w:val="20"/>
          <w:szCs w:val="20"/>
          <w:color w:val="auto"/>
        </w:rPr>
      </w:pPr>
      <w:r>
        <w:rPr>
          <w:rFonts w:ascii="Arial" w:cs="Arial" w:eastAsia="Arial" w:hAnsi="Arial"/>
          <w:sz w:val="18"/>
          <w:szCs w:val="18"/>
          <w:color w:val="auto"/>
        </w:rPr>
        <w:t>Supervisory Authority: any governmental authority, agency or regulator in relation to Personal Data, including “supervisory authorities” as understood under Data Privacy Laws.</w:t>
      </w:r>
    </w:p>
    <w:p>
      <w:pPr>
        <w:spacing w:after="0" w:line="197" w:lineRule="exact"/>
        <w:rPr>
          <w:sz w:val="20"/>
          <w:szCs w:val="20"/>
          <w:color w:val="auto"/>
        </w:rPr>
      </w:pPr>
    </w:p>
    <w:p>
      <w:pPr>
        <w:ind w:left="424" w:hanging="424"/>
        <w:spacing w:after="0"/>
        <w:tabs>
          <w:tab w:leader="none" w:pos="42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Supplier as Data Processor or Sub-Data Processor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Section 2 applies to the extent that in relation to particular Personal Data:</w:t>
      </w:r>
    </w:p>
    <w:p>
      <w:pPr>
        <w:spacing w:after="0" w:line="131" w:lineRule="exact"/>
        <w:rPr>
          <w:sz w:val="20"/>
          <w:szCs w:val="20"/>
          <w:color w:val="auto"/>
        </w:rPr>
      </w:pPr>
    </w:p>
    <w:p>
      <w:pPr>
        <w:ind w:left="964" w:hanging="424"/>
        <w:spacing w:after="0"/>
        <w:tabs>
          <w:tab w:leader="none" w:pos="96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AT&amp;T is a Data Controller and Supplier is its Data Processor; or</w:t>
      </w:r>
    </w:p>
    <w:p>
      <w:pPr>
        <w:spacing w:after="0" w:line="130" w:lineRule="exact"/>
        <w:rPr>
          <w:rFonts w:ascii="Arial" w:cs="Arial" w:eastAsia="Arial" w:hAnsi="Arial"/>
          <w:sz w:val="18"/>
          <w:szCs w:val="18"/>
          <w:color w:val="auto"/>
        </w:rPr>
      </w:pPr>
    </w:p>
    <w:p>
      <w:pPr>
        <w:ind w:left="424" w:right="5320" w:firstLine="116"/>
        <w:spacing w:after="0" w:line="418" w:lineRule="auto"/>
        <w:tabs>
          <w:tab w:leader="none" w:pos="964"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AT&amp;T is a Data Processor and Supplier is its Sub-Data Processor. 2.1. Supplier Obligations</w:t>
      </w:r>
    </w:p>
    <w:p>
      <w:pPr>
        <w:spacing w:after="0" w:line="49"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Without limiting its obligations under Section 2, Supplier shall:</w:t>
      </w:r>
    </w:p>
    <w:p>
      <w:pPr>
        <w:spacing w:after="0" w:line="131" w:lineRule="exact"/>
        <w:rPr>
          <w:sz w:val="20"/>
          <w:szCs w:val="20"/>
          <w:color w:val="auto"/>
        </w:rPr>
      </w:pPr>
    </w:p>
    <w:p>
      <w:pPr>
        <w:ind w:left="1424" w:right="220" w:hanging="439"/>
        <w:spacing w:after="0" w:line="263" w:lineRule="auto"/>
        <w:tabs>
          <w:tab w:leader="none" w:pos="142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Process such Personal Data only in accordance with the instructions that are set forth in this Agreement and Exhibit 1 to this Appendix or are otherwise agreed to by the Parties in writing including as to the subject-matter and duration of the Processing, the nature and purpose of the Processing, the type of Personal Data and categories of Data Subjects;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180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1380" w:right="560" w:hanging="439"/>
        <w:spacing w:after="0" w:line="277" w:lineRule="auto"/>
        <w:tabs>
          <w:tab w:leader="none" w:pos="13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ensure that Supplier’s employees, agents and contractors who Process such Personal Data are subject to written obligations of confidentiality;</w:t>
      </w:r>
    </w:p>
    <w:p>
      <w:pPr>
        <w:spacing w:after="0" w:line="75" w:lineRule="exact"/>
        <w:rPr>
          <w:rFonts w:ascii="Arial" w:cs="Arial" w:eastAsia="Arial" w:hAnsi="Arial"/>
          <w:sz w:val="18"/>
          <w:szCs w:val="18"/>
          <w:color w:val="auto"/>
        </w:rPr>
      </w:pPr>
    </w:p>
    <w:p>
      <w:pPr>
        <w:ind w:left="1380" w:right="180" w:hanging="439"/>
        <w:spacing w:after="0" w:line="301" w:lineRule="auto"/>
        <w:tabs>
          <w:tab w:leader="none" w:pos="1380" w:val="left"/>
        </w:tabs>
        <w:numPr>
          <w:ilvl w:val="0"/>
          <w:numId w:val="331"/>
        </w:numPr>
        <w:rPr>
          <w:rFonts w:ascii="Arial" w:cs="Arial" w:eastAsia="Arial" w:hAnsi="Arial"/>
          <w:sz w:val="16"/>
          <w:szCs w:val="16"/>
          <w:color w:val="auto"/>
        </w:rPr>
      </w:pPr>
      <w:r>
        <w:rPr>
          <w:rFonts w:ascii="Arial" w:cs="Arial" w:eastAsia="Arial" w:hAnsi="Arial"/>
          <w:sz w:val="16"/>
          <w:szCs w:val="16"/>
          <w:color w:val="auto"/>
        </w:rPr>
        <w:t>implement the technical and organizational security measures that are set forth in this Agreement and Exhibit 1 to this Appendix to ensure a level of security appropriate to the risk, taking into account: (i) the state of the art, costs of implementation, nature, scope, context and purposes of the Processing; and (ii) the risks of accidental or unlawful destruction, loss, alteration, unauthorized disclosure of, or access to such Personal Data that is Processed with respect to all Processing of Personal Data;</w:t>
      </w:r>
    </w:p>
    <w:p>
      <w:pPr>
        <w:spacing w:after="0" w:line="62" w:lineRule="exact"/>
        <w:rPr>
          <w:rFonts w:ascii="Arial" w:cs="Arial" w:eastAsia="Arial" w:hAnsi="Arial"/>
          <w:sz w:val="16"/>
          <w:szCs w:val="16"/>
          <w:color w:val="auto"/>
        </w:rPr>
      </w:pPr>
    </w:p>
    <w:p>
      <w:pPr>
        <w:ind w:left="1380" w:hanging="439"/>
        <w:spacing w:after="0"/>
        <w:tabs>
          <w:tab w:leader="none" w:pos="13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not have such Personal Data Processed by another natural or legal person except to the extent that Supplier has:</w:t>
      </w:r>
    </w:p>
    <w:p>
      <w:pPr>
        <w:spacing w:after="0" w:line="130" w:lineRule="exact"/>
        <w:rPr>
          <w:rFonts w:ascii="Arial" w:cs="Arial" w:eastAsia="Arial" w:hAnsi="Arial"/>
          <w:sz w:val="18"/>
          <w:szCs w:val="18"/>
          <w:color w:val="auto"/>
        </w:rPr>
      </w:pPr>
    </w:p>
    <w:p>
      <w:pPr>
        <w:ind w:left="2040" w:hanging="545"/>
        <w:spacing w:after="0"/>
        <w:tabs>
          <w:tab w:leader="none" w:pos="20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received the prior specific or general written authorization of AT&amp;T for such Processing;</w:t>
      </w:r>
    </w:p>
    <w:p>
      <w:pPr>
        <w:spacing w:after="0" w:line="130" w:lineRule="exact"/>
        <w:rPr>
          <w:rFonts w:ascii="Arial" w:cs="Arial" w:eastAsia="Arial" w:hAnsi="Arial"/>
          <w:sz w:val="18"/>
          <w:szCs w:val="18"/>
          <w:color w:val="auto"/>
        </w:rPr>
      </w:pPr>
    </w:p>
    <w:p>
      <w:pPr>
        <w:ind w:left="2040" w:right="160" w:hanging="545"/>
        <w:spacing w:after="0" w:line="277" w:lineRule="auto"/>
        <w:tabs>
          <w:tab w:leader="none" w:pos="20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imposed on such other natural or legal person data protection obligations that are the same in all material respects as those set forth in this Appendix, to the extent required pursuant to Data Privacy Laws;</w:t>
      </w:r>
    </w:p>
    <w:p>
      <w:pPr>
        <w:spacing w:after="0" w:line="75" w:lineRule="exact"/>
        <w:rPr>
          <w:rFonts w:ascii="Arial" w:cs="Arial" w:eastAsia="Arial" w:hAnsi="Arial"/>
          <w:sz w:val="18"/>
          <w:szCs w:val="18"/>
          <w:color w:val="auto"/>
        </w:rPr>
      </w:pPr>
    </w:p>
    <w:p>
      <w:pPr>
        <w:ind w:left="2040" w:right="180" w:hanging="545"/>
        <w:spacing w:after="0" w:line="263" w:lineRule="auto"/>
        <w:tabs>
          <w:tab w:leader="none" w:pos="20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with respect to Sub-Data Processors for which Supplier has received general written authorization, informed AT&amp;T in writing of any changes concerning the addition or replacement of such Sub-Data Processors and obtained AT&amp;T’s written consent prior to allowing Processing by such Sub-Data Processor;</w:t>
      </w:r>
    </w:p>
    <w:p>
      <w:pPr>
        <w:spacing w:after="0" w:line="89" w:lineRule="exact"/>
        <w:rPr>
          <w:rFonts w:ascii="Arial" w:cs="Arial" w:eastAsia="Arial" w:hAnsi="Arial"/>
          <w:sz w:val="18"/>
          <w:szCs w:val="18"/>
          <w:color w:val="auto"/>
        </w:rPr>
      </w:pPr>
    </w:p>
    <w:p>
      <w:pPr>
        <w:ind w:left="1380" w:right="40" w:hanging="439"/>
        <w:spacing w:after="0" w:line="259" w:lineRule="auto"/>
        <w:tabs>
          <w:tab w:leader="none" w:pos="13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notify AT&amp;T in writing through its business contact of any communications or requests in relation to Personal Data received from Data Subjects, Supervisory Authorities or other third parties without undue delay following receipt of such communications or requests. Supplier shall provide such notices via e-mail to its business contact with a copy to privacypolicy@att.com with the subject line stating “URGENT—Personal Data Related.”</w:t>
      </w:r>
    </w:p>
    <w:p>
      <w:pPr>
        <w:spacing w:after="0" w:line="92" w:lineRule="exact"/>
        <w:rPr>
          <w:rFonts w:ascii="Arial" w:cs="Arial" w:eastAsia="Arial" w:hAnsi="Arial"/>
          <w:sz w:val="18"/>
          <w:szCs w:val="18"/>
          <w:color w:val="auto"/>
        </w:rPr>
      </w:pPr>
    </w:p>
    <w:p>
      <w:pPr>
        <w:ind w:left="1380" w:right="220" w:hanging="439"/>
        <w:spacing w:after="0" w:line="259" w:lineRule="auto"/>
        <w:tabs>
          <w:tab w:leader="none" w:pos="13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taking into account the nature of Supplier’s Processing activities, assist AT&amp;T at AT&amp;T’s reasonable request to enable the (i) Data Controller to fulfill its obligations to respond to requests by Data Subjects in relation to their rights under Data Privacy Laws, and (ii) Data Controller (and if different, AT&amp;T) to fulfill its obligations to respond to requests by Supervisory Authorities and other third parties;</w:t>
      </w:r>
    </w:p>
    <w:p>
      <w:pPr>
        <w:spacing w:after="0" w:line="92" w:lineRule="exact"/>
        <w:rPr>
          <w:rFonts w:ascii="Arial" w:cs="Arial" w:eastAsia="Arial" w:hAnsi="Arial"/>
          <w:sz w:val="18"/>
          <w:szCs w:val="18"/>
          <w:color w:val="auto"/>
        </w:rPr>
      </w:pPr>
    </w:p>
    <w:p>
      <w:pPr>
        <w:ind w:left="1380" w:hanging="439"/>
        <w:spacing w:after="0"/>
        <w:tabs>
          <w:tab w:leader="none" w:pos="1380" w:val="left"/>
        </w:tabs>
        <w:numPr>
          <w:ilvl w:val="0"/>
          <w:numId w:val="331"/>
        </w:numPr>
        <w:rPr>
          <w:rFonts w:ascii="Arial" w:cs="Arial" w:eastAsia="Arial" w:hAnsi="Arial"/>
          <w:sz w:val="18"/>
          <w:szCs w:val="18"/>
          <w:color w:val="auto"/>
        </w:rPr>
      </w:pPr>
      <w:r>
        <w:rPr>
          <w:rFonts w:ascii="Arial" w:cs="Arial" w:eastAsia="Arial" w:hAnsi="Arial"/>
          <w:sz w:val="18"/>
          <w:szCs w:val="18"/>
          <w:color w:val="auto"/>
        </w:rPr>
        <w:t>taking into account the nature of Supplier’s Processing of such Personal Data and information available to Supplier:</w:t>
      </w:r>
    </w:p>
    <w:p>
      <w:pPr>
        <w:spacing w:after="0" w:line="130" w:lineRule="exact"/>
        <w:rPr>
          <w:rFonts w:ascii="Arial" w:cs="Arial" w:eastAsia="Arial" w:hAnsi="Arial"/>
          <w:sz w:val="18"/>
          <w:szCs w:val="18"/>
          <w:color w:val="auto"/>
        </w:rPr>
      </w:pPr>
    </w:p>
    <w:p>
      <w:pPr>
        <w:ind w:left="2040" w:right="260" w:hanging="545"/>
        <w:spacing w:after="0" w:line="277" w:lineRule="auto"/>
        <w:tabs>
          <w:tab w:leader="none" w:pos="204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notify AT&amp;T by calling AT&amp;T Asset Protection (at [***] within the U.S. or [***] outside the U.S.) of any Personal Data Breach without undue delay after becoming aware of such breach; and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181 of 206</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304" w:name="page305"/>
    <w:bookmarkEnd w:id="304"/>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2040" w:right="80" w:hanging="545"/>
        <w:spacing w:after="0" w:line="277" w:lineRule="auto"/>
        <w:tabs>
          <w:tab w:leader="none" w:pos="204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without undue delay provide reasonable assistance to AT&amp;T in relation to any obligations of the Data Controller (including under Data Privacy Laws) in relation to:</w:t>
      </w:r>
    </w:p>
    <w:p>
      <w:pPr>
        <w:spacing w:after="0" w:line="75" w:lineRule="exact"/>
        <w:rPr>
          <w:rFonts w:ascii="Arial" w:cs="Arial" w:eastAsia="Arial" w:hAnsi="Arial"/>
          <w:sz w:val="18"/>
          <w:szCs w:val="18"/>
          <w:color w:val="auto"/>
        </w:rPr>
      </w:pPr>
    </w:p>
    <w:p>
      <w:pPr>
        <w:ind w:left="2380" w:hanging="332"/>
        <w:spacing w:after="0"/>
        <w:tabs>
          <w:tab w:leader="none" w:pos="23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 Personal Data Breach; and</w:t>
      </w:r>
    </w:p>
    <w:p>
      <w:pPr>
        <w:spacing w:after="0" w:line="130" w:lineRule="exact"/>
        <w:rPr>
          <w:rFonts w:ascii="Arial" w:cs="Arial" w:eastAsia="Arial" w:hAnsi="Arial"/>
          <w:sz w:val="18"/>
          <w:szCs w:val="18"/>
          <w:color w:val="auto"/>
        </w:rPr>
      </w:pPr>
    </w:p>
    <w:p>
      <w:pPr>
        <w:ind w:left="2380" w:hanging="332"/>
        <w:spacing w:after="0"/>
        <w:tabs>
          <w:tab w:leader="none" w:pos="238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the performance of data protection impact assessments by the Data Controller.</w:t>
      </w:r>
    </w:p>
    <w:p>
      <w:pPr>
        <w:spacing w:after="0" w:line="117" w:lineRule="exact"/>
        <w:rPr>
          <w:sz w:val="20"/>
          <w:szCs w:val="20"/>
          <w:color w:val="auto"/>
        </w:rPr>
      </w:pPr>
    </w:p>
    <w:p>
      <w:pPr>
        <w:ind w:left="1380" w:right="80"/>
        <w:spacing w:after="0" w:line="263" w:lineRule="auto"/>
        <w:rPr>
          <w:sz w:val="20"/>
          <w:szCs w:val="20"/>
          <w:color w:val="auto"/>
        </w:rPr>
      </w:pPr>
      <w:r>
        <w:rPr>
          <w:rFonts w:ascii="Arial" w:cs="Arial" w:eastAsia="Arial" w:hAnsi="Arial"/>
          <w:sz w:val="18"/>
          <w:szCs w:val="18"/>
          <w:color w:val="auto"/>
        </w:rPr>
        <w:t>To the extent that the assistance required of Supplier under subsections (f) and (g) above may require Supplier to incur substantial costs, Supplier will notify AT&amp;T in advance of incurring such costs and the Parties will negotiate in good faith the fees, if any, to be paid to Supplier for such assistance.</w:t>
      </w:r>
    </w:p>
    <w:p>
      <w:pPr>
        <w:spacing w:after="0" w:line="89" w:lineRule="exact"/>
        <w:rPr>
          <w:sz w:val="20"/>
          <w:szCs w:val="20"/>
          <w:color w:val="auto"/>
        </w:rPr>
      </w:pPr>
    </w:p>
    <w:p>
      <w:pPr>
        <w:ind w:left="1380" w:hanging="439"/>
        <w:spacing w:after="0" w:line="255" w:lineRule="auto"/>
        <w:tabs>
          <w:tab w:leader="none" w:pos="13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securely delete all such Personal Data, including all existing copies (or, to the extent AT&amp;T reasonably requests, securely return the Personal Data and copies to AT&amp;T in a commonly used data format (to be agreed by the Parties acting reasonably), when no longer needed for the purposes for which it was collected, which shall be within [***] of the end of the term of this Agreement at the latest unless otherwise reasonably requested by AT&amp;T, provided, however, that no such deletion will be required to the extent that (a) applicable law requires storage of such data beyond such period; or (b) AT&amp;T instructs Supplier in writing to retain such data beyond such period; and</w:t>
      </w:r>
    </w:p>
    <w:p>
      <w:pPr>
        <w:spacing w:after="0" w:line="97" w:lineRule="exact"/>
        <w:rPr>
          <w:rFonts w:ascii="Arial" w:cs="Arial" w:eastAsia="Arial" w:hAnsi="Arial"/>
          <w:sz w:val="18"/>
          <w:szCs w:val="18"/>
          <w:color w:val="auto"/>
        </w:rPr>
      </w:pPr>
    </w:p>
    <w:p>
      <w:pPr>
        <w:ind w:left="1380" w:right="60" w:hanging="439"/>
        <w:spacing w:after="0" w:line="291" w:lineRule="auto"/>
        <w:tabs>
          <w:tab w:leader="none" w:pos="1380" w:val="left"/>
        </w:tabs>
        <w:numPr>
          <w:ilvl w:val="0"/>
          <w:numId w:val="333"/>
        </w:numPr>
        <w:rPr>
          <w:rFonts w:ascii="Arial" w:cs="Arial" w:eastAsia="Arial" w:hAnsi="Arial"/>
          <w:sz w:val="16"/>
          <w:szCs w:val="16"/>
          <w:color w:val="auto"/>
        </w:rPr>
      </w:pPr>
      <w:r>
        <w:rPr>
          <w:rFonts w:ascii="Arial" w:cs="Arial" w:eastAsia="Arial" w:hAnsi="Arial"/>
          <w:sz w:val="16"/>
          <w:szCs w:val="16"/>
          <w:color w:val="auto"/>
        </w:rPr>
        <w:t>at AT&amp;T’s request, make available to AT&amp;T all information necessary to demonstrate compliance with Supplier’s obligations under this Appendix concerning the Supplier’s data security and privacy procedures relating to the processing of Personal Data for the purpose of demonstrating compliance with the obligations laid down in Article 28 of the GDPR and allow for and contribute to audits, including inspections, conducted by the Data Controller or another auditor mandated by the Data Controller in accordance with Section 3.31 of this Agreement, provided that Supplier shall notify AT&amp;T in writing if it believes in good faith that the exercise of rights under this Section 3.1(i) would infringe Data Privacy Laws. Supplier agrees that AT&amp;T has the right under the GDPR to disclose some or all of the information contained in, or obtained in connection with, this Appendix to :</w:t>
      </w:r>
    </w:p>
    <w:p>
      <w:pPr>
        <w:spacing w:after="0" w:line="71" w:lineRule="exact"/>
        <w:rPr>
          <w:rFonts w:ascii="Arial" w:cs="Arial" w:eastAsia="Arial" w:hAnsi="Arial"/>
          <w:sz w:val="16"/>
          <w:szCs w:val="16"/>
          <w:color w:val="auto"/>
        </w:rPr>
      </w:pPr>
    </w:p>
    <w:p>
      <w:pPr>
        <w:ind w:left="2380" w:hanging="332"/>
        <w:spacing w:after="0"/>
        <w:tabs>
          <w:tab w:leader="none" w:pos="23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Data Controllers, Supervisory Authorities, Data Subjects; and</w:t>
      </w:r>
    </w:p>
    <w:p>
      <w:pPr>
        <w:spacing w:after="0" w:line="130" w:lineRule="exact"/>
        <w:rPr>
          <w:rFonts w:ascii="Arial" w:cs="Arial" w:eastAsia="Arial" w:hAnsi="Arial"/>
          <w:sz w:val="18"/>
          <w:szCs w:val="18"/>
          <w:color w:val="auto"/>
        </w:rPr>
      </w:pPr>
    </w:p>
    <w:p>
      <w:pPr>
        <w:ind w:left="2380" w:hanging="332"/>
        <w:spacing w:after="0"/>
        <w:tabs>
          <w:tab w:leader="none" w:pos="2380" w:val="left"/>
        </w:tabs>
        <w:numPr>
          <w:ilvl w:val="1"/>
          <w:numId w:val="333"/>
        </w:numPr>
        <w:rPr>
          <w:rFonts w:ascii="Arial" w:cs="Arial" w:eastAsia="Arial" w:hAnsi="Arial"/>
          <w:sz w:val="18"/>
          <w:szCs w:val="18"/>
          <w:color w:val="auto"/>
        </w:rPr>
      </w:pPr>
      <w:r>
        <w:rPr>
          <w:rFonts w:ascii="Arial" w:cs="Arial" w:eastAsia="Arial" w:hAnsi="Arial"/>
          <w:sz w:val="18"/>
          <w:szCs w:val="18"/>
          <w:color w:val="auto"/>
        </w:rPr>
        <w:t>other third parties to the extent required under Data Privacy Laws; and</w:t>
      </w:r>
    </w:p>
    <w:p>
      <w:pPr>
        <w:spacing w:after="0" w:line="130" w:lineRule="exact"/>
        <w:rPr>
          <w:rFonts w:ascii="Arial" w:cs="Arial" w:eastAsia="Arial" w:hAnsi="Arial"/>
          <w:sz w:val="18"/>
          <w:szCs w:val="18"/>
          <w:color w:val="auto"/>
        </w:rPr>
      </w:pPr>
    </w:p>
    <w:p>
      <w:pPr>
        <w:ind w:left="1380" w:right="60" w:hanging="439"/>
        <w:spacing w:after="0" w:line="277" w:lineRule="auto"/>
        <w:tabs>
          <w:tab w:leader="none" w:pos="13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provide and keep current its processing-related information, Data Protection Officer information, and point of contact information in a medium and form acceptable to AT&amp;T.</w:t>
      </w:r>
    </w:p>
    <w:p>
      <w:pPr>
        <w:spacing w:after="0" w:line="76" w:lineRule="exact"/>
        <w:rPr>
          <w:sz w:val="20"/>
          <w:szCs w:val="20"/>
          <w:color w:val="auto"/>
        </w:rPr>
      </w:pPr>
    </w:p>
    <w:p>
      <w:pPr>
        <w:jc w:val="right"/>
        <w:ind w:left="380" w:right="100"/>
        <w:spacing w:after="0" w:line="291" w:lineRule="auto"/>
        <w:rPr>
          <w:sz w:val="20"/>
          <w:szCs w:val="20"/>
          <w:color w:val="auto"/>
        </w:rPr>
      </w:pPr>
      <w:r>
        <w:rPr>
          <w:rFonts w:ascii="Arial" w:cs="Arial" w:eastAsia="Arial" w:hAnsi="Arial"/>
          <w:sz w:val="16"/>
          <w:szCs w:val="16"/>
          <w:color w:val="auto"/>
        </w:rPr>
        <w:t>2.2.   Cross-Border Transfers to Restricted Jurisdictions. With respect to Personal Data originating in a country identified in Table 1, below, and processed by Supplier in a Restricted Jurisdiction, Supplier shall process (including making any transfers of) such data in accordance with</w:t>
      </w:r>
    </w:p>
    <w:p>
      <w:pPr>
        <w:ind w:left="920"/>
        <w:spacing w:after="0"/>
        <w:rPr>
          <w:sz w:val="20"/>
          <w:szCs w:val="20"/>
          <w:color w:val="auto"/>
        </w:rPr>
      </w:pPr>
      <w:r>
        <w:rPr>
          <w:rFonts w:ascii="Arial" w:cs="Arial" w:eastAsia="Arial" w:hAnsi="Arial"/>
          <w:sz w:val="17"/>
          <w:szCs w:val="17"/>
          <w:color w:val="auto"/>
        </w:rPr>
        <w:t>(i) the terms and conditions set out in this Appendix, (ii) Appendix L, Standard Contractual Clauses and (iii) Data Privacy Laws.</w:t>
      </w:r>
    </w:p>
    <w:p>
      <w:pPr>
        <w:spacing w:after="0" w:line="155" w:lineRule="exact"/>
        <w:rPr>
          <w:sz w:val="20"/>
          <w:szCs w:val="20"/>
          <w:color w:val="auto"/>
        </w:rPr>
      </w:pPr>
    </w:p>
    <w:p>
      <w:pPr>
        <w:ind w:left="9800"/>
        <w:spacing w:after="0"/>
        <w:rPr>
          <w:sz w:val="20"/>
          <w:szCs w:val="20"/>
          <w:color w:val="auto"/>
        </w:rPr>
      </w:pPr>
      <w:r>
        <w:rPr>
          <w:rFonts w:ascii="Arial" w:cs="Arial" w:eastAsia="Arial" w:hAnsi="Arial"/>
          <w:sz w:val="16"/>
          <w:szCs w:val="16"/>
          <w:color w:val="auto"/>
        </w:rPr>
        <w:t>Page 182 of 206</w:t>
      </w:r>
    </w:p>
    <w:p>
      <w:pPr>
        <w:spacing w:after="0" w:line="14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3000" w:type="dxa"/>
            <w:vAlign w:val="bottom"/>
          </w:tcPr>
          <w:p>
            <w:pPr>
              <w:ind w:left="380"/>
              <w:spacing w:after="0"/>
              <w:rPr>
                <w:sz w:val="20"/>
                <w:szCs w:val="20"/>
                <w:color w:val="auto"/>
              </w:rPr>
            </w:pPr>
            <w:r>
              <w:rPr>
                <w:rFonts w:ascii="Arial" w:cs="Arial" w:eastAsia="Arial" w:hAnsi="Arial"/>
                <w:sz w:val="18"/>
                <w:szCs w:val="18"/>
                <w:color w:val="auto"/>
                <w:w w:val="93"/>
              </w:rPr>
              <w:t>AT&amp;T Agreement No. 53258.A.005</w:t>
            </w:r>
          </w:p>
        </w:tc>
      </w:tr>
      <w:tr>
        <w:trPr>
          <w:trHeight w:val="364"/>
        </w:trPr>
        <w:tc>
          <w:tcPr>
            <w:tcW w:w="2400" w:type="dxa"/>
            <w:vAlign w:val="bottom"/>
          </w:tcPr>
          <w:p>
            <w:pPr>
              <w:spacing w:after="0"/>
              <w:rPr>
                <w:sz w:val="20"/>
                <w:szCs w:val="20"/>
                <w:color w:val="auto"/>
              </w:rPr>
            </w:pPr>
            <w:r>
              <w:rPr>
                <w:rFonts w:ascii="Arial" w:cs="Arial" w:eastAsia="Arial" w:hAnsi="Arial"/>
                <w:sz w:val="18"/>
                <w:szCs w:val="18"/>
                <w:color w:val="auto"/>
              </w:rPr>
              <w:t>TABLE 1</w:t>
            </w:r>
          </w:p>
        </w:tc>
        <w:tc>
          <w:tcPr>
            <w:tcW w:w="28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229"/>
        </w:trPr>
        <w:tc>
          <w:tcPr>
            <w:tcW w:w="2400" w:type="dxa"/>
            <w:vAlign w:val="bottom"/>
          </w:tcPr>
          <w:p>
            <w:pPr>
              <w:spacing w:after="0"/>
              <w:rPr>
                <w:sz w:val="20"/>
                <w:szCs w:val="20"/>
                <w:color w:val="auto"/>
              </w:rPr>
            </w:pPr>
            <w:r>
              <w:rPr>
                <w:rFonts w:ascii="Arial" w:cs="Arial" w:eastAsia="Arial" w:hAnsi="Arial"/>
                <w:sz w:val="18"/>
                <w:szCs w:val="18"/>
                <w:color w:val="auto"/>
              </w:rPr>
              <w:t>Austria</w:t>
            </w:r>
          </w:p>
        </w:tc>
        <w:tc>
          <w:tcPr>
            <w:tcW w:w="2820" w:type="dxa"/>
            <w:vAlign w:val="bottom"/>
          </w:tcPr>
          <w:p>
            <w:pPr>
              <w:ind w:left="900"/>
              <w:spacing w:after="0"/>
              <w:rPr>
                <w:sz w:val="20"/>
                <w:szCs w:val="20"/>
                <w:color w:val="auto"/>
              </w:rPr>
            </w:pPr>
            <w:r>
              <w:rPr>
                <w:rFonts w:ascii="Arial" w:cs="Arial" w:eastAsia="Arial" w:hAnsi="Arial"/>
                <w:sz w:val="18"/>
                <w:szCs w:val="18"/>
                <w:color w:val="auto"/>
              </w:rPr>
              <w:t>FINLAND</w:t>
            </w:r>
          </w:p>
        </w:tc>
        <w:tc>
          <w:tcPr>
            <w:tcW w:w="2800" w:type="dxa"/>
            <w:vAlign w:val="bottom"/>
          </w:tcPr>
          <w:p>
            <w:pPr>
              <w:ind w:left="1040"/>
              <w:spacing w:after="0"/>
              <w:rPr>
                <w:sz w:val="20"/>
                <w:szCs w:val="20"/>
                <w:color w:val="auto"/>
              </w:rPr>
            </w:pPr>
            <w:r>
              <w:rPr>
                <w:rFonts w:ascii="Arial" w:cs="Arial" w:eastAsia="Arial" w:hAnsi="Arial"/>
                <w:sz w:val="18"/>
                <w:szCs w:val="18"/>
                <w:color w:val="auto"/>
              </w:rPr>
              <w:t>LATVIA</w:t>
            </w:r>
          </w:p>
        </w:tc>
        <w:tc>
          <w:tcPr>
            <w:tcW w:w="3000" w:type="dxa"/>
            <w:vAlign w:val="bottom"/>
          </w:tcPr>
          <w:p>
            <w:pPr>
              <w:ind w:left="1100"/>
              <w:spacing w:after="0"/>
              <w:rPr>
                <w:sz w:val="20"/>
                <w:szCs w:val="20"/>
                <w:color w:val="auto"/>
              </w:rPr>
            </w:pPr>
            <w:r>
              <w:rPr>
                <w:rFonts w:ascii="Arial" w:cs="Arial" w:eastAsia="Arial" w:hAnsi="Arial"/>
                <w:sz w:val="18"/>
                <w:szCs w:val="18"/>
                <w:color w:val="auto"/>
              </w:rPr>
              <w:t>PORTUGAL</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BELGIUM</w:t>
            </w:r>
          </w:p>
        </w:tc>
        <w:tc>
          <w:tcPr>
            <w:tcW w:w="2820" w:type="dxa"/>
            <w:vAlign w:val="bottom"/>
          </w:tcPr>
          <w:p>
            <w:pPr>
              <w:ind w:left="900"/>
              <w:spacing w:after="0"/>
              <w:rPr>
                <w:sz w:val="20"/>
                <w:szCs w:val="20"/>
                <w:color w:val="auto"/>
              </w:rPr>
            </w:pPr>
            <w:r>
              <w:rPr>
                <w:rFonts w:ascii="Arial" w:cs="Arial" w:eastAsia="Arial" w:hAnsi="Arial"/>
                <w:sz w:val="18"/>
                <w:szCs w:val="18"/>
                <w:color w:val="auto"/>
              </w:rPr>
              <w:t>FRANCE</w:t>
            </w:r>
          </w:p>
        </w:tc>
        <w:tc>
          <w:tcPr>
            <w:tcW w:w="2800" w:type="dxa"/>
            <w:vAlign w:val="bottom"/>
          </w:tcPr>
          <w:p>
            <w:pPr>
              <w:ind w:left="1040"/>
              <w:spacing w:after="0"/>
              <w:rPr>
                <w:sz w:val="20"/>
                <w:szCs w:val="20"/>
                <w:color w:val="auto"/>
              </w:rPr>
            </w:pPr>
            <w:r>
              <w:rPr>
                <w:rFonts w:ascii="Arial" w:cs="Arial" w:eastAsia="Arial" w:hAnsi="Arial"/>
                <w:sz w:val="18"/>
                <w:szCs w:val="18"/>
                <w:color w:val="auto"/>
              </w:rPr>
              <w:t>LIECHTENSTEIN</w:t>
            </w:r>
          </w:p>
        </w:tc>
        <w:tc>
          <w:tcPr>
            <w:tcW w:w="3000" w:type="dxa"/>
            <w:vAlign w:val="bottom"/>
          </w:tcPr>
          <w:p>
            <w:pPr>
              <w:ind w:left="1100"/>
              <w:spacing w:after="0"/>
              <w:rPr>
                <w:sz w:val="20"/>
                <w:szCs w:val="20"/>
                <w:color w:val="auto"/>
              </w:rPr>
            </w:pPr>
            <w:r>
              <w:rPr>
                <w:rFonts w:ascii="Arial" w:cs="Arial" w:eastAsia="Arial" w:hAnsi="Arial"/>
                <w:sz w:val="18"/>
                <w:szCs w:val="18"/>
                <w:color w:val="auto"/>
              </w:rPr>
              <w:t>ROMANIA</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BULGARIA</w:t>
            </w:r>
          </w:p>
        </w:tc>
        <w:tc>
          <w:tcPr>
            <w:tcW w:w="2820" w:type="dxa"/>
            <w:vAlign w:val="bottom"/>
          </w:tcPr>
          <w:p>
            <w:pPr>
              <w:ind w:left="900"/>
              <w:spacing w:after="0"/>
              <w:rPr>
                <w:sz w:val="20"/>
                <w:szCs w:val="20"/>
                <w:color w:val="auto"/>
              </w:rPr>
            </w:pPr>
            <w:r>
              <w:rPr>
                <w:rFonts w:ascii="Arial" w:cs="Arial" w:eastAsia="Arial" w:hAnsi="Arial"/>
                <w:sz w:val="18"/>
                <w:szCs w:val="18"/>
                <w:color w:val="auto"/>
              </w:rPr>
              <w:t>GERMANY</w:t>
            </w:r>
          </w:p>
        </w:tc>
        <w:tc>
          <w:tcPr>
            <w:tcW w:w="2800" w:type="dxa"/>
            <w:vAlign w:val="bottom"/>
          </w:tcPr>
          <w:p>
            <w:pPr>
              <w:ind w:left="1040"/>
              <w:spacing w:after="0"/>
              <w:rPr>
                <w:sz w:val="20"/>
                <w:szCs w:val="20"/>
                <w:color w:val="auto"/>
              </w:rPr>
            </w:pPr>
            <w:r>
              <w:rPr>
                <w:rFonts w:ascii="Arial" w:cs="Arial" w:eastAsia="Arial" w:hAnsi="Arial"/>
                <w:sz w:val="18"/>
                <w:szCs w:val="18"/>
                <w:color w:val="auto"/>
              </w:rPr>
              <w:t>LITHUANIA</w:t>
            </w:r>
          </w:p>
        </w:tc>
        <w:tc>
          <w:tcPr>
            <w:tcW w:w="3000" w:type="dxa"/>
            <w:vAlign w:val="bottom"/>
          </w:tcPr>
          <w:p>
            <w:pPr>
              <w:ind w:left="1100"/>
              <w:spacing w:after="0"/>
              <w:rPr>
                <w:sz w:val="20"/>
                <w:szCs w:val="20"/>
                <w:color w:val="auto"/>
              </w:rPr>
            </w:pPr>
            <w:r>
              <w:rPr>
                <w:rFonts w:ascii="Arial" w:cs="Arial" w:eastAsia="Arial" w:hAnsi="Arial"/>
                <w:sz w:val="18"/>
                <w:szCs w:val="18"/>
                <w:color w:val="auto"/>
              </w:rPr>
              <w:t>SLOVAKIA</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CROATIA</w:t>
            </w:r>
          </w:p>
        </w:tc>
        <w:tc>
          <w:tcPr>
            <w:tcW w:w="2820" w:type="dxa"/>
            <w:vAlign w:val="bottom"/>
          </w:tcPr>
          <w:p>
            <w:pPr>
              <w:ind w:left="900"/>
              <w:spacing w:after="0"/>
              <w:rPr>
                <w:sz w:val="20"/>
                <w:szCs w:val="20"/>
                <w:color w:val="auto"/>
              </w:rPr>
            </w:pPr>
            <w:r>
              <w:rPr>
                <w:rFonts w:ascii="Arial" w:cs="Arial" w:eastAsia="Arial" w:hAnsi="Arial"/>
                <w:sz w:val="18"/>
                <w:szCs w:val="18"/>
                <w:color w:val="auto"/>
              </w:rPr>
              <w:t>GREECE</w:t>
            </w:r>
          </w:p>
        </w:tc>
        <w:tc>
          <w:tcPr>
            <w:tcW w:w="2800" w:type="dxa"/>
            <w:vAlign w:val="bottom"/>
          </w:tcPr>
          <w:p>
            <w:pPr>
              <w:ind w:left="1040"/>
              <w:spacing w:after="0"/>
              <w:rPr>
                <w:sz w:val="20"/>
                <w:szCs w:val="20"/>
                <w:color w:val="auto"/>
              </w:rPr>
            </w:pPr>
            <w:r>
              <w:rPr>
                <w:rFonts w:ascii="Arial" w:cs="Arial" w:eastAsia="Arial" w:hAnsi="Arial"/>
                <w:sz w:val="18"/>
                <w:szCs w:val="18"/>
                <w:color w:val="auto"/>
              </w:rPr>
              <w:t>LUXEMBOURG</w:t>
            </w:r>
          </w:p>
        </w:tc>
        <w:tc>
          <w:tcPr>
            <w:tcW w:w="3000" w:type="dxa"/>
            <w:vAlign w:val="bottom"/>
          </w:tcPr>
          <w:p>
            <w:pPr>
              <w:ind w:left="1100"/>
              <w:spacing w:after="0"/>
              <w:rPr>
                <w:sz w:val="20"/>
                <w:szCs w:val="20"/>
                <w:color w:val="auto"/>
              </w:rPr>
            </w:pPr>
            <w:r>
              <w:rPr>
                <w:rFonts w:ascii="Arial" w:cs="Arial" w:eastAsia="Arial" w:hAnsi="Arial"/>
                <w:sz w:val="18"/>
                <w:szCs w:val="18"/>
                <w:color w:val="auto"/>
              </w:rPr>
              <w:t>SLOVENIA</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CYPRUS</w:t>
            </w:r>
          </w:p>
        </w:tc>
        <w:tc>
          <w:tcPr>
            <w:tcW w:w="2820" w:type="dxa"/>
            <w:vAlign w:val="bottom"/>
          </w:tcPr>
          <w:p>
            <w:pPr>
              <w:ind w:left="900"/>
              <w:spacing w:after="0"/>
              <w:rPr>
                <w:sz w:val="20"/>
                <w:szCs w:val="20"/>
                <w:color w:val="auto"/>
              </w:rPr>
            </w:pPr>
            <w:r>
              <w:rPr>
                <w:rFonts w:ascii="Arial" w:cs="Arial" w:eastAsia="Arial" w:hAnsi="Arial"/>
                <w:sz w:val="18"/>
                <w:szCs w:val="18"/>
                <w:color w:val="auto"/>
              </w:rPr>
              <w:t>HUNGARY</w:t>
            </w:r>
          </w:p>
        </w:tc>
        <w:tc>
          <w:tcPr>
            <w:tcW w:w="2800" w:type="dxa"/>
            <w:vAlign w:val="bottom"/>
          </w:tcPr>
          <w:p>
            <w:pPr>
              <w:ind w:left="1040"/>
              <w:spacing w:after="0"/>
              <w:rPr>
                <w:sz w:val="20"/>
                <w:szCs w:val="20"/>
                <w:color w:val="auto"/>
              </w:rPr>
            </w:pPr>
            <w:r>
              <w:rPr>
                <w:rFonts w:ascii="Arial" w:cs="Arial" w:eastAsia="Arial" w:hAnsi="Arial"/>
                <w:sz w:val="18"/>
                <w:szCs w:val="18"/>
                <w:color w:val="auto"/>
              </w:rPr>
              <w:t>MALTA</w:t>
            </w:r>
          </w:p>
        </w:tc>
        <w:tc>
          <w:tcPr>
            <w:tcW w:w="3000" w:type="dxa"/>
            <w:vAlign w:val="bottom"/>
          </w:tcPr>
          <w:p>
            <w:pPr>
              <w:ind w:left="1100"/>
              <w:spacing w:after="0"/>
              <w:rPr>
                <w:sz w:val="20"/>
                <w:szCs w:val="20"/>
                <w:color w:val="auto"/>
              </w:rPr>
            </w:pPr>
            <w:r>
              <w:rPr>
                <w:rFonts w:ascii="Arial" w:cs="Arial" w:eastAsia="Arial" w:hAnsi="Arial"/>
                <w:sz w:val="18"/>
                <w:szCs w:val="18"/>
                <w:color w:val="auto"/>
              </w:rPr>
              <w:t>SPAIN</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CZECH REPUBLIC</w:t>
            </w:r>
          </w:p>
        </w:tc>
        <w:tc>
          <w:tcPr>
            <w:tcW w:w="2820" w:type="dxa"/>
            <w:vAlign w:val="bottom"/>
          </w:tcPr>
          <w:p>
            <w:pPr>
              <w:ind w:left="900"/>
              <w:spacing w:after="0"/>
              <w:rPr>
                <w:sz w:val="20"/>
                <w:szCs w:val="20"/>
                <w:color w:val="auto"/>
              </w:rPr>
            </w:pPr>
            <w:r>
              <w:rPr>
                <w:rFonts w:ascii="Arial" w:cs="Arial" w:eastAsia="Arial" w:hAnsi="Arial"/>
                <w:sz w:val="18"/>
                <w:szCs w:val="18"/>
                <w:color w:val="auto"/>
              </w:rPr>
              <w:t>ICELAND</w:t>
            </w:r>
          </w:p>
        </w:tc>
        <w:tc>
          <w:tcPr>
            <w:tcW w:w="2800" w:type="dxa"/>
            <w:vAlign w:val="bottom"/>
          </w:tcPr>
          <w:p>
            <w:pPr>
              <w:ind w:left="1040"/>
              <w:spacing w:after="0"/>
              <w:rPr>
                <w:sz w:val="20"/>
                <w:szCs w:val="20"/>
                <w:color w:val="auto"/>
              </w:rPr>
            </w:pPr>
            <w:r>
              <w:rPr>
                <w:rFonts w:ascii="Arial" w:cs="Arial" w:eastAsia="Arial" w:hAnsi="Arial"/>
                <w:sz w:val="18"/>
                <w:szCs w:val="18"/>
                <w:color w:val="auto"/>
              </w:rPr>
              <w:t>NETHERLANDS</w:t>
            </w:r>
          </w:p>
        </w:tc>
        <w:tc>
          <w:tcPr>
            <w:tcW w:w="3000" w:type="dxa"/>
            <w:vAlign w:val="bottom"/>
          </w:tcPr>
          <w:p>
            <w:pPr>
              <w:ind w:left="1100"/>
              <w:spacing w:after="0"/>
              <w:rPr>
                <w:sz w:val="20"/>
                <w:szCs w:val="20"/>
                <w:color w:val="auto"/>
              </w:rPr>
            </w:pPr>
            <w:r>
              <w:rPr>
                <w:rFonts w:ascii="Arial" w:cs="Arial" w:eastAsia="Arial" w:hAnsi="Arial"/>
                <w:sz w:val="18"/>
                <w:szCs w:val="18"/>
                <w:color w:val="auto"/>
              </w:rPr>
              <w:t>SWEDEN</w:t>
            </w:r>
          </w:p>
        </w:tc>
      </w:t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DENMARK</w:t>
            </w:r>
          </w:p>
        </w:tc>
        <w:tc>
          <w:tcPr>
            <w:tcW w:w="2820" w:type="dxa"/>
            <w:vAlign w:val="bottom"/>
          </w:tcPr>
          <w:p>
            <w:pPr>
              <w:ind w:left="900"/>
              <w:spacing w:after="0"/>
              <w:rPr>
                <w:sz w:val="20"/>
                <w:szCs w:val="20"/>
                <w:color w:val="auto"/>
              </w:rPr>
            </w:pPr>
            <w:r>
              <w:rPr>
                <w:rFonts w:ascii="Arial" w:cs="Arial" w:eastAsia="Arial" w:hAnsi="Arial"/>
                <w:sz w:val="18"/>
                <w:szCs w:val="18"/>
                <w:color w:val="auto"/>
              </w:rPr>
              <w:t>IRELAND</w:t>
            </w:r>
          </w:p>
        </w:tc>
        <w:tc>
          <w:tcPr>
            <w:tcW w:w="2800" w:type="dxa"/>
            <w:vAlign w:val="bottom"/>
          </w:tcPr>
          <w:p>
            <w:pPr>
              <w:ind w:left="1040"/>
              <w:spacing w:after="0"/>
              <w:rPr>
                <w:sz w:val="20"/>
                <w:szCs w:val="20"/>
                <w:color w:val="auto"/>
              </w:rPr>
            </w:pPr>
            <w:r>
              <w:rPr>
                <w:rFonts w:ascii="Arial" w:cs="Arial" w:eastAsia="Arial" w:hAnsi="Arial"/>
                <w:sz w:val="18"/>
                <w:szCs w:val="18"/>
                <w:color w:val="auto"/>
              </w:rPr>
              <w:t>NORWAY</w:t>
            </w:r>
          </w:p>
        </w:tc>
        <w:tc>
          <w:tcPr>
            <w:tcW w:w="3000" w:type="dxa"/>
            <w:vAlign w:val="bottom"/>
          </w:tcPr>
          <w:p>
            <w:pPr>
              <w:ind w:left="1100"/>
              <w:spacing w:after="0"/>
              <w:rPr>
                <w:sz w:val="20"/>
                <w:szCs w:val="20"/>
                <w:color w:val="auto"/>
              </w:rPr>
            </w:pPr>
            <w:r>
              <w:rPr>
                <w:rFonts w:ascii="Arial" w:cs="Arial" w:eastAsia="Arial" w:hAnsi="Arial"/>
                <w:sz w:val="18"/>
                <w:szCs w:val="18"/>
                <w:color w:val="auto"/>
              </w:rPr>
              <w:t>SWITZERLAND</w:t>
            </w:r>
          </w:p>
        </w:tc>
      </w:t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ESTONIA</w:t>
            </w:r>
          </w:p>
        </w:tc>
        <w:tc>
          <w:tcPr>
            <w:tcW w:w="2820" w:type="dxa"/>
            <w:vAlign w:val="bottom"/>
          </w:tcPr>
          <w:p>
            <w:pPr>
              <w:ind w:left="900"/>
              <w:spacing w:after="0"/>
              <w:rPr>
                <w:sz w:val="20"/>
                <w:szCs w:val="20"/>
                <w:color w:val="auto"/>
              </w:rPr>
            </w:pPr>
            <w:r>
              <w:rPr>
                <w:rFonts w:ascii="Arial" w:cs="Arial" w:eastAsia="Arial" w:hAnsi="Arial"/>
                <w:sz w:val="18"/>
                <w:szCs w:val="18"/>
                <w:color w:val="auto"/>
              </w:rPr>
              <w:t>ITALY</w:t>
            </w:r>
          </w:p>
        </w:tc>
        <w:tc>
          <w:tcPr>
            <w:tcW w:w="2800" w:type="dxa"/>
            <w:vAlign w:val="bottom"/>
          </w:tcPr>
          <w:p>
            <w:pPr>
              <w:ind w:left="1040"/>
              <w:spacing w:after="0"/>
              <w:rPr>
                <w:sz w:val="20"/>
                <w:szCs w:val="20"/>
                <w:color w:val="auto"/>
              </w:rPr>
            </w:pPr>
            <w:r>
              <w:rPr>
                <w:rFonts w:ascii="Arial" w:cs="Arial" w:eastAsia="Arial" w:hAnsi="Arial"/>
                <w:sz w:val="18"/>
                <w:szCs w:val="18"/>
                <w:color w:val="auto"/>
              </w:rPr>
              <w:t>POLAND</w:t>
            </w:r>
          </w:p>
        </w:tc>
        <w:tc>
          <w:tcPr>
            <w:tcW w:w="3000" w:type="dxa"/>
            <w:vAlign w:val="bottom"/>
          </w:tcPr>
          <w:p>
            <w:pPr>
              <w:ind w:left="1100"/>
              <w:spacing w:after="0"/>
              <w:rPr>
                <w:sz w:val="20"/>
                <w:szCs w:val="20"/>
                <w:color w:val="auto"/>
              </w:rPr>
            </w:pPr>
            <w:r>
              <w:rPr>
                <w:rFonts w:ascii="Arial" w:cs="Arial" w:eastAsia="Arial" w:hAnsi="Arial"/>
                <w:sz w:val="18"/>
                <w:szCs w:val="18"/>
                <w:color w:val="auto"/>
              </w:rPr>
              <w:t>UNITED KINGDOM</w:t>
            </w:r>
          </w:p>
        </w:tc>
      </w:tr>
    </w:tbl>
    <w:p>
      <w:pPr>
        <w:spacing w:after="0" w:line="3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0"/>
        <w:spacing w:after="0"/>
        <w:tabs>
          <w:tab w:leader="none" w:pos="9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5"/>
          <w:szCs w:val="15"/>
          <w:color w:val="auto"/>
        </w:rPr>
        <w:t>Permitted Sub-Data Processors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AT&amp;T acknowledges that it has authorized Supplier to engage the natural or legal persons identified by Supplier as of the date of this Appendix in Exhibit 2 to this Appendix to process Personal Data on behalf of the Data Controller. In respect of any permitted Sub-Data Processors, AT&amp;T hereby authorizes Supplier to enter into the Standard Contractual Clauses for and on behalf of AT&amp;T to the extent necessary to secure compliance with the Data Privacy Laws.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183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3404"/>
        <w:spacing w:after="0"/>
        <w:rPr>
          <w:sz w:val="20"/>
          <w:szCs w:val="20"/>
          <w:color w:val="auto"/>
        </w:rPr>
      </w:pPr>
      <w:r>
        <w:rPr>
          <w:rFonts w:ascii="Arial" w:cs="Arial" w:eastAsia="Arial" w:hAnsi="Arial"/>
          <w:sz w:val="18"/>
          <w:szCs w:val="18"/>
          <w:color w:val="auto"/>
        </w:rPr>
        <w:t>EXHIBIT 1—Description Of Processing Of Personal Data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below describes the Processing of Personal Data under this Agreement.</w:t>
      </w:r>
    </w:p>
    <w:p>
      <w:pPr>
        <w:spacing w:after="0" w:line="225" w:lineRule="exact"/>
        <w:rPr>
          <w:sz w:val="20"/>
          <w:szCs w:val="20"/>
          <w:color w:val="auto"/>
        </w:rPr>
      </w:pPr>
    </w:p>
    <w:p>
      <w:pPr>
        <w:ind w:left="4" w:right="80"/>
        <w:spacing w:after="0" w:line="263" w:lineRule="auto"/>
        <w:rPr>
          <w:sz w:val="20"/>
          <w:szCs w:val="20"/>
          <w:color w:val="auto"/>
        </w:rPr>
      </w:pPr>
      <w:r>
        <w:rPr>
          <w:rFonts w:ascii="Arial" w:cs="Arial" w:eastAsia="Arial" w:hAnsi="Arial"/>
          <w:sz w:val="18"/>
          <w:szCs w:val="18"/>
          <w:color w:val="auto"/>
        </w:rPr>
        <w:t>Additional details with breakdown of applications currently identified as impacted by European data is provided in Attachment 1 – Impact By Application. The Parties will maintain the details of Attachment 1 – Impact By Application and the list of Subcontractors for Exhibit 2 without the need to amend this Agreement to include the updates.</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Subject Matter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Supplier Processes Personal Data in relation to provision of the Services under this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Nature of Processing</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Personal Data will be subject to the following Processing operations: [Note: Insert “Y” to indicate those that apply and “N” to indicate those that don’t]</w:t>
      </w:r>
    </w:p>
    <w:p>
      <w:pPr>
        <w:spacing w:after="0" w:line="248" w:lineRule="exact"/>
        <w:rPr>
          <w:sz w:val="20"/>
          <w:szCs w:val="20"/>
          <w:color w:val="auto"/>
        </w:rPr>
      </w:pPr>
    </w:p>
    <w:p>
      <w:pPr>
        <w:ind w:left="304" w:hanging="304"/>
        <w:spacing w:after="0"/>
        <w:tabs>
          <w:tab w:leader="none" w:pos="304" w:val="left"/>
        </w:tabs>
        <w:numPr>
          <w:ilvl w:val="0"/>
          <w:numId w:val="334"/>
        </w:numPr>
        <w:rPr>
          <w:rFonts w:ascii="Arial" w:cs="Arial" w:eastAsia="Arial" w:hAnsi="Arial"/>
          <w:sz w:val="18"/>
          <w:szCs w:val="18"/>
          <w:color w:val="auto"/>
        </w:rPr>
      </w:pPr>
      <w:r>
        <w:rPr>
          <w:rFonts w:ascii="Arial" w:cs="Arial" w:eastAsia="Arial" w:hAnsi="Arial"/>
          <w:sz w:val="18"/>
          <w:szCs w:val="18"/>
          <w:color w:val="auto"/>
        </w:rPr>
        <w:t>Provisioning, testing, delivering, monitoring, maintaining, managing and de-provisioning/winding down the Services</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335"/>
        </w:numPr>
        <w:rPr>
          <w:rFonts w:ascii="Arial" w:cs="Arial" w:eastAsia="Arial" w:hAnsi="Arial"/>
          <w:sz w:val="18"/>
          <w:szCs w:val="18"/>
          <w:color w:val="auto"/>
        </w:rPr>
      </w:pPr>
      <w:r>
        <w:rPr>
          <w:rFonts w:ascii="Arial" w:cs="Arial" w:eastAsia="Arial" w:hAnsi="Arial"/>
          <w:sz w:val="18"/>
          <w:szCs w:val="18"/>
          <w:color w:val="auto"/>
        </w:rPr>
        <w:t>Managing network devices</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336"/>
        </w:numPr>
        <w:rPr>
          <w:rFonts w:ascii="Arial" w:cs="Arial" w:eastAsia="Arial" w:hAnsi="Arial"/>
          <w:sz w:val="18"/>
          <w:szCs w:val="18"/>
          <w:color w:val="auto"/>
        </w:rPr>
      </w:pPr>
      <w:r>
        <w:rPr>
          <w:rFonts w:ascii="Arial" w:cs="Arial" w:eastAsia="Arial" w:hAnsi="Arial"/>
          <w:sz w:val="18"/>
          <w:szCs w:val="18"/>
          <w:color w:val="auto"/>
        </w:rPr>
        <w:t>Monitoring and analyzing network utilization/network management information</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Identifying and resolving service performance issues</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Creating, storing, utilizing, and delivering reports and related data</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Enabling access to AT&amp;T facilities and systems</w:t>
      </w:r>
    </w:p>
    <w:p>
      <w:pPr>
        <w:spacing w:after="0" w:line="225" w:lineRule="exact"/>
        <w:rPr>
          <w:rFonts w:ascii="Arial" w:cs="Arial" w:eastAsia="Arial" w:hAnsi="Arial"/>
          <w:sz w:val="18"/>
          <w:szCs w:val="18"/>
          <w:color w:val="auto"/>
        </w:rPr>
      </w:pPr>
    </w:p>
    <w:p>
      <w:pPr>
        <w:ind w:left="284" w:hanging="284"/>
        <w:spacing w:after="0"/>
        <w:tabs>
          <w:tab w:leader="none" w:pos="28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Transmitting and storing electronic communications</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Creating, storing and delivering bills; and receiving, storing, investigating and responding to billing inquiries</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Storing, utilizing, and maintaining contract documents and related materials</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Storing, utilizing, and maintaining other documents and records containing Personal Data</w:t>
      </w:r>
    </w:p>
    <w:p>
      <w:pPr>
        <w:spacing w:after="0" w:line="225" w:lineRule="exact"/>
        <w:rPr>
          <w:sz w:val="20"/>
          <w:szCs w:val="20"/>
          <w:color w:val="auto"/>
        </w:rPr>
      </w:pPr>
    </w:p>
    <w:p>
      <w:pPr>
        <w:ind w:left="4" w:right="400" w:hanging="4"/>
        <w:spacing w:after="0" w:line="342" w:lineRule="auto"/>
        <w:tabs>
          <w:tab w:leader="none" w:pos="299" w:val="left"/>
        </w:tabs>
        <w:numPr>
          <w:ilvl w:val="0"/>
          <w:numId w:val="344"/>
        </w:numPr>
        <w:rPr>
          <w:rFonts w:ascii="Arial" w:cs="Arial" w:eastAsia="Arial" w:hAnsi="Arial"/>
          <w:sz w:val="16"/>
          <w:szCs w:val="16"/>
          <w:color w:val="auto"/>
        </w:rPr>
      </w:pPr>
      <w:r>
        <w:rPr>
          <w:rFonts w:ascii="Arial" w:cs="Arial" w:eastAsia="Arial" w:hAnsi="Arial"/>
          <w:sz w:val="16"/>
          <w:szCs w:val="16"/>
          <w:color w:val="auto"/>
        </w:rPr>
        <w:t>Communicating with AT&amp;T employees/representatives, AT&amp;T’s customer’s employees/representatives, other suppliers’ (other than Supplier’s) employees/representatives and/or the employees/representatives of such suppliers’ subcontractors of any tier regarding the Services</w:t>
      </w:r>
    </w:p>
    <w:p>
      <w:pPr>
        <w:spacing w:after="0" w:line="124" w:lineRule="exact"/>
        <w:rPr>
          <w:sz w:val="20"/>
          <w:szCs w:val="20"/>
          <w:color w:val="auto"/>
        </w:rPr>
      </w:pPr>
    </w:p>
    <w:p>
      <w:pPr>
        <w:ind w:left="304" w:hanging="304"/>
        <w:spacing w:after="0"/>
        <w:tabs>
          <w:tab w:leader="none" w:pos="30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Performing other functions in support of the Services (please specify): Please see Exhibit Attachment 1 – Impact by Application.</w:t>
      </w:r>
    </w:p>
    <w:p>
      <w:pPr>
        <w:spacing w:after="0" w:line="225" w:lineRule="exact"/>
        <w:rPr>
          <w:rFonts w:ascii="Arial" w:cs="Arial" w:eastAsia="Arial" w:hAnsi="Arial"/>
          <w:sz w:val="18"/>
          <w:szCs w:val="18"/>
          <w:color w:val="auto"/>
        </w:rPr>
      </w:pPr>
    </w:p>
    <w:p>
      <w:pPr>
        <w:ind w:left="304" w:hanging="304"/>
        <w:spacing w:after="0"/>
        <w:tabs>
          <w:tab w:leader="none" w:pos="30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Transferring Personal Data to Restricted Jurisdictions in connection with any processing operation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184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Purpose of Processing</w:t>
      </w:r>
    </w:p>
    <w:p>
      <w:pPr>
        <w:spacing w:after="0" w:line="117"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Supplier Processes Personal Data to provide the Services, perform its obligations and exercise its rights under this Agreement, and comply with its legal obligations</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Categories of Personal Data</w:t>
      </w:r>
    </w:p>
    <w:p>
      <w:pPr>
        <w:spacing w:after="0" w:line="117"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Personal Data processed for AT&amp;T concerns the following categories of Personal Data: [ Note: Insert “Y” to indicate those that apply and “N” to indicate those that don’t]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[Y] Business contact data</w:t>
      </w:r>
    </w:p>
    <w:p>
      <w:pPr>
        <w:spacing w:after="0" w:line="117" w:lineRule="exact"/>
        <w:rPr>
          <w:sz w:val="20"/>
          <w:szCs w:val="20"/>
          <w:color w:val="auto"/>
        </w:rPr>
      </w:pPr>
    </w:p>
    <w:p>
      <w:pPr>
        <w:ind w:left="304" w:hanging="304"/>
        <w:spacing w:after="0"/>
        <w:tabs>
          <w:tab w:leader="none" w:pos="30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Electronic communications metadata</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Device identification data</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Geolocation data</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Authentication credentials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Recorded content of electronic communications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Application content (e.g., managing content in a database)</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3"/>
        </w:numPr>
        <w:rPr>
          <w:rFonts w:ascii="Arial" w:cs="Arial" w:eastAsia="Arial" w:hAnsi="Arial"/>
          <w:sz w:val="18"/>
          <w:szCs w:val="18"/>
          <w:color w:val="auto"/>
        </w:rPr>
      </w:pPr>
      <w:r>
        <w:rPr>
          <w:rFonts w:ascii="Arial" w:cs="Arial" w:eastAsia="Arial" w:hAnsi="Arial"/>
          <w:sz w:val="18"/>
          <w:szCs w:val="18"/>
          <w:color w:val="auto"/>
        </w:rPr>
        <w:t>Payment card and similar payment data/other financial data</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Government issued identification numbers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Personal (e.g., date of birth, family-related, education-related, personal history-related)</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Other (please specify): AT&amp;T Webphone data stored in Datalake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Categories of Sensitive Personal Data (if applicable)</w:t>
      </w:r>
    </w:p>
    <w:p>
      <w:pPr>
        <w:spacing w:after="0" w:line="117"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The Personal Data processed for AT&amp;T concerns the following special categories of Personal Data [Note: Insert “Y” to indicate those that apply and “N” to indicate those that don’t]</w:t>
      </w:r>
    </w:p>
    <w:p>
      <w:pPr>
        <w:spacing w:after="0" w:line="62" w:lineRule="exact"/>
        <w:rPr>
          <w:sz w:val="20"/>
          <w:szCs w:val="20"/>
          <w:color w:val="auto"/>
        </w:rPr>
      </w:pPr>
    </w:p>
    <w:p>
      <w:pPr>
        <w:ind w:left="304" w:hanging="304"/>
        <w:spacing w:after="0"/>
        <w:tabs>
          <w:tab w:leader="none" w:pos="30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Racial or ethnic origin</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Political affiliation</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Religious beliefs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Sexual orientation</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Trade union membership</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Genetic data</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Biometric data</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Health Data</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185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Categories of Data Subjects</w:t>
      </w:r>
    </w:p>
    <w:p>
      <w:pPr>
        <w:spacing w:after="0" w:line="11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The Personal Data processed by Supplier concern the following categories of Data Subjects: [ Note: Insert “Y” to indicate those that apply and “N” to indicate those that don’t]</w:t>
      </w:r>
    </w:p>
    <w:p>
      <w:pPr>
        <w:spacing w:after="0" w:line="62" w:lineRule="exact"/>
        <w:rPr>
          <w:sz w:val="20"/>
          <w:szCs w:val="20"/>
          <w:color w:val="auto"/>
        </w:rPr>
      </w:pPr>
    </w:p>
    <w:p>
      <w:pPr>
        <w:ind w:left="304" w:hanging="304"/>
        <w:spacing w:after="0"/>
        <w:tabs>
          <w:tab w:leader="none" w:pos="30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Employees/representatives of AT&amp;T and/or its affiliates (i.e., the AT&amp;T group of companies)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Employees/representatives of AT&amp;T’s customers and/or their affiliates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Employees/representatives of AT&amp;T’s suppliers (other than Supplier) and/or their subcontractors of any tier</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Other (please specify): AT&amp;T Webphone data stored in Datalake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Duration of Processing</w:t>
      </w:r>
    </w:p>
    <w:p>
      <w:pPr>
        <w:spacing w:after="0" w:line="117"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Until the Personal Data is no longer needed for the purposes for which it was collected, which shall be at the end of the term of this Agreement at the latest unless otherwise requested by AT&amp;T.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Location of Processing</w:t>
      </w:r>
    </w:p>
    <w:p>
      <w:pPr>
        <w:spacing w:after="0" w:line="117"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Approved locations under Appendix C – Offshore Locations of the Agreement and/or locations listed in an Order for Services with respect to which the GDPR would be applicable.</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Details of Supplier Data Protection Officer(s) and point(s) of contact for all notices (if different than Supplier Data Protection Officer(s))*</w:t>
      </w:r>
    </w:p>
    <w:p>
      <w:pPr>
        <w:sectPr>
          <w:pgSz w:w="11900" w:h="16838" w:orient="portrait"/>
          <w:cols w:equalWidth="0" w:num="1">
            <w:col w:w="11024"/>
          </w:cols>
          <w:pgMar w:left="436" w:top="274"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Location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5"/>
          <w:szCs w:val="15"/>
          <w:color w:val="auto"/>
        </w:rPr>
        <w:t>Telephone 1</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5"/>
          <w:szCs w:val="15"/>
          <w:color w:val="auto"/>
        </w:rPr>
        <w:t>Telephone 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16" w:lineRule="exact"/>
        <w:rPr>
          <w:sz w:val="20"/>
          <w:szCs w:val="20"/>
          <w:color w:val="auto"/>
        </w:rPr>
      </w:pPr>
    </w:p>
    <w:p>
      <w:pPr>
        <w:sectPr>
          <w:pgSz w:w="11900" w:h="16838" w:orient="portrait"/>
          <w:cols w:equalWidth="0" w:num="2">
            <w:col w:w="884" w:space="220"/>
            <w:col w:w="9920"/>
          </w:cols>
          <w:pgMar w:left="436" w:top="274" w:right="439" w:bottom="1440" w:gutter="0" w:footer="0" w:header="0"/>
          <w:type w:val="continuous"/>
        </w:sectPr>
      </w:pPr>
    </w:p>
    <w:p>
      <w:pPr>
        <w:ind w:left="224" w:right="340" w:hanging="224"/>
        <w:spacing w:after="0" w:line="308" w:lineRule="auto"/>
        <w:tabs>
          <w:tab w:leader="none" w:pos="224" w:val="left"/>
        </w:tabs>
        <w:numPr>
          <w:ilvl w:val="0"/>
          <w:numId w:val="369"/>
        </w:numPr>
        <w:rPr>
          <w:rFonts w:ascii="Arial" w:cs="Arial" w:eastAsia="Arial" w:hAnsi="Arial"/>
          <w:sz w:val="17"/>
          <w:szCs w:val="17"/>
          <w:color w:val="auto"/>
        </w:rPr>
      </w:pPr>
      <w:r>
        <w:rPr>
          <w:rFonts w:ascii="Arial" w:cs="Arial" w:eastAsia="Arial" w:hAnsi="Arial"/>
          <w:sz w:val="17"/>
          <w:szCs w:val="17"/>
          <w:color w:val="auto"/>
        </w:rPr>
        <w:t>Supplier shall keep current its contact information for its Data Protection Officer(s) and other point(s) of contact listed above, without the need to amend this Agreement, by informing Supplier’s AT&amp;T business contact of all changes in a medium and form acceptable to AT&amp;T.</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186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type w:val="continuous"/>
        </w:sectPr>
      </w:pPr>
    </w:p>
    <w:bookmarkStart w:id="309" w:name="page310"/>
    <w:bookmarkEnd w:id="30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EXHIBIT 2—Subcontractors Authorized By AT&amp;T To Process Personal Data*</w:t>
      </w:r>
    </w:p>
    <w:p>
      <w:pPr>
        <w:spacing w:after="0" w:line="240"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580" w:type="dxa"/>
            <w:vAlign w:val="bottom"/>
          </w:tcPr>
          <w:p>
            <w:pPr>
              <w:spacing w:after="0"/>
              <w:rPr>
                <w:sz w:val="20"/>
                <w:szCs w:val="20"/>
                <w:color w:val="auto"/>
              </w:rPr>
            </w:pPr>
            <w:r>
              <w:rPr>
                <w:rFonts w:ascii="Arial" w:cs="Arial" w:eastAsia="Arial" w:hAnsi="Arial"/>
                <w:sz w:val="14"/>
                <w:szCs w:val="14"/>
                <w:color w:val="auto"/>
              </w:rPr>
              <w:t>COMPANY NAME &amp;</w:t>
            </w:r>
          </w:p>
        </w:tc>
        <w:tc>
          <w:tcPr>
            <w:tcW w:w="2520" w:type="dxa"/>
            <w:vAlign w:val="bottom"/>
          </w:tcPr>
          <w:p>
            <w:pPr>
              <w:spacing w:after="0"/>
              <w:rPr>
                <w:sz w:val="14"/>
                <w:szCs w:val="14"/>
                <w:color w:val="auto"/>
              </w:rPr>
            </w:pPr>
          </w:p>
        </w:tc>
        <w:tc>
          <w:tcPr>
            <w:tcW w:w="2540" w:type="dxa"/>
            <w:vAlign w:val="bottom"/>
            <w:gridSpan w:val="2"/>
          </w:tcPr>
          <w:p>
            <w:pPr>
              <w:jc w:val="right"/>
              <w:ind w:right="1090"/>
              <w:spacing w:after="0"/>
              <w:rPr>
                <w:sz w:val="20"/>
                <w:szCs w:val="20"/>
                <w:color w:val="auto"/>
              </w:rPr>
            </w:pPr>
            <w:r>
              <w:rPr>
                <w:rFonts w:ascii="Arial" w:cs="Arial" w:eastAsia="Arial" w:hAnsi="Arial"/>
                <w:sz w:val="14"/>
                <w:szCs w:val="14"/>
                <w:color w:val="auto"/>
                <w:w w:val="97"/>
              </w:rPr>
              <w:t>POINT OF CONTACT</w:t>
            </w:r>
          </w:p>
        </w:tc>
        <w:tc>
          <w:tcPr>
            <w:tcW w:w="1680" w:type="dxa"/>
            <w:vAlign w:val="bottom"/>
            <w:gridSpan w:val="2"/>
          </w:tcPr>
          <w:p>
            <w:pPr>
              <w:jc w:val="right"/>
              <w:ind w:right="250"/>
              <w:spacing w:after="0"/>
              <w:rPr>
                <w:sz w:val="20"/>
                <w:szCs w:val="20"/>
                <w:color w:val="auto"/>
              </w:rPr>
            </w:pPr>
            <w:r>
              <w:rPr>
                <w:rFonts w:ascii="Arial" w:cs="Arial" w:eastAsia="Arial" w:hAnsi="Arial"/>
                <w:sz w:val="14"/>
                <w:szCs w:val="14"/>
                <w:color w:val="auto"/>
                <w:w w:val="95"/>
              </w:rPr>
              <w:t>POINT OF CONTACT</w:t>
            </w:r>
          </w:p>
        </w:tc>
      </w:tr>
      <w:tr>
        <w:trPr>
          <w:trHeight w:val="182"/>
        </w:trPr>
        <w:tc>
          <w:tcPr>
            <w:tcW w:w="15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5"/>
              </w:rPr>
              <w:t>REGISTERED ADDRESS</w:t>
            </w:r>
          </w:p>
        </w:tc>
        <w:tc>
          <w:tcPr>
            <w:tcW w:w="2520" w:type="dxa"/>
            <w:vAlign w:val="bottom"/>
          </w:tcPr>
          <w:p>
            <w:pPr>
              <w:spacing w:after="0"/>
              <w:rPr>
                <w:sz w:val="15"/>
                <w:szCs w:val="15"/>
                <w:color w:val="auto"/>
              </w:rPr>
            </w:pPr>
          </w:p>
        </w:tc>
        <w:tc>
          <w:tcPr>
            <w:tcW w:w="2540" w:type="dxa"/>
            <w:vAlign w:val="bottom"/>
            <w:gridSpan w:val="2"/>
          </w:tcPr>
          <w:p>
            <w:pPr>
              <w:jc w:val="right"/>
              <w:ind w:right="1270"/>
              <w:spacing w:after="0"/>
              <w:rPr>
                <w:sz w:val="20"/>
                <w:szCs w:val="20"/>
                <w:color w:val="auto"/>
              </w:rPr>
            </w:pPr>
            <w:r>
              <w:rPr>
                <w:rFonts w:ascii="Arial" w:cs="Arial" w:eastAsia="Arial" w:hAnsi="Arial"/>
                <w:sz w:val="14"/>
                <w:szCs w:val="14"/>
                <w:color w:val="auto"/>
              </w:rPr>
              <w:t>NAME &amp; TITLE</w:t>
            </w:r>
          </w:p>
        </w:tc>
        <w:tc>
          <w:tcPr>
            <w:tcW w:w="1680" w:type="dxa"/>
            <w:vAlign w:val="bottom"/>
            <w:gridSpan w:val="2"/>
          </w:tcPr>
          <w:p>
            <w:pPr>
              <w:jc w:val="right"/>
              <w:ind w:right="350"/>
              <w:spacing w:after="0"/>
              <w:rPr>
                <w:sz w:val="20"/>
                <w:szCs w:val="20"/>
                <w:color w:val="auto"/>
              </w:rPr>
            </w:pPr>
            <w:r>
              <w:rPr>
                <w:rFonts w:ascii="Arial" w:cs="Arial" w:eastAsia="Arial" w:hAnsi="Arial"/>
                <w:sz w:val="14"/>
                <w:szCs w:val="14"/>
                <w:color w:val="auto"/>
              </w:rPr>
              <w:t>PHONE &amp; EMAIL</w:t>
            </w:r>
          </w:p>
        </w:tc>
      </w:tr>
      <w:tr>
        <w:trPr>
          <w:trHeight w:val="189"/>
        </w:trPr>
        <w:tc>
          <w:tcPr>
            <w:tcW w:w="1580" w:type="dxa"/>
            <w:vAlign w:val="bottom"/>
          </w:tcPr>
          <w:p>
            <w:pPr>
              <w:spacing w:after="0" w:line="189" w:lineRule="exact"/>
              <w:rPr>
                <w:sz w:val="20"/>
                <w:szCs w:val="20"/>
                <w:color w:val="auto"/>
              </w:rPr>
            </w:pPr>
            <w:r>
              <w:rPr>
                <w:rFonts w:ascii="Arial" w:cs="Arial" w:eastAsia="Arial" w:hAnsi="Arial"/>
                <w:sz w:val="18"/>
                <w:szCs w:val="18"/>
                <w:color w:val="auto"/>
              </w:rPr>
              <w:t>Telarix</w:t>
            </w:r>
          </w:p>
        </w:tc>
        <w:tc>
          <w:tcPr>
            <w:tcW w:w="252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180" w:type="dxa"/>
            <w:vAlign w:val="bottom"/>
          </w:tcPr>
          <w:p>
            <w:pPr>
              <w:jc w:val="right"/>
              <w:ind w:right="770"/>
              <w:spacing w:after="0" w:line="189" w:lineRule="exact"/>
              <w:rPr>
                <w:sz w:val="20"/>
                <w:szCs w:val="20"/>
                <w:color w:val="auto"/>
              </w:rPr>
            </w:pPr>
            <w:r>
              <w:rPr>
                <w:rFonts w:ascii="Arial" w:cs="Arial" w:eastAsia="Arial" w:hAnsi="Arial"/>
                <w:sz w:val="18"/>
                <w:szCs w:val="18"/>
                <w:color w:val="auto"/>
                <w:w w:val="96"/>
              </w:rPr>
              <w:t>[***]</w:t>
            </w:r>
          </w:p>
        </w:tc>
        <w:tc>
          <w:tcPr>
            <w:tcW w:w="1360" w:type="dxa"/>
            <w:vAlign w:val="bottom"/>
            <w:tcBorders>
              <w:top w:val="single" w:sz="8" w:color="auto"/>
            </w:tcBorders>
          </w:tcPr>
          <w:p>
            <w:pPr>
              <w:spacing w:after="0"/>
              <w:rPr>
                <w:sz w:val="16"/>
                <w:szCs w:val="16"/>
                <w:color w:val="auto"/>
              </w:rPr>
            </w:pPr>
          </w:p>
        </w:tc>
        <w:tc>
          <w:tcPr>
            <w:tcW w:w="320" w:type="dxa"/>
            <w:vAlign w:val="bottom"/>
          </w:tcPr>
          <w:p>
            <w:pPr>
              <w:jc w:val="right"/>
              <w:spacing w:after="0" w:line="189" w:lineRule="exact"/>
              <w:rPr>
                <w:sz w:val="20"/>
                <w:szCs w:val="20"/>
                <w:color w:val="auto"/>
              </w:rPr>
            </w:pPr>
            <w:r>
              <w:rPr>
                <w:rFonts w:ascii="Arial" w:cs="Arial" w:eastAsia="Arial" w:hAnsi="Arial"/>
                <w:sz w:val="18"/>
                <w:szCs w:val="18"/>
                <w:color w:val="auto"/>
                <w:w w:val="96"/>
              </w:rPr>
              <w:t>[***]</w:t>
            </w:r>
          </w:p>
        </w:tc>
      </w:tr>
      <w:tr>
        <w:trPr>
          <w:trHeight w:val="230"/>
        </w:trPr>
        <w:tc>
          <w:tcPr>
            <w:tcW w:w="1580" w:type="dxa"/>
            <w:vAlign w:val="bottom"/>
          </w:tcPr>
          <w:p>
            <w:pPr>
              <w:spacing w:after="0"/>
              <w:rPr>
                <w:sz w:val="20"/>
                <w:szCs w:val="20"/>
                <w:color w:val="auto"/>
              </w:rPr>
            </w:pPr>
            <w:r>
              <w:rPr>
                <w:rFonts w:ascii="Arial" w:cs="Arial" w:eastAsia="Arial" w:hAnsi="Arial"/>
                <w:sz w:val="18"/>
                <w:szCs w:val="18"/>
                <w:color w:val="auto"/>
              </w:rPr>
              <w:t>TCS</w:t>
            </w:r>
          </w:p>
        </w:tc>
        <w:tc>
          <w:tcPr>
            <w:tcW w:w="5060" w:type="dxa"/>
            <w:vAlign w:val="bottom"/>
            <w:gridSpan w:val="3"/>
          </w:tcPr>
          <w:p>
            <w:pPr>
              <w:jc w:val="right"/>
              <w:ind w:right="77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224" w:right="320" w:hanging="224"/>
        <w:spacing w:after="0" w:line="277" w:lineRule="auto"/>
        <w:tabs>
          <w:tab w:leader="none" w:pos="22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Supplier shall keep current its subcontractor contact information listed above, without the need to amend this Agreement, by informing Supplier’s AT&amp;T business contact of all changes in a medium and form acceptable to AT&amp;T.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187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L—Standard Contractual Clauses (Processors)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purposes of Article 26(2) of Directive 95/46/EC for the transfer of personal data to processors established in third countries which do not ensure an adequate level of data protection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the data exporting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3563620</wp:posOffset>
            </wp:positionH>
            <wp:positionV relativeFrom="paragraph">
              <wp:posOffset>-10160</wp:posOffset>
            </wp:positionV>
            <wp:extent cx="342773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3427730" cy="8255"/>
                    </a:xfrm>
                    <a:prstGeom prst="rect">
                      <a:avLst/>
                    </a:prstGeom>
                    <a:noFill/>
                  </pic:spPr>
                </pic:pic>
              </a:graphicData>
            </a:graphic>
          </wp:anchor>
        </w:drawing>
        <w:drawing>
          <wp:anchor simplePos="0" relativeHeight="251657728" behindDoc="1" locked="0" layoutInCell="0" allowOverlap="1">
            <wp:simplePos x="0" y="0"/>
            <wp:positionH relativeFrom="column">
              <wp:posOffset>3563620</wp:posOffset>
            </wp:positionH>
            <wp:positionV relativeFrom="paragraph">
              <wp:posOffset>126365</wp:posOffset>
            </wp:positionV>
            <wp:extent cx="85661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85661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-10160</wp:posOffset>
            </wp:positionV>
            <wp:extent cx="579818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5798185" cy="8255"/>
                    </a:xfrm>
                    <a:prstGeom prst="rect">
                      <a:avLst/>
                    </a:prstGeom>
                    <a:noFill/>
                  </pic:spPr>
                </pic:pic>
              </a:graphicData>
            </a:graphic>
          </wp:anchor>
        </w:drawing>
        <w:drawing>
          <wp:anchor simplePos="0" relativeHeight="251657728" behindDoc="1" locked="0" layoutInCell="0" allowOverlap="1">
            <wp:simplePos x="0" y="0"/>
            <wp:positionH relativeFrom="column">
              <wp:posOffset>571500</wp:posOffset>
            </wp:positionH>
            <wp:positionV relativeFrom="paragraph">
              <wp:posOffset>126365</wp:posOffset>
            </wp:positionV>
            <wp:extent cx="60007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20"/>
                <w:szCs w:val="20"/>
                <w:color w:val="auto"/>
              </w:rPr>
            </w:pPr>
            <w:r>
              <w:rPr>
                <w:rFonts w:ascii="Arial" w:cs="Arial" w:eastAsia="Arial" w:hAnsi="Arial"/>
                <w:sz w:val="18"/>
                <w:szCs w:val="18"/>
                <w:color w:val="auto"/>
              </w:rPr>
              <w:t>Tel.:</w:t>
            </w: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gridSpan w:val="3"/>
          </w:tcPr>
          <w:p>
            <w:pPr>
              <w:ind w:left="100"/>
              <w:spacing w:after="0"/>
              <w:rPr>
                <w:sz w:val="20"/>
                <w:szCs w:val="20"/>
                <w:color w:val="auto"/>
              </w:rPr>
            </w:pPr>
            <w:r>
              <w:rPr>
                <w:rFonts w:ascii="Arial" w:cs="Arial" w:eastAsia="Arial" w:hAnsi="Arial"/>
                <w:sz w:val="18"/>
                <w:szCs w:val="18"/>
                <w:color w:val="auto"/>
                <w:w w:val="92"/>
              </w:rPr>
              <w:t>; fax:</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6"/>
          </w:tcPr>
          <w:p>
            <w:pPr>
              <w:ind w:left="380"/>
              <w:spacing w:after="0"/>
              <w:rPr>
                <w:sz w:val="20"/>
                <w:szCs w:val="20"/>
                <w:color w:val="auto"/>
              </w:rPr>
            </w:pPr>
            <w:r>
              <w:rPr>
                <w:rFonts w:ascii="Arial" w:cs="Arial" w:eastAsia="Arial" w:hAnsi="Arial"/>
                <w:sz w:val="18"/>
                <w:szCs w:val="18"/>
                <w:color w:val="auto"/>
              </w:rPr>
              <w:t>; e-mail:</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gridSpan w:val="3"/>
          </w:tcPr>
          <w:p>
            <w:pPr>
              <w:spacing w:after="0"/>
              <w:rPr>
                <w:sz w:val="20"/>
                <w:szCs w:val="20"/>
                <w:color w:val="auto"/>
              </w:rPr>
            </w:pPr>
            <w:r>
              <w:rPr>
                <w:rFonts w:ascii="Arial" w:cs="Arial" w:eastAsia="Arial" w:hAnsi="Arial"/>
                <w:sz w:val="18"/>
                <w:szCs w:val="18"/>
                <w:color w:val="auto"/>
                <w:w w:val="94"/>
              </w:rPr>
              <w:t>Other information needed to identify the organization</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9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And</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180" w:type="dxa"/>
            <w:vAlign w:val="bottom"/>
            <w:gridSpan w:val="10"/>
          </w:tcPr>
          <w:p>
            <w:pPr>
              <w:ind w:left="20"/>
              <w:spacing w:after="0"/>
              <w:rPr>
                <w:sz w:val="20"/>
                <w:szCs w:val="20"/>
                <w:color w:val="auto"/>
              </w:rPr>
            </w:pPr>
            <w:r>
              <w:rPr>
                <w:rFonts w:ascii="Arial" w:cs="Arial" w:eastAsia="Arial" w:hAnsi="Arial"/>
                <w:sz w:val="18"/>
                <w:szCs w:val="18"/>
                <w:color w:val="auto"/>
              </w:rPr>
              <w:t>(the data exporter)</w:t>
            </w:r>
          </w:p>
        </w:tc>
        <w:tc>
          <w:tcPr>
            <w:tcW w:w="0" w:type="dxa"/>
            <w:vAlign w:val="bottom"/>
          </w:tcPr>
          <w:p>
            <w:pPr>
              <w:spacing w:after="0"/>
              <w:rPr>
                <w:sz w:val="1"/>
                <w:szCs w:val="1"/>
                <w:color w:val="auto"/>
              </w:rPr>
            </w:pPr>
          </w:p>
        </w:tc>
      </w:tr>
      <w:tr>
        <w:trPr>
          <w:trHeight w:val="202"/>
        </w:trPr>
        <w:tc>
          <w:tcPr>
            <w:tcW w:w="398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980" w:type="dxa"/>
            <w:vAlign w:val="bottom"/>
            <w:gridSpan w:val="3"/>
          </w:tcPr>
          <w:p>
            <w:pPr>
              <w:spacing w:after="0" w:line="190" w:lineRule="exact"/>
              <w:rPr>
                <w:sz w:val="20"/>
                <w:szCs w:val="20"/>
                <w:color w:val="auto"/>
              </w:rPr>
            </w:pPr>
            <w:r>
              <w:rPr>
                <w:rFonts w:ascii="Arial" w:cs="Arial" w:eastAsia="Arial" w:hAnsi="Arial"/>
                <w:sz w:val="18"/>
                <w:szCs w:val="18"/>
                <w:color w:val="auto"/>
              </w:rPr>
              <w:t>Name of the data importing organization:</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Address:</w:t>
            </w:r>
          </w:p>
        </w:tc>
        <w:tc>
          <w:tcPr>
            <w:tcW w:w="308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line="196" w:lineRule="exact"/>
              <w:rPr>
                <w:sz w:val="20"/>
                <w:szCs w:val="20"/>
                <w:color w:val="auto"/>
              </w:rPr>
            </w:pPr>
            <w:r>
              <w:rPr>
                <w:rFonts w:ascii="Arial" w:cs="Arial" w:eastAsia="Arial" w:hAnsi="Arial"/>
                <w:sz w:val="18"/>
                <w:szCs w:val="18"/>
                <w:color w:val="auto"/>
              </w:rPr>
              <w:t>Tel.:</w:t>
            </w: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gridSpan w:val="3"/>
          </w:tcPr>
          <w:p>
            <w:pPr>
              <w:ind w:left="120"/>
              <w:spacing w:after="0" w:line="196" w:lineRule="exact"/>
              <w:rPr>
                <w:sz w:val="20"/>
                <w:szCs w:val="20"/>
                <w:color w:val="auto"/>
              </w:rPr>
            </w:pPr>
            <w:r>
              <w:rPr>
                <w:rFonts w:ascii="Arial" w:cs="Arial" w:eastAsia="Arial" w:hAnsi="Arial"/>
                <w:sz w:val="18"/>
                <w:szCs w:val="18"/>
                <w:color w:val="auto"/>
              </w:rPr>
              <w:t>; fax:</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0" w:type="dxa"/>
            <w:vAlign w:val="bottom"/>
            <w:gridSpan w:val="6"/>
          </w:tcPr>
          <w:p>
            <w:pPr>
              <w:ind w:left="40"/>
              <w:spacing w:after="0" w:line="196" w:lineRule="exact"/>
              <w:rPr>
                <w:sz w:val="20"/>
                <w:szCs w:val="20"/>
                <w:color w:val="auto"/>
              </w:rPr>
            </w:pPr>
            <w:r>
              <w:rPr>
                <w:rFonts w:ascii="Arial" w:cs="Arial" w:eastAsia="Arial" w:hAnsi="Arial"/>
                <w:sz w:val="18"/>
                <w:szCs w:val="18"/>
                <w:color w:val="auto"/>
              </w:rPr>
              <w:t>; e-mail:</w:t>
            </w: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80" w:type="dxa"/>
            <w:vAlign w:val="bottom"/>
            <w:gridSpan w:val="3"/>
          </w:tcPr>
          <w:p>
            <w:pPr>
              <w:spacing w:after="0"/>
              <w:rPr>
                <w:sz w:val="20"/>
                <w:szCs w:val="20"/>
                <w:color w:val="auto"/>
              </w:rPr>
            </w:pPr>
            <w:r>
              <w:rPr>
                <w:rFonts w:ascii="Arial" w:cs="Arial" w:eastAsia="Arial" w:hAnsi="Arial"/>
                <w:sz w:val="18"/>
                <w:szCs w:val="18"/>
                <w:color w:val="auto"/>
                <w:w w:val="94"/>
              </w:rPr>
              <w:t>Other information needed to identify the organization</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222885</wp:posOffset>
            </wp:positionV>
            <wp:extent cx="14744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data importer)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a “party”; together “the parties”,</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HAVE AGREED on the following Contractual Clauses (the Clauses) in order to adduce adequate safeguards with respect to the protection of privacy and fundamental rights and freedoms of individuals for the transfer by the data exporter to the data importer of the personal data specified in Appendix 1.</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188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Clause 1</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the Clauses:</w:t>
      </w:r>
    </w:p>
    <w:p>
      <w:pPr>
        <w:spacing w:after="0" w:line="131" w:lineRule="exact"/>
        <w:rPr>
          <w:sz w:val="20"/>
          <w:szCs w:val="20"/>
          <w:color w:val="auto"/>
        </w:rPr>
      </w:pPr>
    </w:p>
    <w:p>
      <w:pPr>
        <w:jc w:val="both"/>
        <w:ind w:left="424" w:right="260" w:hanging="424"/>
        <w:spacing w:after="0" w:line="264" w:lineRule="auto"/>
        <w:tabs>
          <w:tab w:leader="none" w:pos="42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‘personal data’, ‘special categories of data’, ‘process/processing’, ‘controller’, ‘processor’, ‘data subject’ and ‘supervisory authority’ shall have the same meaning as in Directive 95/46/EC of the European Parliament and of the Council of 24 October 1995 on the protection of individuals with regard to the processing of personal data and on the free movement of such data</w:t>
      </w:r>
      <w:r>
        <w:rPr>
          <w:rFonts w:ascii="Arial" w:cs="Arial" w:eastAsia="Arial" w:hAnsi="Arial"/>
          <w:sz w:val="26"/>
          <w:szCs w:val="26"/>
          <w:color w:val="auto"/>
          <w:vertAlign w:val="superscript"/>
        </w:rPr>
        <w:t>1</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data exporter’ means the controller who transfers the personal data;</w:t>
      </w:r>
    </w:p>
    <w:p>
      <w:pPr>
        <w:spacing w:after="0" w:line="114" w:lineRule="exact"/>
        <w:rPr>
          <w:rFonts w:ascii="Arial" w:cs="Arial" w:eastAsia="Arial" w:hAnsi="Arial"/>
          <w:sz w:val="18"/>
          <w:szCs w:val="18"/>
          <w:color w:val="auto"/>
        </w:rPr>
      </w:pPr>
    </w:p>
    <w:p>
      <w:pPr>
        <w:ind w:left="424" w:right="120" w:hanging="424"/>
        <w:spacing w:after="0" w:line="263" w:lineRule="auto"/>
        <w:tabs>
          <w:tab w:leader="none" w:pos="42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data importer’ means the processor who agrees to receive from the data exporter personal data intended for processing on his behalf after the transfer in accordance with his instructions and the terms of the Clauses and who is not subject to a third country’s system ensuring adequate protection within the meaning of Article 25(1) of Directive 95/46/EC;</w:t>
      </w:r>
    </w:p>
    <w:p>
      <w:pPr>
        <w:spacing w:after="0" w:line="89" w:lineRule="exact"/>
        <w:rPr>
          <w:rFonts w:ascii="Arial" w:cs="Arial" w:eastAsia="Arial" w:hAnsi="Arial"/>
          <w:sz w:val="18"/>
          <w:szCs w:val="18"/>
          <w:color w:val="auto"/>
        </w:rPr>
      </w:pPr>
    </w:p>
    <w:p>
      <w:pPr>
        <w:ind w:left="424" w:right="20" w:hanging="424"/>
        <w:spacing w:after="0" w:line="259" w:lineRule="auto"/>
        <w:tabs>
          <w:tab w:leader="none" w:pos="42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subprocessor’ means any processor engaged by the data importer or by any other subprocessor of the data importer who agrees to receive from the data importer or from any other subprocessor of the data importer personal data exclusively intended for processing activities to be carried out on behalf of the data exporter after the transfer in accordance with his instructions, the terms of the Clauses and the terms of the written subcontract;</w:t>
      </w:r>
    </w:p>
    <w:p>
      <w:pPr>
        <w:spacing w:after="0" w:line="92" w:lineRule="exact"/>
        <w:rPr>
          <w:rFonts w:ascii="Arial" w:cs="Arial" w:eastAsia="Arial" w:hAnsi="Arial"/>
          <w:sz w:val="18"/>
          <w:szCs w:val="18"/>
          <w:color w:val="auto"/>
        </w:rPr>
      </w:pPr>
    </w:p>
    <w:p>
      <w:pPr>
        <w:jc w:val="both"/>
        <w:ind w:left="424" w:right="300" w:hanging="424"/>
        <w:spacing w:after="0" w:line="263" w:lineRule="auto"/>
        <w:tabs>
          <w:tab w:leader="none" w:pos="42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‘the applicable data protection law’ means the legislation protecting the fundamental rights and freedoms of individuals and, in particular, their right to privacy with respect to the processing of personal data applicable to a data controller in the Member State in which the data exporter is established;</w:t>
      </w:r>
    </w:p>
    <w:p>
      <w:pPr>
        <w:spacing w:after="0" w:line="89" w:lineRule="exact"/>
        <w:rPr>
          <w:rFonts w:ascii="Arial" w:cs="Arial" w:eastAsia="Arial" w:hAnsi="Arial"/>
          <w:sz w:val="18"/>
          <w:szCs w:val="18"/>
          <w:color w:val="auto"/>
        </w:rPr>
      </w:pPr>
    </w:p>
    <w:p>
      <w:pPr>
        <w:ind w:left="424" w:right="300" w:hanging="424"/>
        <w:spacing w:after="0" w:line="263" w:lineRule="auto"/>
        <w:tabs>
          <w:tab w:leader="none" w:pos="424" w:val="left"/>
        </w:tabs>
        <w:numPr>
          <w:ilvl w:val="0"/>
          <w:numId w:val="371"/>
        </w:numPr>
        <w:rPr>
          <w:rFonts w:ascii="Arial" w:cs="Arial" w:eastAsia="Arial" w:hAnsi="Arial"/>
          <w:sz w:val="18"/>
          <w:szCs w:val="18"/>
          <w:color w:val="auto"/>
        </w:rPr>
      </w:pPr>
      <w:r>
        <w:rPr>
          <w:rFonts w:ascii="Arial" w:cs="Arial" w:eastAsia="Arial" w:hAnsi="Arial"/>
          <w:sz w:val="18"/>
          <w:szCs w:val="18"/>
          <w:color w:val="auto"/>
        </w:rPr>
        <w:t>‘technical and organisational security measures’ means those measures aimed at protecting personal data against accidental or unlawful destruction or accidental loss, alteration, unauthorised disclosure or access, in particular where the processing involves the transmission of data over a network, and against all other unlawful forms of processing.</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Clause 2</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Details of the transfer</w:t>
      </w:r>
    </w:p>
    <w:p>
      <w:pPr>
        <w:spacing w:after="0" w:line="22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details of the transfer and in particular the special categories of personal data where applicable are specified in Appendix 1 which forms an integral part of the 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74295</wp:posOffset>
            </wp:positionV>
            <wp:extent cx="7715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4" w:right="40" w:hanging="4"/>
        <w:spacing w:after="0" w:line="207" w:lineRule="auto"/>
        <w:tabs>
          <w:tab w:leader="none" w:pos="116" w:val="left"/>
        </w:tabs>
        <w:numPr>
          <w:ilvl w:val="0"/>
          <w:numId w:val="372"/>
        </w:numPr>
        <w:rPr>
          <w:rFonts w:ascii="Arial" w:cs="Arial" w:eastAsia="Arial" w:hAnsi="Arial"/>
          <w:sz w:val="27"/>
          <w:szCs w:val="27"/>
          <w:color w:val="auto"/>
          <w:vertAlign w:val="superscript"/>
        </w:rPr>
      </w:pPr>
      <w:r>
        <w:rPr>
          <w:rFonts w:ascii="Arial" w:cs="Arial" w:eastAsia="Arial" w:hAnsi="Arial"/>
          <w:sz w:val="18"/>
          <w:szCs w:val="18"/>
          <w:color w:val="auto"/>
        </w:rPr>
        <w:t>Parties may reproduce definitions and meanings contained in Directive 95/46/EC within this Clause if they considered it better for the contract to stand alone.</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189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Clause 3</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Third-party beneficiary clause</w:t>
      </w:r>
    </w:p>
    <w:p>
      <w:pPr>
        <w:spacing w:after="0" w:line="252" w:lineRule="exact"/>
        <w:rPr>
          <w:sz w:val="20"/>
          <w:szCs w:val="20"/>
          <w:color w:val="auto"/>
        </w:rPr>
      </w:pPr>
    </w:p>
    <w:p>
      <w:pPr>
        <w:ind w:left="424" w:right="140" w:hanging="424"/>
        <w:spacing w:after="0" w:line="277" w:lineRule="auto"/>
        <w:tabs>
          <w:tab w:leader="none" w:pos="42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data subject can enforce against the data exporter this Clause, Clause 4(b) to (i), Clause 5(a) to (e), and (g) to (j), Clause 6(1) and (2), Clause 7, Clause 8(2), and Clauses 9 to 12 as third-party beneficiary.</w:t>
      </w:r>
    </w:p>
    <w:p>
      <w:pPr>
        <w:spacing w:after="0" w:line="75" w:lineRule="exact"/>
        <w:rPr>
          <w:rFonts w:ascii="Arial" w:cs="Arial" w:eastAsia="Arial" w:hAnsi="Arial"/>
          <w:sz w:val="18"/>
          <w:szCs w:val="18"/>
          <w:color w:val="auto"/>
        </w:rPr>
      </w:pPr>
    </w:p>
    <w:p>
      <w:pPr>
        <w:ind w:left="424" w:right="40" w:hanging="424"/>
        <w:spacing w:after="0" w:line="259" w:lineRule="auto"/>
        <w:tabs>
          <w:tab w:leader="none" w:pos="42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data subject can enforce against the data importer this Clause, Clause 5(a) to (e) and (g), Clause 6, Clause 7, Clause 8(2), and Clauses 9 to 12, in cases where the data exporter has factually disappeared or has ceased to exist in law unless any successor entity has assumed the entire legal obligations of the data exporter by contract or by operation of law, as a result of which it takes on the rights and obligations of the data exporter, in which case the data subject can enforce them against such entity.</w:t>
      </w:r>
    </w:p>
    <w:p>
      <w:pPr>
        <w:spacing w:after="0" w:line="92" w:lineRule="exact"/>
        <w:rPr>
          <w:rFonts w:ascii="Arial" w:cs="Arial" w:eastAsia="Arial" w:hAnsi="Arial"/>
          <w:sz w:val="18"/>
          <w:szCs w:val="18"/>
          <w:color w:val="auto"/>
        </w:rPr>
      </w:pPr>
    </w:p>
    <w:p>
      <w:pPr>
        <w:ind w:left="424" w:right="60" w:hanging="424"/>
        <w:spacing w:after="0" w:line="275" w:lineRule="auto"/>
        <w:tabs>
          <w:tab w:leader="none" w:pos="424" w:val="left"/>
        </w:tabs>
        <w:numPr>
          <w:ilvl w:val="0"/>
          <w:numId w:val="373"/>
        </w:numPr>
        <w:rPr>
          <w:rFonts w:ascii="Arial" w:cs="Arial" w:eastAsia="Arial" w:hAnsi="Arial"/>
          <w:sz w:val="17"/>
          <w:szCs w:val="17"/>
          <w:color w:val="auto"/>
        </w:rPr>
      </w:pPr>
      <w:r>
        <w:rPr>
          <w:rFonts w:ascii="Arial" w:cs="Arial" w:eastAsia="Arial" w:hAnsi="Arial"/>
          <w:sz w:val="17"/>
          <w:szCs w:val="17"/>
          <w:color w:val="auto"/>
        </w:rPr>
        <w:t>The data subject can enforce against the subprocessor this Clause, Clause 5(a) to (e) and (g), Clause 6, Clause 7, Clause 8(2), and Clauses 9 to 12, in cases where both the data exporter and the data importer have factually disappeared or ceased to exist in law or have become insolvent, unless any successor entity has assumed the entire legal obligations of the data exporter by contract or by operation of law as a result of which it takes on the rights and obligations of the data exporter, in which case the data subject can enforce them against such entity. Such third-party liability of the subprocessor shall be limited to its own processing operations under the Clauses.</w:t>
      </w:r>
    </w:p>
    <w:p>
      <w:pPr>
        <w:spacing w:after="0" w:line="81" w:lineRule="exact"/>
        <w:rPr>
          <w:rFonts w:ascii="Arial" w:cs="Arial" w:eastAsia="Arial" w:hAnsi="Arial"/>
          <w:sz w:val="17"/>
          <w:szCs w:val="17"/>
          <w:color w:val="auto"/>
        </w:rPr>
      </w:pPr>
    </w:p>
    <w:p>
      <w:pPr>
        <w:ind w:left="424" w:right="740" w:hanging="424"/>
        <w:spacing w:after="0" w:line="277" w:lineRule="auto"/>
        <w:tabs>
          <w:tab w:leader="none" w:pos="42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The parties do not object to a data subject being represented by an association or other body if the data subject so expressly wishes and if permitted by national law.</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Clause 4</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Obligations of the data exporter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data exporter agrees and warrants:</w:t>
      </w:r>
    </w:p>
    <w:p>
      <w:pPr>
        <w:spacing w:after="0" w:line="131" w:lineRule="exact"/>
        <w:rPr>
          <w:sz w:val="20"/>
          <w:szCs w:val="20"/>
          <w:color w:val="auto"/>
        </w:rPr>
      </w:pPr>
    </w:p>
    <w:p>
      <w:pPr>
        <w:ind w:left="424" w:right="20" w:hanging="424"/>
        <w:spacing w:after="0" w:line="263" w:lineRule="auto"/>
        <w:tabs>
          <w:tab w:leader="none" w:pos="42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that the processing, including the transfer itself, of the personal data has been and will continue to be carried out in accordance with the relevant provisions of the applicable data protection law (and, where applicable, has been notified to the relevant authorities of the Member State where the data exporter is established) and does not violate the relevant provisions of that State;</w:t>
      </w:r>
    </w:p>
    <w:p>
      <w:pPr>
        <w:spacing w:after="0" w:line="89" w:lineRule="exact"/>
        <w:rPr>
          <w:rFonts w:ascii="Arial" w:cs="Arial" w:eastAsia="Arial" w:hAnsi="Arial"/>
          <w:sz w:val="18"/>
          <w:szCs w:val="18"/>
          <w:color w:val="auto"/>
        </w:rPr>
      </w:pPr>
    </w:p>
    <w:p>
      <w:pPr>
        <w:ind w:left="424" w:right="320" w:hanging="424"/>
        <w:spacing w:after="0" w:line="308" w:lineRule="auto"/>
        <w:tabs>
          <w:tab w:leader="none" w:pos="424"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that it has instructed and throughout the duration of the personal data processing services will instruct the data importer to process the personal data transferred only on the data exporter’s behalf and in accordance with the applicable data protection law and the Clauses;</w:t>
      </w:r>
    </w:p>
    <w:p>
      <w:pPr>
        <w:spacing w:after="0" w:line="51" w:lineRule="exact"/>
        <w:rPr>
          <w:rFonts w:ascii="Arial" w:cs="Arial" w:eastAsia="Arial" w:hAnsi="Arial"/>
          <w:sz w:val="17"/>
          <w:szCs w:val="17"/>
          <w:color w:val="auto"/>
        </w:rPr>
      </w:pPr>
    </w:p>
    <w:p>
      <w:pPr>
        <w:ind w:left="424" w:right="60" w:hanging="424"/>
        <w:spacing w:after="0" w:line="277" w:lineRule="auto"/>
        <w:tabs>
          <w:tab w:leader="none" w:pos="42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that the data importer will provide sufficient guarantees in respect of the technical and organisational security measures specified in Appendix 2 to this contract;</w:t>
      </w:r>
    </w:p>
    <w:p>
      <w:pPr>
        <w:spacing w:after="0" w:line="75" w:lineRule="exact"/>
        <w:rPr>
          <w:rFonts w:ascii="Arial" w:cs="Arial" w:eastAsia="Arial" w:hAnsi="Arial"/>
          <w:sz w:val="18"/>
          <w:szCs w:val="18"/>
          <w:color w:val="auto"/>
        </w:rPr>
      </w:pPr>
    </w:p>
    <w:p>
      <w:pPr>
        <w:ind w:left="424" w:right="180" w:hanging="424"/>
        <w:spacing w:after="0" w:line="257" w:lineRule="auto"/>
        <w:tabs>
          <w:tab w:leader="none" w:pos="424" w:val="left"/>
        </w:tabs>
        <w:numPr>
          <w:ilvl w:val="0"/>
          <w:numId w:val="374"/>
        </w:numPr>
        <w:rPr>
          <w:rFonts w:ascii="Arial" w:cs="Arial" w:eastAsia="Arial" w:hAnsi="Arial"/>
          <w:sz w:val="18"/>
          <w:szCs w:val="18"/>
          <w:color w:val="auto"/>
        </w:rPr>
      </w:pPr>
      <w:r>
        <w:rPr>
          <w:rFonts w:ascii="Arial" w:cs="Arial" w:eastAsia="Arial" w:hAnsi="Arial"/>
          <w:sz w:val="18"/>
          <w:szCs w:val="18"/>
          <w:color w:val="auto"/>
        </w:rPr>
        <w:t>that after assessment of the requirements of the applicable data protection law, the security measures are appropriate to protect personal data against accidental or unlawful destruction or accidental loss, alteration, unauthorised disclosure or access, in particular where the processing involves the transmission of data over a network, and against all other unlawful forms of processing, and that these measures ensure a level of security appropriate to the risks presented by the processing and the nature of the data to be protected having regard to the state of the art and the cost of their implementation;</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190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24" w:hanging="424"/>
        <w:spacing w:after="0"/>
        <w:tabs>
          <w:tab w:leader="none" w:pos="4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that it will ensure compliance with the security measures;</w:t>
      </w:r>
    </w:p>
    <w:p>
      <w:pPr>
        <w:spacing w:after="0" w:line="130" w:lineRule="exact"/>
        <w:rPr>
          <w:rFonts w:ascii="Arial" w:cs="Arial" w:eastAsia="Arial" w:hAnsi="Arial"/>
          <w:sz w:val="18"/>
          <w:szCs w:val="18"/>
          <w:color w:val="auto"/>
        </w:rPr>
      </w:pPr>
    </w:p>
    <w:p>
      <w:pPr>
        <w:ind w:left="424" w:right="160" w:hanging="424"/>
        <w:spacing w:after="0" w:line="342" w:lineRule="auto"/>
        <w:tabs>
          <w:tab w:leader="none" w:pos="424" w:val="left"/>
        </w:tabs>
        <w:numPr>
          <w:ilvl w:val="0"/>
          <w:numId w:val="375"/>
        </w:numPr>
        <w:rPr>
          <w:rFonts w:ascii="Arial" w:cs="Arial" w:eastAsia="Arial" w:hAnsi="Arial"/>
          <w:sz w:val="16"/>
          <w:szCs w:val="16"/>
          <w:color w:val="auto"/>
        </w:rPr>
      </w:pPr>
      <w:r>
        <w:rPr>
          <w:rFonts w:ascii="Arial" w:cs="Arial" w:eastAsia="Arial" w:hAnsi="Arial"/>
          <w:sz w:val="16"/>
          <w:szCs w:val="16"/>
          <w:color w:val="auto"/>
        </w:rPr>
        <w:t>that, if the transfer involves special categories of data, the data subject has been informed or will be informed before, or as soon as possible after, the transfer that its data could be transmitted to a third country not providing adequate protection within the meaning of Directive 95/46/EC;</w:t>
      </w:r>
    </w:p>
    <w:p>
      <w:pPr>
        <w:spacing w:after="0" w:line="29" w:lineRule="exact"/>
        <w:rPr>
          <w:rFonts w:ascii="Arial" w:cs="Arial" w:eastAsia="Arial" w:hAnsi="Arial"/>
          <w:sz w:val="16"/>
          <w:szCs w:val="16"/>
          <w:color w:val="auto"/>
        </w:rPr>
      </w:pPr>
    </w:p>
    <w:p>
      <w:pPr>
        <w:ind w:left="424" w:right="360" w:hanging="424"/>
        <w:spacing w:after="0" w:line="277" w:lineRule="auto"/>
        <w:tabs>
          <w:tab w:leader="none" w:pos="4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to forward any notification received from the data importer or any subprocessor pursuant to Clause 5(b) and Clause 8(3) to the data protection supervisory authority if the data exporter decides to continue the transfer or to lift the suspension;</w:t>
      </w:r>
    </w:p>
    <w:p>
      <w:pPr>
        <w:spacing w:after="0" w:line="75" w:lineRule="exact"/>
        <w:rPr>
          <w:rFonts w:ascii="Arial" w:cs="Arial" w:eastAsia="Arial" w:hAnsi="Arial"/>
          <w:sz w:val="18"/>
          <w:szCs w:val="18"/>
          <w:color w:val="auto"/>
        </w:rPr>
      </w:pPr>
    </w:p>
    <w:p>
      <w:pPr>
        <w:ind w:left="424" w:right="240" w:hanging="424"/>
        <w:spacing w:after="0" w:line="286" w:lineRule="auto"/>
        <w:tabs>
          <w:tab w:leader="none" w:pos="424"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to make available to the data subjects upon request a copy of the Clauses, with the exception of Appendix 2, and a summary description of the security measures, as well as a copy of any contract for subprocessing services which has to be made in accordance with the Clauses, unless the Clauses or the contract contain commercial information, in which case it may remove such commercial information;</w:t>
      </w:r>
    </w:p>
    <w:p>
      <w:pPr>
        <w:spacing w:after="0" w:line="70" w:lineRule="exact"/>
        <w:rPr>
          <w:rFonts w:ascii="Arial" w:cs="Arial" w:eastAsia="Arial" w:hAnsi="Arial"/>
          <w:sz w:val="17"/>
          <w:szCs w:val="17"/>
          <w:color w:val="auto"/>
        </w:rPr>
      </w:pPr>
    </w:p>
    <w:p>
      <w:pPr>
        <w:ind w:left="424" w:right="400" w:hanging="424"/>
        <w:spacing w:after="0" w:line="308" w:lineRule="auto"/>
        <w:tabs>
          <w:tab w:leader="none" w:pos="424"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that, in the event of subprocessing, the processing activity is carried out in accordance with Clause 11 by a subprocessor providing at least the same level of protection for the personal data and the rights of data subject as the data importer under the Clauses; and</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that it will ensure compliance with Clause 4(a) to (i).</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Clause 5</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Obligations of the data importer</w:t>
      </w:r>
      <w:r>
        <w:rPr>
          <w:rFonts w:ascii="Arial" w:cs="Arial" w:eastAsia="Arial" w:hAnsi="Arial"/>
          <w:sz w:val="26"/>
          <w:szCs w:val="26"/>
          <w:color w:val="auto"/>
          <w:vertAlign w:val="superscript"/>
        </w:rPr>
        <w:t>2</w:t>
      </w:r>
    </w:p>
    <w:p>
      <w:pPr>
        <w:spacing w:after="0" w:line="13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data importer agrees and warrants:</w:t>
      </w:r>
    </w:p>
    <w:p>
      <w:pPr>
        <w:spacing w:after="0" w:line="131" w:lineRule="exact"/>
        <w:rPr>
          <w:sz w:val="20"/>
          <w:szCs w:val="20"/>
          <w:color w:val="auto"/>
        </w:rPr>
      </w:pPr>
    </w:p>
    <w:p>
      <w:pPr>
        <w:ind w:left="424" w:right="220" w:hanging="424"/>
        <w:spacing w:after="0" w:line="263" w:lineRule="auto"/>
        <w:tabs>
          <w:tab w:leader="none" w:pos="42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to process the personal data only on behalf of the data exporter and in compliance with its instructions and the Clauses; if it cannot provide such compliance for whatever reasons, it agrees to inform promptly the data exporter of its inability to comply, in which case the data exporter is entitled to suspend the transfer of data and/or terminate the contract;</w:t>
      </w:r>
    </w:p>
    <w:p>
      <w:pPr>
        <w:spacing w:after="0" w:line="89"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that it has no reason to believe that the legislation applicable to it prevents it from fulfilling the instructions received from the data exporter and its obligations under the contract and that in the event of a change in this legislation which is likely to have a substantial adverse effect on the warranties and obligations provided by the Clauses, it will promptly notify the change to the data exporter as soon as it is aware, in which case the data exporter is entitled to suspend the transfer of data and/or terminate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161925</wp:posOffset>
            </wp:positionV>
            <wp:extent cx="77152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61" w:lineRule="exact"/>
        <w:rPr>
          <w:sz w:val="20"/>
          <w:szCs w:val="20"/>
          <w:color w:val="auto"/>
        </w:rPr>
      </w:pPr>
    </w:p>
    <w:p>
      <w:pPr>
        <w:ind w:left="424" w:right="20" w:hanging="424"/>
        <w:spacing w:after="0" w:line="235" w:lineRule="auto"/>
        <w:tabs>
          <w:tab w:leader="none" w:pos="424" w:val="left"/>
        </w:tabs>
        <w:numPr>
          <w:ilvl w:val="0"/>
          <w:numId w:val="377"/>
        </w:numPr>
        <w:rPr>
          <w:rFonts w:ascii="Arial" w:cs="Arial" w:eastAsia="Arial" w:hAnsi="Arial"/>
          <w:sz w:val="27"/>
          <w:szCs w:val="27"/>
          <w:color w:val="auto"/>
          <w:vertAlign w:val="superscript"/>
        </w:rPr>
      </w:pPr>
      <w:r>
        <w:rPr>
          <w:rFonts w:ascii="Arial" w:cs="Arial" w:eastAsia="Arial" w:hAnsi="Arial"/>
          <w:sz w:val="18"/>
          <w:szCs w:val="18"/>
          <w:color w:val="auto"/>
        </w:rPr>
        <w:t>Mandatory requirements of the national legislation applicable to the data importer which do not go beyond what is necessary in a democratic society on the basis of one of the interests listed in Article 13(1) of Directive 95/46/EC, that is, if they constitute a necessary measure to safeguard national security, defense, public security, the prevention, investigation, detection and prosecution of criminal offences or of breaches of ethics for the regulated professions, an important economic or financial interest of the State or the protection of the data subject or the rights and freedoms of others, are not in contradiction with the standard contractual clauses. Some examples of such mandatory requirements which do not go beyond what is necessary in a democratic society are, inter alia, internationally recognized sanctions, tax-reporting requirements or anti-money-laundering reporting requirements.</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191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24" w:hanging="424"/>
        <w:spacing w:after="0"/>
        <w:tabs>
          <w:tab w:leader="none" w:pos="424"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that it has implemented the technical and organisational security measures specified in Appendix 2 before processing the personal data transferred;</w:t>
      </w:r>
    </w:p>
    <w:p>
      <w:pPr>
        <w:spacing w:after="0" w:line="153" w:lineRule="exact"/>
        <w:rPr>
          <w:rFonts w:ascii="Arial" w:cs="Arial" w:eastAsia="Arial" w:hAnsi="Arial"/>
          <w:sz w:val="16"/>
          <w:szCs w:val="16"/>
          <w:color w:val="auto"/>
        </w:rPr>
      </w:pPr>
    </w:p>
    <w:p>
      <w:pPr>
        <w:ind w:left="424" w:hanging="424"/>
        <w:spacing w:after="0"/>
        <w:tabs>
          <w:tab w:leader="none" w:pos="4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that it will promptly notify the data exporter about:</w:t>
      </w:r>
    </w:p>
    <w:p>
      <w:pPr>
        <w:spacing w:after="0" w:line="130" w:lineRule="exact"/>
        <w:rPr>
          <w:rFonts w:ascii="Arial" w:cs="Arial" w:eastAsia="Arial" w:hAnsi="Arial"/>
          <w:sz w:val="18"/>
          <w:szCs w:val="18"/>
          <w:color w:val="auto"/>
        </w:rPr>
      </w:pPr>
    </w:p>
    <w:p>
      <w:pPr>
        <w:ind w:left="964" w:right="560" w:hanging="532"/>
        <w:spacing w:after="0" w:line="277" w:lineRule="auto"/>
        <w:tabs>
          <w:tab w:leader="none" w:pos="964"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any legally binding request for disclosure of the personal data by a law enforcement authority unless otherwise prohibited, such as a prohibition under criminal law to preserve the confidentiality of a law enforcement investigation,</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78"/>
        </w:numPr>
        <w:rPr>
          <w:rFonts w:ascii="Arial" w:cs="Arial" w:eastAsia="Arial" w:hAnsi="Arial"/>
          <w:sz w:val="18"/>
          <w:szCs w:val="18"/>
          <w:color w:val="auto"/>
        </w:rPr>
      </w:pPr>
      <w:r>
        <w:rPr>
          <w:rFonts w:ascii="Arial" w:cs="Arial" w:eastAsia="Arial" w:hAnsi="Arial"/>
          <w:sz w:val="18"/>
          <w:szCs w:val="18"/>
          <w:color w:val="auto"/>
        </w:rPr>
        <w:t>any accidental or unauthorised access,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78"/>
        </w:numPr>
        <w:rPr>
          <w:rFonts w:ascii="Arial" w:cs="Arial" w:eastAsia="Arial" w:hAnsi="Arial"/>
          <w:sz w:val="16"/>
          <w:szCs w:val="16"/>
          <w:color w:val="auto"/>
        </w:rPr>
      </w:pPr>
      <w:r>
        <w:rPr>
          <w:rFonts w:ascii="Arial" w:cs="Arial" w:eastAsia="Arial" w:hAnsi="Arial"/>
          <w:sz w:val="16"/>
          <w:szCs w:val="16"/>
          <w:color w:val="auto"/>
        </w:rPr>
        <w:t>any request received directly from the data subjects without responding to that request, unless it has been otherwise authorised to do so;</w:t>
      </w:r>
    </w:p>
    <w:p>
      <w:pPr>
        <w:spacing w:after="0" w:line="153" w:lineRule="exact"/>
        <w:rPr>
          <w:rFonts w:ascii="Arial" w:cs="Arial" w:eastAsia="Arial" w:hAnsi="Arial"/>
          <w:sz w:val="16"/>
          <w:szCs w:val="16"/>
          <w:color w:val="auto"/>
        </w:rPr>
      </w:pPr>
    </w:p>
    <w:p>
      <w:pPr>
        <w:ind w:left="424" w:right="180" w:hanging="424"/>
        <w:spacing w:after="0" w:line="277" w:lineRule="auto"/>
        <w:tabs>
          <w:tab w:leader="none" w:pos="4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to deal promptly and properly with all inquiries from the data exporter relating to its processing of the personal data subject to the transfer and to abide by the advice of the supervisory authority with regard to the processing of the data transferred;</w:t>
      </w:r>
    </w:p>
    <w:p>
      <w:pPr>
        <w:spacing w:after="0" w:line="75" w:lineRule="exact"/>
        <w:rPr>
          <w:rFonts w:ascii="Arial" w:cs="Arial" w:eastAsia="Arial" w:hAnsi="Arial"/>
          <w:sz w:val="18"/>
          <w:szCs w:val="18"/>
          <w:color w:val="auto"/>
        </w:rPr>
      </w:pPr>
    </w:p>
    <w:p>
      <w:pPr>
        <w:ind w:left="424" w:right="220" w:hanging="424"/>
        <w:spacing w:after="0" w:line="311" w:lineRule="auto"/>
        <w:tabs>
          <w:tab w:leader="none" w:pos="424" w:val="left"/>
        </w:tabs>
        <w:numPr>
          <w:ilvl w:val="0"/>
          <w:numId w:val="378"/>
        </w:numPr>
        <w:rPr>
          <w:rFonts w:ascii="Arial" w:cs="Arial" w:eastAsia="Arial" w:hAnsi="Arial"/>
          <w:sz w:val="16"/>
          <w:szCs w:val="16"/>
          <w:color w:val="auto"/>
        </w:rPr>
      </w:pPr>
      <w:r>
        <w:rPr>
          <w:rFonts w:ascii="Arial" w:cs="Arial" w:eastAsia="Arial" w:hAnsi="Arial"/>
          <w:sz w:val="16"/>
          <w:szCs w:val="16"/>
          <w:color w:val="auto"/>
        </w:rPr>
        <w:t>at the request of the data exporter to submit its data processing facilities for audit of the processing activities covered by the Clauses which shall be carried out by the data exporter or an inspection body composed of independent members and in possession of the required professional qualifications bound by a duty of confidentiality, selected by the data exporter, where applicable, in agreement with the supervisory authority;</w:t>
      </w:r>
    </w:p>
    <w:p>
      <w:pPr>
        <w:spacing w:after="0" w:line="54" w:lineRule="exact"/>
        <w:rPr>
          <w:rFonts w:ascii="Arial" w:cs="Arial" w:eastAsia="Arial" w:hAnsi="Arial"/>
          <w:sz w:val="16"/>
          <w:szCs w:val="16"/>
          <w:color w:val="auto"/>
        </w:rPr>
      </w:pPr>
    </w:p>
    <w:p>
      <w:pPr>
        <w:ind w:left="424" w:right="20" w:hanging="424"/>
        <w:spacing w:after="0" w:line="311" w:lineRule="auto"/>
        <w:tabs>
          <w:tab w:leader="none" w:pos="424" w:val="left"/>
        </w:tabs>
        <w:numPr>
          <w:ilvl w:val="0"/>
          <w:numId w:val="378"/>
        </w:numPr>
        <w:rPr>
          <w:rFonts w:ascii="Arial" w:cs="Arial" w:eastAsia="Arial" w:hAnsi="Arial"/>
          <w:sz w:val="16"/>
          <w:szCs w:val="16"/>
          <w:color w:val="auto"/>
        </w:rPr>
      </w:pPr>
      <w:r>
        <w:rPr>
          <w:rFonts w:ascii="Arial" w:cs="Arial" w:eastAsia="Arial" w:hAnsi="Arial"/>
          <w:sz w:val="16"/>
          <w:szCs w:val="16"/>
          <w:color w:val="auto"/>
        </w:rPr>
        <w:t>to make available to the data subject upon request a copy of the Clauses, or any existing contract for subprocessing, unless the Clauses or contract contain commercial information, in which case it may remove such commercial information, with the exception of Appendix 2 which shall be replaced by a summary description of the security measures in those cases where the data subject is unable to obtain a copy from the data exporter;</w:t>
      </w:r>
    </w:p>
    <w:p>
      <w:pPr>
        <w:spacing w:after="0" w:line="54" w:lineRule="exact"/>
        <w:rPr>
          <w:rFonts w:ascii="Arial" w:cs="Arial" w:eastAsia="Arial" w:hAnsi="Arial"/>
          <w:sz w:val="16"/>
          <w:szCs w:val="16"/>
          <w:color w:val="auto"/>
        </w:rPr>
      </w:pPr>
    </w:p>
    <w:p>
      <w:pPr>
        <w:ind w:left="424" w:hanging="424"/>
        <w:spacing w:after="0"/>
        <w:tabs>
          <w:tab w:leader="none" w:pos="4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that, in the event of subprocessing, it has previously informed the data exporter and obtained its prior written consent;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that the processing services by the subprocessor will be carried out in accordance with Clause 11;</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to send promptly a copy of any subprocessor agreement it concludes under the Clauses to the data exporter.</w:t>
      </w:r>
    </w:p>
    <w:p>
      <w:pPr>
        <w:spacing w:after="0" w:line="200" w:lineRule="exact"/>
        <w:rPr>
          <w:sz w:val="20"/>
          <w:szCs w:val="20"/>
          <w:color w:val="auto"/>
        </w:rPr>
      </w:pPr>
    </w:p>
    <w:p>
      <w:pPr>
        <w:spacing w:after="0" w:line="241" w:lineRule="exact"/>
        <w:rPr>
          <w:sz w:val="20"/>
          <w:szCs w:val="20"/>
          <w:color w:val="auto"/>
        </w:rPr>
      </w:pPr>
    </w:p>
    <w:p>
      <w:pPr>
        <w:ind w:left="5204"/>
        <w:spacing w:after="0"/>
        <w:rPr>
          <w:sz w:val="20"/>
          <w:szCs w:val="20"/>
          <w:color w:val="auto"/>
        </w:rPr>
      </w:pPr>
      <w:r>
        <w:rPr>
          <w:rFonts w:ascii="Arial" w:cs="Arial" w:eastAsia="Arial" w:hAnsi="Arial"/>
          <w:sz w:val="18"/>
          <w:szCs w:val="18"/>
          <w:color w:val="auto"/>
        </w:rPr>
        <w:t>Clause 6</w:t>
      </w:r>
    </w:p>
    <w:p>
      <w:pPr>
        <w:spacing w:after="0" w:line="117" w:lineRule="exact"/>
        <w:rPr>
          <w:sz w:val="20"/>
          <w:szCs w:val="20"/>
          <w:color w:val="auto"/>
        </w:rPr>
      </w:pPr>
    </w:p>
    <w:p>
      <w:pPr>
        <w:ind w:left="5204"/>
        <w:spacing w:after="0"/>
        <w:rPr>
          <w:sz w:val="20"/>
          <w:szCs w:val="20"/>
          <w:color w:val="auto"/>
        </w:rPr>
      </w:pPr>
      <w:r>
        <w:rPr>
          <w:rFonts w:ascii="Arial" w:cs="Arial" w:eastAsia="Arial" w:hAnsi="Arial"/>
          <w:sz w:val="18"/>
          <w:szCs w:val="18"/>
          <w:color w:val="auto"/>
        </w:rPr>
        <w:t>Liability</w:t>
      </w:r>
    </w:p>
    <w:p>
      <w:pPr>
        <w:spacing w:after="0" w:line="252" w:lineRule="exact"/>
        <w:rPr>
          <w:sz w:val="20"/>
          <w:szCs w:val="20"/>
          <w:color w:val="auto"/>
        </w:rPr>
      </w:pPr>
    </w:p>
    <w:p>
      <w:pPr>
        <w:ind w:left="424" w:right="40" w:hanging="424"/>
        <w:spacing w:after="0" w:line="277" w:lineRule="auto"/>
        <w:tabs>
          <w:tab w:leader="none" w:pos="424" w:val="left"/>
        </w:tabs>
        <w:numPr>
          <w:ilvl w:val="0"/>
          <w:numId w:val="379"/>
        </w:numPr>
        <w:rPr>
          <w:rFonts w:ascii="Arial" w:cs="Arial" w:eastAsia="Arial" w:hAnsi="Arial"/>
          <w:sz w:val="18"/>
          <w:szCs w:val="18"/>
          <w:color w:val="auto"/>
        </w:rPr>
      </w:pPr>
      <w:r>
        <w:rPr>
          <w:rFonts w:ascii="Arial" w:cs="Arial" w:eastAsia="Arial" w:hAnsi="Arial"/>
          <w:sz w:val="18"/>
          <w:szCs w:val="18"/>
          <w:color w:val="auto"/>
        </w:rPr>
        <w:t>The parties agree that any data subject, who has suffered damage as a result of any breach of the obligations referred to in Clause 3 or in Clause 11 by any party or subprocessor is entitled to receive compensation from the data exporter for the damage suffered.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192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160" w:hanging="424"/>
        <w:spacing w:after="0" w:line="275" w:lineRule="auto"/>
        <w:tabs>
          <w:tab w:leader="none" w:pos="424" w:val="left"/>
        </w:tabs>
        <w:numPr>
          <w:ilvl w:val="0"/>
          <w:numId w:val="380"/>
        </w:numPr>
        <w:rPr>
          <w:rFonts w:ascii="Arial" w:cs="Arial" w:eastAsia="Arial" w:hAnsi="Arial"/>
          <w:sz w:val="17"/>
          <w:szCs w:val="17"/>
          <w:color w:val="auto"/>
        </w:rPr>
      </w:pPr>
      <w:r>
        <w:rPr>
          <w:rFonts w:ascii="Arial" w:cs="Arial" w:eastAsia="Arial" w:hAnsi="Arial"/>
          <w:sz w:val="17"/>
          <w:szCs w:val="17"/>
          <w:color w:val="auto"/>
        </w:rPr>
        <w:t>If a data subject is not able to bring a claim for compensation in accordance with paragraph 1 against the data exporter, arising out of a breach by the data importer or his subprocessor of any of their obligations referred to in Clause 3 or in Clause 11, because the data exporter has factually disappeared or ceased to exist in law or has become insolvent, the data importer agrees that the data subject may issue a claim against the data importer as if it were the data exporter, unless any successor entity has assumed the entire legal obligations of the data exporter by contract of by operation of law, in which case the data subject can enforce its rights against such entity.</w:t>
      </w:r>
    </w:p>
    <w:p>
      <w:pPr>
        <w:spacing w:after="0" w:line="68"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The data importer may not rely on a breach by a subprocessor of its obligations in order to avoid its own liabilities.</w:t>
      </w:r>
    </w:p>
    <w:p>
      <w:pPr>
        <w:spacing w:after="0" w:line="130" w:lineRule="exact"/>
        <w:rPr>
          <w:rFonts w:ascii="Arial" w:cs="Arial" w:eastAsia="Arial" w:hAnsi="Arial"/>
          <w:sz w:val="17"/>
          <w:szCs w:val="17"/>
          <w:color w:val="auto"/>
        </w:rPr>
      </w:pPr>
    </w:p>
    <w:p>
      <w:pPr>
        <w:ind w:left="424" w:right="40" w:hanging="424"/>
        <w:spacing w:after="0" w:line="254" w:lineRule="auto"/>
        <w:tabs>
          <w:tab w:leader="none" w:pos="42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If a data subject is not able to bring a claim against the data exporter or the data importer referred to in paragraphs 1 and 2, arising out of a breach by the subprocessor of any of their obligations referred to in Clause 3 or in Clause 11 because both the data exporter and the data importer have factually disappeared or ceased to exist in law or have become insolvent, the subprocessor agrees that the data subject may issue a claim against the data subprocessor with regard to its own processing operations under the Clauses as if it were the data exporter or the data importer, unless any successor entity has assumed the entire legal obligations of the data exporter or data importer by contract or by operation of law, in which case the data subject can enforce its rights against such entity. The liability of the subprocessor shall be limited to its own processing operations under the Clauses.</w:t>
      </w:r>
    </w:p>
    <w:p>
      <w:pPr>
        <w:spacing w:after="0" w:line="200" w:lineRule="exact"/>
        <w:rPr>
          <w:sz w:val="20"/>
          <w:szCs w:val="20"/>
          <w:color w:val="auto"/>
        </w:rPr>
      </w:pP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Clause 7</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Mediation and jurisdiction</w:t>
      </w:r>
    </w:p>
    <w:p>
      <w:pPr>
        <w:spacing w:after="0" w:line="252" w:lineRule="exact"/>
        <w:rPr>
          <w:sz w:val="20"/>
          <w:szCs w:val="20"/>
          <w:color w:val="auto"/>
        </w:rPr>
      </w:pPr>
    </w:p>
    <w:p>
      <w:pPr>
        <w:ind w:left="424" w:right="20" w:hanging="424"/>
        <w:spacing w:after="0" w:line="277" w:lineRule="auto"/>
        <w:tabs>
          <w:tab w:leader="none" w:pos="42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data importer agrees that if the data subject invokes against it third-party beneficiary rights and/or claims compensation for damages under the Clauses, the data importer will accept the decision of the data subject: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to refer the dispute to mediation, by an independent person or, where applicable, by the supervisory authority;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81"/>
        </w:numPr>
        <w:rPr>
          <w:rFonts w:ascii="Arial" w:cs="Arial" w:eastAsia="Arial" w:hAnsi="Arial"/>
          <w:sz w:val="18"/>
          <w:szCs w:val="18"/>
          <w:color w:val="auto"/>
        </w:rPr>
      </w:pPr>
      <w:r>
        <w:rPr>
          <w:rFonts w:ascii="Arial" w:cs="Arial" w:eastAsia="Arial" w:hAnsi="Arial"/>
          <w:sz w:val="18"/>
          <w:szCs w:val="18"/>
          <w:color w:val="auto"/>
        </w:rPr>
        <w:t>to refer the dispute to the courts in the Member State in which the data exporter is established.</w:t>
      </w:r>
    </w:p>
    <w:p>
      <w:pPr>
        <w:spacing w:after="0" w:line="130"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parties agree that the choice made by the data subject will not prejudice its substantive or procedural rights to seek remedies in accordance with other provisions of national or international law.</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Clause 8</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Cooperation with supervisory authorities</w:t>
      </w:r>
    </w:p>
    <w:p>
      <w:pPr>
        <w:spacing w:after="0" w:line="252" w:lineRule="exact"/>
        <w:rPr>
          <w:sz w:val="20"/>
          <w:szCs w:val="20"/>
          <w:color w:val="auto"/>
        </w:rPr>
      </w:pPr>
    </w:p>
    <w:p>
      <w:pPr>
        <w:ind w:left="424" w:right="260" w:hanging="424"/>
        <w:spacing w:after="0" w:line="277" w:lineRule="auto"/>
        <w:tabs>
          <w:tab w:leader="none" w:pos="42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The data exporter agrees to deposit a copy of this contract with the supervisory authority if it so requests or if such deposit is required under the applicable data protection law.</w:t>
      </w:r>
    </w:p>
    <w:p>
      <w:pPr>
        <w:spacing w:after="0" w:line="75" w:lineRule="exact"/>
        <w:rPr>
          <w:rFonts w:ascii="Arial" w:cs="Arial" w:eastAsia="Arial" w:hAnsi="Arial"/>
          <w:sz w:val="18"/>
          <w:szCs w:val="18"/>
          <w:color w:val="auto"/>
        </w:rPr>
      </w:pPr>
    </w:p>
    <w:p>
      <w:pPr>
        <w:ind w:left="424" w:right="60" w:hanging="424"/>
        <w:spacing w:after="0" w:line="342" w:lineRule="auto"/>
        <w:tabs>
          <w:tab w:leader="none" w:pos="424" w:val="left"/>
        </w:tabs>
        <w:numPr>
          <w:ilvl w:val="0"/>
          <w:numId w:val="382"/>
        </w:numPr>
        <w:rPr>
          <w:rFonts w:ascii="Arial" w:cs="Arial" w:eastAsia="Arial" w:hAnsi="Arial"/>
          <w:sz w:val="16"/>
          <w:szCs w:val="16"/>
          <w:color w:val="auto"/>
        </w:rPr>
      </w:pPr>
      <w:r>
        <w:rPr>
          <w:rFonts w:ascii="Arial" w:cs="Arial" w:eastAsia="Arial" w:hAnsi="Arial"/>
          <w:sz w:val="16"/>
          <w:szCs w:val="16"/>
          <w:color w:val="auto"/>
        </w:rPr>
        <w:t>The parties agree that the supervisory authority has the right to conduct an audit of the data importer, and of any subprocessor, which has the same scope and is subject to the same conditions as would apply to an audit of the data exporter under the applicable data protection law.</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193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100" w:hanging="424"/>
        <w:spacing w:after="0" w:line="263" w:lineRule="auto"/>
        <w:tabs>
          <w:tab w:leader="none" w:pos="42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data importer shall promptly inform the data exporter about the existence of legislation applicable to it or any subprocessor preventing the conduct of an audit of the data importer, or any subprocessor, pursuant to paragraph 2. In such a case the data exporter shall be entitled to take the measures foreseen in Clause 5 (b).</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Clause 9</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Governing Law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Clauses shall be governed by the law of the Member State in which the data exporter is established, namely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5120640</wp:posOffset>
            </wp:positionH>
            <wp:positionV relativeFrom="paragraph">
              <wp:posOffset>-10160</wp:posOffset>
            </wp:positionV>
            <wp:extent cx="102806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102806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348488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348488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263525</wp:posOffset>
            </wp:positionV>
            <wp:extent cx="11430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Clause 10</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Variation of the contract</w:t>
      </w:r>
    </w:p>
    <w:p>
      <w:pPr>
        <w:spacing w:after="0" w:line="225"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The parties undertake not to vary or modify the Clauses. This does not preclude the parties from adding clauses on business related issues where required as long as they do not contradict the Clause.</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Clause 11</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Subprocessing</w:t>
      </w:r>
    </w:p>
    <w:p>
      <w:pPr>
        <w:spacing w:after="0" w:line="252" w:lineRule="exact"/>
        <w:rPr>
          <w:sz w:val="20"/>
          <w:szCs w:val="20"/>
          <w:color w:val="auto"/>
        </w:rPr>
      </w:pPr>
    </w:p>
    <w:p>
      <w:pPr>
        <w:ind w:left="424" w:right="200" w:hanging="424"/>
        <w:spacing w:after="0" w:line="235" w:lineRule="auto"/>
        <w:tabs>
          <w:tab w:leader="none" w:pos="42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data importer shall not subcontract any of its processing operations performed on behalf of the data exporter under the Clauses without the prior written consent of the data exporter. Where the data importer subcontracts its obligations under the Clauses, with the consent of the data exporter, it shall do so only by way of a written agreement with the subprocessor which imposes the same obligations on the subprocessor as are imposed on the data importer under the Clauses</w:t>
      </w:r>
      <w:r>
        <w:rPr>
          <w:rFonts w:ascii="Arial" w:cs="Arial" w:eastAsia="Arial" w:hAnsi="Arial"/>
          <w:sz w:val="26"/>
          <w:szCs w:val="26"/>
          <w:color w:val="auto"/>
          <w:vertAlign w:val="superscript"/>
        </w:rPr>
        <w:t>3</w:t>
      </w:r>
      <w:r>
        <w:rPr>
          <w:rFonts w:ascii="Arial" w:cs="Arial" w:eastAsia="Arial" w:hAnsi="Arial"/>
          <w:sz w:val="18"/>
          <w:szCs w:val="18"/>
          <w:color w:val="auto"/>
        </w:rPr>
        <w:t>. Where the subprocessor fails to fulfil its data protection obligations under such written agreement the data importer shall remain fully liable to the data exporter for the performance of the subprocessor’s obligations under such agreement.</w:t>
      </w:r>
    </w:p>
    <w:p>
      <w:pPr>
        <w:spacing w:after="0" w:line="111" w:lineRule="exact"/>
        <w:rPr>
          <w:rFonts w:ascii="Arial" w:cs="Arial" w:eastAsia="Arial" w:hAnsi="Arial"/>
          <w:sz w:val="18"/>
          <w:szCs w:val="18"/>
          <w:color w:val="auto"/>
        </w:rPr>
      </w:pPr>
    </w:p>
    <w:p>
      <w:pPr>
        <w:ind w:left="424" w:right="80" w:hanging="424"/>
        <w:spacing w:after="0" w:line="275" w:lineRule="auto"/>
        <w:tabs>
          <w:tab w:leader="none" w:pos="424"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The prior written contract between the data importer and the subprocessor shall also provide for a third-party beneficiary clause as laid down in Clause 3 for cases where the data subject is not able to bring the claim for compensation referred to in paragraph 1 of Clause 6 against the data exporter or the data importer because they have factually disappeared or have ceased to exist in law or have become insolvent and no successor entity has assumed the entire legal obligations of the data exporter or data importer by contract or by operation of law. Such third-party liability of the subprocessor shall be limited to its own processing operations under the Clauses.</w:t>
      </w:r>
    </w:p>
    <w:p>
      <w:pPr>
        <w:spacing w:after="0" w:line="203" w:lineRule="exact"/>
        <w:rPr>
          <w:rFonts w:ascii="Arial" w:cs="Arial" w:eastAsia="Arial" w:hAnsi="Arial"/>
          <w:sz w:val="17"/>
          <w:szCs w:val="17"/>
          <w:color w:val="auto"/>
        </w:rPr>
      </w:pPr>
    </w:p>
    <w:p>
      <w:pPr>
        <w:ind w:left="424" w:right="200" w:hanging="424"/>
        <w:spacing w:after="0" w:line="277" w:lineRule="auto"/>
        <w:tabs>
          <w:tab w:leader="none" w:pos="42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provisions relating to data protection aspects for subprocessing of the contract referred to in paragraph 1 shall be governed by the law of the Member State in which the data exporter is established, namely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151765</wp:posOffset>
            </wp:positionV>
            <wp:extent cx="77152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-45085</wp:posOffset>
            </wp:positionV>
            <wp:extent cx="197104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1971040" cy="8255"/>
                    </a:xfrm>
                    <a:prstGeom prst="rect">
                      <a:avLst/>
                    </a:prstGeom>
                    <a:noFill/>
                  </pic:spPr>
                </pic:pic>
              </a:graphicData>
            </a:graphic>
          </wp:anchor>
        </w:drawing>
      </w:r>
    </w:p>
    <w:p>
      <w:pPr>
        <w:spacing w:after="0" w:line="245" w:lineRule="exact"/>
        <w:rPr>
          <w:sz w:val="20"/>
          <w:szCs w:val="20"/>
          <w:color w:val="auto"/>
        </w:rPr>
      </w:pPr>
    </w:p>
    <w:p>
      <w:pPr>
        <w:ind w:left="424" w:right="140" w:hanging="424"/>
        <w:spacing w:after="0" w:line="207" w:lineRule="auto"/>
        <w:tabs>
          <w:tab w:leader="none" w:pos="424" w:val="left"/>
        </w:tabs>
        <w:numPr>
          <w:ilvl w:val="0"/>
          <w:numId w:val="385"/>
        </w:numPr>
        <w:rPr>
          <w:rFonts w:ascii="Arial" w:cs="Arial" w:eastAsia="Arial" w:hAnsi="Arial"/>
          <w:sz w:val="27"/>
          <w:szCs w:val="27"/>
          <w:color w:val="auto"/>
          <w:vertAlign w:val="superscript"/>
        </w:rPr>
      </w:pPr>
      <w:r>
        <w:rPr>
          <w:rFonts w:ascii="Arial" w:cs="Arial" w:eastAsia="Arial" w:hAnsi="Arial"/>
          <w:sz w:val="18"/>
          <w:szCs w:val="18"/>
          <w:color w:val="auto"/>
        </w:rPr>
        <w:t>This requirement may be satisfied by the subprocessor co-signing the contract entered into between the data exporter and the data importer under this Decision.</w:t>
      </w:r>
    </w:p>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194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279" w:lineRule="exact"/>
        <w:rPr>
          <w:sz w:val="20"/>
          <w:szCs w:val="20"/>
          <w:color w:val="auto"/>
        </w:rPr>
      </w:pPr>
    </w:p>
    <w:p>
      <w:pPr>
        <w:ind w:left="424" w:right="140" w:hanging="424"/>
        <w:spacing w:after="0" w:line="342" w:lineRule="auto"/>
        <w:tabs>
          <w:tab w:leader="none" w:pos="424"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data exporter shall keep a list of subprocessing agreements concluded under the Clauses and notified by the data importer pursuant to Clause 5 (j), which shall be updated at least once a year. The list shall be available to the data exporter’s data protection supervisory authority.</w:t>
      </w:r>
    </w:p>
    <w:p>
      <w:pPr>
        <w:spacing w:after="0" w:line="34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Clause 12</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Obligation after the termination of personal data processing services</w:t>
      </w:r>
    </w:p>
    <w:p>
      <w:pPr>
        <w:spacing w:after="0" w:line="252" w:lineRule="exact"/>
        <w:rPr>
          <w:sz w:val="20"/>
          <w:szCs w:val="20"/>
          <w:color w:val="auto"/>
        </w:rPr>
      </w:pPr>
    </w:p>
    <w:p>
      <w:pPr>
        <w:jc w:val="both"/>
        <w:ind w:left="424" w:right="20" w:hanging="424"/>
        <w:spacing w:after="0" w:line="257" w:lineRule="auto"/>
        <w:tabs>
          <w:tab w:leader="none" w:pos="42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parties agree that on the termination of the provision of data processing services, the data importer and the subprocessor shall, at the choice of the data exporter, return all the personal data transferred and the copies thereof to the data exporter or shall destroy all the personal data and certify to the data exporter that it has done so, unless legislation imposed upon the data importer prevents it from returning or destroying all or part of the personal data transferred. In that case, the data importer warrants that it will guarantee the confidentiality of the personal data transferred and will not actively process the personal data transferred anymore.</w:t>
      </w:r>
    </w:p>
    <w:p>
      <w:pPr>
        <w:spacing w:after="0" w:line="93"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data importer and the subprocessor warrant that upon request of the data exporter and/or of the supervisory authority, it will submit its data processing facilities for an audit of the measures referred to in paragraph 1.</w:t>
      </w:r>
    </w:p>
    <w:p>
      <w:pPr>
        <w:spacing w:after="0" w:line="278"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behalf of the data exporter: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(written out in full):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Position: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information necessary in order for the contract to be binding (if any):</w:t>
      </w:r>
    </w:p>
    <w:p>
      <w:pPr>
        <w:spacing w:after="0" w:line="117" w:lineRule="exact"/>
        <w:rPr>
          <w:sz w:val="20"/>
          <w:szCs w:val="20"/>
          <w:color w:val="auto"/>
        </w:rPr>
      </w:pPr>
    </w:p>
    <w:p>
      <w:pPr>
        <w:ind w:left="8304"/>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5709920</wp:posOffset>
            </wp:positionH>
            <wp:positionV relativeFrom="paragraph">
              <wp:posOffset>-10160</wp:posOffset>
            </wp:positionV>
            <wp:extent cx="128524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1285240" cy="8890"/>
                    </a:xfrm>
                    <a:prstGeom prst="rect">
                      <a:avLst/>
                    </a:prstGeom>
                    <a:noFill/>
                  </pic:spPr>
                </pic:pic>
              </a:graphicData>
            </a:graphic>
          </wp:anchor>
        </w:drawing>
      </w:r>
    </w:p>
    <w:p>
      <w:pPr>
        <w:spacing w:after="0" w:line="9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(stamp of organisation)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On behalf of the data importer: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(written out in full):</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Position: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information necessary in order for the contract to be binding (if any):</w:t>
      </w:r>
    </w:p>
    <w:p>
      <w:pPr>
        <w:spacing w:after="0" w:line="225" w:lineRule="exact"/>
        <w:rPr>
          <w:sz w:val="20"/>
          <w:szCs w:val="20"/>
          <w:color w:val="auto"/>
        </w:rPr>
      </w:pPr>
    </w:p>
    <w:p>
      <w:pPr>
        <w:ind w:left="8304"/>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5709920</wp:posOffset>
            </wp:positionH>
            <wp:positionV relativeFrom="paragraph">
              <wp:posOffset>-10160</wp:posOffset>
            </wp:positionV>
            <wp:extent cx="128524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(stamp of organisation)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195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8" w:name="page319"/>
    <w:bookmarkEnd w:id="31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Member States may complete or specify, according to their national procedures, any additional necessary information to be contained in this Appendix</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Data exporter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data exporter is (please specify briefly your activities relevant to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709295</wp:posOffset>
            </wp:positionV>
            <wp:extent cx="357441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503555</wp:posOffset>
            </wp:positionV>
            <wp:extent cx="69951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297815</wp:posOffset>
            </wp:positionV>
            <wp:extent cx="69951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Data importer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data importer is (please specify briefly activities relevant to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709295</wp:posOffset>
            </wp:positionV>
            <wp:extent cx="357441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503555</wp:posOffset>
            </wp:positionV>
            <wp:extent cx="699516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297815</wp:posOffset>
            </wp:positionV>
            <wp:extent cx="699516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Data subjects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categories of data subjects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709295</wp:posOffset>
            </wp:positionV>
            <wp:extent cx="3574415"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503555</wp:posOffset>
            </wp:positionV>
            <wp:extent cx="699516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297815</wp:posOffset>
            </wp:positionV>
            <wp:extent cx="699516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Categories of data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categories of data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709295</wp:posOffset>
            </wp:positionV>
            <wp:extent cx="3574415"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503555</wp:posOffset>
            </wp:positionV>
            <wp:extent cx="69951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297815</wp:posOffset>
            </wp:positionV>
            <wp:extent cx="699516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Special categories of data (if appropriate)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special categories of data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786130</wp:posOffset>
            </wp:positionV>
            <wp:extent cx="357441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35744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580390</wp:posOffset>
            </wp:positionV>
            <wp:extent cx="699516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374650</wp:posOffset>
            </wp:positionV>
            <wp:extent cx="69951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Processing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will be subject to the following basic processing activities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709295</wp:posOffset>
            </wp:positionV>
            <wp:extent cx="357441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35744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503555</wp:posOffset>
            </wp:positionV>
            <wp:extent cx="699516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297815</wp:posOffset>
            </wp:positionV>
            <wp:extent cx="699516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1 TO THE STANDARD CONTRACTUAL CLAUSES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DATA EXPORTER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Appendix forms part of the Clauses and must be completed and signed by 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-10160</wp:posOffset>
            </wp:positionV>
            <wp:extent cx="185674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1856740" cy="8890"/>
                    </a:xfrm>
                    <a:prstGeom prst="rect">
                      <a:avLst/>
                    </a:prstGeom>
                    <a:noFill/>
                  </pic:spPr>
                </pic:pic>
              </a:graphicData>
            </a:graphic>
          </wp:anchor>
        </w:drawing>
      </w:r>
    </w:p>
    <w:p>
      <w:pPr>
        <w:spacing w:after="0" w:line="3" w:lineRule="exact"/>
        <w:rPr>
          <w:sz w:val="20"/>
          <w:szCs w:val="20"/>
          <w:color w:val="auto"/>
        </w:rPr>
      </w:pPr>
    </w:p>
    <w:p>
      <w:pPr>
        <w:spacing w:after="0"/>
        <w:tabs>
          <w:tab w:leader="none" w:pos="2680" w:val="left"/>
        </w:tabs>
        <w:rPr>
          <w:sz w:val="20"/>
          <w:szCs w:val="20"/>
          <w:color w:val="auto"/>
        </w:rPr>
      </w:pPr>
      <w:r>
        <w:rPr>
          <w:rFonts w:ascii="Arial" w:cs="Arial" w:eastAsia="Arial" w:hAnsi="Arial"/>
          <w:sz w:val="18"/>
          <w:szCs w:val="18"/>
          <w:color w:val="auto"/>
        </w:rPr>
        <w:t>Authorized</w:t>
      </w:r>
      <w:r>
        <w:rPr>
          <w:sz w:val="20"/>
          <w:szCs w:val="20"/>
          <w:color w:val="auto"/>
        </w:rPr>
        <w:tab/>
      </w:r>
      <w:r>
        <w:rPr>
          <w:rFonts w:ascii="Arial" w:cs="Arial" w:eastAsia="Arial" w:hAnsi="Arial"/>
          <w:sz w:val="18"/>
          <w:szCs w:val="18"/>
          <w:color w:val="auto"/>
        </w:rPr>
        <w:t>Signature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DATA IMPORTER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-19050</wp:posOffset>
            </wp:positionV>
            <wp:extent cx="185674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18567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-19050</wp:posOffset>
            </wp:positionV>
            <wp:extent cx="1142365"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196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402" w:gutter="0" w:footer="0" w:header="0"/>
        </w:sectPr>
      </w:pPr>
    </w:p>
    <w:bookmarkStart w:id="319" w:name="page320"/>
    <w:bookmarkEnd w:id="319"/>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 w:right="600"/>
        <w:spacing w:after="0" w:line="277" w:lineRule="auto"/>
        <w:rPr>
          <w:sz w:val="20"/>
          <w:szCs w:val="20"/>
          <w:color w:val="auto"/>
        </w:rPr>
      </w:pPr>
      <w:r>
        <w:rPr>
          <w:rFonts w:ascii="Arial" w:cs="Arial" w:eastAsia="Arial" w:hAnsi="Arial"/>
          <w:sz w:val="18"/>
          <w:szCs w:val="18"/>
          <w:color w:val="auto"/>
        </w:rPr>
        <w:t>Description of the technical and organizational security measures implemented by the data importer in accordance with Clauses 4(d) and 5(c) (or document/legislation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751840</wp:posOffset>
            </wp:positionV>
            <wp:extent cx="699516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546100</wp:posOffset>
            </wp:positionV>
            <wp:extent cx="69951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340360</wp:posOffset>
            </wp:positionV>
            <wp:extent cx="699516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965835</wp:posOffset>
            </wp:positionV>
            <wp:extent cx="350583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35058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ILLUSTRATIVE INDEMNIFICATION CLAUSE (OPTIONAL)</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Liability</w:t>
      </w:r>
    </w:p>
    <w:p>
      <w:pPr>
        <w:spacing w:after="0" w:line="225" w:lineRule="exact"/>
        <w:rPr>
          <w:sz w:val="20"/>
          <w:szCs w:val="20"/>
          <w:color w:val="auto"/>
        </w:rPr>
      </w:pPr>
    </w:p>
    <w:p>
      <w:pPr>
        <w:ind w:left="4" w:right="420"/>
        <w:spacing w:after="0" w:line="277" w:lineRule="auto"/>
        <w:rPr>
          <w:sz w:val="20"/>
          <w:szCs w:val="20"/>
          <w:color w:val="auto"/>
        </w:rPr>
      </w:pPr>
      <w:r>
        <w:rPr>
          <w:rFonts w:ascii="Arial" w:cs="Arial" w:eastAsia="Arial" w:hAnsi="Arial"/>
          <w:sz w:val="18"/>
          <w:szCs w:val="18"/>
          <w:color w:val="auto"/>
        </w:rPr>
        <w:t>The parties agree that if one party is held liable for a violation of the clauses committed by the other party, the latter will, to the extent to which it is liable, indemnify the first party for any cost, charge, damages, expenses or loss it has incurred.</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Indemnification is contingent upon:</w:t>
      </w:r>
    </w:p>
    <w:p>
      <w:pPr>
        <w:spacing w:after="0" w:line="131" w:lineRule="exact"/>
        <w:rPr>
          <w:sz w:val="20"/>
          <w:szCs w:val="20"/>
          <w:color w:val="auto"/>
        </w:rPr>
      </w:pPr>
    </w:p>
    <w:p>
      <w:pPr>
        <w:ind w:left="424" w:hanging="424"/>
        <w:spacing w:after="0"/>
        <w:tabs>
          <w:tab w:leader="none" w:pos="42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data exporter promptly notifying the data importer of a claim;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data importer being given the possibility to cooperate with the data exporter in the defence and settlement of the claim4.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7152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Paragraph on liabilities is optional.</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197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APPENDIX 2 TO THE STANDARD CONTRACTUAL CLAUSES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M – Escrow Agreement</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Appendix forms part of the Clauses and must be completed and signed by the parties A copy of the escrow agreement referenced in Section 8.5b is attached below:</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198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Appendix O – California Consumer Privacy Act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Definition of CCPA Personal Information</w:t>
      </w:r>
    </w:p>
    <w:p>
      <w:pPr>
        <w:spacing w:after="0" w:line="11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“CCPA Personal Information” means information that identifies, relates to, describes, is capable of being associated with, or could reasonably be linked, directly or indirectly, with an individual or household. Individuals whose data is encompassed by this definition may include, but are not limited to, customers, potential customers, and employees of AT&amp;T. CCPA Personal Information may include, but is not limited to, AT&amp;T Customer Information.</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Scope</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Supplier must treat all personal information it processes on behalf of AT&amp;T, whether provided by AT&amp;T to Supplier or accessed or collected on AT&amp;T’s behalf by Supplier, as CCPA Personal Information unless instructed otherwise in writing by AT&amp;T.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Obligations</w:t>
      </w:r>
    </w:p>
    <w:p>
      <w:pPr>
        <w:spacing w:after="0" w:line="117"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Supplier must not sell, rent, lease, disclose, disseminate, make available, transfer, or otherwise communicate orally, in writing, or by electronic or other means, an individual’s CCPA Personal Information to another business or third party for monetary or other valuable consideration.</w:t>
      </w:r>
    </w:p>
    <w:p>
      <w:pPr>
        <w:spacing w:after="0" w:line="1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Supplier must not retain or use CCPA Personal Information for any purpose other than the specific purpose of performing the Services specified in this Agreement.</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Supplier must not disclose CCPA Personal Information to any party other than AT&amp;T, except to perform Services for AT&amp;T in accordance with this Agreement, or except to the extent that disclosure is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Supplier must not retain, use or disclose CCPA Personal Information outside of the business relationship between Supplier and AT&amp;T.</w:t>
      </w:r>
    </w:p>
    <w:p>
      <w:pPr>
        <w:spacing w:after="0" w:line="22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Supplier’s obligations that pertain to Customer Information also apply to CCPA Personal Information. If there is a conflict between or among provisions, the most consumer protective provision that also complies with the terms of this Appendix will control.</w:t>
      </w:r>
    </w:p>
    <w:p>
      <w:pPr>
        <w:spacing w:after="0" w:line="14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Supplier must, in performing its duties under this Agreement, abide by all obligations set forth in the CCPA which apply to Amdocs in its role of an IT service provider and not use or disclose any CCPA Personal Information in violation of any restrictions in the CCPA, applicable to Amdocs in connection with this Agreement.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Requests for Data Access</w:t>
      </w:r>
    </w:p>
    <w:p>
      <w:pPr>
        <w:spacing w:after="0" w:line="117"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If Supplier collects CCPA Personal Information on behalf of AT&amp;T in accordance with this Agreement, AT&amp;T reserves the right to require Supplier to provide to AT&amp;T all the CCPA Personal Information collected, at any time, in AT&amp;T’s sole discretion (a “Data Access Request”).</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Data Access Requests will be provided to Supplier in writing and will identify individual(s) or household(s) whose information Supplier must provide to AT&amp;T.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Supplier will have [***] to comply with a Data Access Request by providing the information requested to AT&amp;T.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199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22" w:name="page323"/>
    <w:bookmarkEnd w:id="322"/>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Supplier must maintain complete and accurate records relating to its compliance with each Data Access Request. AT&amp;T and its auditors will have the right to review Supplier’s compliance with any Data Access Request (“Data Access Audit”). AT&amp;T Audits will apply to Data Access Audits.</w:t>
      </w:r>
    </w:p>
    <w:p>
      <w:pPr>
        <w:spacing w:after="0" w:line="12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a Data Access Audit, Supplier must provide AT&amp;T access at all reasonable times to the records relating to Data Access Requests; systems used to access information identified in the requests; and employees and contractors who facilitated compliance with Data Access Requests.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Requests for Data Deletion</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AT&amp;T reserves the right to require Supplier to delete all CCPA Personal Information associated with an individual or household at any time, in AT&amp;T’s sole discretion (a “Data Deletion Request”).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Data Deletion Requests will be provided to Supplier in writing and will identify individual(s) or household(s) whose information must be deleted.</w:t>
      </w:r>
    </w:p>
    <w:p>
      <w:pPr>
        <w:spacing w:after="0" w:line="23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Supplier will have [***] to comply with a Data Deletion Request by (a) deleting the data identified and (b) providing written confirmation to AT&amp;T. If Supplier is required by law to retain information that is subject to a Data Deletion Request or determines it must retain information to provide the Services specified in this Agreement, it will so advise AT&amp;T in writing within [***], and AT&amp;T will provide further direction.</w:t>
      </w:r>
    </w:p>
    <w:p>
      <w:pPr>
        <w:spacing w:after="0" w:line="16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Supplier must maintain complete and accurate records relating to its compliance with each Data Deletion Request (which records must not include data that was required to be deleted). AT&amp;T and its auditors have the right to review Supplier’s compliance with any Data Deletion Request (“Data Deletion Audit”). AT&amp;T Audits apply to Data Deletion Audits.</w:t>
      </w:r>
    </w:p>
    <w:p>
      <w:pPr>
        <w:spacing w:after="0" w:line="18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a Data Deletion Audit, Supplier must provide AT&amp;T access at all reasonable times to the records relating to Data Deletion Requests; systems used to delete information identified in the requests; and employees and contractors who facilitated compliance with Data Deletion Requests.</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200 of 206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Appendix N – Legacy Software Maintenance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Support and Maintenance Terms for Legacy Standard Software as listed in the table in Section 7 below</w:t>
      </w:r>
    </w:p>
    <w:p>
      <w:pPr>
        <w:spacing w:after="0" w:line="117" w:lineRule="exact"/>
        <w:rPr>
          <w:sz w:val="20"/>
          <w:szCs w:val="20"/>
          <w:color w:val="auto"/>
        </w:rPr>
      </w:pPr>
    </w:p>
    <w:p>
      <w:pPr>
        <w:ind w:left="184" w:hanging="184"/>
        <w:spacing w:after="0"/>
        <w:tabs>
          <w:tab w:leader="none" w:pos="18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Error Severity Level Classification</w:t>
      </w:r>
    </w:p>
    <w:p>
      <w:pPr>
        <w:spacing w:after="0" w:line="117" w:lineRule="exact"/>
        <w:rPr>
          <w:rFonts w:ascii="Arial" w:cs="Arial" w:eastAsia="Arial" w:hAnsi="Arial"/>
          <w:sz w:val="18"/>
          <w:szCs w:val="18"/>
          <w:color w:val="auto"/>
        </w:rPr>
      </w:pPr>
    </w:p>
    <w:p>
      <w:pPr>
        <w:ind w:left="444" w:right="20" w:hanging="4"/>
        <w:spacing w:after="0" w:line="263" w:lineRule="auto"/>
        <w:tabs>
          <w:tab w:leader="none" w:pos="614" w:val="left"/>
        </w:tabs>
        <w:numPr>
          <w:ilvl w:val="1"/>
          <w:numId w:val="390"/>
        </w:numPr>
        <w:rPr>
          <w:rFonts w:ascii="Arial" w:cs="Arial" w:eastAsia="Arial" w:hAnsi="Arial"/>
          <w:sz w:val="18"/>
          <w:szCs w:val="18"/>
          <w:color w:val="auto"/>
        </w:rPr>
      </w:pPr>
      <w:r>
        <w:rPr>
          <w:rFonts w:ascii="Arial" w:cs="Arial" w:eastAsia="Arial" w:hAnsi="Arial"/>
          <w:sz w:val="18"/>
          <w:szCs w:val="18"/>
          <w:color w:val="auto"/>
        </w:rPr>
        <w:t>Supplier’s Obligation to Provide a Resolution—If AT&amp;T encounters an Error, Harmful Code or Vulnerability in the course of AT&amp;T’s Use of the Standard Software and reports the Error to Supplier as provided in this Section, then Supplier shall proceed to provide a Restoral, if applicable, and a Resolution to AT&amp;T within [***].</w:t>
      </w:r>
    </w:p>
    <w:p>
      <w:pPr>
        <w:spacing w:after="0" w:line="75" w:lineRule="exact"/>
        <w:rPr>
          <w:rFonts w:ascii="Arial" w:cs="Arial" w:eastAsia="Arial" w:hAnsi="Arial"/>
          <w:sz w:val="18"/>
          <w:szCs w:val="18"/>
          <w:color w:val="auto"/>
        </w:rPr>
      </w:pPr>
    </w:p>
    <w:p>
      <w:pPr>
        <w:ind w:left="444" w:right="40" w:hanging="4"/>
        <w:spacing w:after="0" w:line="273" w:lineRule="auto"/>
        <w:tabs>
          <w:tab w:leader="none" w:pos="624" w:val="left"/>
        </w:tabs>
        <w:numPr>
          <w:ilvl w:val="1"/>
          <w:numId w:val="390"/>
        </w:numPr>
        <w:rPr>
          <w:rFonts w:ascii="Arial" w:cs="Arial" w:eastAsia="Arial" w:hAnsi="Arial"/>
          <w:sz w:val="17"/>
          <w:szCs w:val="17"/>
          <w:color w:val="auto"/>
        </w:rPr>
      </w:pPr>
      <w:r>
        <w:rPr>
          <w:rFonts w:ascii="Arial" w:cs="Arial" w:eastAsia="Arial" w:hAnsi="Arial"/>
          <w:sz w:val="17"/>
          <w:szCs w:val="17"/>
          <w:color w:val="auto"/>
        </w:rPr>
        <w:t>Reporting and Classification of Errors—AT&amp;T’s authorized representative may report an Error, Harmful Code or Vulnerability by placing a telephone call to Supplier’s nationwide toll free number designated by Supplier to receive such reports. When making such a report, AT&amp;T’s representative shall: report local time at which the call is placed; identify the Computer Program affected by name, Major Release, and Minor Release; identify the computer on which the Error was encountered; describe the unintended results that the computer is producing or the intended results that the computer is failing to produce; provide the call-back telephone number at which AT&amp;T’s authorized representative can be reached; and assign a Severity Level to the Error as follows. AT&amp;T’s authorized representative shall assign:</w:t>
      </w:r>
    </w:p>
    <w:p>
      <w:pPr>
        <w:spacing w:after="0" w:line="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1.“Severity Level 1” [***];</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2.“Severity Level 2” to an Error, other than an Error of Severity Level 1, that [***];</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3.“Severity Level 3” to an Error, other an Error of Severity Level 1 or Severity Level 2, that [***]; and</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4.“Severity Level 4” to any Error other than an Error of Severity Level 1, Severity Level 2, or Severity Level 3.</w:t>
      </w:r>
    </w:p>
    <w:p>
      <w:pPr>
        <w:spacing w:after="0" w:line="117" w:lineRule="exact"/>
        <w:rPr>
          <w:sz w:val="20"/>
          <w:szCs w:val="20"/>
          <w:color w:val="auto"/>
        </w:rPr>
      </w:pPr>
    </w:p>
    <w:p>
      <w:pPr>
        <w:jc w:val="both"/>
        <w:ind w:left="444" w:right="100"/>
        <w:spacing w:after="0" w:line="259" w:lineRule="auto"/>
        <w:rPr>
          <w:sz w:val="20"/>
          <w:szCs w:val="20"/>
          <w:color w:val="auto"/>
        </w:rPr>
      </w:pPr>
      <w:r>
        <w:rPr>
          <w:rFonts w:ascii="Arial" w:cs="Arial" w:eastAsia="Arial" w:hAnsi="Arial"/>
          <w:sz w:val="18"/>
          <w:szCs w:val="18"/>
          <w:color w:val="auto"/>
        </w:rPr>
        <w:t>c. Variations—The obligations of Section 2 of this Appendix N (“Error Severity Resolutions Plan”) through Section 4 of this Appendix N (“Error Severity Liquidated Damages”) may be adjusted by mutual agreement of the Parties reflected in the applicable Order for Standard Software (e.g., the Parties may agree to such an adjustment if Amdocs represents that Amdocs no longer maintains sufficient maintenance resources to meet the resolution requirements of this Appendix N).</w:t>
      </w:r>
    </w:p>
    <w:p>
      <w:pPr>
        <w:spacing w:after="0" w:line="79" w:lineRule="exact"/>
        <w:rPr>
          <w:sz w:val="20"/>
          <w:szCs w:val="20"/>
          <w:color w:val="auto"/>
        </w:rPr>
      </w:pPr>
    </w:p>
    <w:p>
      <w:pPr>
        <w:jc w:val="both"/>
        <w:ind w:left="444" w:right="120"/>
        <w:spacing w:after="0" w:line="277" w:lineRule="auto"/>
        <w:rPr>
          <w:sz w:val="20"/>
          <w:szCs w:val="20"/>
          <w:color w:val="auto"/>
        </w:rPr>
      </w:pPr>
      <w:r>
        <w:rPr>
          <w:rFonts w:ascii="Arial" w:cs="Arial" w:eastAsia="Arial" w:hAnsi="Arial"/>
          <w:sz w:val="18"/>
          <w:szCs w:val="18"/>
          <w:color w:val="auto"/>
        </w:rPr>
        <w:t>d. Installation of Maintenance Modifications and Bug Fixes—AT&amp;T shall install Maintenance Modifications and bug fixes provided by Amdocs, test and implement such corrections and perform any clean-up activity required to correct side effects of the Error.</w:t>
      </w:r>
    </w:p>
    <w:p>
      <w:pPr>
        <w:spacing w:after="0" w:line="62" w:lineRule="exact"/>
        <w:rPr>
          <w:sz w:val="20"/>
          <w:szCs w:val="20"/>
          <w:color w:val="auto"/>
        </w:rPr>
      </w:pPr>
    </w:p>
    <w:p>
      <w:pPr>
        <w:ind w:left="444" w:right="40"/>
        <w:spacing w:after="0" w:line="254" w:lineRule="auto"/>
        <w:rPr>
          <w:sz w:val="20"/>
          <w:szCs w:val="20"/>
          <w:color w:val="auto"/>
        </w:rPr>
      </w:pPr>
      <w:r>
        <w:rPr>
          <w:rFonts w:ascii="Arial" w:cs="Arial" w:eastAsia="Arial" w:hAnsi="Arial"/>
          <w:sz w:val="18"/>
          <w:szCs w:val="18"/>
          <w:color w:val="auto"/>
        </w:rPr>
        <w:t>e. Limitations on Maintenance/Warranty—Amdocs shall not be obligated to [***]; provided, however, that Amdocs shall be required to [***]. Amdocs may correct an Error by providing AT&amp;T with reasonable operating instructions that correct the Error if such operating instructions do not conflict with, and are not inconsistent with, the terms of this Agreement or the applicable Order. All corrections to the Standard Software will be performed only by Amdocs or its Subcontractors. Amdocs shall not be responsible to the extent any party other than Amdocs or its Subcontractors corrects the Standard Software in any manner. Additionally, Maintenance does not encompass the remediation of problems or bugs determined by Amdocs to have been caused by the failure or malfunction of any software, tools, equipment, or facilities not provided by Amdocs. In the event a</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201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24" w:name="page325"/>
    <w:bookmarkEnd w:id="324"/>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44" w:right="180"/>
        <w:spacing w:after="0" w:line="296" w:lineRule="auto"/>
        <w:rPr>
          <w:sz w:val="20"/>
          <w:szCs w:val="20"/>
          <w:color w:val="auto"/>
        </w:rPr>
      </w:pPr>
      <w:r>
        <w:rPr>
          <w:rFonts w:ascii="Arial" w:cs="Arial" w:eastAsia="Arial" w:hAnsi="Arial"/>
          <w:sz w:val="16"/>
          <w:szCs w:val="16"/>
          <w:color w:val="auto"/>
        </w:rPr>
        <w:t>problem has been reported to Amdocs and it is found that the problem is not an Error, Amdocs shall have no obligation to correct such problem; provided, however, that, if Amdocs incurs any out-of-pocket expenses in dispatching an Amdocs employee to work on-site at AT&amp;T to fix a problem that is found not to be an Error, AT&amp;T shall reimburse Amdocs for such documented expenses incurred, in accordance with AT&amp;T’s expense policy. Amdocs shall only be required to provide Maintenance for supported releases of the Standard Software. Releases are “supported releases” for the greater of [***] from the Delivery of a release and the period represented by [***] immediately prior Major Releases.</w:t>
      </w:r>
    </w:p>
    <w:p>
      <w:pPr>
        <w:spacing w:after="0" w:line="310" w:lineRule="exact"/>
        <w:rPr>
          <w:sz w:val="20"/>
          <w:szCs w:val="20"/>
          <w:color w:val="auto"/>
        </w:rPr>
      </w:pPr>
    </w:p>
    <w:p>
      <w:pPr>
        <w:ind w:left="424" w:hanging="424"/>
        <w:spacing w:after="0"/>
        <w:tabs>
          <w:tab w:leader="none" w:pos="424" w:val="left"/>
        </w:tabs>
        <w:numPr>
          <w:ilvl w:val="0"/>
          <w:numId w:val="391"/>
        </w:numPr>
        <w:rPr>
          <w:rFonts w:ascii="Arial" w:cs="Arial" w:eastAsia="Arial" w:hAnsi="Arial"/>
          <w:sz w:val="18"/>
          <w:szCs w:val="18"/>
          <w:color w:val="auto"/>
        </w:rPr>
      </w:pPr>
      <w:r>
        <w:rPr>
          <w:rFonts w:ascii="Arial" w:cs="Arial" w:eastAsia="Arial" w:hAnsi="Arial"/>
          <w:sz w:val="18"/>
          <w:szCs w:val="18"/>
          <w:color w:val="auto"/>
        </w:rPr>
        <w:t>Error Severity Resolution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Supplier shall respond to a Severity Level report from AT&amp;T, as follows:</w:t>
      </w:r>
    </w:p>
    <w:p>
      <w:pPr>
        <w:spacing w:after="0" w:line="117" w:lineRule="exact"/>
        <w:rPr>
          <w:sz w:val="20"/>
          <w:szCs w:val="20"/>
          <w:color w:val="auto"/>
        </w:rPr>
      </w:pPr>
    </w:p>
    <w:p>
      <w:pPr>
        <w:ind w:left="444" w:right="40"/>
        <w:spacing w:after="0" w:line="291" w:lineRule="auto"/>
        <w:rPr>
          <w:sz w:val="20"/>
          <w:szCs w:val="20"/>
          <w:color w:val="auto"/>
        </w:rPr>
      </w:pPr>
      <w:r>
        <w:rPr>
          <w:rFonts w:ascii="Arial" w:cs="Arial" w:eastAsia="Arial" w:hAnsi="Arial"/>
          <w:sz w:val="16"/>
          <w:szCs w:val="16"/>
          <w:color w:val="auto"/>
        </w:rPr>
        <w:t>a. Supplier’s authorized representative shall return AT&amp;T’s call, obtain any information necessary to begin corrective measures, and advise AT&amp;T’s authorized representative that Supplier has commenced efforts to diagnose and correct the Error or Vulnerability, all to be done: (i) within</w:t>
      </w:r>
    </w:p>
    <w:p>
      <w:pPr>
        <w:ind w:left="444" w:right="120" w:hanging="4"/>
        <w:spacing w:after="0" w:line="260" w:lineRule="auto"/>
        <w:tabs>
          <w:tab w:leader="none" w:pos="879" w:val="left"/>
        </w:tabs>
        <w:numPr>
          <w:ilvl w:val="0"/>
          <w:numId w:val="392"/>
        </w:numPr>
        <w:rPr>
          <w:rFonts w:ascii="Arial" w:cs="Arial" w:eastAsia="Arial" w:hAnsi="Arial"/>
          <w:sz w:val="18"/>
          <w:szCs w:val="18"/>
          <w:color w:val="auto"/>
        </w:rPr>
      </w:pPr>
      <w:r>
        <w:rPr>
          <w:rFonts w:ascii="Arial" w:cs="Arial" w:eastAsia="Arial" w:hAnsi="Arial"/>
          <w:sz w:val="18"/>
          <w:szCs w:val="18"/>
          <w:color w:val="auto"/>
        </w:rPr>
        <w:t>of the time when AT&amp;T’s call was placed, in the case of a Severity Level 1 report; (ii) within [***] hours, in the case of a Severity Level 2; (iii) within [***] in the case of Severity Level 3; and (iv) within [***], in the case of a Severity Level 4.</w:t>
      </w:r>
    </w:p>
    <w:p>
      <w:pPr>
        <w:spacing w:after="0" w:line="77"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b. Supplier shall provide a Restoral to AT&amp;T: (i) within [***] of the time when AT&amp;T’s call was placed, in the case of a Severity Level 1 report; (ii) within f[***], in the case of a Severity Level 2; and (iii) within [***], in the case of a Severity Level 3.</w:t>
      </w:r>
    </w:p>
    <w:p>
      <w:pPr>
        <w:spacing w:after="0" w:line="62" w:lineRule="exact"/>
        <w:rPr>
          <w:sz w:val="20"/>
          <w:szCs w:val="20"/>
          <w:color w:val="auto"/>
        </w:rPr>
      </w:pPr>
    </w:p>
    <w:p>
      <w:pPr>
        <w:jc w:val="both"/>
        <w:ind w:left="444" w:right="660"/>
        <w:spacing w:after="0" w:line="291" w:lineRule="auto"/>
        <w:rPr>
          <w:sz w:val="20"/>
          <w:szCs w:val="20"/>
          <w:color w:val="auto"/>
        </w:rPr>
      </w:pPr>
      <w:r>
        <w:rPr>
          <w:rFonts w:ascii="Arial" w:cs="Arial" w:eastAsia="Arial" w:hAnsi="Arial"/>
          <w:sz w:val="16"/>
          <w:szCs w:val="16"/>
          <w:color w:val="auto"/>
        </w:rPr>
        <w:t>c. Unless Supplier has provided a Resolution of the Error to AT&amp;T, Supplier shall keep AT&amp;T informed of its progress toward effecting a Resolution by communicating a report: (i) daily, in the case of a Severity Level 1; (ii) every [***] hours, in the case of a Severity Level 2;</w:t>
      </w:r>
    </w:p>
    <w:p>
      <w:pPr>
        <w:ind w:left="444" w:right="400" w:hanging="4"/>
        <w:spacing w:after="0" w:line="260" w:lineRule="auto"/>
        <w:tabs>
          <w:tab w:leader="none" w:pos="759"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in the case of a Severity Level 3; and (iv) at least [***] days in advance of the Supplier’s release of the Resolution, in the case of a Severity Level 4.</w:t>
      </w:r>
    </w:p>
    <w:p>
      <w:pPr>
        <w:spacing w:after="0" w:line="77" w:lineRule="exact"/>
        <w:rPr>
          <w:sz w:val="20"/>
          <w:szCs w:val="20"/>
          <w:color w:val="auto"/>
        </w:rPr>
      </w:pPr>
    </w:p>
    <w:p>
      <w:pPr>
        <w:jc w:val="both"/>
        <w:ind w:left="444" w:right="40"/>
        <w:spacing w:after="0" w:line="286" w:lineRule="auto"/>
        <w:rPr>
          <w:sz w:val="20"/>
          <w:szCs w:val="20"/>
          <w:color w:val="auto"/>
        </w:rPr>
      </w:pPr>
      <w:r>
        <w:rPr>
          <w:rFonts w:ascii="Arial" w:cs="Arial" w:eastAsia="Arial" w:hAnsi="Arial"/>
          <w:sz w:val="17"/>
          <w:szCs w:val="17"/>
          <w:color w:val="auto"/>
        </w:rPr>
        <w:t>d. In any event, Supplier shall provide a Resolution to AT&amp;T: (i) within [***] of the time AT&amp;T’s call was placed, in the case of a Severity Level 1; (ii) within [***], in the case of a Severity Level 2; (iii) within [***], in the case of Severity Level 3; and (iv) in the first Major Release or Minor Release that Supplier plans to issue at least [***] after the date of AT&amp;T’s call, in the case of a Severity Level 4.</w:t>
      </w:r>
    </w:p>
    <w:p>
      <w:pPr>
        <w:spacing w:after="0" w:line="57" w:lineRule="exact"/>
        <w:rPr>
          <w:sz w:val="20"/>
          <w:szCs w:val="20"/>
          <w:color w:val="auto"/>
        </w:rPr>
      </w:pPr>
    </w:p>
    <w:p>
      <w:pPr>
        <w:ind w:left="444" w:right="40"/>
        <w:spacing w:after="0" w:line="259" w:lineRule="auto"/>
        <w:rPr>
          <w:sz w:val="20"/>
          <w:szCs w:val="20"/>
          <w:color w:val="auto"/>
        </w:rPr>
      </w:pPr>
      <w:r>
        <w:rPr>
          <w:rFonts w:ascii="Arial" w:cs="Arial" w:eastAsia="Arial" w:hAnsi="Arial"/>
          <w:sz w:val="18"/>
          <w:szCs w:val="18"/>
          <w:color w:val="auto"/>
        </w:rPr>
        <w:t>e. Dispatch to AT&amp;T’s Site—If Supplier should fail to provide a Resolution to AT&amp;T within (i) within [***] of the time AT&amp;T’s call was placed, in the case of a Severity Level 1 or (ii) [***] of the time AT&amp;T’s call was placed, in the case of a Severity Level 2, then, in addition to AT&amp;T’s other remedies under this Agreement, Supplier shall dispatch a software engineer to AT&amp;T’s site to assist in bringing about a Resolution, if AT&amp;T so requests.</w:t>
      </w:r>
    </w:p>
    <w:p>
      <w:pPr>
        <w:spacing w:after="0" w:line="79"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f. Continuation of Obligation Resolution Plan—Supplier’s obligations under this Section 2 shall continue during the Warranty Period and, so long as AT&amp;T purchases Maintenance, after the expiration of the Warranty Period.</w:t>
      </w:r>
    </w:p>
    <w:p>
      <w:pPr>
        <w:spacing w:after="0" w:line="319" w:lineRule="exact"/>
        <w:rPr>
          <w:sz w:val="20"/>
          <w:szCs w:val="20"/>
          <w:color w:val="auto"/>
        </w:rPr>
      </w:pPr>
    </w:p>
    <w:p>
      <w:pPr>
        <w:ind w:left="424" w:hanging="424"/>
        <w:spacing w:after="0"/>
        <w:tabs>
          <w:tab w:leader="none" w:pos="424" w:val="left"/>
        </w:tabs>
        <w:numPr>
          <w:ilvl w:val="0"/>
          <w:numId w:val="394"/>
        </w:numPr>
        <w:rPr>
          <w:rFonts w:ascii="Arial" w:cs="Arial" w:eastAsia="Arial" w:hAnsi="Arial"/>
          <w:sz w:val="18"/>
          <w:szCs w:val="18"/>
          <w:color w:val="auto"/>
        </w:rPr>
      </w:pPr>
      <w:r>
        <w:rPr>
          <w:rFonts w:ascii="Arial" w:cs="Arial" w:eastAsia="Arial" w:hAnsi="Arial"/>
          <w:sz w:val="18"/>
          <w:szCs w:val="18"/>
          <w:color w:val="auto"/>
        </w:rPr>
        <w:t>Error Severity Escalation Plan</w:t>
      </w:r>
    </w:p>
    <w:p>
      <w:pPr>
        <w:spacing w:after="0" w:line="117" w:lineRule="exact"/>
        <w:rPr>
          <w:rFonts w:ascii="Arial" w:cs="Arial" w:eastAsia="Arial" w:hAnsi="Arial"/>
          <w:sz w:val="18"/>
          <w:szCs w:val="18"/>
          <w:color w:val="auto"/>
        </w:rPr>
      </w:pPr>
    </w:p>
    <w:p>
      <w:pPr>
        <w:ind w:left="444" w:right="80"/>
        <w:spacing w:after="0" w:line="263" w:lineRule="auto"/>
        <w:rPr>
          <w:rFonts w:ascii="Arial" w:cs="Arial" w:eastAsia="Arial" w:hAnsi="Arial"/>
          <w:sz w:val="18"/>
          <w:szCs w:val="18"/>
          <w:color w:val="auto"/>
        </w:rPr>
      </w:pPr>
      <w:r>
        <w:rPr>
          <w:rFonts w:ascii="Arial" w:cs="Arial" w:eastAsia="Arial" w:hAnsi="Arial"/>
          <w:sz w:val="18"/>
          <w:szCs w:val="18"/>
          <w:color w:val="auto"/>
        </w:rPr>
        <w:t>If Supplier’s should fail at any time to communicate the reports required under Error Severity Resolution Plan, or if the content of any such report that AT&amp;T receives may give reasonable cause for concern that Supplier may fail to provide a Resolution in the required time, then AT&amp;T may bring its concerns to the personal</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202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25" w:name="page326"/>
    <w:bookmarkEnd w:id="325"/>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 w:right="120"/>
        <w:spacing w:after="0" w:line="296" w:lineRule="auto"/>
        <w:rPr>
          <w:sz w:val="20"/>
          <w:szCs w:val="20"/>
          <w:color w:val="auto"/>
        </w:rPr>
      </w:pPr>
      <w:r>
        <w:rPr>
          <w:rFonts w:ascii="Arial" w:cs="Arial" w:eastAsia="Arial" w:hAnsi="Arial"/>
          <w:sz w:val="16"/>
          <w:szCs w:val="16"/>
          <w:color w:val="auto"/>
        </w:rPr>
        <w:t>attention of highest executive manager in Supplier’s administrative organization responsible for providing a Restoration until AT&amp;T’s concerns are satisfied. If that executive manager is unable to satisfy AT&amp;T’s reasonable concerns, [***] after having been apprised of them, then AT&amp;T may bring them to the personal attention of the highest executive officer of Supplier until AT&amp;T’s concerns are satisfied. Supplier will provide to AT&amp;T, and keep current, an escalation document that includes names, titles and telephone numbers, including after-hours telephone numbers, of Supplier personnel responsible for providing technical support to AT&amp;T. Supplier will maintain a streamlined escalation process to speed resolution of reported problems.</w:t>
      </w:r>
    </w:p>
    <w:p>
      <w:pPr>
        <w:spacing w:after="0" w:line="310" w:lineRule="exact"/>
        <w:rPr>
          <w:sz w:val="20"/>
          <w:szCs w:val="20"/>
          <w:color w:val="auto"/>
        </w:rPr>
      </w:pPr>
    </w:p>
    <w:p>
      <w:pPr>
        <w:ind w:left="424" w:hanging="424"/>
        <w:spacing w:after="0"/>
        <w:tabs>
          <w:tab w:leader="none" w:pos="42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Error Severity Liquidated Damages</w:t>
      </w:r>
    </w:p>
    <w:p>
      <w:pPr>
        <w:spacing w:after="0" w:line="117" w:lineRule="exact"/>
        <w:rPr>
          <w:sz w:val="20"/>
          <w:szCs w:val="20"/>
          <w:color w:val="auto"/>
        </w:rPr>
      </w:pPr>
    </w:p>
    <w:p>
      <w:pPr>
        <w:ind w:left="4" w:right="420"/>
        <w:spacing w:after="0" w:line="259" w:lineRule="auto"/>
        <w:rPr>
          <w:sz w:val="20"/>
          <w:szCs w:val="20"/>
          <w:color w:val="auto"/>
        </w:rPr>
      </w:pPr>
      <w:r>
        <w:rPr>
          <w:rFonts w:ascii="Arial" w:cs="Arial" w:eastAsia="Arial" w:hAnsi="Arial"/>
          <w:sz w:val="18"/>
          <w:szCs w:val="18"/>
          <w:color w:val="auto"/>
        </w:rPr>
        <w:t>IF AMDOCS SHOULD FAIL TO PROVIDE A RESTORAL TO AT&amp;T WITHIN THE TIME REQUIRED AS DESCRIBED IN THE ERROR SEVERITY RESOLUTION PLAN, THEN AT&amp;T WILL SUFFER DAMAGES IN AN AMOUNT THAT MAY BE DIFFICULT TO ESTABLISH WITH CERTAINTY. THEREFORE, IN ADDITION TO ITS NON-MONETARY REMEDIES UNDER THIS AGREEMENT, AT&amp;T SHALL RECOVER, AS REASONABLE LIQUIDATED DAMAGES, AND NOT AS A PENALTY:</w:t>
      </w:r>
    </w:p>
    <w:p>
      <w:pPr>
        <w:spacing w:after="0" w:line="79" w:lineRule="exact"/>
        <w:rPr>
          <w:sz w:val="20"/>
          <w:szCs w:val="20"/>
          <w:color w:val="auto"/>
        </w:rPr>
      </w:pPr>
    </w:p>
    <w:p>
      <w:pPr>
        <w:ind w:left="444" w:right="360"/>
        <w:spacing w:after="0" w:line="277" w:lineRule="auto"/>
        <w:rPr>
          <w:sz w:val="20"/>
          <w:szCs w:val="20"/>
          <w:color w:val="auto"/>
        </w:rPr>
      </w:pPr>
      <w:r>
        <w:rPr>
          <w:rFonts w:ascii="Arial" w:cs="Arial" w:eastAsia="Arial" w:hAnsi="Arial"/>
          <w:sz w:val="18"/>
          <w:szCs w:val="18"/>
          <w:color w:val="auto"/>
        </w:rPr>
        <w:t>a. [***], IN THE CASE OF FAILURE TO PROVIDE A RESTORAL TO AN ERROR OF SEVERITY LEVEL 1 OR SEVERITY LEVEL 2, AND</w:t>
      </w:r>
    </w:p>
    <w:p>
      <w:pPr>
        <w:spacing w:after="0" w:line="62" w:lineRule="exact"/>
        <w:rPr>
          <w:sz w:val="20"/>
          <w:szCs w:val="20"/>
          <w:color w:val="auto"/>
        </w:rPr>
      </w:pPr>
    </w:p>
    <w:p>
      <w:pPr>
        <w:ind w:left="444" w:right="140"/>
        <w:spacing w:after="0" w:line="263" w:lineRule="auto"/>
        <w:rPr>
          <w:sz w:val="20"/>
          <w:szCs w:val="20"/>
          <w:color w:val="auto"/>
        </w:rPr>
      </w:pPr>
      <w:r>
        <w:rPr>
          <w:rFonts w:ascii="Arial" w:cs="Arial" w:eastAsia="Arial" w:hAnsi="Arial"/>
          <w:sz w:val="18"/>
          <w:szCs w:val="18"/>
          <w:color w:val="auto"/>
        </w:rPr>
        <w:t>b. [***], IN THE CASE OF A FAILURE TO PROVIDE A RESTORAL OF SEVERITY LEVEL 3, [***], THAT ELAPSES FROM THE TIME WHEN AMDOCS IS FIRST OBLIGATED TO PROVIDE A RESTORAL UNTIL THE TIME WHEN AMDOCS ACTUALLY DOES PROVIDE A RESTORAL OR RESOLUTION, WHICHEVER AMDOCS PROVIDES FIRST.</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foregoing Liquidated Damages shall be calculated cumulatively and shall be capped [***] at a total of [***] of the annual Maintenance Fee.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AT&amp;T’s taking of Liquidated Damages shall not [***].</w:t>
      </w:r>
    </w:p>
    <w:p>
      <w:pPr>
        <w:spacing w:after="0" w:line="359" w:lineRule="exact"/>
        <w:rPr>
          <w:sz w:val="20"/>
          <w:szCs w:val="20"/>
          <w:color w:val="auto"/>
        </w:rPr>
      </w:pPr>
    </w:p>
    <w:p>
      <w:pPr>
        <w:ind w:left="424" w:hanging="424"/>
        <w:spacing w:after="0"/>
        <w:tabs>
          <w:tab w:leader="none" w:pos="42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Support During the Warranty Period</w:t>
      </w:r>
    </w:p>
    <w:p>
      <w:pPr>
        <w:spacing w:after="0" w:line="117" w:lineRule="exact"/>
        <w:rPr>
          <w:rFonts w:ascii="Arial" w:cs="Arial" w:eastAsia="Arial" w:hAnsi="Arial"/>
          <w:sz w:val="18"/>
          <w:szCs w:val="18"/>
          <w:color w:val="auto"/>
        </w:rPr>
      </w:pPr>
    </w:p>
    <w:p>
      <w:pPr>
        <w:ind w:left="444" w:right="80" w:hanging="4"/>
        <w:spacing w:after="0" w:line="296" w:lineRule="auto"/>
        <w:tabs>
          <w:tab w:leader="none" w:pos="614" w:val="left"/>
        </w:tabs>
        <w:numPr>
          <w:ilvl w:val="1"/>
          <w:numId w:val="396"/>
        </w:numPr>
        <w:rPr>
          <w:rFonts w:ascii="Arial" w:cs="Arial" w:eastAsia="Arial" w:hAnsi="Arial"/>
          <w:sz w:val="16"/>
          <w:szCs w:val="16"/>
          <w:color w:val="auto"/>
        </w:rPr>
      </w:pPr>
      <w:r>
        <w:rPr>
          <w:rFonts w:ascii="Arial" w:cs="Arial" w:eastAsia="Arial" w:hAnsi="Arial"/>
          <w:sz w:val="16"/>
          <w:szCs w:val="16"/>
          <w:color w:val="auto"/>
        </w:rPr>
        <w:t>Elements of Support—In addition to its obligation to provide Restorals and Resolutions to AT&amp;T in accordance with its obligations under the Section entitled “Error Severity Level Classification” and “Error Severity Resolution Plan,” Supplier shall during the Warranty Period (i) license and Deliver to AT&amp;T all Enhancement Modifications, including all New Releases and related Revisions, that Supplier may offer to “Maintenance Customers” (i.e., those customers purchasing Maintenance), as set forth in Subsection b, below, (ii) provide technical support, as set forth in Subsection c; below and (iii) permit AT&amp;T to participate in Supplier’s customer groups as set forth in Subsection d, below.</w:t>
      </w:r>
    </w:p>
    <w:p>
      <w:pPr>
        <w:spacing w:after="0" w:line="53" w:lineRule="exact"/>
        <w:rPr>
          <w:rFonts w:ascii="Arial" w:cs="Arial" w:eastAsia="Arial" w:hAnsi="Arial"/>
          <w:sz w:val="16"/>
          <w:szCs w:val="16"/>
          <w:color w:val="auto"/>
        </w:rPr>
      </w:pPr>
    </w:p>
    <w:p>
      <w:pPr>
        <w:ind w:left="444" w:right="20" w:hanging="4"/>
        <w:spacing w:after="0" w:line="275" w:lineRule="auto"/>
        <w:tabs>
          <w:tab w:leader="none" w:pos="624" w:val="left"/>
        </w:tabs>
        <w:numPr>
          <w:ilvl w:val="1"/>
          <w:numId w:val="396"/>
        </w:numPr>
        <w:rPr>
          <w:rFonts w:ascii="Arial" w:cs="Arial" w:eastAsia="Arial" w:hAnsi="Arial"/>
          <w:sz w:val="17"/>
          <w:szCs w:val="17"/>
          <w:color w:val="auto"/>
        </w:rPr>
      </w:pPr>
      <w:r>
        <w:rPr>
          <w:rFonts w:ascii="Arial" w:cs="Arial" w:eastAsia="Arial" w:hAnsi="Arial"/>
          <w:sz w:val="17"/>
          <w:szCs w:val="17"/>
          <w:color w:val="auto"/>
        </w:rPr>
        <w:t>Enhancements and New Releases—Upon Delivery of a New Release and associated Revisions, AT&amp;T shall have the right, but no obligation, to conduct Acceptance Tests of the New Release, and in no event shall AT&amp;T be required to accept, install, Use, or continue to Use any Enhancement or New Release as a condition of retaining, maintaining (except as applicable to supported releases described in Section 1(e) above), or extending any license, warranty, or indemnity promised by Supplier with respect to any Major Release or Minor Release previously licensed and delivered under this Agreement or any Order. Amdocs shall ensure that [***].</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203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26" w:name="page327"/>
    <w:bookmarkEnd w:id="3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c. Technical Support and Training</w:t>
      </w:r>
    </w:p>
    <w:p>
      <w:pPr>
        <w:spacing w:after="0" w:line="117" w:lineRule="exact"/>
        <w:rPr>
          <w:sz w:val="20"/>
          <w:szCs w:val="20"/>
          <w:color w:val="auto"/>
        </w:rPr>
      </w:pPr>
    </w:p>
    <w:p>
      <w:pPr>
        <w:ind w:left="444" w:right="200" w:hanging="4"/>
        <w:spacing w:after="0" w:line="296" w:lineRule="auto"/>
        <w:tabs>
          <w:tab w:leader="none" w:pos="624" w:val="left"/>
        </w:tabs>
        <w:numPr>
          <w:ilvl w:val="1"/>
          <w:numId w:val="397"/>
        </w:numPr>
        <w:rPr>
          <w:rFonts w:ascii="Arial" w:cs="Arial" w:eastAsia="Arial" w:hAnsi="Arial"/>
          <w:sz w:val="16"/>
          <w:szCs w:val="16"/>
          <w:color w:val="auto"/>
        </w:rPr>
      </w:pPr>
      <w:r>
        <w:rPr>
          <w:rFonts w:ascii="Arial" w:cs="Arial" w:eastAsia="Arial" w:hAnsi="Arial"/>
          <w:sz w:val="16"/>
          <w:szCs w:val="16"/>
          <w:color w:val="auto"/>
        </w:rPr>
        <w:t>Help-Desk Support—Supplier shall provide telephone support and technical advice to assist AT&amp;T in diagnosing and solving any problems it may encounter in the installation, operation and use of the Standard Software. Supplier shall provide AT&amp;T with an escalation document, identifying persons and telephone numbers to whom it may direct problems that are not solved at the Help Desk. If Supplier does not operate its Help Desk around the clock, over weekends, or on holidays, then Supplier shall provide an additional telephone number to which AT&amp;T may direct problems in cases of emergency arising after the normal business hours of the Help Desk, over weekends, and on holidays.</w:t>
      </w:r>
    </w:p>
    <w:p>
      <w:pPr>
        <w:spacing w:after="0" w:line="53" w:lineRule="exact"/>
        <w:rPr>
          <w:rFonts w:ascii="Arial" w:cs="Arial" w:eastAsia="Arial" w:hAnsi="Arial"/>
          <w:sz w:val="16"/>
          <w:szCs w:val="16"/>
          <w:color w:val="auto"/>
        </w:rPr>
      </w:pPr>
    </w:p>
    <w:p>
      <w:pPr>
        <w:ind w:left="444" w:right="40" w:hanging="4"/>
        <w:spacing w:after="0" w:line="277" w:lineRule="auto"/>
        <w:tabs>
          <w:tab w:leader="none" w:pos="624" w:val="left"/>
        </w:tabs>
        <w:numPr>
          <w:ilvl w:val="1"/>
          <w:numId w:val="397"/>
        </w:numPr>
        <w:rPr>
          <w:rFonts w:ascii="Arial" w:cs="Arial" w:eastAsia="Arial" w:hAnsi="Arial"/>
          <w:sz w:val="18"/>
          <w:szCs w:val="18"/>
          <w:color w:val="auto"/>
        </w:rPr>
      </w:pPr>
      <w:r>
        <w:rPr>
          <w:rFonts w:ascii="Arial" w:cs="Arial" w:eastAsia="Arial" w:hAnsi="Arial"/>
          <w:sz w:val="18"/>
          <w:szCs w:val="18"/>
          <w:color w:val="auto"/>
        </w:rPr>
        <w:t>On-Site Support—Supplier shall dispatch a software engineer to AT&amp;T’s site when necessary to solve problems that cannot be solved by means of the Help Desk at no additional cost to AT&amp;T.</w:t>
      </w:r>
    </w:p>
    <w:p>
      <w:pPr>
        <w:spacing w:after="0" w:line="62" w:lineRule="exact"/>
        <w:rPr>
          <w:rFonts w:ascii="Arial" w:cs="Arial" w:eastAsia="Arial" w:hAnsi="Arial"/>
          <w:sz w:val="18"/>
          <w:szCs w:val="18"/>
          <w:color w:val="auto"/>
        </w:rPr>
      </w:pPr>
    </w:p>
    <w:p>
      <w:pPr>
        <w:ind w:left="444" w:right="40" w:hanging="4"/>
        <w:spacing w:after="0" w:line="259" w:lineRule="auto"/>
        <w:tabs>
          <w:tab w:leader="none" w:pos="624" w:val="left"/>
        </w:tabs>
        <w:numPr>
          <w:ilvl w:val="1"/>
          <w:numId w:val="397"/>
        </w:numPr>
        <w:rPr>
          <w:rFonts w:ascii="Arial" w:cs="Arial" w:eastAsia="Arial" w:hAnsi="Arial"/>
          <w:sz w:val="18"/>
          <w:szCs w:val="18"/>
          <w:color w:val="auto"/>
        </w:rPr>
      </w:pPr>
      <w:r>
        <w:rPr>
          <w:rFonts w:ascii="Arial" w:cs="Arial" w:eastAsia="Arial" w:hAnsi="Arial"/>
          <w:sz w:val="18"/>
          <w:szCs w:val="18"/>
          <w:color w:val="auto"/>
        </w:rPr>
        <w:t>Revisions—Whenever Supplier provides AT&amp;T with any Enhancement Modification of any Computer Program provided under this Agreement or any Order, Supplier shall also provide AT&amp;T with a Revision to the corresponding Documentation; provided, however, that Supplier may provide necessary Revisions to the corresponding Documentation, if any, with a subsequent release of the Documentation if the Enhancement Modification is minor.</w:t>
      </w:r>
    </w:p>
    <w:p>
      <w:pPr>
        <w:spacing w:after="0" w:line="78" w:lineRule="exact"/>
        <w:rPr>
          <w:rFonts w:ascii="Arial" w:cs="Arial" w:eastAsia="Arial" w:hAnsi="Arial"/>
          <w:sz w:val="18"/>
          <w:szCs w:val="18"/>
          <w:color w:val="auto"/>
        </w:rPr>
      </w:pPr>
    </w:p>
    <w:p>
      <w:pPr>
        <w:ind w:left="444" w:right="40" w:hanging="4"/>
        <w:spacing w:after="0" w:line="263" w:lineRule="auto"/>
        <w:tabs>
          <w:tab w:leader="none" w:pos="624" w:val="left"/>
        </w:tabs>
        <w:numPr>
          <w:ilvl w:val="1"/>
          <w:numId w:val="397"/>
        </w:numPr>
        <w:rPr>
          <w:rFonts w:ascii="Arial" w:cs="Arial" w:eastAsia="Arial" w:hAnsi="Arial"/>
          <w:sz w:val="18"/>
          <w:szCs w:val="18"/>
          <w:color w:val="auto"/>
        </w:rPr>
      </w:pPr>
      <w:r>
        <w:rPr>
          <w:rFonts w:ascii="Arial" w:cs="Arial" w:eastAsia="Arial" w:hAnsi="Arial"/>
          <w:sz w:val="18"/>
          <w:szCs w:val="18"/>
          <w:color w:val="auto"/>
        </w:rPr>
        <w:t>Training—Following Delivery of Software under an Order, Supplier shall provide AT&amp;T the number of hours of training in the Use of the Standard Software, or training classes in the use of the Standard Software, set forth in the Order, at [***]. AT&amp;T may purchase additional hours of training or training classes at a price to be determined in the Order.</w:t>
      </w:r>
    </w:p>
    <w:p>
      <w:pPr>
        <w:spacing w:after="0" w:line="75" w:lineRule="exact"/>
        <w:rPr>
          <w:rFonts w:ascii="Arial" w:cs="Arial" w:eastAsia="Arial" w:hAnsi="Arial"/>
          <w:sz w:val="18"/>
          <w:szCs w:val="18"/>
          <w:color w:val="auto"/>
        </w:rPr>
      </w:pPr>
    </w:p>
    <w:p>
      <w:pPr>
        <w:ind w:left="444" w:right="200" w:hanging="4"/>
        <w:spacing w:after="0" w:line="263" w:lineRule="auto"/>
        <w:tabs>
          <w:tab w:leader="none" w:pos="624"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AT&amp;T’s Point(s) of Contact—If the Order designates one (1) or more identified persons or an administrative organization within AT&amp;T to act on AT&amp;T’s behalf in dealing with Supplier in relation to Supplier’s support obligations under this Agreement, then Supplier shall conduct its dealings with AT&amp;T through such identified persons or organization.</w:t>
      </w:r>
    </w:p>
    <w:p>
      <w:pPr>
        <w:spacing w:after="0" w:line="183" w:lineRule="exact"/>
        <w:rPr>
          <w:rFonts w:ascii="Arial" w:cs="Arial" w:eastAsia="Arial" w:hAnsi="Arial"/>
          <w:sz w:val="18"/>
          <w:szCs w:val="18"/>
          <w:color w:val="auto"/>
        </w:rPr>
      </w:pPr>
    </w:p>
    <w:p>
      <w:pPr>
        <w:ind w:left="4" w:right="80" w:hanging="4"/>
        <w:spacing w:after="0" w:line="263" w:lineRule="auto"/>
        <w:tabs>
          <w:tab w:leader="none" w:pos="18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Customer Groups—If Supplier maintains any customer board or user group to exchange information about, or compare experiences with, or suggest further developments to any Standard Software licensed to AT&amp;T under this Agreement or any Order, then Supplier shall permit AT&amp;T to participate in such board or group on an equal basis with Supplier’s other customers.</w:t>
      </w:r>
    </w:p>
    <w:p>
      <w:pPr>
        <w:spacing w:after="0" w:line="332" w:lineRule="exact"/>
        <w:rPr>
          <w:sz w:val="20"/>
          <w:szCs w:val="20"/>
          <w:color w:val="auto"/>
        </w:rPr>
      </w:pPr>
    </w:p>
    <w:p>
      <w:pPr>
        <w:ind w:left="424" w:hanging="424"/>
        <w:spacing w:after="0"/>
        <w:tabs>
          <w:tab w:leader="none" w:pos="424" w:val="left"/>
        </w:tabs>
        <w:numPr>
          <w:ilvl w:val="0"/>
          <w:numId w:val="399"/>
        </w:numPr>
        <w:rPr>
          <w:rFonts w:ascii="Arial" w:cs="Arial" w:eastAsia="Arial" w:hAnsi="Arial"/>
          <w:sz w:val="18"/>
          <w:szCs w:val="18"/>
          <w:color w:val="auto"/>
        </w:rPr>
      </w:pPr>
      <w:r>
        <w:rPr>
          <w:rFonts w:ascii="Arial" w:cs="Arial" w:eastAsia="Arial" w:hAnsi="Arial"/>
          <w:sz w:val="18"/>
          <w:szCs w:val="18"/>
          <w:color w:val="auto"/>
        </w:rPr>
        <w:t>Maintenance Support Following Expiration of the Warranty Period</w:t>
      </w:r>
    </w:p>
    <w:p>
      <w:pPr>
        <w:spacing w:after="0" w:line="117" w:lineRule="exact"/>
        <w:rPr>
          <w:rFonts w:ascii="Arial" w:cs="Arial" w:eastAsia="Arial" w:hAnsi="Arial"/>
          <w:sz w:val="18"/>
          <w:szCs w:val="18"/>
          <w:color w:val="auto"/>
        </w:rPr>
      </w:pPr>
    </w:p>
    <w:p>
      <w:pPr>
        <w:ind w:left="444" w:right="300" w:hanging="4"/>
        <w:spacing w:after="0" w:line="257" w:lineRule="auto"/>
        <w:tabs>
          <w:tab w:leader="none" w:pos="614" w:val="left"/>
        </w:tabs>
        <w:numPr>
          <w:ilvl w:val="1"/>
          <w:numId w:val="399"/>
        </w:numPr>
        <w:rPr>
          <w:rFonts w:ascii="Arial" w:cs="Arial" w:eastAsia="Arial" w:hAnsi="Arial"/>
          <w:sz w:val="18"/>
          <w:szCs w:val="18"/>
          <w:color w:val="auto"/>
        </w:rPr>
      </w:pPr>
      <w:r>
        <w:rPr>
          <w:rFonts w:ascii="Arial" w:cs="Arial" w:eastAsia="Arial" w:hAnsi="Arial"/>
          <w:sz w:val="18"/>
          <w:szCs w:val="18"/>
          <w:color w:val="auto"/>
        </w:rPr>
        <w:t>Continuing Obligation to Provide Restorals, Resolutions, Updates, and New Releases—Following the expiration of any Warranty Period, Supplier shall continue to perform its obligation to provide Restorals, Resolutions, Updates, New Releases and related Revisions to AT&amp;T in accordance with its obligations under the Sections entitled “Error Severity Level Classification” and “Error Severity Resolution Plan” [***] to AT&amp;T, and if AT&amp;T purchases and pays for other elements of Supplier support under any of its options as provided below in this Section, then Supplier will provide those other elements as well.</w:t>
      </w:r>
    </w:p>
    <w:p>
      <w:pPr>
        <w:spacing w:after="0" w:line="79" w:lineRule="exact"/>
        <w:rPr>
          <w:rFonts w:ascii="Arial" w:cs="Arial" w:eastAsia="Arial" w:hAnsi="Arial"/>
          <w:sz w:val="18"/>
          <w:szCs w:val="18"/>
          <w:color w:val="auto"/>
        </w:rPr>
      </w:pPr>
    </w:p>
    <w:p>
      <w:pPr>
        <w:ind w:left="444" w:right="480" w:hanging="4"/>
        <w:spacing w:after="0" w:line="277" w:lineRule="auto"/>
        <w:tabs>
          <w:tab w:leader="none" w:pos="624"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Any bug fixes to the version of the Standard Software originally licensed under Order(s) to this Agreement that are provided to Supplier’s Maintenance Customers shall be provided to AT&amp;T [***].</w:t>
      </w:r>
    </w:p>
    <w:p>
      <w:pPr>
        <w:spacing w:after="0" w:line="62" w:lineRule="exact"/>
        <w:rPr>
          <w:rFonts w:ascii="Arial" w:cs="Arial" w:eastAsia="Arial" w:hAnsi="Arial"/>
          <w:sz w:val="18"/>
          <w:szCs w:val="18"/>
          <w:color w:val="auto"/>
        </w:rPr>
      </w:pPr>
    </w:p>
    <w:p>
      <w:pPr>
        <w:ind w:left="444" w:right="580" w:hanging="4"/>
        <w:spacing w:after="0" w:line="277" w:lineRule="auto"/>
        <w:tabs>
          <w:tab w:leader="none" w:pos="614" w:val="left"/>
        </w:tabs>
        <w:numPr>
          <w:ilvl w:val="1"/>
          <w:numId w:val="399"/>
        </w:numPr>
        <w:rPr>
          <w:rFonts w:ascii="Arial" w:cs="Arial" w:eastAsia="Arial" w:hAnsi="Arial"/>
          <w:sz w:val="18"/>
          <w:szCs w:val="18"/>
          <w:color w:val="auto"/>
        </w:rPr>
      </w:pPr>
      <w:r>
        <w:rPr>
          <w:rFonts w:ascii="Arial" w:cs="Arial" w:eastAsia="Arial" w:hAnsi="Arial"/>
          <w:sz w:val="18"/>
          <w:szCs w:val="18"/>
          <w:color w:val="auto"/>
        </w:rPr>
        <w:t>As long as Maintenance is current, AT&amp;T shall be provided electronic copies of all relevant training materials, which it may use to make unlimited copies for internal use (e.g., “golden disk” for internal use).</w:t>
      </w:r>
    </w:p>
    <w:p>
      <w:pPr>
        <w:spacing w:after="0" w:line="62" w:lineRule="exact"/>
        <w:rPr>
          <w:rFonts w:ascii="Arial" w:cs="Arial" w:eastAsia="Arial" w:hAnsi="Arial"/>
          <w:sz w:val="18"/>
          <w:szCs w:val="18"/>
          <w:color w:val="auto"/>
        </w:rPr>
      </w:pPr>
    </w:p>
    <w:p>
      <w:pPr>
        <w:ind w:left="624" w:hanging="184"/>
        <w:spacing w:after="0"/>
        <w:tabs>
          <w:tab w:leader="none" w:pos="624" w:val="left"/>
        </w:tabs>
        <w:numPr>
          <w:ilvl w:val="1"/>
          <w:numId w:val="399"/>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204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27" w:name="page328"/>
    <w:bookmarkEnd w:id="327"/>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e. AT&amp;T may terminate maintenance at any time upon [***] written notice to Supplier. In the event of such termination, any prepaid amount shall be refunded to AT&amp;T on a prorated basis.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 AT&amp;T’s Options with Respect other Elements of Support</w:t>
      </w:r>
    </w:p>
    <w:p>
      <w:pPr>
        <w:spacing w:after="0" w:line="117" w:lineRule="exact"/>
        <w:rPr>
          <w:sz w:val="20"/>
          <w:szCs w:val="20"/>
          <w:color w:val="auto"/>
        </w:rPr>
      </w:pPr>
    </w:p>
    <w:p>
      <w:pPr>
        <w:ind w:left="984" w:right="60" w:firstLine="7"/>
        <w:spacing w:after="0" w:line="271" w:lineRule="auto"/>
        <w:tabs>
          <w:tab w:leader="none" w:pos="1164" w:val="left"/>
        </w:tabs>
        <w:numPr>
          <w:ilvl w:val="1"/>
          <w:numId w:val="400"/>
        </w:numPr>
        <w:rPr>
          <w:rFonts w:ascii="Arial" w:cs="Arial" w:eastAsia="Arial" w:hAnsi="Arial"/>
          <w:sz w:val="17"/>
          <w:szCs w:val="17"/>
          <w:color w:val="auto"/>
        </w:rPr>
      </w:pPr>
      <w:r>
        <w:rPr>
          <w:rFonts w:ascii="Arial" w:cs="Arial" w:eastAsia="Arial" w:hAnsi="Arial"/>
          <w:sz w:val="17"/>
          <w:szCs w:val="17"/>
          <w:color w:val="auto"/>
        </w:rPr>
        <w:t>Full Support under Maintenance Order—Upon the expiration of any Warranty Period, AT&amp;T may elect to continue to receive continuing Supplier support, referred to as “Maintenance”, as provided under Sections 1 through 5, above, from year to year, upon placement of an Order and payment to Supplier of an annual fee, which shall be referred to as a “Maintenance Fee”. For each of the first [***] years for which AT&amp;T may purchase Maintenance, the Maintenance Fee shall be an amount no greater than [***] of the license fee actually charged to and paid by AT&amp;T on the initial Order for the perpetual license in question; provided, however, that the basis on which Maintenance Fees are calculated will also take into account any subsequent license fees paid by AT&amp;T. After the [***] year, the annual Maintenance Fee may be increased by a percentage amount not to exceed [***]. The maximum permissible annual increase shall be [***] Maintenance Fees shall be charged quarterly in arrears.</w:t>
      </w:r>
    </w:p>
    <w:p>
      <w:pPr>
        <w:spacing w:after="0" w:line="70" w:lineRule="exact"/>
        <w:rPr>
          <w:rFonts w:ascii="Arial" w:cs="Arial" w:eastAsia="Arial" w:hAnsi="Arial"/>
          <w:sz w:val="17"/>
          <w:szCs w:val="17"/>
          <w:color w:val="auto"/>
        </w:rPr>
      </w:pPr>
    </w:p>
    <w:p>
      <w:pPr>
        <w:ind w:left="984" w:right="60" w:firstLine="7"/>
        <w:spacing w:after="0" w:line="296" w:lineRule="auto"/>
        <w:tabs>
          <w:tab w:leader="none" w:pos="1164" w:val="left"/>
        </w:tabs>
        <w:numPr>
          <w:ilvl w:val="1"/>
          <w:numId w:val="400"/>
        </w:numPr>
        <w:rPr>
          <w:rFonts w:ascii="Arial" w:cs="Arial" w:eastAsia="Arial" w:hAnsi="Arial"/>
          <w:sz w:val="16"/>
          <w:szCs w:val="16"/>
          <w:color w:val="auto"/>
        </w:rPr>
      </w:pPr>
      <w:r>
        <w:rPr>
          <w:rFonts w:ascii="Arial" w:cs="Arial" w:eastAsia="Arial" w:hAnsi="Arial"/>
          <w:sz w:val="16"/>
          <w:szCs w:val="16"/>
          <w:color w:val="auto"/>
        </w:rPr>
        <w:t>Renewal After Lapsed Maintenance—If AT&amp;T does not elect to continue receiving Maintenance at the end of any period when it may do so under this Agreement, or terminates or cancels Maintenance as provided in this Agreement, AT&amp;T may nevertheless elect to resume receiving Maintenance at a later time upon placing an Order at a cost [***], plus the Maintenance Fee for the current period. Upon receipt of payment from AT&amp;T, Supplier shall provide AT&amp;T with all Enhancements and Modifications to the Standard Software that Supplier included in New Releases provided to its other customers during the time when AT&amp;T was not receiving Maintenance.</w:t>
      </w:r>
    </w:p>
    <w:p>
      <w:pPr>
        <w:spacing w:after="0" w:line="53" w:lineRule="exact"/>
        <w:rPr>
          <w:rFonts w:ascii="Arial" w:cs="Arial" w:eastAsia="Arial" w:hAnsi="Arial"/>
          <w:sz w:val="16"/>
          <w:szCs w:val="16"/>
          <w:color w:val="auto"/>
        </w:rPr>
      </w:pPr>
    </w:p>
    <w:p>
      <w:pPr>
        <w:ind w:left="984" w:right="20" w:firstLine="7"/>
        <w:spacing w:after="0" w:line="293" w:lineRule="auto"/>
        <w:tabs>
          <w:tab w:leader="none" w:pos="1164" w:val="left"/>
        </w:tabs>
        <w:numPr>
          <w:ilvl w:val="1"/>
          <w:numId w:val="400"/>
        </w:numPr>
        <w:rPr>
          <w:rFonts w:ascii="Arial" w:cs="Arial" w:eastAsia="Arial" w:hAnsi="Arial"/>
          <w:sz w:val="16"/>
          <w:szCs w:val="16"/>
          <w:color w:val="auto"/>
        </w:rPr>
      </w:pPr>
      <w:r>
        <w:rPr>
          <w:rFonts w:ascii="Arial" w:cs="Arial" w:eastAsia="Arial" w:hAnsi="Arial"/>
          <w:sz w:val="16"/>
          <w:szCs w:val="16"/>
          <w:color w:val="auto"/>
        </w:rPr>
        <w:t>Individual Elements of Support—If AT&amp;T does not elect to continue receiving Maintenance at the end of any period when it may do so under this Agreement, or terminates or cancels Maintenance as provided in this Agreement, AT&amp;T may then or thereafter purchase elements of Supplier support, individually or in any combination, as follows: (i) on-call assistance from the Help Desk from time to time at [***], (ii) on-call on-site assistance of Supplier’s software engineer at [***], and (iii) hours of training or training classes at [***]. In addition, if the Order so provides, Supplier will provide AT&amp;T with all Design Materials, including source code, and any modifications thereof, sufficient to enable AT&amp;T or its consultants and contractors to maintain the Standard Software for AT&amp;T’s own use.</w:t>
      </w:r>
    </w:p>
    <w:p>
      <w:pPr>
        <w:spacing w:after="0" w:line="312" w:lineRule="exact"/>
        <w:rPr>
          <w:rFonts w:ascii="Arial" w:cs="Arial" w:eastAsia="Arial" w:hAnsi="Arial"/>
          <w:sz w:val="16"/>
          <w:szCs w:val="16"/>
          <w:color w:val="auto"/>
        </w:rPr>
      </w:pPr>
    </w:p>
    <w:p>
      <w:pPr>
        <w:ind w:left="424" w:hanging="424"/>
        <w:spacing w:after="0"/>
        <w:tabs>
          <w:tab w:leader="none" w:pos="42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Legacy Maintenance Pricing:</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color w:val="auto"/>
              </w:rPr>
              <w:t>AT&amp;T</w:t>
            </w:r>
          </w:p>
        </w:tc>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9"/>
              </w:rPr>
              <w:t>1/1/2022</w:t>
            </w:r>
          </w:p>
        </w:tc>
        <w:tc>
          <w:tcPr>
            <w:tcW w:w="0" w:type="dxa"/>
            <w:vAlign w:val="bottom"/>
          </w:tcPr>
          <w:p>
            <w:pPr>
              <w:spacing w:after="0"/>
              <w:rPr>
                <w:sz w:val="1"/>
                <w:szCs w:val="1"/>
                <w:color w:val="auto"/>
              </w:rPr>
            </w:pPr>
          </w:p>
        </w:tc>
      </w:tr>
      <w:tr>
        <w:trPr>
          <w:trHeight w:val="140"/>
        </w:trPr>
        <w:tc>
          <w:tcPr>
            <w:tcW w:w="3500" w:type="dxa"/>
            <w:vAlign w:val="bottom"/>
            <w:gridSpan w:val="2"/>
            <w:vMerge w:val="continue"/>
          </w:tcPr>
          <w:p>
            <w:pPr>
              <w:spacing w:after="0"/>
              <w:rPr>
                <w:sz w:val="12"/>
                <w:szCs w:val="12"/>
                <w:color w:val="auto"/>
              </w:rPr>
            </w:pPr>
          </w:p>
        </w:tc>
        <w:tc>
          <w:tcPr>
            <w:tcW w:w="3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jc w:val="center"/>
              <w:spacing w:after="0" w:line="141"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2"/>
        </w:trPr>
        <w:tc>
          <w:tcPr>
            <w:tcW w:w="3500" w:type="dxa"/>
            <w:vAlign w:val="bottom"/>
            <w:gridSpan w:val="2"/>
          </w:tcPr>
          <w:p>
            <w:pPr>
              <w:spacing w:after="0"/>
              <w:rPr>
                <w:sz w:val="20"/>
                <w:szCs w:val="20"/>
                <w:color w:val="auto"/>
              </w:rPr>
            </w:pPr>
            <w:r>
              <w:rPr>
                <w:rFonts w:ascii="Arial" w:cs="Arial" w:eastAsia="Arial" w:hAnsi="Arial"/>
                <w:sz w:val="14"/>
                <w:szCs w:val="14"/>
                <w:color w:val="auto"/>
              </w:rPr>
              <w:t>Entity</w:t>
            </w:r>
          </w:p>
        </w:tc>
        <w:tc>
          <w:tcPr>
            <w:tcW w:w="3100" w:type="dxa"/>
            <w:vAlign w:val="bottom"/>
          </w:tcPr>
          <w:p>
            <w:pPr>
              <w:spacing w:after="0"/>
              <w:rPr>
                <w:sz w:val="15"/>
                <w:szCs w:val="15"/>
                <w:color w:val="auto"/>
              </w:rPr>
            </w:pPr>
          </w:p>
        </w:tc>
        <w:tc>
          <w:tcPr>
            <w:tcW w:w="1100" w:type="dxa"/>
            <w:vAlign w:val="bottom"/>
            <w:gridSpan w:val="2"/>
          </w:tcPr>
          <w:p>
            <w:pPr>
              <w:spacing w:after="0"/>
              <w:rPr>
                <w:sz w:val="20"/>
                <w:szCs w:val="20"/>
                <w:color w:val="auto"/>
              </w:rPr>
            </w:pPr>
            <w:r>
              <w:rPr>
                <w:rFonts w:ascii="Arial" w:cs="Arial" w:eastAsia="Arial" w:hAnsi="Arial"/>
                <w:sz w:val="14"/>
                <w:szCs w:val="14"/>
                <w:color w:val="auto"/>
              </w:rPr>
              <w:t>Amdocs Entity</w:t>
            </w:r>
          </w:p>
        </w:tc>
        <w:tc>
          <w:tcPr>
            <w:tcW w:w="680" w:type="dxa"/>
            <w:vAlign w:val="bottom"/>
          </w:tcPr>
          <w:p>
            <w:pPr>
              <w:spacing w:after="0"/>
              <w:rPr>
                <w:sz w:val="20"/>
                <w:szCs w:val="20"/>
                <w:color w:val="auto"/>
              </w:rPr>
            </w:pPr>
            <w:r>
              <w:rPr>
                <w:rFonts w:ascii="Arial" w:cs="Arial" w:eastAsia="Arial" w:hAnsi="Arial"/>
                <w:sz w:val="14"/>
                <w:szCs w:val="14"/>
                <w:color w:val="auto"/>
                <w:w w:val="96"/>
              </w:rPr>
              <w:t>Application</w:t>
            </w:r>
          </w:p>
        </w:tc>
        <w:tc>
          <w:tcPr>
            <w:tcW w:w="600" w:type="dxa"/>
            <w:vAlign w:val="bottom"/>
            <w:gridSpan w:val="2"/>
          </w:tcPr>
          <w:p>
            <w:pPr>
              <w:jc w:val="center"/>
              <w:ind w:left="135"/>
              <w:spacing w:after="0"/>
              <w:rPr>
                <w:sz w:val="20"/>
                <w:szCs w:val="20"/>
                <w:color w:val="auto"/>
              </w:rPr>
            </w:pPr>
            <w:r>
              <w:rPr>
                <w:rFonts w:ascii="Arial" w:cs="Arial" w:eastAsia="Arial" w:hAnsi="Arial"/>
                <w:sz w:val="14"/>
                <w:szCs w:val="14"/>
                <w:color w:val="auto"/>
                <w:w w:val="96"/>
              </w:rPr>
              <w:t>2019</w:t>
            </w:r>
          </w:p>
        </w:tc>
        <w:tc>
          <w:tcPr>
            <w:tcW w:w="22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4"/>
                <w:szCs w:val="14"/>
                <w:color w:val="auto"/>
                <w:w w:val="89"/>
              </w:rPr>
              <w:t>2020</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2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4"/>
                <w:szCs w:val="14"/>
                <w:color w:val="auto"/>
                <w:w w:val="93"/>
              </w:rPr>
              <w:t>3/31/2022</w:t>
            </w:r>
          </w:p>
        </w:tc>
        <w:tc>
          <w:tcPr>
            <w:tcW w:w="0" w:type="dxa"/>
            <w:vAlign w:val="bottom"/>
          </w:tcPr>
          <w:p>
            <w:pPr>
              <w:spacing w:after="0"/>
              <w:rPr>
                <w:sz w:val="1"/>
                <w:szCs w:val="1"/>
                <w:color w:val="auto"/>
              </w:rPr>
            </w:pP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314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8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6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3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4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3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6"/>
                <w:szCs w:val="16"/>
                <w:color w:val="auto"/>
              </w:rPr>
            </w:pPr>
          </w:p>
        </w:tc>
        <w:tc>
          <w:tcPr>
            <w:tcW w:w="6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w:t>
            </w:r>
          </w:p>
        </w:tc>
        <w:tc>
          <w:tcPr>
            <w:tcW w:w="398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w:t>
            </w:r>
          </w:p>
        </w:tc>
        <w:tc>
          <w:tcPr>
            <w:tcW w:w="398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w:t>
            </w:r>
          </w:p>
        </w:tc>
        <w:tc>
          <w:tcPr>
            <w:tcW w:w="3980" w:type="dxa"/>
            <w:vAlign w:val="bottom"/>
            <w:gridSpan w:val="2"/>
          </w:tcPr>
          <w:p>
            <w:pPr>
              <w:ind w:left="31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center"/>
              <w:ind w:left="135"/>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205 of 206</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28" w:name="page329"/>
    <w:bookmarkEnd w:id="32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color w:val="auto"/>
                <w:w w:val="96"/>
              </w:rPr>
              <w:t>1/1/2022—</w:t>
            </w:r>
          </w:p>
        </w:tc>
      </w:tr>
      <w:tr>
        <w:trPr>
          <w:trHeight w:val="187"/>
        </w:trPr>
        <w:tc>
          <w:tcPr>
            <w:tcW w:w="2880" w:type="dxa"/>
            <w:vAlign w:val="bottom"/>
            <w:gridSpan w:val="2"/>
          </w:tcPr>
          <w:p>
            <w:pPr>
              <w:spacing w:after="0"/>
              <w:rPr>
                <w:sz w:val="20"/>
                <w:szCs w:val="20"/>
                <w:color w:val="auto"/>
              </w:rPr>
            </w:pPr>
            <w:r>
              <w:rPr>
                <w:rFonts w:ascii="Arial" w:cs="Arial" w:eastAsia="Arial" w:hAnsi="Arial"/>
                <w:sz w:val="14"/>
                <w:szCs w:val="14"/>
                <w:color w:val="auto"/>
              </w:rPr>
              <w:t>AT&amp;T Entity</w:t>
            </w:r>
          </w:p>
        </w:tc>
        <w:tc>
          <w:tcPr>
            <w:tcW w:w="2780" w:type="dxa"/>
            <w:vAlign w:val="bottom"/>
          </w:tcPr>
          <w:p>
            <w:pPr>
              <w:jc w:val="right"/>
              <w:ind w:right="871"/>
              <w:spacing w:after="0"/>
              <w:rPr>
                <w:sz w:val="20"/>
                <w:szCs w:val="20"/>
                <w:color w:val="auto"/>
              </w:rPr>
            </w:pPr>
            <w:r>
              <w:rPr>
                <w:rFonts w:ascii="Arial" w:cs="Arial" w:eastAsia="Arial" w:hAnsi="Arial"/>
                <w:sz w:val="14"/>
                <w:szCs w:val="14"/>
                <w:color w:val="auto"/>
              </w:rPr>
              <w:t>Amdocs Entity</w:t>
            </w:r>
          </w:p>
        </w:tc>
        <w:tc>
          <w:tcPr>
            <w:tcW w:w="100" w:type="dxa"/>
            <w:vAlign w:val="bottom"/>
          </w:tcPr>
          <w:p>
            <w:pPr>
              <w:spacing w:after="0"/>
              <w:rPr>
                <w:sz w:val="16"/>
                <w:szCs w:val="16"/>
                <w:color w:val="auto"/>
              </w:rPr>
            </w:pPr>
          </w:p>
        </w:tc>
        <w:tc>
          <w:tcPr>
            <w:tcW w:w="2760" w:type="dxa"/>
            <w:vAlign w:val="bottom"/>
          </w:tcPr>
          <w:p>
            <w:pPr>
              <w:jc w:val="right"/>
              <w:ind w:right="959"/>
              <w:spacing w:after="0"/>
              <w:rPr>
                <w:sz w:val="20"/>
                <w:szCs w:val="20"/>
                <w:color w:val="auto"/>
              </w:rPr>
            </w:pPr>
            <w:r>
              <w:rPr>
                <w:rFonts w:ascii="Arial" w:cs="Arial" w:eastAsia="Arial" w:hAnsi="Arial"/>
                <w:sz w:val="14"/>
                <w:szCs w:val="14"/>
                <w:color w:val="auto"/>
              </w:rPr>
              <w:t>Application</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2019</w:t>
            </w:r>
          </w:p>
        </w:tc>
        <w:tc>
          <w:tcPr>
            <w:tcW w:w="4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2020</w:t>
            </w:r>
          </w:p>
        </w:tc>
        <w:tc>
          <w:tcPr>
            <w:tcW w:w="40" w:type="dxa"/>
            <w:vAlign w:val="bottom"/>
          </w:tcPr>
          <w:p>
            <w:pPr>
              <w:spacing w:after="0"/>
              <w:rPr>
                <w:sz w:val="16"/>
                <w:szCs w:val="16"/>
                <w:color w:val="auto"/>
              </w:rPr>
            </w:pPr>
          </w:p>
        </w:tc>
        <w:tc>
          <w:tcPr>
            <w:tcW w:w="500" w:type="dxa"/>
            <w:vAlign w:val="bottom"/>
            <w:gridSpan w:val="2"/>
          </w:tcPr>
          <w:p>
            <w:pPr>
              <w:jc w:val="right"/>
              <w:spacing w:after="0"/>
              <w:rPr>
                <w:sz w:val="20"/>
                <w:szCs w:val="20"/>
                <w:color w:val="auto"/>
              </w:rPr>
            </w:pPr>
            <w:r>
              <w:rPr>
                <w:rFonts w:ascii="Arial" w:cs="Arial" w:eastAsia="Arial" w:hAnsi="Arial"/>
                <w:sz w:val="14"/>
                <w:szCs w:val="14"/>
                <w:color w:val="auto"/>
              </w:rPr>
              <w:t>2021</w:t>
            </w:r>
          </w:p>
        </w:tc>
        <w:tc>
          <w:tcPr>
            <w:tcW w:w="40" w:type="dxa"/>
            <w:vAlign w:val="bottom"/>
          </w:tcPr>
          <w:p>
            <w:pPr>
              <w:spacing w:after="0"/>
              <w:rPr>
                <w:sz w:val="16"/>
                <w:szCs w:val="16"/>
                <w:color w:val="auto"/>
              </w:rPr>
            </w:pPr>
          </w:p>
        </w:tc>
        <w:tc>
          <w:tcPr>
            <w:tcW w:w="840" w:type="dxa"/>
            <w:vAlign w:val="bottom"/>
            <w:gridSpan w:val="2"/>
          </w:tcPr>
          <w:p>
            <w:pPr>
              <w:jc w:val="right"/>
              <w:ind w:right="19"/>
              <w:spacing w:after="0"/>
              <w:rPr>
                <w:sz w:val="20"/>
                <w:szCs w:val="20"/>
                <w:color w:val="auto"/>
              </w:rPr>
            </w:pPr>
            <w:r>
              <w:rPr>
                <w:rFonts w:ascii="Arial" w:cs="Arial" w:eastAsia="Arial" w:hAnsi="Arial"/>
                <w:sz w:val="14"/>
                <w:szCs w:val="14"/>
                <w:color w:val="auto"/>
              </w:rPr>
              <w:t>3/31/2022</w:t>
            </w:r>
          </w:p>
        </w:tc>
      </w:tr>
      <w:tr>
        <w:trPr>
          <w:trHeight w:val="203"/>
        </w:trPr>
        <w:tc>
          <w:tcPr>
            <w:tcW w:w="7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2120" w:type="dxa"/>
            <w:vAlign w:val="bottom"/>
            <w:tcBorders>
              <w:top w:val="single" w:sz="8" w:color="CCEEFF"/>
            </w:tcBorders>
            <w:shd w:val="clear" w:color="auto" w:fill="CCEEFF"/>
          </w:tcPr>
          <w:p>
            <w:pPr>
              <w:spacing w:after="0"/>
              <w:rPr>
                <w:sz w:val="17"/>
                <w:szCs w:val="17"/>
                <w:color w:val="auto"/>
              </w:rPr>
            </w:pPr>
          </w:p>
        </w:tc>
        <w:tc>
          <w:tcPr>
            <w:tcW w:w="2780" w:type="dxa"/>
            <w:vAlign w:val="bottom"/>
            <w:tcBorders>
              <w:top w:val="single" w:sz="8" w:color="auto"/>
            </w:tcBorders>
            <w:shd w:val="clear" w:color="auto" w:fill="CCEEFF"/>
          </w:tcPr>
          <w:p>
            <w:pPr>
              <w:jc w:val="right"/>
              <w:ind w:right="2291"/>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2760" w:type="dxa"/>
            <w:vAlign w:val="bottom"/>
            <w:tcBorders>
              <w:top w:val="single" w:sz="8" w:color="auto"/>
            </w:tcBorders>
            <w:shd w:val="clear" w:color="auto" w:fill="CCEEFF"/>
          </w:tcPr>
          <w:p>
            <w:pPr>
              <w:jc w:val="right"/>
              <w:ind w:right="2279"/>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299"/>
              <w:spacing w:after="0" w:line="203" w:lineRule="exact"/>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2780" w:type="dxa"/>
            <w:vAlign w:val="bottom"/>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shd w:val="clear" w:color="auto" w:fill="CCEEFF"/>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2780" w:type="dxa"/>
            <w:vAlign w:val="bottom"/>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shd w:val="clear" w:color="auto" w:fill="CCEEFF"/>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2780" w:type="dxa"/>
            <w:vAlign w:val="bottom"/>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shd w:val="clear" w:color="auto" w:fill="CCEEFF"/>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2780" w:type="dxa"/>
            <w:vAlign w:val="bottom"/>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shd w:val="clear" w:color="auto" w:fill="CCEEFF"/>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2780" w:type="dxa"/>
            <w:vAlign w:val="bottom"/>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shd w:val="clear" w:color="auto" w:fill="CCEEFF"/>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2780" w:type="dxa"/>
            <w:vAlign w:val="bottom"/>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shd w:val="clear" w:color="auto" w:fill="CCEEFF"/>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2780" w:type="dxa"/>
            <w:vAlign w:val="bottom"/>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shd w:val="clear" w:color="auto" w:fill="CCEEFF"/>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2780" w:type="dxa"/>
            <w:vAlign w:val="bottom"/>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shd w:val="clear" w:color="auto" w:fill="CCEEFF"/>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w:t>
            </w:r>
          </w:p>
        </w:tc>
        <w:tc>
          <w:tcPr>
            <w:tcW w:w="2120" w:type="dxa"/>
            <w:vAlign w:val="bottom"/>
          </w:tcPr>
          <w:p>
            <w:pPr>
              <w:spacing w:after="0"/>
              <w:rPr>
                <w:sz w:val="18"/>
                <w:szCs w:val="18"/>
                <w:color w:val="auto"/>
              </w:rPr>
            </w:pPr>
          </w:p>
        </w:tc>
        <w:tc>
          <w:tcPr>
            <w:tcW w:w="2780" w:type="dxa"/>
            <w:vAlign w:val="bottom"/>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40" w:type="dxa"/>
            <w:vAlign w:val="bottom"/>
            <w:gridSpan w:val="2"/>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spacing w:after="0"/>
              <w:rPr>
                <w:sz w:val="18"/>
                <w:szCs w:val="18"/>
                <w:color w:val="auto"/>
              </w:rPr>
            </w:pPr>
          </w:p>
        </w:tc>
        <w:tc>
          <w:tcPr>
            <w:tcW w:w="2780" w:type="dxa"/>
            <w:vAlign w:val="bottom"/>
            <w:shd w:val="clear" w:color="auto" w:fill="CCEEFF"/>
          </w:tcPr>
          <w:p>
            <w:pPr>
              <w:jc w:val="right"/>
              <w:ind w:right="2291"/>
              <w:spacing w:after="0"/>
              <w:rPr>
                <w:sz w:val="20"/>
                <w:szCs w:val="20"/>
                <w:color w:val="auto"/>
              </w:rPr>
            </w:pPr>
            <w:r>
              <w:rPr>
                <w:rFonts w:ascii="Arial" w:cs="Arial" w:eastAsia="Arial" w:hAnsi="Arial"/>
                <w:sz w:val="18"/>
                <w:szCs w:val="18"/>
                <w:color w:val="auto"/>
              </w:rPr>
              <w:t>[***]</w:t>
            </w:r>
          </w:p>
        </w:tc>
        <w:tc>
          <w:tcPr>
            <w:tcW w:w="2860" w:type="dxa"/>
            <w:vAlign w:val="bottom"/>
            <w:gridSpan w:val="2"/>
            <w:shd w:val="clear" w:color="auto" w:fill="CCEEFF"/>
          </w:tcPr>
          <w:p>
            <w:pPr>
              <w:jc w:val="right"/>
              <w:ind w:right="2279"/>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99"/>
              <w:spacing w:after="0"/>
              <w:rPr>
                <w:sz w:val="20"/>
                <w:szCs w:val="20"/>
                <w:color w:val="auto"/>
              </w:rPr>
            </w:pPr>
            <w:r>
              <w:rPr>
                <w:rFonts w:ascii="Arial" w:cs="Arial" w:eastAsia="Arial" w:hAnsi="Arial"/>
                <w:sz w:val="18"/>
                <w:szCs w:val="18"/>
                <w:color w:val="auto"/>
              </w:rPr>
              <w:t>[***]</w:t>
            </w:r>
          </w:p>
        </w:tc>
      </w:tr>
      <w:tr>
        <w:trPr>
          <w:trHeight w:val="216"/>
        </w:trPr>
        <w:tc>
          <w:tcPr>
            <w:tcW w:w="2880" w:type="dxa"/>
            <w:vAlign w:val="bottom"/>
            <w:gridSpan w:val="2"/>
          </w:tcPr>
          <w:p>
            <w:pPr>
              <w:ind w:left="360"/>
              <w:spacing w:after="0"/>
              <w:rPr>
                <w:sz w:val="20"/>
                <w:szCs w:val="20"/>
                <w:color w:val="auto"/>
              </w:rPr>
            </w:pPr>
            <w:r>
              <w:rPr>
                <w:rFonts w:ascii="Arial" w:cs="Arial" w:eastAsia="Arial" w:hAnsi="Arial"/>
                <w:sz w:val="18"/>
                <w:szCs w:val="18"/>
                <w:color w:val="auto"/>
              </w:rPr>
              <w:t>Grand</w:t>
            </w:r>
          </w:p>
        </w:tc>
        <w:tc>
          <w:tcPr>
            <w:tcW w:w="2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28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76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134" w:lineRule="exact"/>
        <w:rPr>
          <w:sz w:val="20"/>
          <w:szCs w:val="20"/>
          <w:color w:val="auto"/>
        </w:rPr>
      </w:pPr>
    </w:p>
    <w:p>
      <w:pPr>
        <w:ind w:left="9840"/>
        <w:spacing w:after="0"/>
        <w:rPr>
          <w:sz w:val="20"/>
          <w:szCs w:val="20"/>
          <w:color w:val="auto"/>
        </w:rPr>
      </w:pPr>
      <w:r>
        <w:rPr>
          <w:rFonts w:ascii="Arial" w:cs="Arial" w:eastAsia="Arial" w:hAnsi="Arial"/>
          <w:sz w:val="16"/>
          <w:szCs w:val="16"/>
          <w:color w:val="auto"/>
        </w:rPr>
        <w:t>Page 206 of 206</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b w:val="1"/>
          <w:bCs w:val="1"/>
          <w:color w:val="auto"/>
        </w:rPr>
        <w:t>Exhibit 4.a.1</w:t>
      </w:r>
    </w:p>
    <w:p>
      <w:pPr>
        <w:spacing w:after="0" w:line="229"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Agreement No. 53258.A.006</w:t>
      </w:r>
    </w:p>
    <w:p>
      <w:pPr>
        <w:spacing w:after="0" w:line="24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(I) NOT MATERIAL AND (II) IS THE TYPE THAT THE REGISTRANT TREATS AS PRIVATE OR CONFIDENTIAL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No. 53258.C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Amdocs Development Limited</w:t>
      </w:r>
    </w:p>
    <w:p>
      <w:pPr>
        <w:spacing w:after="0" w:line="15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30" w:name="page331"/>
    <w:bookmarkEnd w:id="330"/>
    <w:p>
      <w:pPr>
        <w:ind w:left="89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No. 53258.A.006</w:t>
      </w:r>
    </w:p>
    <w:p>
      <w:pPr>
        <w:spacing w:after="0" w:line="177"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(I) NOT MATERIAL AND (II) IS THE TYPE THAT THE REGISTRANT TREATS AS PRIVATE OR CONFIDENTIAL</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NO.6</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 NO. 53258.C</w:t>
      </w:r>
    </w:p>
    <w:p>
      <w:pPr>
        <w:spacing w:after="0" w:line="229"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This Amendment No. 6, effective as of the last date signed by a Party (“Effective Date”) and amending Restated and Amended Master Services and Software License Agreement Number 53258.C, is by and between Amdocs Development Limited, a Cyprus corporation (hereinafter referred to as “Supplier” or “Amdocs”), and AT&amp;T Services, Inc., a Delaware corporation (hereinafter referred to as “AT&amp;T”), each of which may be referred to in the singular as a “Party” or in the plural as the “Parties.”</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left="4" w:right="2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are parties to the Master Services Agreement No.53258.C entered into on/with the effective date of on February 28,</w:t>
      </w:r>
      <w:r>
        <w:rPr>
          <w:rFonts w:ascii="Arial" w:cs="Arial" w:eastAsia="Arial" w:hAnsi="Arial"/>
          <w:sz w:val="18"/>
          <w:szCs w:val="18"/>
          <w:b w:val="1"/>
          <w:bCs w:val="1"/>
          <w:color w:val="auto"/>
        </w:rPr>
        <w:t xml:space="preserve"> </w:t>
      </w:r>
      <w:r>
        <w:rPr>
          <w:rFonts w:ascii="Arial" w:cs="Arial" w:eastAsia="Arial" w:hAnsi="Arial"/>
          <w:sz w:val="18"/>
          <w:szCs w:val="18"/>
          <w:color w:val="auto"/>
        </w:rPr>
        <w:t>2017 (as previously restated and amended, the “Agreement”); and</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now desire to amend the Agreement as hereinafter set forth.</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as follows:</w:t>
      </w:r>
    </w:p>
    <w:p>
      <w:pPr>
        <w:spacing w:after="0" w:line="131" w:lineRule="exact"/>
        <w:rPr>
          <w:sz w:val="20"/>
          <w:szCs w:val="20"/>
          <w:color w:val="auto"/>
        </w:rPr>
      </w:pPr>
    </w:p>
    <w:p>
      <w:pPr>
        <w:ind w:left="984" w:right="1900" w:hanging="984"/>
        <w:spacing w:after="0" w:line="434" w:lineRule="auto"/>
        <w:tabs>
          <w:tab w:leader="none" w:pos="431" w:val="left"/>
        </w:tabs>
        <w:numPr>
          <w:ilvl w:val="0"/>
          <w:numId w:val="402"/>
        </w:numPr>
        <w:rPr>
          <w:rFonts w:ascii="Arial" w:cs="Arial" w:eastAsia="Arial" w:hAnsi="Arial"/>
          <w:sz w:val="16"/>
          <w:szCs w:val="16"/>
          <w:b w:val="1"/>
          <w:bCs w:val="1"/>
          <w:color w:val="auto"/>
        </w:rPr>
      </w:pPr>
      <w:r>
        <w:rPr>
          <w:rFonts w:ascii="Arial" w:cs="Arial" w:eastAsia="Arial" w:hAnsi="Arial"/>
          <w:sz w:val="16"/>
          <w:szCs w:val="16"/>
          <w:color w:val="auto"/>
        </w:rPr>
        <w:t xml:space="preserve">The following </w:t>
      </w:r>
      <w:r>
        <w:rPr>
          <w:rFonts w:ascii="Arial" w:cs="Arial" w:eastAsia="Arial" w:hAnsi="Arial"/>
          <w:sz w:val="16"/>
          <w:szCs w:val="16"/>
          <w:b w:val="1"/>
          <w:bCs w:val="1"/>
          <w:color w:val="auto"/>
        </w:rPr>
        <w:t>Subsection g.</w:t>
      </w:r>
      <w:r>
        <w:rPr>
          <w:rFonts w:ascii="Arial" w:cs="Arial" w:eastAsia="Arial" w:hAnsi="Arial"/>
          <w:sz w:val="16"/>
          <w:szCs w:val="16"/>
          <w:color w:val="auto"/>
        </w:rPr>
        <w:t xml:space="preserve"> is hereby added to </w:t>
      </w:r>
      <w:r>
        <w:rPr>
          <w:rFonts w:ascii="Arial" w:cs="Arial" w:eastAsia="Arial" w:hAnsi="Arial"/>
          <w:sz w:val="16"/>
          <w:szCs w:val="16"/>
          <w:b w:val="1"/>
          <w:bCs w:val="1"/>
          <w:color w:val="auto"/>
        </w:rPr>
        <w:t>Section 3.24. Offshore Work Permitted Under Specific Conditions</w:t>
      </w:r>
      <w:r>
        <w:rPr>
          <w:rFonts w:ascii="Arial" w:cs="Arial" w:eastAsia="Arial" w:hAnsi="Arial"/>
          <w:sz w:val="16"/>
          <w:szCs w:val="16"/>
          <w:color w:val="auto"/>
        </w:rPr>
        <w:t>: g. Notwithstanding any contradicting terms the following terms shall apply to locations listed in Table 3.24.g:</w:t>
      </w:r>
    </w:p>
    <w:p>
      <w:pPr>
        <w:ind w:left="1424" w:right="4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Supplier’s work involving the provision of Services, Materials and/or Support for AT&amp;T and/or AT&amp;T customers related to Supplier products and/or Software at the Offshore Locations specified in Table 3.24.g below is permitted conditioned upon Supplier allowing AT&amp;T to perform additional monitoring regarding Supplier’s obligations at the specified locations as determined necessary by AT&amp;T, including the following:</w:t>
      </w:r>
    </w:p>
    <w:p>
      <w:pPr>
        <w:spacing w:after="0" w:line="92" w:lineRule="exact"/>
        <w:rPr>
          <w:rFonts w:ascii="Arial" w:cs="Arial" w:eastAsia="Arial" w:hAnsi="Arial"/>
          <w:sz w:val="16"/>
          <w:szCs w:val="16"/>
          <w:b w:val="1"/>
          <w:bCs w:val="1"/>
          <w:color w:val="auto"/>
        </w:rPr>
      </w:pPr>
    </w:p>
    <w:p>
      <w:pPr>
        <w:ind w:left="1424"/>
        <w:spacing w:after="0"/>
        <w:rPr>
          <w:rFonts w:ascii="Arial" w:cs="Arial" w:eastAsia="Arial" w:hAnsi="Arial"/>
          <w:sz w:val="16"/>
          <w:szCs w:val="16"/>
          <w:b w:val="1"/>
          <w:bCs w:val="1"/>
          <w:color w:val="auto"/>
        </w:rPr>
      </w:pPr>
      <w:r>
        <w:rPr>
          <w:rFonts w:ascii="Arial" w:cs="Arial" w:eastAsia="Arial" w:hAnsi="Arial"/>
          <w:sz w:val="18"/>
          <w:szCs w:val="18"/>
          <w:color w:val="auto"/>
        </w:rPr>
        <w:t>1.</w:t>
      </w:r>
      <w:r>
        <w:rPr>
          <w:rFonts w:ascii="Arial" w:cs="Arial" w:eastAsia="Arial" w:hAnsi="Arial"/>
          <w:sz w:val="16"/>
          <w:szCs w:val="16"/>
          <w:color w:val="auto"/>
        </w:rPr>
        <w:t>responding to written audits submitted by AT&amp;T regarding the work of Supplier and Subcontractors;</w:t>
      </w:r>
    </w:p>
    <w:p>
      <w:pPr>
        <w:spacing w:after="0" w:line="154" w:lineRule="exact"/>
        <w:rPr>
          <w:sz w:val="20"/>
          <w:szCs w:val="20"/>
          <w:color w:val="auto"/>
        </w:rPr>
      </w:pPr>
    </w:p>
    <w:p>
      <w:pPr>
        <w:ind w:left="4384"/>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04"/>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No. 53258.A.006</w:t>
      </w:r>
    </w:p>
    <w:p>
      <w:pPr>
        <w:spacing w:after="0" w:line="158" w:lineRule="exact"/>
        <w:rPr>
          <w:sz w:val="20"/>
          <w:szCs w:val="20"/>
          <w:color w:val="auto"/>
        </w:rPr>
      </w:pPr>
    </w:p>
    <w:p>
      <w:pPr>
        <w:ind w:left="1960" w:hanging="533"/>
        <w:spacing w:after="0"/>
        <w:tabs>
          <w:tab w:leader="none" w:pos="196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providing documents requested by AT&amp;T regarding the work of Supplier and Subcontractors: and</w:t>
      </w:r>
    </w:p>
    <w:p>
      <w:pPr>
        <w:spacing w:after="0" w:line="130" w:lineRule="exact"/>
        <w:rPr>
          <w:rFonts w:ascii="Arial" w:cs="Arial" w:eastAsia="Arial" w:hAnsi="Arial"/>
          <w:sz w:val="18"/>
          <w:szCs w:val="18"/>
          <w:color w:val="auto"/>
        </w:rPr>
      </w:pPr>
    </w:p>
    <w:p>
      <w:pPr>
        <w:ind w:left="1960" w:right="80" w:hanging="533"/>
        <w:spacing w:after="0" w:line="286" w:lineRule="auto"/>
        <w:tabs>
          <w:tab w:leader="none" w:pos="1960" w:val="left"/>
        </w:tabs>
        <w:numPr>
          <w:ilvl w:val="0"/>
          <w:numId w:val="403"/>
        </w:numPr>
        <w:rPr>
          <w:rFonts w:ascii="Arial" w:cs="Arial" w:eastAsia="Arial" w:hAnsi="Arial"/>
          <w:sz w:val="17"/>
          <w:szCs w:val="17"/>
          <w:color w:val="auto"/>
        </w:rPr>
      </w:pPr>
      <w:r>
        <w:rPr>
          <w:rFonts w:ascii="Arial" w:cs="Arial" w:eastAsia="Arial" w:hAnsi="Arial"/>
          <w:sz w:val="17"/>
          <w:szCs w:val="17"/>
          <w:color w:val="auto"/>
        </w:rPr>
        <w:t>allowing physical inspections of the locations where work of Supplier and Subcontractors is performed; or, alternatively, providing Supplier and Subcontractor personnel for telephonic, video or other remote live discussions/inspections to provide information and respond to questions regarding the work they are performing on behalf of AT&amp;T.</w:t>
      </w:r>
    </w:p>
    <w:p>
      <w:pPr>
        <w:spacing w:after="0" w:line="57" w:lineRule="exact"/>
        <w:rPr>
          <w:sz w:val="20"/>
          <w:szCs w:val="20"/>
          <w:color w:val="auto"/>
        </w:rPr>
      </w:pPr>
    </w:p>
    <w:p>
      <w:pPr>
        <w:ind w:left="1420" w:right="60"/>
        <w:spacing w:after="0" w:line="296" w:lineRule="auto"/>
        <w:rPr>
          <w:sz w:val="20"/>
          <w:szCs w:val="20"/>
          <w:color w:val="auto"/>
        </w:rPr>
      </w:pPr>
      <w:r>
        <w:rPr>
          <w:rFonts w:ascii="Arial" w:cs="Arial" w:eastAsia="Arial" w:hAnsi="Arial"/>
          <w:sz w:val="16"/>
          <w:szCs w:val="16"/>
          <w:color w:val="auto"/>
        </w:rPr>
        <w:t>In the event that AT&amp;T identifies a security issue involving a Supplier Entity’s activities that AT&amp;T deems to constitute a significant risk to AT&amp;T, its customers, and/or its suppliers, then AT&amp;T will work with Supplier to mitigate the risk of such security issue and, if such risk cannot be mitigated at such Offshore Location, or otherwise relocated within a reasonable time period considering the nature of the risk, then AT&amp;T reserves the right to terminate the work, including any customer-specific activities, and access to the support systems and Information, in addition to any other remedies included in this Offshore Work section.</w:t>
      </w:r>
    </w:p>
    <w:p>
      <w:pPr>
        <w:spacing w:after="0" w:line="265"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Table 3.24.g</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0"/>
              </w:rPr>
              <w:t>Countries where services are</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authorized by AT&amp;T to be</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Name of Supplier /</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 xml:space="preserve">performed </w:t>
            </w:r>
            <w:r>
              <w:rPr>
                <w:rFonts w:ascii="Arial" w:cs="Arial" w:eastAsia="Arial" w:hAnsi="Arial"/>
                <w:sz w:val="14"/>
                <w:szCs w:val="14"/>
                <w:color w:val="auto"/>
                <w:w w:val="95"/>
              </w:rPr>
              <w:t>(physical location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Arial" w:cs="Arial" w:eastAsia="Arial" w:hAnsi="Arial"/>
                <w:sz w:val="14"/>
                <w:szCs w:val="14"/>
                <w:color w:val="auto"/>
                <w:w w:val="91"/>
              </w:rPr>
              <w:t>address is also required if the</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gridSpan w:val="3"/>
            <w:vMerge w:val="restart"/>
          </w:tcPr>
          <w:p>
            <w:pPr>
              <w:jc w:val="center"/>
              <w:ind w:right="1220"/>
              <w:spacing w:after="0"/>
              <w:rPr>
                <w:sz w:val="20"/>
                <w:szCs w:val="20"/>
                <w:color w:val="auto"/>
              </w:rPr>
            </w:pPr>
            <w:r>
              <w:rPr>
                <w:rFonts w:ascii="Arial" w:cs="Arial" w:eastAsia="Arial" w:hAnsi="Arial"/>
                <w:sz w:val="14"/>
                <w:szCs w:val="14"/>
                <w:b w:val="1"/>
                <w:bCs w:val="1"/>
                <w:color w:val="auto"/>
                <w:w w:val="92"/>
              </w:rPr>
              <w:t>Cities where</w:t>
            </w:r>
          </w:p>
        </w:tc>
        <w:tc>
          <w:tcPr>
            <w:tcW w:w="13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Services to be</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Supplier Affiliate,</w:t>
            </w: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2420" w:type="dxa"/>
            <w:vAlign w:val="bottom"/>
          </w:tcPr>
          <w:p>
            <w:pPr>
              <w:jc w:val="center"/>
              <w:spacing w:after="0" w:line="158" w:lineRule="exact"/>
              <w:rPr>
                <w:sz w:val="20"/>
                <w:szCs w:val="20"/>
                <w:color w:val="auto"/>
              </w:rPr>
            </w:pPr>
            <w:r>
              <w:rPr>
                <w:rFonts w:ascii="Arial" w:cs="Arial" w:eastAsia="Arial" w:hAnsi="Arial"/>
                <w:sz w:val="14"/>
                <w:szCs w:val="14"/>
                <w:color w:val="auto"/>
                <w:w w:val="95"/>
              </w:rPr>
              <w:t>Services involve Information</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80" w:type="dxa"/>
            <w:vAlign w:val="bottom"/>
            <w:gridSpan w:val="3"/>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and/or</w:t>
            </w:r>
          </w:p>
        </w:tc>
        <w:tc>
          <w:tcPr>
            <w:tcW w:w="0" w:type="dxa"/>
            <w:vAlign w:val="bottom"/>
          </w:tcPr>
          <w:p>
            <w:pPr>
              <w:spacing w:after="0"/>
              <w:rPr>
                <w:sz w:val="1"/>
                <w:szCs w:val="1"/>
                <w:color w:val="auto"/>
              </w:rPr>
            </w:pPr>
          </w:p>
        </w:tc>
      </w:tr>
      <w:tr>
        <w:trPr>
          <w:trHeight w:val="119"/>
        </w:trPr>
        <w:tc>
          <w:tcPr>
            <w:tcW w:w="3080" w:type="dxa"/>
            <w:vAlign w:val="bottom"/>
          </w:tcPr>
          <w:p>
            <w:pPr>
              <w:spacing w:after="0"/>
              <w:rPr>
                <w:sz w:val="10"/>
                <w:szCs w:val="10"/>
                <w:color w:val="auto"/>
              </w:rPr>
            </w:pPr>
          </w:p>
        </w:tc>
        <w:tc>
          <w:tcPr>
            <w:tcW w:w="2420" w:type="dxa"/>
            <w:vAlign w:val="bottom"/>
          </w:tcPr>
          <w:p>
            <w:pPr>
              <w:jc w:val="center"/>
              <w:spacing w:after="0" w:line="119" w:lineRule="exact"/>
              <w:rPr>
                <w:sz w:val="20"/>
                <w:szCs w:val="20"/>
                <w:color w:val="auto"/>
              </w:rPr>
            </w:pPr>
            <w:r>
              <w:rPr>
                <w:rFonts w:ascii="Arial" w:cs="Arial" w:eastAsia="Arial" w:hAnsi="Arial"/>
                <w:sz w:val="13"/>
                <w:szCs w:val="13"/>
                <w:color w:val="auto"/>
              </w:rPr>
              <w:t>Technology-related work or if a</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6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w w:val="70"/>
              </w:rPr>
              <w:t>services</w:t>
            </w:r>
          </w:p>
        </w:tc>
        <w:tc>
          <w:tcPr>
            <w:tcW w:w="162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will be</w:t>
            </w:r>
          </w:p>
        </w:tc>
        <w:tc>
          <w:tcPr>
            <w:tcW w:w="13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performed at</w:t>
            </w:r>
          </w:p>
        </w:tc>
        <w:tc>
          <w:tcPr>
            <w:tcW w:w="120" w:type="dxa"/>
            <w:vAlign w:val="bottom"/>
          </w:tcPr>
          <w:p>
            <w:pPr>
              <w:spacing w:after="0"/>
              <w:rPr>
                <w:sz w:val="10"/>
                <w:szCs w:val="10"/>
                <w:color w:val="auto"/>
              </w:rPr>
            </w:pPr>
          </w:p>
        </w:tc>
        <w:tc>
          <w:tcPr>
            <w:tcW w:w="12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Subcontractor</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2420" w:type="dxa"/>
            <w:vAlign w:val="bottom"/>
          </w:tcPr>
          <w:p>
            <w:pPr>
              <w:jc w:val="center"/>
              <w:spacing w:after="0" w:line="149" w:lineRule="exact"/>
              <w:rPr>
                <w:sz w:val="20"/>
                <w:szCs w:val="20"/>
                <w:color w:val="auto"/>
              </w:rPr>
            </w:pPr>
            <w:r>
              <w:rPr>
                <w:rFonts w:ascii="Arial" w:cs="Arial" w:eastAsia="Arial" w:hAnsi="Arial"/>
                <w:sz w:val="14"/>
                <w:szCs w:val="14"/>
                <w:color w:val="auto"/>
              </w:rPr>
              <w:t>“virtual” or “work-from-home”</w:t>
            </w:r>
          </w:p>
        </w:tc>
        <w:tc>
          <w:tcPr>
            <w:tcW w:w="100" w:type="dxa"/>
            <w:vAlign w:val="bottom"/>
          </w:tcPr>
          <w:p>
            <w:pPr>
              <w:spacing w:after="0"/>
              <w:rPr>
                <w:sz w:val="12"/>
                <w:szCs w:val="12"/>
                <w:color w:val="auto"/>
              </w:rPr>
            </w:pPr>
          </w:p>
        </w:tc>
        <w:tc>
          <w:tcPr>
            <w:tcW w:w="280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performed for</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approved Physical</w:t>
            </w:r>
          </w:p>
        </w:tc>
        <w:tc>
          <w:tcPr>
            <w:tcW w:w="12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performing the</w:t>
            </w:r>
          </w:p>
        </w:tc>
        <w:tc>
          <w:tcPr>
            <w:tcW w:w="0" w:type="dxa"/>
            <w:vAlign w:val="bottom"/>
          </w:tcPr>
          <w:p>
            <w:pPr>
              <w:spacing w:after="0"/>
              <w:rPr>
                <w:sz w:val="1"/>
                <w:szCs w:val="1"/>
                <w:color w:val="auto"/>
              </w:rPr>
            </w:pPr>
          </w:p>
        </w:tc>
      </w:tr>
      <w:tr>
        <w:trPr>
          <w:trHeight w:val="185"/>
        </w:trPr>
        <w:tc>
          <w:tcPr>
            <w:tcW w:w="3080" w:type="dxa"/>
            <w:vAlign w:val="bottom"/>
          </w:tcPr>
          <w:p>
            <w:pPr>
              <w:spacing w:after="0"/>
              <w:rPr>
                <w:sz w:val="16"/>
                <w:szCs w:val="16"/>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address is authorized)</w:t>
            </w:r>
          </w:p>
        </w:tc>
        <w:tc>
          <w:tcPr>
            <w:tcW w:w="10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2"/>
          </w:tcPr>
          <w:p>
            <w:pPr>
              <w:jc w:val="center"/>
              <w:ind w:right="773"/>
              <w:spacing w:after="0"/>
              <w:rPr>
                <w:sz w:val="20"/>
                <w:szCs w:val="20"/>
                <w:color w:val="auto"/>
              </w:rPr>
            </w:pPr>
            <w:r>
              <w:rPr>
                <w:rFonts w:ascii="Arial" w:cs="Arial" w:eastAsia="Arial" w:hAnsi="Arial"/>
                <w:sz w:val="14"/>
                <w:szCs w:val="14"/>
                <w:b w:val="1"/>
                <w:bCs w:val="1"/>
                <w:color w:val="auto"/>
              </w:rPr>
              <w:t>AT&amp;T</w:t>
            </w:r>
          </w:p>
        </w:tc>
        <w:tc>
          <w:tcPr>
            <w:tcW w:w="38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rPr>
                <w:sz w:val="1"/>
                <w:szCs w:val="1"/>
                <w:color w:val="auto"/>
              </w:rPr>
            </w:pPr>
          </w:p>
        </w:tc>
      </w:tr>
      <w:tr>
        <w:trPr>
          <w:trHeight w:val="304"/>
        </w:trPr>
        <w:tc>
          <w:tcPr>
            <w:tcW w:w="3080" w:type="dxa"/>
            <w:vAlign w:val="bottom"/>
          </w:tcPr>
          <w:p>
            <w:pPr>
              <w:spacing w:after="0"/>
              <w:rPr>
                <w:sz w:val="20"/>
                <w:szCs w:val="20"/>
                <w:color w:val="auto"/>
              </w:rPr>
            </w:pPr>
            <w:r>
              <w:rPr>
                <w:rFonts w:ascii="Arial" w:cs="Arial" w:eastAsia="Arial" w:hAnsi="Arial"/>
                <w:sz w:val="18"/>
                <w:szCs w:val="18"/>
                <w:color w:val="auto"/>
              </w:rPr>
              <w:t>Bulgaria</w:t>
            </w:r>
          </w:p>
        </w:tc>
        <w:tc>
          <w:tcPr>
            <w:tcW w:w="2420" w:type="dxa"/>
            <w:vAlign w:val="bottom"/>
          </w:tcPr>
          <w:p>
            <w:pPr>
              <w:jc w:val="right"/>
              <w:ind w:right="19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ind w:right="843"/>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080" w:type="dxa"/>
            <w:vAlign w:val="bottom"/>
          </w:tcPr>
          <w:p>
            <w:pPr>
              <w:spacing w:after="0"/>
              <w:rPr>
                <w:sz w:val="20"/>
                <w:szCs w:val="20"/>
                <w:color w:val="auto"/>
              </w:rPr>
            </w:pPr>
            <w:r>
              <w:rPr>
                <w:rFonts w:ascii="Arial" w:cs="Arial" w:eastAsia="Arial" w:hAnsi="Arial"/>
                <w:sz w:val="18"/>
                <w:szCs w:val="18"/>
                <w:color w:val="auto"/>
              </w:rPr>
              <w:t>Guatemala</w:t>
            </w:r>
          </w:p>
        </w:tc>
        <w:tc>
          <w:tcPr>
            <w:tcW w:w="2420" w:type="dxa"/>
            <w:vAlign w:val="bottom"/>
          </w:tcPr>
          <w:p>
            <w:pPr>
              <w:jc w:val="right"/>
              <w:ind w:right="19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ind w:right="843"/>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7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32" w:name="page333"/>
    <w:bookmarkEnd w:id="332"/>
    <w:p>
      <w:pPr>
        <w:ind w:left="8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No. 53258.A.006</w:t>
      </w:r>
    </w:p>
    <w:p>
      <w:pPr>
        <w:spacing w:after="0" w:line="18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Original signatures transmitted and received via facsimile or other electronic transmission of a scanned document, (e.g., .pdf or similar format) are true and valid signatures for all purposes hereunder and shall bind the Parties to the same extent as that of an original signature. This Amendment may be executed in multiple counterparts, each of which shall be deemed to constitute an original but all of which together shall constitute only one document.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caused this Amendment to Agreement No. 53258.C to be executed, as of the date the last Party signs.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gridSpan w:val="2"/>
          </w:tcPr>
          <w:p>
            <w:pPr>
              <w:spacing w:after="0"/>
              <w:rPr>
                <w:sz w:val="20"/>
                <w:szCs w:val="20"/>
                <w:color w:val="auto"/>
              </w:rPr>
            </w:pPr>
            <w:r>
              <w:rPr>
                <w:rFonts w:ascii="Arial" w:cs="Arial" w:eastAsia="Arial" w:hAnsi="Arial"/>
                <w:sz w:val="18"/>
                <w:szCs w:val="18"/>
                <w:b w:val="1"/>
                <w:bCs w:val="1"/>
                <w:color w:val="auto"/>
              </w:rPr>
              <w:t>Amdocs Development Limited</w:t>
            </w:r>
          </w:p>
        </w:tc>
        <w:tc>
          <w:tcPr>
            <w:tcW w:w="1940" w:type="dxa"/>
            <w:vAlign w:val="bottom"/>
          </w:tcPr>
          <w:p>
            <w:pPr>
              <w:spacing w:after="0"/>
              <w:rPr>
                <w:sz w:val="20"/>
                <w:szCs w:val="20"/>
                <w:color w:val="auto"/>
              </w:rPr>
            </w:pPr>
          </w:p>
        </w:tc>
        <w:tc>
          <w:tcPr>
            <w:tcW w:w="572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2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Jessica A. Rose</w:t>
            </w:r>
          </w:p>
        </w:tc>
        <w:tc>
          <w:tcPr>
            <w:tcW w:w="1940" w:type="dxa"/>
            <w:vAlign w:val="bottom"/>
            <w:tcBorders>
              <w:bottom w:val="single" w:sz="8" w:color="auto"/>
            </w:tcBorders>
          </w:tcPr>
          <w:p>
            <w:pPr>
              <w:spacing w:after="0"/>
              <w:rPr>
                <w:sz w:val="24"/>
                <w:szCs w:val="24"/>
                <w:color w:val="auto"/>
              </w:rPr>
            </w:pPr>
          </w:p>
        </w:tc>
        <w:tc>
          <w:tcPr>
            <w:tcW w:w="1320" w:type="dxa"/>
            <w:vAlign w:val="bottom"/>
          </w:tcPr>
          <w:p>
            <w:pPr>
              <w:ind w:left="660"/>
              <w:spacing w:after="0"/>
              <w:rPr>
                <w:sz w:val="20"/>
                <w:szCs w:val="20"/>
                <w:color w:val="auto"/>
              </w:rPr>
            </w:pPr>
            <w:r>
              <w:rPr>
                <w:rFonts w:ascii="Arial" w:cs="Arial" w:eastAsia="Arial" w:hAnsi="Arial"/>
                <w:sz w:val="18"/>
                <w:szCs w:val="18"/>
                <w:color w:val="auto"/>
              </w:rPr>
              <w:t>By:</w:t>
            </w:r>
          </w:p>
        </w:tc>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Wehde</w:t>
            </w:r>
          </w:p>
        </w:tc>
      </w:tr>
      <w:tr>
        <w:trPr>
          <w:trHeight w:val="43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2680" w:type="dxa"/>
            <w:vAlign w:val="bottom"/>
          </w:tcPr>
          <w:p>
            <w:pPr>
              <w:spacing w:after="0"/>
              <w:rPr>
                <w:sz w:val="20"/>
                <w:szCs w:val="20"/>
                <w:color w:val="auto"/>
              </w:rPr>
            </w:pPr>
            <w:r>
              <w:rPr>
                <w:rFonts w:ascii="Arial" w:cs="Arial" w:eastAsia="Arial" w:hAnsi="Arial"/>
                <w:sz w:val="18"/>
                <w:szCs w:val="18"/>
                <w:color w:val="auto"/>
              </w:rPr>
              <w:t>Jessica A. Rose</w:t>
            </w:r>
          </w:p>
        </w:tc>
        <w:tc>
          <w:tcPr>
            <w:tcW w:w="1940" w:type="dxa"/>
            <w:vAlign w:val="bottom"/>
          </w:tcPr>
          <w:p>
            <w:pPr>
              <w:spacing w:after="0"/>
              <w:rPr>
                <w:sz w:val="24"/>
                <w:szCs w:val="24"/>
                <w:color w:val="auto"/>
              </w:rPr>
            </w:pPr>
          </w:p>
        </w:tc>
        <w:tc>
          <w:tcPr>
            <w:tcW w:w="1320" w:type="dxa"/>
            <w:vAlign w:val="bottom"/>
          </w:tcPr>
          <w:p>
            <w:pPr>
              <w:ind w:left="660"/>
              <w:spacing w:after="0"/>
              <w:rPr>
                <w:sz w:val="20"/>
                <w:szCs w:val="20"/>
                <w:color w:val="auto"/>
              </w:rPr>
            </w:pPr>
            <w:r>
              <w:rPr>
                <w:rFonts w:ascii="Arial" w:cs="Arial" w:eastAsia="Arial" w:hAnsi="Arial"/>
                <w:sz w:val="18"/>
                <w:szCs w:val="18"/>
                <w:color w:val="auto"/>
              </w:rPr>
              <w:t>Name:</w:t>
            </w:r>
          </w:p>
        </w:tc>
        <w:tc>
          <w:tcPr>
            <w:tcW w:w="4400" w:type="dxa"/>
            <w:vAlign w:val="bottom"/>
          </w:tcPr>
          <w:p>
            <w:pPr>
              <w:spacing w:after="0"/>
              <w:rPr>
                <w:sz w:val="20"/>
                <w:szCs w:val="20"/>
                <w:color w:val="auto"/>
              </w:rPr>
            </w:pPr>
            <w:r>
              <w:rPr>
                <w:rFonts w:ascii="Arial" w:cs="Arial" w:eastAsia="Arial" w:hAnsi="Arial"/>
                <w:sz w:val="18"/>
                <w:szCs w:val="18"/>
                <w:color w:val="auto"/>
              </w:rPr>
              <w:t>Steve Wehde</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2680" w:type="dxa"/>
            <w:vAlign w:val="bottom"/>
          </w:tcPr>
          <w:p>
            <w:pPr>
              <w:spacing w:after="0"/>
              <w:rPr>
                <w:sz w:val="20"/>
                <w:szCs w:val="20"/>
                <w:color w:val="auto"/>
              </w:rPr>
            </w:pPr>
            <w:r>
              <w:rPr>
                <w:rFonts w:ascii="Arial" w:cs="Arial" w:eastAsia="Arial" w:hAnsi="Arial"/>
                <w:sz w:val="18"/>
                <w:szCs w:val="18"/>
                <w:color w:val="auto"/>
              </w:rPr>
              <w:t>Signatory</w:t>
            </w:r>
          </w:p>
        </w:tc>
        <w:tc>
          <w:tcPr>
            <w:tcW w:w="1940" w:type="dxa"/>
            <w:vAlign w:val="bottom"/>
          </w:tcPr>
          <w:p>
            <w:pPr>
              <w:spacing w:after="0"/>
              <w:rPr>
                <w:sz w:val="24"/>
                <w:szCs w:val="24"/>
                <w:color w:val="auto"/>
              </w:rPr>
            </w:pPr>
          </w:p>
        </w:tc>
        <w:tc>
          <w:tcPr>
            <w:tcW w:w="1320" w:type="dxa"/>
            <w:vAlign w:val="bottom"/>
          </w:tcPr>
          <w:p>
            <w:pPr>
              <w:ind w:left="66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Lead Sourcing Manager</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2680" w:type="dxa"/>
            <w:vAlign w:val="bottom"/>
          </w:tcPr>
          <w:p>
            <w:pPr>
              <w:spacing w:after="0"/>
              <w:rPr>
                <w:sz w:val="20"/>
                <w:szCs w:val="20"/>
                <w:color w:val="auto"/>
              </w:rPr>
            </w:pPr>
            <w:r>
              <w:rPr>
                <w:rFonts w:ascii="Arial" w:cs="Arial" w:eastAsia="Arial" w:hAnsi="Arial"/>
                <w:sz w:val="18"/>
                <w:szCs w:val="18"/>
                <w:color w:val="auto"/>
              </w:rPr>
              <w:t>2/9/2022</w:t>
            </w:r>
          </w:p>
        </w:tc>
        <w:tc>
          <w:tcPr>
            <w:tcW w:w="1940" w:type="dxa"/>
            <w:vAlign w:val="bottom"/>
          </w:tcPr>
          <w:p>
            <w:pPr>
              <w:spacing w:after="0"/>
              <w:rPr>
                <w:sz w:val="24"/>
                <w:szCs w:val="24"/>
                <w:color w:val="auto"/>
              </w:rPr>
            </w:pPr>
          </w:p>
        </w:tc>
        <w:tc>
          <w:tcPr>
            <w:tcW w:w="1320" w:type="dxa"/>
            <w:vAlign w:val="bottom"/>
          </w:tcPr>
          <w:p>
            <w:pPr>
              <w:ind w:left="660"/>
              <w:spacing w:after="0"/>
              <w:rPr>
                <w:sz w:val="20"/>
                <w:szCs w:val="20"/>
                <w:color w:val="auto"/>
              </w:rPr>
            </w:pPr>
            <w:r>
              <w:rPr>
                <w:rFonts w:ascii="Arial" w:cs="Arial" w:eastAsia="Arial" w:hAnsi="Arial"/>
                <w:sz w:val="18"/>
                <w:szCs w:val="18"/>
                <w:color w:val="auto"/>
              </w:rPr>
              <w:t>Date:</w:t>
            </w:r>
          </w:p>
        </w:tc>
        <w:tc>
          <w:tcPr>
            <w:tcW w:w="4400" w:type="dxa"/>
            <w:vAlign w:val="bottom"/>
          </w:tcPr>
          <w:p>
            <w:pPr>
              <w:spacing w:after="0"/>
              <w:rPr>
                <w:sz w:val="20"/>
                <w:szCs w:val="20"/>
                <w:color w:val="auto"/>
              </w:rPr>
            </w:pPr>
            <w:r>
              <w:rPr>
                <w:rFonts w:ascii="Arial" w:cs="Arial" w:eastAsia="Arial" w:hAnsi="Arial"/>
                <w:sz w:val="18"/>
                <w:szCs w:val="18"/>
                <w:color w:val="auto"/>
              </w:rPr>
              <w:t>2/9/2022</w:t>
            </w:r>
          </w:p>
        </w:tc>
      </w:tr>
      <w:tr>
        <w:trPr>
          <w:trHeight w:val="365"/>
        </w:trPr>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7660" w:type="dxa"/>
            <w:vAlign w:val="bottom"/>
            <w:gridSpan w:val="3"/>
          </w:tcPr>
          <w:p>
            <w:pPr>
              <w:ind w:left="1020"/>
              <w:spacing w:after="0"/>
              <w:rPr>
                <w:sz w:val="20"/>
                <w:szCs w:val="20"/>
                <w:color w:val="auto"/>
              </w:rPr>
            </w:pPr>
            <w:r>
              <w:rPr>
                <w:rFonts w:ascii="Arial" w:cs="Arial" w:eastAsia="Arial" w:hAnsi="Arial"/>
                <w:sz w:val="18"/>
                <w:szCs w:val="18"/>
                <w:b w:val="1"/>
                <w:bCs w:val="1"/>
                <w:color w:val="auto"/>
              </w:rPr>
              <w:t>Proprietary and Confidential</w:t>
            </w:r>
          </w:p>
        </w:tc>
      </w:tr>
    </w:tbl>
    <w:p>
      <w:pPr>
        <w:spacing w:after="0" w:line="94"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color w:val="auto"/>
        </w:rPr>
        <w:t>Exhibit 4.a.2</w:t>
      </w:r>
    </w:p>
    <w:p>
      <w:pPr>
        <w:spacing w:after="0" w:line="229"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Agreement No. 53258.A.007</w:t>
      </w:r>
    </w:p>
    <w:p>
      <w:pPr>
        <w:spacing w:after="0" w:line="24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(I) NOT MATERIAL AND (II) IS THE TYPE THAT THE REGISTRANT TREATS AS PRIVATE OR CONFIDENTIAL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No. 53258.C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Amdocs Development Limited</w:t>
      </w:r>
    </w:p>
    <w:p>
      <w:pPr>
        <w:spacing w:after="0" w:line="15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34" w:name="page335"/>
    <w:bookmarkEnd w:id="334"/>
    <w:p>
      <w:pPr>
        <w:ind w:left="89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No. 53258.A.007</w:t>
      </w:r>
    </w:p>
    <w:p>
      <w:pPr>
        <w:spacing w:after="0" w:line="177"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(I) NOT MATERIAL AND (II) IS THE TYPE THAT THE REGISTRANT TREATS AS PRIVATE OR CONFIDENTIAL</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 NO. 53258.C</w:t>
      </w:r>
    </w:p>
    <w:p>
      <w:pPr>
        <w:spacing w:after="0" w:line="229"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This Amendment No. 7, effective as of the last date signed by a Party (“Effective Date”) and amending Restated and Amended Master Services and Software License Agreement Number 53258.C, is by and between Amdocs Development Limited, a Cyprus corporation (hereinafter referred to as “Supplier” or “Amdocs”), and AT&amp;T Services, Inc., a Delaware corporation (hereinafter referred to as “AT&amp;T”), each of which may be referred to in the singular as a “Party” or in the plural as the “Parties.”</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left="4" w:right="2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are parties to the Master Services Agreement No.53258.C entered into on/with the effective date of on February 28,</w:t>
      </w:r>
      <w:r>
        <w:rPr>
          <w:rFonts w:ascii="Arial" w:cs="Arial" w:eastAsia="Arial" w:hAnsi="Arial"/>
          <w:sz w:val="18"/>
          <w:szCs w:val="18"/>
          <w:b w:val="1"/>
          <w:bCs w:val="1"/>
          <w:color w:val="auto"/>
        </w:rPr>
        <w:t xml:space="preserve"> </w:t>
      </w:r>
      <w:r>
        <w:rPr>
          <w:rFonts w:ascii="Arial" w:cs="Arial" w:eastAsia="Arial" w:hAnsi="Arial"/>
          <w:sz w:val="18"/>
          <w:szCs w:val="18"/>
          <w:color w:val="auto"/>
        </w:rPr>
        <w:t>2017 (as previously restated and amended, the “Agreement”); and</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now desire to amend the Agreement as hereinafter set forth.</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as follows:</w:t>
      </w:r>
    </w:p>
    <w:p>
      <w:pPr>
        <w:spacing w:after="0" w:line="135" w:lineRule="exact"/>
        <w:rPr>
          <w:sz w:val="20"/>
          <w:szCs w:val="20"/>
          <w:color w:val="auto"/>
        </w:rPr>
      </w:pPr>
    </w:p>
    <w:p>
      <w:pPr>
        <w:ind w:left="424" w:hanging="424"/>
        <w:spacing w:after="0"/>
        <w:tabs>
          <w:tab w:leader="none" w:pos="42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following subsections c, d, and e are hereby added to Section 3.1 of the Agreement:</w:t>
      </w:r>
    </w:p>
    <w:p>
      <w:pPr>
        <w:spacing w:after="0" w:line="126" w:lineRule="exact"/>
        <w:rPr>
          <w:rFonts w:ascii="Arial" w:cs="Arial" w:eastAsia="Arial" w:hAnsi="Arial"/>
          <w:sz w:val="18"/>
          <w:szCs w:val="18"/>
          <w:color w:val="auto"/>
        </w:rPr>
      </w:pPr>
    </w:p>
    <w:p>
      <w:pPr>
        <w:ind w:left="1424" w:right="60" w:hanging="439"/>
        <w:spacing w:after="0" w:line="271" w:lineRule="auto"/>
        <w:tabs>
          <w:tab w:leader="none" w:pos="1424" w:val="left"/>
        </w:tabs>
        <w:numPr>
          <w:ilvl w:val="1"/>
          <w:numId w:val="404"/>
        </w:numPr>
        <w:rPr>
          <w:rFonts w:ascii="Arial" w:cs="Arial" w:eastAsia="Arial" w:hAnsi="Arial"/>
          <w:sz w:val="17"/>
          <w:szCs w:val="17"/>
          <w:color w:val="auto"/>
        </w:rPr>
      </w:pPr>
      <w:r>
        <w:rPr>
          <w:rFonts w:ascii="Arial" w:cs="Arial" w:eastAsia="Arial" w:hAnsi="Arial"/>
          <w:sz w:val="17"/>
          <w:szCs w:val="17"/>
          <w:color w:val="auto"/>
        </w:rPr>
        <w:t>In the event that an AT&amp;T Affiliate (1) ceases to be an “Affiliate” of AT&amp;T as defined in the Agreement (a “</w:t>
      </w:r>
      <w:r>
        <w:rPr>
          <w:rFonts w:ascii="Arial" w:cs="Arial" w:eastAsia="Arial" w:hAnsi="Arial"/>
          <w:sz w:val="17"/>
          <w:szCs w:val="17"/>
          <w:b w:val="1"/>
          <w:bCs w:val="1"/>
          <w:color w:val="auto"/>
        </w:rPr>
        <w:t>Divested Entity</w:t>
      </w:r>
      <w:r>
        <w:rPr>
          <w:rFonts w:ascii="Arial" w:cs="Arial" w:eastAsia="Arial" w:hAnsi="Arial"/>
          <w:sz w:val="17"/>
          <w:szCs w:val="17"/>
          <w:color w:val="auto"/>
        </w:rPr>
        <w:t>”), by reason of a sale, merger, spin-off, consolidation, reorganization, or otherwise, or (2) AT&amp;T sells or transfers all or substantially all of its assets in a bona fide arm’s-length transaction to a third party purchaser that is not a competitor of Supplier (each of (1) or (2), a “</w:t>
      </w:r>
      <w:r>
        <w:rPr>
          <w:rFonts w:ascii="Arial" w:cs="Arial" w:eastAsia="Arial" w:hAnsi="Arial"/>
          <w:sz w:val="17"/>
          <w:szCs w:val="17"/>
          <w:b w:val="1"/>
          <w:bCs w:val="1"/>
          <w:color w:val="auto"/>
        </w:rPr>
        <w:t>Divestiture</w:t>
      </w:r>
      <w:r>
        <w:rPr>
          <w:rFonts w:ascii="Arial" w:cs="Arial" w:eastAsia="Arial" w:hAnsi="Arial"/>
          <w:sz w:val="17"/>
          <w:szCs w:val="17"/>
          <w:color w:val="auto"/>
        </w:rPr>
        <w:t>”), then upon written notice to Supplier, such Divested Entity (in the case of clause (1) above) will be considered to be an “Affiliate” of AT&amp;T for all purposes of this Agreement for a period of up to [***] after the closing date of the Divestiture (“</w:t>
      </w:r>
      <w:r>
        <w:rPr>
          <w:rFonts w:ascii="Arial" w:cs="Arial" w:eastAsia="Arial" w:hAnsi="Arial"/>
          <w:sz w:val="17"/>
          <w:szCs w:val="17"/>
          <w:b w:val="1"/>
          <w:bCs w:val="1"/>
          <w:color w:val="auto"/>
        </w:rPr>
        <w:t>Separation Period</w:t>
      </w:r>
      <w:r>
        <w:rPr>
          <w:rFonts w:ascii="Arial" w:cs="Arial" w:eastAsia="Arial" w:hAnsi="Arial"/>
          <w:sz w:val="17"/>
          <w:szCs w:val="17"/>
          <w:color w:val="auto"/>
        </w:rPr>
        <w:t>”). In such case, during the Separation Period, (a) the Divested Entity will continue to receive Services under the terms of all applicable Orders (including the rates) entered into by such Divested Entity with no additional fees, (b) the Divested Entity will be able to enter into additional Orders under the Agreement during the Separation Period as may be agreed to with Supplier, and/or (c) the Divested Entity or third party</w:t>
      </w:r>
    </w:p>
    <w:p>
      <w:pPr>
        <w:spacing w:after="0" w:line="106" w:lineRule="exact"/>
        <w:rPr>
          <w:sz w:val="20"/>
          <w:szCs w:val="20"/>
          <w:color w:val="auto"/>
        </w:rPr>
      </w:pPr>
    </w:p>
    <w:p>
      <w:pPr>
        <w:ind w:left="4384"/>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04"/>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335" w:name="page336"/>
    <w:bookmarkEnd w:id="335"/>
    <w:p>
      <w:pPr>
        <w:ind w:left="87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No. 53258.A.007</w:t>
      </w:r>
    </w:p>
    <w:p>
      <w:pPr>
        <w:spacing w:after="0" w:line="181" w:lineRule="exact"/>
        <w:rPr>
          <w:sz w:val="20"/>
          <w:szCs w:val="20"/>
          <w:color w:val="auto"/>
        </w:rPr>
      </w:pPr>
    </w:p>
    <w:p>
      <w:pPr>
        <w:ind w:left="1220" w:right="200"/>
        <w:spacing w:after="0" w:line="259" w:lineRule="auto"/>
        <w:rPr>
          <w:sz w:val="20"/>
          <w:szCs w:val="20"/>
          <w:color w:val="auto"/>
        </w:rPr>
      </w:pPr>
      <w:r>
        <w:rPr>
          <w:rFonts w:ascii="Arial" w:cs="Arial" w:eastAsia="Arial" w:hAnsi="Arial"/>
          <w:sz w:val="18"/>
          <w:szCs w:val="18"/>
          <w:color w:val="auto"/>
        </w:rPr>
        <w:t>purchaser (in the case of clause (2) above), as applicable, shall be eligible to continue to receive Services as an Affiliate of AT&amp;T under Orders signed by AT&amp;T or any other Affiliate of AT&amp;T to the extent Affiliates are so eligible under such Orders, as applicable, provided that in the case of a third party purchaser, such third party purchaser agrees in writing to Amdocs to be bound by the terms of such Orders and applicable terms of the Agreement.</w:t>
      </w:r>
    </w:p>
    <w:p>
      <w:pPr>
        <w:spacing w:after="0" w:line="79" w:lineRule="exact"/>
        <w:rPr>
          <w:sz w:val="20"/>
          <w:szCs w:val="20"/>
          <w:color w:val="auto"/>
        </w:rPr>
      </w:pPr>
    </w:p>
    <w:p>
      <w:pPr>
        <w:ind w:left="1220" w:right="140"/>
        <w:spacing w:after="0" w:line="259" w:lineRule="auto"/>
        <w:rPr>
          <w:sz w:val="20"/>
          <w:szCs w:val="20"/>
          <w:color w:val="auto"/>
        </w:rPr>
      </w:pPr>
      <w:r>
        <w:rPr>
          <w:rFonts w:ascii="Arial" w:cs="Arial" w:eastAsia="Arial" w:hAnsi="Arial"/>
          <w:sz w:val="18"/>
          <w:szCs w:val="18"/>
          <w:color w:val="auto"/>
        </w:rPr>
        <w:t>Neither the Divested Entity nor the third party purchaser, as applicable, will be liable or responsible for any acts, omissions, or breaches of the Agreement and/or any Orders or SOWs by AT&amp;T or any other AT&amp;T Affiliate. All payments by or on behalf of the Divested Entity for any Services during the Separation Period (the “Separation Period Services”) will contribute to any spend (or volume) commitments hereunder.</w:t>
      </w:r>
    </w:p>
    <w:p>
      <w:pPr>
        <w:spacing w:after="0" w:line="79" w:lineRule="exact"/>
        <w:rPr>
          <w:sz w:val="20"/>
          <w:szCs w:val="20"/>
          <w:color w:val="auto"/>
        </w:rPr>
      </w:pPr>
    </w:p>
    <w:p>
      <w:pPr>
        <w:ind w:left="1220" w:right="540"/>
        <w:spacing w:after="0" w:line="342" w:lineRule="auto"/>
        <w:rPr>
          <w:sz w:val="20"/>
          <w:szCs w:val="20"/>
          <w:color w:val="auto"/>
        </w:rPr>
      </w:pPr>
      <w:r>
        <w:rPr>
          <w:rFonts w:ascii="Arial" w:cs="Arial" w:eastAsia="Arial" w:hAnsi="Arial"/>
          <w:sz w:val="16"/>
          <w:szCs w:val="16"/>
          <w:color w:val="auto"/>
        </w:rPr>
        <w:t>In the event the Divested Entity desires to use such Services beyond the end of the Separation Period, the Divested Entity and Supplier will enter into a new agreement upon terms to be agreed at such time between the Divested Entity and Supplier.</w:t>
      </w:r>
    </w:p>
    <w:p>
      <w:pPr>
        <w:spacing w:after="0" w:line="16" w:lineRule="exact"/>
        <w:rPr>
          <w:sz w:val="20"/>
          <w:szCs w:val="20"/>
          <w:color w:val="auto"/>
        </w:rPr>
      </w:pPr>
    </w:p>
    <w:p>
      <w:pPr>
        <w:ind w:left="1220" w:right="260"/>
        <w:spacing w:after="0" w:line="291" w:lineRule="auto"/>
        <w:rPr>
          <w:sz w:val="20"/>
          <w:szCs w:val="20"/>
          <w:color w:val="auto"/>
        </w:rPr>
      </w:pPr>
      <w:r>
        <w:rPr>
          <w:rFonts w:ascii="Arial" w:cs="Arial" w:eastAsia="Arial" w:hAnsi="Arial"/>
          <w:sz w:val="16"/>
          <w:szCs w:val="16"/>
          <w:color w:val="auto"/>
        </w:rPr>
        <w:t>Notwithstanding the foregoing, in the event that the provision by Supplier of the Separation Period Services reasonably requires a material change of scope or timelines or imposes material additional resource or cost obligations upon Supplier as a result of the divestiture, including, without limitation, the potential requirement to supply such Services to two separate entities, Supplier may request appropriate modifications (including with respect to fees charged) to be reflected in the affected Order (an “Order Modification”). In the event that Supplier and the Divested Entity (or third party purchaser, in the case of clause (2) above) are unable to agree to such appropriate modifications, Supplier shall be entitled, as applicable, to terminate the affected Order immediately upon notice to the Divested Entity (or third party purchaser) or to refuse to enter into an applicable Order.</w:t>
      </w:r>
    </w:p>
    <w:p>
      <w:pPr>
        <w:spacing w:after="0" w:line="72" w:lineRule="exact"/>
        <w:rPr>
          <w:sz w:val="20"/>
          <w:szCs w:val="20"/>
          <w:color w:val="auto"/>
        </w:rPr>
      </w:pPr>
    </w:p>
    <w:p>
      <w:pPr>
        <w:ind w:left="1220" w:right="40" w:hanging="439"/>
        <w:spacing w:after="0" w:line="273" w:lineRule="auto"/>
        <w:tabs>
          <w:tab w:leader="none" w:pos="1220" w:val="left"/>
        </w:tabs>
        <w:numPr>
          <w:ilvl w:val="0"/>
          <w:numId w:val="405"/>
        </w:numPr>
        <w:rPr>
          <w:rFonts w:ascii="Arial" w:cs="Arial" w:eastAsia="Arial" w:hAnsi="Arial"/>
          <w:sz w:val="17"/>
          <w:szCs w:val="17"/>
          <w:color w:val="auto"/>
        </w:rPr>
      </w:pPr>
      <w:r>
        <w:rPr>
          <w:rFonts w:ascii="Arial" w:cs="Arial" w:eastAsia="Arial" w:hAnsi="Arial"/>
          <w:sz w:val="17"/>
          <w:szCs w:val="17"/>
          <w:color w:val="auto"/>
        </w:rPr>
        <w:t>At the end of, or at any time during, the Separation Period, the Divested Entity or any new entity created by the divestiture (as applicable, “NewCo”) and Supplier may enter into a separate stand-alone agreement for Material, Software, or Services upon terms to be agreed at such time between NewCo and Supplier. In the event that Supplier and NewCo enter into an agreement in accordance with this Section 3.1.d, NewCo shall continue to receive the Material, Software, or Services set forth in any current Order during the Separation Period, subject to the Order Modification terms in Section 3.1.c. above as if applied to NewCo, and may enter into future Orders under the terms of the new agreement.</w:t>
      </w:r>
    </w:p>
    <w:p>
      <w:pPr>
        <w:spacing w:after="0" w:line="10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820"/>
          </w:cols>
          <w:pgMar w:left="640" w:top="274" w:right="439" w:bottom="1440" w:gutter="0" w:footer="0" w:header="0"/>
        </w:sectPr>
      </w:pPr>
    </w:p>
    <w:bookmarkStart w:id="336" w:name="page337"/>
    <w:bookmarkEnd w:id="33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No. 53258.A.007</w:t>
      </w:r>
    </w:p>
    <w:p>
      <w:pPr>
        <w:spacing w:after="0" w:line="154" w:lineRule="exact"/>
        <w:rPr>
          <w:sz w:val="20"/>
          <w:szCs w:val="20"/>
          <w:color w:val="auto"/>
        </w:rPr>
      </w:pPr>
    </w:p>
    <w:p>
      <w:pPr>
        <w:ind w:left="1420" w:hanging="439"/>
        <w:spacing w:after="0"/>
        <w:tabs>
          <w:tab w:leader="none" w:pos="1420"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 xml:space="preserve">Divested Entity No Solicitation. </w:t>
      </w:r>
      <w:r>
        <w:rPr>
          <w:rFonts w:ascii="Arial" w:cs="Arial" w:eastAsia="Arial" w:hAnsi="Arial"/>
          <w:sz w:val="18"/>
          <w:szCs w:val="18"/>
          <w:color w:val="auto"/>
        </w:rPr>
        <w:t>The following terms shall only apply between Supplier and a Divested Entity:</w:t>
      </w:r>
    </w:p>
    <w:p>
      <w:pPr>
        <w:spacing w:after="0" w:line="134" w:lineRule="exact"/>
        <w:rPr>
          <w:rFonts w:ascii="Arial" w:cs="Arial" w:eastAsia="Arial" w:hAnsi="Arial"/>
          <w:sz w:val="18"/>
          <w:szCs w:val="18"/>
          <w:color w:val="auto"/>
        </w:rPr>
      </w:pPr>
    </w:p>
    <w:p>
      <w:pPr>
        <w:ind w:left="1960" w:right="20" w:hanging="533"/>
        <w:spacing w:after="0" w:line="269" w:lineRule="auto"/>
        <w:tabs>
          <w:tab w:leader="none" w:pos="1960" w:val="left"/>
        </w:tabs>
        <w:numPr>
          <w:ilvl w:val="1"/>
          <w:numId w:val="406"/>
        </w:numPr>
        <w:rPr>
          <w:rFonts w:ascii="Arial" w:cs="Arial" w:eastAsia="Arial" w:hAnsi="Arial"/>
          <w:sz w:val="17"/>
          <w:szCs w:val="17"/>
          <w:color w:val="auto"/>
        </w:rPr>
      </w:pPr>
      <w:r>
        <w:rPr>
          <w:rFonts w:ascii="Arial" w:cs="Arial" w:eastAsia="Arial" w:hAnsi="Arial"/>
          <w:sz w:val="17"/>
          <w:szCs w:val="17"/>
          <w:color w:val="auto"/>
        </w:rPr>
        <w:t>Except as set forth in subsection ii below, Supplier will not solicit for employment, directly or indirectly, or employ any employees of the Divested Entity involved in working with Supplier’s employees in their performance of Supplier’s obligations under this Agreement without the prior approval of the Divested Entity. Except as set forth in subsection ii below, the Divested Entity will not solicit for employment, directly or indirectly, or employ any employee of Supplier involved in the performance of Supplier’s obligations under this Agreement without the prior consent of Supplier. In each case, the prohibition on solicitation and hiring shall extend for a period of [***] after the termination of the employee’s employment or, as applicable, the cessation of his or her involvement in working with the other Party’s employees in their performance under this Agreement or in the performance of Services under an Order. This provision shall not operate or be construed to prevent or limit any employee’s right to practice his or her profession or to utilize his or her skills for another employer or to restrict any employee’s freedom of movement or association.</w:t>
      </w:r>
    </w:p>
    <w:p>
      <w:pPr>
        <w:spacing w:after="0" w:line="90" w:lineRule="exact"/>
        <w:rPr>
          <w:rFonts w:ascii="Arial" w:cs="Arial" w:eastAsia="Arial" w:hAnsi="Arial"/>
          <w:sz w:val="17"/>
          <w:szCs w:val="17"/>
          <w:color w:val="auto"/>
        </w:rPr>
      </w:pPr>
    </w:p>
    <w:p>
      <w:pPr>
        <w:ind w:left="1960" w:hanging="533"/>
        <w:spacing w:after="0" w:line="257" w:lineRule="auto"/>
        <w:tabs>
          <w:tab w:leader="none" w:pos="196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Neither the use of employment agencies nor the publication of “help wanted” types of solicitations and advertisements in newspapers, periodicals, Internet or Intranet bulletin boards, or other publications of general availability or circulation, nor the consideration and hiring of persons submitted by such employment agencies or responding to such solicitations and advertisements shall be deemed a breach of this Section, unless the advertisement and solicitation is undertaken as a means to circumvent or conceal a violation of this provision.</w:t>
      </w:r>
    </w:p>
    <w:p>
      <w:pPr>
        <w:spacing w:after="0" w:line="188"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Original signatures transmitted and received via facsimile or other electronic transmission of a scanned document, (e.g., .pdf or similar format) are true and valid signatures for all purposes hereunder and shall bind the Parties to the same extent as that of an original signature. This Amendment may be executed in multiple counterparts, each of which shall be deemed to constitute an original but all of which together shall constitute only one document.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caused this Amendment to Agreement No. 53258.C to be executed, as of the date the last Party signs.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Amdocs Development Limited</w:t>
            </w:r>
          </w:p>
        </w:tc>
        <w:tc>
          <w:tcPr>
            <w:tcW w:w="5660" w:type="dxa"/>
            <w:vAlign w:val="bottom"/>
            <w:gridSpan w:val="2"/>
          </w:tcPr>
          <w:p>
            <w:pPr>
              <w:ind w:left="2400"/>
              <w:spacing w:after="0"/>
              <w:rPr>
                <w:sz w:val="20"/>
                <w:szCs w:val="20"/>
                <w:color w:val="auto"/>
              </w:rPr>
            </w:pPr>
            <w:r>
              <w:rPr>
                <w:rFonts w:ascii="Arial" w:cs="Arial" w:eastAsia="Arial" w:hAnsi="Arial"/>
                <w:sz w:val="18"/>
                <w:szCs w:val="18"/>
                <w:b w:val="1"/>
                <w:bCs w:val="1"/>
                <w:color w:val="auto"/>
              </w:rPr>
              <w:t>AT&amp;T Services, Inc.</w:t>
            </w:r>
          </w:p>
        </w:tc>
      </w:tr>
      <w:tr>
        <w:trPr>
          <w:trHeight w:val="392"/>
        </w:trPr>
        <w:tc>
          <w:tcPr>
            <w:tcW w:w="3440" w:type="dxa"/>
            <w:vAlign w:val="bottom"/>
            <w:gridSpan w:val="2"/>
          </w:tcPr>
          <w:p>
            <w:pPr>
              <w:spacing w:after="0"/>
              <w:rPr>
                <w:sz w:val="20"/>
                <w:szCs w:val="20"/>
                <w:color w:val="auto"/>
              </w:rPr>
            </w:pPr>
            <w:r>
              <w:rPr>
                <w:rFonts w:ascii="Arial" w:cs="Arial" w:eastAsia="Arial" w:hAnsi="Arial"/>
                <w:sz w:val="18"/>
                <w:szCs w:val="18"/>
                <w:color w:val="auto"/>
              </w:rPr>
              <w:t>By: /s/ Jessica A. Rose</w:t>
            </w:r>
          </w:p>
        </w:tc>
        <w:tc>
          <w:tcPr>
            <w:tcW w:w="5660" w:type="dxa"/>
            <w:vAlign w:val="bottom"/>
            <w:gridSpan w:val="2"/>
          </w:tcPr>
          <w:p>
            <w:pPr>
              <w:ind w:left="2400"/>
              <w:spacing w:after="0"/>
              <w:rPr>
                <w:sz w:val="20"/>
                <w:szCs w:val="20"/>
                <w:color w:val="auto"/>
              </w:rPr>
            </w:pPr>
            <w:r>
              <w:rPr>
                <w:rFonts w:ascii="Arial" w:cs="Arial" w:eastAsia="Arial" w:hAnsi="Arial"/>
                <w:sz w:val="18"/>
                <w:szCs w:val="18"/>
                <w:color w:val="auto"/>
              </w:rPr>
              <w:t>By: /s/ Steve Wehde</w:t>
            </w:r>
          </w:p>
        </w:tc>
      </w:tr>
      <w:tr>
        <w:trPr>
          <w:trHeight w:val="20"/>
        </w:trPr>
        <w:tc>
          <w:tcPr>
            <w:tcW w:w="300" w:type="dxa"/>
            <w:vAlign w:val="bottom"/>
          </w:tcPr>
          <w:p>
            <w:pPr>
              <w:spacing w:after="0" w:line="20" w:lineRule="exact"/>
              <w:rPr>
                <w:sz w:val="1"/>
                <w:szCs w:val="1"/>
                <w:color w:val="auto"/>
              </w:rPr>
            </w:pPr>
          </w:p>
        </w:tc>
        <w:tc>
          <w:tcPr>
            <w:tcW w:w="31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r>
      <w:tr>
        <w:trPr>
          <w:trHeight w:val="453"/>
        </w:trPr>
        <w:tc>
          <w:tcPr>
            <w:tcW w:w="3440" w:type="dxa"/>
            <w:vAlign w:val="bottom"/>
            <w:gridSpan w:val="2"/>
          </w:tcPr>
          <w:p>
            <w:pPr>
              <w:spacing w:after="0"/>
              <w:rPr>
                <w:sz w:val="20"/>
                <w:szCs w:val="20"/>
                <w:color w:val="auto"/>
              </w:rPr>
            </w:pPr>
            <w:r>
              <w:rPr>
                <w:rFonts w:ascii="Arial" w:cs="Arial" w:eastAsia="Arial" w:hAnsi="Arial"/>
                <w:sz w:val="18"/>
                <w:szCs w:val="18"/>
                <w:color w:val="auto"/>
              </w:rPr>
              <w:t>Name: Jessica A. Rose</w:t>
            </w:r>
          </w:p>
        </w:tc>
        <w:tc>
          <w:tcPr>
            <w:tcW w:w="5660" w:type="dxa"/>
            <w:vAlign w:val="bottom"/>
            <w:gridSpan w:val="2"/>
          </w:tcPr>
          <w:p>
            <w:pPr>
              <w:ind w:left="2400"/>
              <w:spacing w:after="0"/>
              <w:rPr>
                <w:sz w:val="20"/>
                <w:szCs w:val="20"/>
                <w:color w:val="auto"/>
              </w:rPr>
            </w:pPr>
            <w:r>
              <w:rPr>
                <w:rFonts w:ascii="Arial" w:cs="Arial" w:eastAsia="Arial" w:hAnsi="Arial"/>
                <w:sz w:val="18"/>
                <w:szCs w:val="18"/>
                <w:color w:val="auto"/>
              </w:rPr>
              <w:t>Name: Steve Wehde</w:t>
            </w: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Title: Signatory</w:t>
            </w:r>
          </w:p>
        </w:tc>
        <w:tc>
          <w:tcPr>
            <w:tcW w:w="5660" w:type="dxa"/>
            <w:vAlign w:val="bottom"/>
            <w:gridSpan w:val="2"/>
          </w:tcPr>
          <w:p>
            <w:pPr>
              <w:ind w:left="2400"/>
              <w:spacing w:after="0"/>
              <w:rPr>
                <w:sz w:val="20"/>
                <w:szCs w:val="20"/>
                <w:color w:val="auto"/>
              </w:rPr>
            </w:pPr>
            <w:r>
              <w:rPr>
                <w:rFonts w:ascii="Arial" w:cs="Arial" w:eastAsia="Arial" w:hAnsi="Arial"/>
                <w:sz w:val="18"/>
                <w:szCs w:val="18"/>
                <w:color w:val="auto"/>
              </w:rPr>
              <w:t>Title: Lead Sourcing Manager</w:t>
            </w: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Date: 04/26/2022</w:t>
            </w:r>
          </w:p>
        </w:tc>
        <w:tc>
          <w:tcPr>
            <w:tcW w:w="5660" w:type="dxa"/>
            <w:vAlign w:val="bottom"/>
            <w:gridSpan w:val="2"/>
          </w:tcPr>
          <w:p>
            <w:pPr>
              <w:ind w:left="2400"/>
              <w:spacing w:after="0"/>
              <w:rPr>
                <w:sz w:val="20"/>
                <w:szCs w:val="20"/>
                <w:color w:val="auto"/>
              </w:rPr>
            </w:pPr>
            <w:r>
              <w:rPr>
                <w:rFonts w:ascii="Arial" w:cs="Arial" w:eastAsia="Arial" w:hAnsi="Arial"/>
                <w:sz w:val="18"/>
                <w:szCs w:val="18"/>
                <w:color w:val="auto"/>
              </w:rPr>
              <w:t>Date: April 22, 2022</w:t>
            </w:r>
          </w:p>
        </w:tc>
      </w:tr>
      <w:tr>
        <w:trPr>
          <w:trHeight w:val="365"/>
        </w:trPr>
        <w:tc>
          <w:tcPr>
            <w:tcW w:w="3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660" w:type="dxa"/>
            <w:vAlign w:val="bottom"/>
            <w:gridSpan w:val="2"/>
          </w:tcPr>
          <w:p>
            <w:pPr>
              <w:ind w:left="940"/>
              <w:spacing w:after="0"/>
              <w:rPr>
                <w:sz w:val="20"/>
                <w:szCs w:val="20"/>
                <w:color w:val="auto"/>
              </w:rPr>
            </w:pPr>
            <w:r>
              <w:rPr>
                <w:rFonts w:ascii="Arial" w:cs="Arial" w:eastAsia="Arial" w:hAnsi="Arial"/>
                <w:sz w:val="18"/>
                <w:szCs w:val="18"/>
                <w:b w:val="1"/>
                <w:bCs w:val="1"/>
                <w:color w:val="auto"/>
              </w:rPr>
              <w:t>Proprietary and Confidential</w:t>
            </w:r>
          </w:p>
        </w:tc>
      </w:tr>
    </w:tbl>
    <w:p>
      <w:pPr>
        <w:spacing w:after="0" w:line="94"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37" w:name="page338"/>
    <w:bookmarkEnd w:id="337"/>
    <w:p>
      <w:pPr>
        <w:jc w:val="right"/>
        <w:spacing w:after="0"/>
        <w:rPr>
          <w:sz w:val="20"/>
          <w:szCs w:val="20"/>
          <w:color w:val="auto"/>
        </w:rPr>
      </w:pPr>
      <w:r>
        <w:rPr>
          <w:rFonts w:ascii="Arial" w:cs="Arial" w:eastAsia="Arial" w:hAnsi="Arial"/>
          <w:sz w:val="18"/>
          <w:szCs w:val="18"/>
          <w:b w:val="1"/>
          <w:bCs w:val="1"/>
          <w:color w:val="auto"/>
        </w:rPr>
        <w:t>Exhibit 4.a.3</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AT&amp;T Agreement No. 53258.A.008</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AT&amp;T Services, Inc.</w:t>
      </w:r>
    </w:p>
    <w:p>
      <w:pPr>
        <w:spacing w:after="0" w:line="225" w:lineRule="exact"/>
        <w:rPr>
          <w:sz w:val="20"/>
          <w:szCs w:val="20"/>
          <w:color w:val="auto"/>
        </w:rPr>
      </w:pPr>
    </w:p>
    <w:p>
      <w:pPr>
        <w:ind w:left="3844"/>
        <w:spacing w:after="0"/>
        <w:rPr>
          <w:sz w:val="20"/>
          <w:szCs w:val="20"/>
          <w:color w:val="auto"/>
        </w:rPr>
      </w:pPr>
      <w:r>
        <w:rPr>
          <w:rFonts w:ascii="Arial" w:cs="Arial" w:eastAsia="Arial" w:hAnsi="Arial"/>
          <w:sz w:val="18"/>
          <w:szCs w:val="18"/>
          <w:b w:val="1"/>
          <w:bCs w:val="1"/>
          <w:color w:val="auto"/>
        </w:rPr>
        <w:t>Standard Contractual Clauses Amendment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Standard Contractual Clauses Amendment (</w:t>
      </w:r>
      <w:r>
        <w:rPr>
          <w:rFonts w:ascii="Arial" w:cs="Arial" w:eastAsia="Arial" w:hAnsi="Arial"/>
          <w:sz w:val="18"/>
          <w:szCs w:val="18"/>
          <w:b w:val="1"/>
          <w:bCs w:val="1"/>
          <w:color w:val="auto"/>
        </w:rPr>
        <w:t>SCC Amendment</w:t>
      </w:r>
      <w:r>
        <w:rPr>
          <w:rFonts w:ascii="Arial" w:cs="Arial" w:eastAsia="Arial" w:hAnsi="Arial"/>
          <w:sz w:val="18"/>
          <w:szCs w:val="18"/>
          <w:color w:val="auto"/>
        </w:rPr>
        <w:t>) amends, as applicable:</w:t>
      </w:r>
    </w:p>
    <w:p>
      <w:pPr>
        <w:spacing w:after="0" w:line="131" w:lineRule="exact"/>
        <w:rPr>
          <w:sz w:val="20"/>
          <w:szCs w:val="20"/>
          <w:color w:val="auto"/>
        </w:rPr>
      </w:pPr>
    </w:p>
    <w:p>
      <w:pPr>
        <w:ind w:left="964" w:right="180" w:hanging="532"/>
        <w:spacing w:after="0" w:line="282" w:lineRule="auto"/>
        <w:tabs>
          <w:tab w:leader="none" w:pos="96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 xml:space="preserve">any data processing addendum or similar data protection agreement(s) or schedules (the </w:t>
      </w:r>
      <w:r>
        <w:rPr>
          <w:rFonts w:ascii="Arial" w:cs="Arial" w:eastAsia="Arial" w:hAnsi="Arial"/>
          <w:sz w:val="18"/>
          <w:szCs w:val="18"/>
          <w:b w:val="1"/>
          <w:bCs w:val="1"/>
          <w:color w:val="auto"/>
        </w:rPr>
        <w:t>DPA</w:t>
      </w:r>
      <w:r>
        <w:rPr>
          <w:rFonts w:ascii="Arial" w:cs="Arial" w:eastAsia="Arial" w:hAnsi="Arial"/>
          <w:sz w:val="18"/>
          <w:szCs w:val="18"/>
          <w:color w:val="auto"/>
        </w:rPr>
        <w:t>) that modifies, is incorporated by reference into, or forms part of the Agreement (as defined in clause 1 below); or</w:t>
      </w:r>
    </w:p>
    <w:p>
      <w:pPr>
        <w:spacing w:after="0" w:line="71" w:lineRule="exact"/>
        <w:rPr>
          <w:rFonts w:ascii="Arial" w:cs="Arial" w:eastAsia="Arial" w:hAnsi="Arial"/>
          <w:sz w:val="18"/>
          <w:szCs w:val="18"/>
          <w:color w:val="auto"/>
        </w:rPr>
      </w:pPr>
    </w:p>
    <w:p>
      <w:pPr>
        <w:ind w:left="964" w:hanging="532"/>
        <w:spacing w:after="0"/>
        <w:tabs>
          <w:tab w:leader="none" w:pos="964" w:val="left"/>
        </w:tabs>
        <w:numPr>
          <w:ilvl w:val="0"/>
          <w:numId w:val="407"/>
        </w:numPr>
        <w:rPr>
          <w:rFonts w:ascii="Arial" w:cs="Arial" w:eastAsia="Arial" w:hAnsi="Arial"/>
          <w:sz w:val="18"/>
          <w:szCs w:val="18"/>
          <w:color w:val="auto"/>
        </w:rPr>
      </w:pPr>
      <w:r>
        <w:rPr>
          <w:rFonts w:ascii="Arial" w:cs="Arial" w:eastAsia="Arial" w:hAnsi="Arial"/>
          <w:sz w:val="18"/>
          <w:szCs w:val="18"/>
          <w:color w:val="auto"/>
        </w:rPr>
        <w:t>where no DPA exists, the Agreement itself,</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each case, as set out below.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Capitalized terms used in this SCC Amendment have the meaning given to them in clause 1 below.</w:t>
      </w:r>
    </w:p>
    <w:p>
      <w:pPr>
        <w:spacing w:after="0" w:line="225"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The purpose of this SCC Amendment is to ensure that any international transfers of Personal Data are conducted in accordance with the requirements of the Data Protection Laws of the Extended EEA Countries, by applying the Standard Contractual Clauses to international transfers of Personal Data as set out in clause 2.1.</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Accordingly, in consideration of the Parties’ mutual promises, the Parties agree (as applicable) that: (1) upon signature of this SCC Amendment; or</w:t>
      </w:r>
    </w:p>
    <w:p>
      <w:pPr>
        <w:spacing w:after="0" w:line="35" w:lineRule="exact"/>
        <w:rPr>
          <w:sz w:val="20"/>
          <w:szCs w:val="20"/>
          <w:color w:val="auto"/>
        </w:rPr>
      </w:pPr>
    </w:p>
    <w:p>
      <w:pPr>
        <w:ind w:left="264" w:hanging="264"/>
        <w:spacing w:after="0"/>
        <w:tabs>
          <w:tab w:leader="none" w:pos="264" w:val="left"/>
        </w:tabs>
        <w:numPr>
          <w:ilvl w:val="0"/>
          <w:numId w:val="408"/>
        </w:numPr>
        <w:rPr>
          <w:rFonts w:ascii="Arial" w:cs="Arial" w:eastAsia="Arial" w:hAnsi="Arial"/>
          <w:sz w:val="18"/>
          <w:szCs w:val="18"/>
          <w:color w:val="auto"/>
        </w:rPr>
      </w:pPr>
      <w:r>
        <w:rPr>
          <w:rFonts w:ascii="Arial" w:cs="Arial" w:eastAsia="Arial" w:hAnsi="Arial"/>
          <w:sz w:val="18"/>
          <w:szCs w:val="18"/>
          <w:color w:val="auto"/>
        </w:rPr>
        <w:t>continued provision of services and/or products provided by the Vendor Parties:</w:t>
      </w:r>
    </w:p>
    <w:p>
      <w:pPr>
        <w:spacing w:after="0" w:line="116" w:lineRule="exact"/>
        <w:rPr>
          <w:rFonts w:ascii="Arial" w:cs="Arial" w:eastAsia="Arial" w:hAnsi="Arial"/>
          <w:sz w:val="18"/>
          <w:szCs w:val="18"/>
          <w:color w:val="auto"/>
        </w:rPr>
      </w:pPr>
    </w:p>
    <w:p>
      <w:pPr>
        <w:ind w:left="964" w:right="40" w:hanging="532"/>
        <w:spacing w:after="0" w:line="263" w:lineRule="auto"/>
        <w:tabs>
          <w:tab w:leader="none" w:pos="964" w:val="left"/>
        </w:tabs>
        <w:numPr>
          <w:ilvl w:val="1"/>
          <w:numId w:val="408"/>
        </w:numPr>
        <w:rPr>
          <w:rFonts w:ascii="Arial" w:cs="Arial" w:eastAsia="Arial" w:hAnsi="Arial"/>
          <w:sz w:val="18"/>
          <w:szCs w:val="18"/>
          <w:color w:val="auto"/>
        </w:rPr>
      </w:pPr>
      <w:r>
        <w:rPr>
          <w:rFonts w:ascii="Arial" w:cs="Arial" w:eastAsia="Arial" w:hAnsi="Arial"/>
          <w:sz w:val="18"/>
          <w:szCs w:val="18"/>
          <w:color w:val="auto"/>
        </w:rPr>
        <w:t>clauses 1 to 5 of this SCC Amendment replace the clause(s) in the DPA and/or the Agreement (as applicable) that relate to the international transfer of Personal Data from a Transferring AT&amp;T Entity established in the Extended EEA Countries, or Personal Data originating from Extended EEA Countries, to Third Countries; or</w:t>
      </w:r>
    </w:p>
    <w:p>
      <w:pPr>
        <w:spacing w:after="0" w:line="89" w:lineRule="exact"/>
        <w:rPr>
          <w:rFonts w:ascii="Arial" w:cs="Arial" w:eastAsia="Arial" w:hAnsi="Arial"/>
          <w:sz w:val="18"/>
          <w:szCs w:val="18"/>
          <w:color w:val="auto"/>
        </w:rPr>
      </w:pPr>
    </w:p>
    <w:p>
      <w:pPr>
        <w:ind w:left="964" w:right="60" w:hanging="532"/>
        <w:spacing w:after="0" w:line="286" w:lineRule="auto"/>
        <w:tabs>
          <w:tab w:leader="none" w:pos="964" w:val="left"/>
        </w:tabs>
        <w:numPr>
          <w:ilvl w:val="1"/>
          <w:numId w:val="408"/>
        </w:numPr>
        <w:rPr>
          <w:rFonts w:ascii="Arial" w:cs="Arial" w:eastAsia="Arial" w:hAnsi="Arial"/>
          <w:sz w:val="17"/>
          <w:szCs w:val="17"/>
          <w:color w:val="auto"/>
        </w:rPr>
      </w:pPr>
      <w:r>
        <w:rPr>
          <w:rFonts w:ascii="Arial" w:cs="Arial" w:eastAsia="Arial" w:hAnsi="Arial"/>
          <w:sz w:val="17"/>
          <w:szCs w:val="17"/>
          <w:color w:val="auto"/>
        </w:rPr>
        <w:t>where the DPA and/or Agreement (as applicable) do not cover the international transfer of Personal Data from a Transferring AT&amp;T Entity established in the Extended EEA Countries, or Personal Data otherwise originating from Extended EEA Countries, to Third Countries, clauses 1 to 5 of this SCC Amendment are hereby incorporated into the DPA and/or Agreement (as applicable).</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Except as amended by this SCC Amendment, the DPA and/or Agreement will remain in full force and effect.</w:t>
      </w:r>
    </w:p>
    <w:p>
      <w:pPr>
        <w:spacing w:after="0" w:line="225"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To the extent that the terms of this SCC Amendment conflict with those in the DPA and/or Agreement, the terms of this SCC Amendment shall govern. Subject to clause 2.6 of this SCC Amendment, this SCC Amendment shall be governed by the laws of, and subject to the jurisdiction of the courts of, the laws and jurisdiction specified in the Agreement.</w:t>
      </w:r>
    </w:p>
    <w:p>
      <w:pPr>
        <w:spacing w:after="0" w:line="184" w:lineRule="exact"/>
        <w:rPr>
          <w:sz w:val="20"/>
          <w:szCs w:val="20"/>
          <w:color w:val="auto"/>
        </w:rPr>
      </w:pPr>
    </w:p>
    <w:p>
      <w:pPr>
        <w:jc w:val="both"/>
        <w:ind w:left="4" w:right="180"/>
        <w:spacing w:after="0" w:line="286" w:lineRule="auto"/>
        <w:rPr>
          <w:sz w:val="20"/>
          <w:szCs w:val="20"/>
          <w:color w:val="auto"/>
        </w:rPr>
      </w:pPr>
      <w:r>
        <w:rPr>
          <w:rFonts w:ascii="Arial" w:cs="Arial" w:eastAsia="Arial" w:hAnsi="Arial"/>
          <w:sz w:val="17"/>
          <w:szCs w:val="17"/>
          <w:color w:val="auto"/>
        </w:rPr>
        <w:t>Each Vendor Party is permitted to continue to store and Process the Personal Data in the jurisdictions it currently is permitted to under the DPA and/or Agreement (as applicable): (a) only in compliance with the consents/instructions and controls set out in the DPA and/or Agreement (as applicable) and this SCC Amendment; and (b) to the extent that doing so would not be in breach of applicable Data Protection Laws.</w:t>
      </w:r>
    </w:p>
    <w:p>
      <w:pPr>
        <w:spacing w:after="0" w:line="67" w:lineRule="exact"/>
        <w:rPr>
          <w:sz w:val="20"/>
          <w:szCs w:val="20"/>
          <w:color w:val="auto"/>
        </w:rPr>
      </w:pPr>
    </w:p>
    <w:p>
      <w:pPr>
        <w:ind w:left="424" w:hanging="424"/>
        <w:spacing w:after="0"/>
        <w:tabs>
          <w:tab w:leader="none" w:pos="424"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this SCC Amendment:</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Affiliate </w:t>
      </w:r>
      <w:r>
        <w:rPr>
          <w:rFonts w:ascii="Arial" w:cs="Arial" w:eastAsia="Arial" w:hAnsi="Arial"/>
          <w:sz w:val="17"/>
          <w:szCs w:val="17"/>
          <w:color w:val="auto"/>
        </w:rPr>
        <w:t>means in relation to a Party, any subsidiary or parent company of that Party or any subsidiary of any such parent company at any tier.</w:t>
      </w:r>
    </w:p>
    <w:p>
      <w:pPr>
        <w:spacing w:after="0" w:line="237" w:lineRule="exact"/>
        <w:rPr>
          <w:sz w:val="20"/>
          <w:szCs w:val="20"/>
          <w:color w:val="auto"/>
        </w:rPr>
      </w:pPr>
    </w:p>
    <w:p>
      <w:pPr>
        <w:ind w:left="4" w:right="200"/>
        <w:spacing w:after="0" w:line="266"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Amended Master Services and Software License Agreement Number 53258.C, entered into between AT&amp;T Services, Inc. (</w:t>
      </w:r>
      <w:r>
        <w:rPr>
          <w:rFonts w:ascii="Arial" w:cs="Arial" w:eastAsia="Arial" w:hAnsi="Arial"/>
          <w:sz w:val="18"/>
          <w:szCs w:val="18"/>
          <w:b w:val="1"/>
          <w:bCs w:val="1"/>
          <w:color w:val="auto"/>
        </w:rPr>
        <w:t>AT&amp;T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AT&amp;T Affiliate that is party to the Agreement) and Amdocs Development Limited (</w:t>
      </w:r>
      <w:r>
        <w:rPr>
          <w:rFonts w:ascii="Arial" w:cs="Arial" w:eastAsia="Arial" w:hAnsi="Arial"/>
          <w:sz w:val="18"/>
          <w:szCs w:val="18"/>
          <w:b w:val="1"/>
          <w:bCs w:val="1"/>
          <w:color w:val="auto"/>
        </w:rPr>
        <w:t>Vendor</w:t>
      </w:r>
      <w:r>
        <w:rPr>
          <w:rFonts w:ascii="Arial" w:cs="Arial" w:eastAsia="Arial" w:hAnsi="Arial"/>
          <w:sz w:val="18"/>
          <w:szCs w:val="18"/>
          <w:color w:val="auto"/>
        </w:rPr>
        <w:t>) (and any Vendor Affiliate that is party to the Agreement).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Data Controller </w:t>
      </w:r>
      <w:r>
        <w:rPr>
          <w:rFonts w:ascii="Arial" w:cs="Arial" w:eastAsia="Arial" w:hAnsi="Arial"/>
          <w:sz w:val="16"/>
          <w:szCs w:val="16"/>
          <w:color w:val="auto"/>
        </w:rPr>
        <w:t>means a person or entity which, alone or jointly with others, determines the purposes and means of the Processing of Personal Data.</w:t>
      </w:r>
    </w:p>
    <w:p>
      <w:pPr>
        <w:spacing w:after="0" w:line="24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Data Processor </w:t>
      </w:r>
      <w:r>
        <w:rPr>
          <w:rFonts w:ascii="Arial" w:cs="Arial" w:eastAsia="Arial" w:hAnsi="Arial"/>
          <w:sz w:val="18"/>
          <w:szCs w:val="18"/>
          <w:color w:val="auto"/>
        </w:rPr>
        <w:t>means a person or entity which Processes Personal Data on behalf of the Data Controller.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Data Protection Laws </w:t>
      </w:r>
      <w:r>
        <w:rPr>
          <w:rFonts w:ascii="Arial" w:cs="Arial" w:eastAsia="Arial" w:hAnsi="Arial"/>
          <w:sz w:val="17"/>
          <w:szCs w:val="17"/>
          <w:color w:val="auto"/>
        </w:rPr>
        <w:t>means all laws and regulations of the applicable Extended EEA Country that relate to the Processing of Personal Data.</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Data Subject </w:t>
      </w:r>
      <w:r>
        <w:rPr>
          <w:rFonts w:ascii="Arial" w:cs="Arial" w:eastAsia="Arial" w:hAnsi="Arial"/>
          <w:sz w:val="18"/>
          <w:szCs w:val="18"/>
          <w:color w:val="auto"/>
        </w:rPr>
        <w:t>means the natural individual to whom Personal Data relates.</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Proprietary and Confidential</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This Agreement is not for use or disclosure outside of AT&amp;T, its Affiliates, and its and their third-party representatives, and Supplier except under</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written agreement by the contracting Parties.</w:t>
      </w:r>
    </w:p>
    <w:p>
      <w:pPr>
        <w:sectPr>
          <w:pgSz w:w="11900" w:h="16838" w:orient="portrait"/>
          <w:cols w:equalWidth="0" w:num="1">
            <w:col w:w="11024"/>
          </w:cols>
          <w:pgMar w:left="436" w:top="121" w:right="439" w:bottom="1440" w:gutter="0" w:footer="0" w:header="0"/>
        </w:sectPr>
      </w:pPr>
    </w:p>
    <w:bookmarkStart w:id="338" w:name="page339"/>
    <w:bookmarkEnd w:id="33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53258.A.008</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EU </w:t>
      </w:r>
      <w:r>
        <w:rPr>
          <w:rFonts w:ascii="Arial" w:cs="Arial" w:eastAsia="Arial" w:hAnsi="Arial"/>
          <w:sz w:val="18"/>
          <w:szCs w:val="18"/>
          <w:color w:val="auto"/>
        </w:rPr>
        <w:t>means the European Union.</w:t>
      </w:r>
    </w:p>
    <w:p>
      <w:pPr>
        <w:spacing w:after="0" w:line="225"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 xml:space="preserve">Extended EEA Country </w:t>
      </w:r>
      <w:r>
        <w:rPr>
          <w:rFonts w:ascii="Arial" w:cs="Arial" w:eastAsia="Arial" w:hAnsi="Arial"/>
          <w:sz w:val="18"/>
          <w:szCs w:val="18"/>
          <w:color w:val="auto"/>
        </w:rPr>
        <w:t>means a country within the European Economic Area, Switzerland or the United Kingdom, and</w:t>
      </w:r>
      <w:r>
        <w:rPr>
          <w:rFonts w:ascii="Arial" w:cs="Arial" w:eastAsia="Arial" w:hAnsi="Arial"/>
          <w:sz w:val="18"/>
          <w:szCs w:val="18"/>
          <w:b w:val="1"/>
          <w:bCs w:val="1"/>
          <w:color w:val="auto"/>
        </w:rPr>
        <w:t xml:space="preserve"> Extended EEA Countries </w:t>
      </w:r>
      <w:r>
        <w:rPr>
          <w:rFonts w:ascii="Arial" w:cs="Arial" w:eastAsia="Arial" w:hAnsi="Arial"/>
          <w:sz w:val="18"/>
          <w:szCs w:val="18"/>
          <w:color w:val="auto"/>
        </w:rPr>
        <w:t>means the foregoing countries collectively.</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7"/>
          <w:szCs w:val="17"/>
          <w:b w:val="1"/>
          <w:bCs w:val="1"/>
          <w:color w:val="auto"/>
        </w:rPr>
        <w:t xml:space="preserve">GDPR </w:t>
      </w:r>
      <w:r>
        <w:rPr>
          <w:rFonts w:ascii="Arial" w:cs="Arial" w:eastAsia="Arial" w:hAnsi="Arial"/>
          <w:sz w:val="17"/>
          <w:szCs w:val="17"/>
          <w:color w:val="auto"/>
        </w:rPr>
        <w:t>means Regulation (EU) 2016/679 of the European Parliament and of the Council of 27 April 2016 (General Data Protection Regulation).</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Parties </w:t>
      </w:r>
      <w:r>
        <w:rPr>
          <w:rFonts w:ascii="Arial" w:cs="Arial" w:eastAsia="Arial" w:hAnsi="Arial"/>
          <w:sz w:val="18"/>
          <w:szCs w:val="18"/>
          <w:color w:val="auto"/>
        </w:rPr>
        <w:t>means the parties to this SCC Amendment.</w:t>
      </w:r>
    </w:p>
    <w:p>
      <w:pPr>
        <w:spacing w:after="0" w:line="225" w:lineRule="exact"/>
        <w:rPr>
          <w:sz w:val="20"/>
          <w:szCs w:val="20"/>
          <w:color w:val="auto"/>
        </w:rPr>
      </w:pPr>
    </w:p>
    <w:p>
      <w:pPr>
        <w:jc w:val="both"/>
        <w:ind w:left="4" w:right="160"/>
        <w:spacing w:after="0" w:line="261" w:lineRule="auto"/>
        <w:rPr>
          <w:sz w:val="20"/>
          <w:szCs w:val="20"/>
          <w:color w:val="auto"/>
        </w:rPr>
      </w:pPr>
      <w:r>
        <w:rPr>
          <w:rFonts w:ascii="Arial" w:cs="Arial" w:eastAsia="Arial" w:hAnsi="Arial"/>
          <w:sz w:val="18"/>
          <w:szCs w:val="18"/>
          <w:b w:val="1"/>
          <w:bCs w:val="1"/>
          <w:color w:val="auto"/>
        </w:rPr>
        <w:t xml:space="preserve">Personal Data </w:t>
      </w:r>
      <w:r>
        <w:rPr>
          <w:rFonts w:ascii="Arial" w:cs="Arial" w:eastAsia="Arial" w:hAnsi="Arial"/>
          <w:sz w:val="18"/>
          <w:szCs w:val="18"/>
          <w:color w:val="auto"/>
        </w:rPr>
        <w:t>means any information originated from an Extended EEA Country relating to an identified or identifiable natural person, including any</w:t>
      </w:r>
      <w:r>
        <w:rPr>
          <w:rFonts w:ascii="Arial" w:cs="Arial" w:eastAsia="Arial" w:hAnsi="Arial"/>
          <w:sz w:val="18"/>
          <w:szCs w:val="18"/>
          <w:b w:val="1"/>
          <w:bCs w:val="1"/>
          <w:color w:val="auto"/>
        </w:rPr>
        <w:t xml:space="preserve"> </w:t>
      </w:r>
      <w:r>
        <w:rPr>
          <w:rFonts w:ascii="Arial" w:cs="Arial" w:eastAsia="Arial" w:hAnsi="Arial"/>
          <w:sz w:val="18"/>
          <w:szCs w:val="18"/>
          <w:color w:val="auto"/>
        </w:rPr>
        <w:t>information defined as “personally identifiable information”, “personal information”, “personal data” or similar terms as such terms are defined under the Data Protection Laws of the applicable Extended EEA Country, in each case as Processed in connection with the services and/or products provided under the Agreement.</w:t>
      </w:r>
    </w:p>
    <w:p>
      <w:pPr>
        <w:spacing w:after="0" w:line="180" w:lineRule="exact"/>
        <w:rPr>
          <w:sz w:val="20"/>
          <w:szCs w:val="20"/>
          <w:color w:val="auto"/>
        </w:rPr>
      </w:pPr>
    </w:p>
    <w:p>
      <w:pPr>
        <w:ind w:left="4" w:right="120"/>
        <w:spacing w:after="0" w:line="266" w:lineRule="auto"/>
        <w:rPr>
          <w:sz w:val="20"/>
          <w:szCs w:val="20"/>
          <w:color w:val="auto"/>
        </w:rPr>
      </w:pPr>
      <w:r>
        <w:rPr>
          <w:rFonts w:ascii="Arial" w:cs="Arial" w:eastAsia="Arial" w:hAnsi="Arial"/>
          <w:sz w:val="18"/>
          <w:szCs w:val="18"/>
          <w:b w:val="1"/>
          <w:bCs w:val="1"/>
          <w:color w:val="auto"/>
        </w:rPr>
        <w:t xml:space="preserve">Process or Processing </w:t>
      </w:r>
      <w:r>
        <w:rPr>
          <w:rFonts w:ascii="Arial" w:cs="Arial" w:eastAsia="Arial" w:hAnsi="Arial"/>
          <w:sz w:val="18"/>
          <w:szCs w:val="18"/>
          <w:color w:val="auto"/>
        </w:rPr>
        <w:t>means any operation or set of operations performed upon Personal Data, whether or not by automatic means,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collection, recording, organization, structuring, storage, adaption or alteration, consultation, use, disclosure by transmission, dissemination or otherwise making available, alignment or combination, restriction, erasure, or destruction of Personal Data.</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Recipient Vendor Entity </w:t>
      </w:r>
      <w:r>
        <w:rPr>
          <w:rFonts w:ascii="Arial" w:cs="Arial" w:eastAsia="Arial" w:hAnsi="Arial"/>
          <w:sz w:val="18"/>
          <w:szCs w:val="18"/>
          <w:color w:val="auto"/>
        </w:rPr>
        <w:t>has the meaning given to it in clause 2.1.</w:t>
      </w:r>
    </w:p>
    <w:p>
      <w:pPr>
        <w:spacing w:after="0" w:line="225" w:lineRule="exact"/>
        <w:rPr>
          <w:sz w:val="20"/>
          <w:szCs w:val="20"/>
          <w:color w:val="auto"/>
        </w:rPr>
      </w:pPr>
    </w:p>
    <w:p>
      <w:pPr>
        <w:ind w:left="4" w:right="20"/>
        <w:spacing w:after="0" w:line="281" w:lineRule="auto"/>
        <w:rPr>
          <w:sz w:val="20"/>
          <w:szCs w:val="20"/>
          <w:color w:val="auto"/>
        </w:rPr>
      </w:pPr>
      <w:r>
        <w:rPr>
          <w:rFonts w:ascii="Arial" w:cs="Arial" w:eastAsia="Arial" w:hAnsi="Arial"/>
          <w:sz w:val="17"/>
          <w:szCs w:val="17"/>
          <w:b w:val="1"/>
          <w:bCs w:val="1"/>
          <w:color w:val="auto"/>
        </w:rPr>
        <w:t xml:space="preserve">Sensitive Personal Data </w:t>
      </w:r>
      <w:r>
        <w:rPr>
          <w:rFonts w:ascii="Arial" w:cs="Arial" w:eastAsia="Arial" w:hAnsi="Arial"/>
          <w:sz w:val="17"/>
          <w:szCs w:val="17"/>
          <w:color w:val="auto"/>
        </w:rPr>
        <w:t>means Personal Data revealing racial or ethnic origin; political opinions; religious or philosophical beliefs; trade union</w:t>
      </w:r>
      <w:r>
        <w:rPr>
          <w:rFonts w:ascii="Arial" w:cs="Arial" w:eastAsia="Arial" w:hAnsi="Arial"/>
          <w:sz w:val="17"/>
          <w:szCs w:val="17"/>
          <w:b w:val="1"/>
          <w:bCs w:val="1"/>
          <w:color w:val="auto"/>
        </w:rPr>
        <w:t xml:space="preserve"> </w:t>
      </w:r>
      <w:r>
        <w:rPr>
          <w:rFonts w:ascii="Arial" w:cs="Arial" w:eastAsia="Arial" w:hAnsi="Arial"/>
          <w:sz w:val="17"/>
          <w:szCs w:val="17"/>
          <w:color w:val="auto"/>
        </w:rPr>
        <w:t>membership; physical or mental health; sex life or sexual orientation; the Processing of genetic data, biometric data for the purpose of uniquely identifying a Data Subject; Personal Data relating to criminal convictions and offences or related security measures; and such similar subsets of Personal Data that require enhanced protections under the Data Protection Laws of the applicable Extended EEA Country.</w:t>
      </w:r>
    </w:p>
    <w:p>
      <w:pPr>
        <w:spacing w:after="0" w:line="165" w:lineRule="exact"/>
        <w:rPr>
          <w:sz w:val="20"/>
          <w:szCs w:val="20"/>
          <w:color w:val="auto"/>
        </w:rPr>
      </w:pPr>
    </w:p>
    <w:p>
      <w:pPr>
        <w:jc w:val="both"/>
        <w:ind w:left="4" w:right="60"/>
        <w:spacing w:after="0" w:line="266" w:lineRule="auto"/>
        <w:rPr>
          <w:sz w:val="20"/>
          <w:szCs w:val="20"/>
          <w:color w:val="auto"/>
        </w:rPr>
      </w:pPr>
      <w:r>
        <w:rPr>
          <w:rFonts w:ascii="Arial" w:cs="Arial" w:eastAsia="Arial" w:hAnsi="Arial"/>
          <w:sz w:val="18"/>
          <w:szCs w:val="18"/>
          <w:b w:val="1"/>
          <w:bCs w:val="1"/>
          <w:color w:val="auto"/>
        </w:rPr>
        <w:t xml:space="preserve">Standard Contractual Clauses </w:t>
      </w:r>
      <w:r>
        <w:rPr>
          <w:rFonts w:ascii="Arial" w:cs="Arial" w:eastAsia="Arial" w:hAnsi="Arial"/>
          <w:sz w:val="18"/>
          <w:szCs w:val="18"/>
          <w:color w:val="auto"/>
        </w:rPr>
        <w:t>means the “standard contractual clauses for the transfer of personal data to third countries pursuant to Regulation (EU)</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2016/679 of the European Parliament and of the Council” adopted by the European Commission decision of 4 June 2021 and published under document number C(2021) 3972 (available </w:t>
      </w:r>
      <w:r>
        <w:rPr>
          <w:rFonts w:ascii="Arial" w:cs="Arial" w:eastAsia="Arial" w:hAnsi="Arial"/>
          <w:sz w:val="18"/>
          <w:szCs w:val="18"/>
          <w:u w:val="single" w:color="auto"/>
          <w:color w:val="auto"/>
        </w:rPr>
        <w:t>here</w:t>
      </w:r>
      <w:r>
        <w:rPr>
          <w:rFonts w:ascii="Arial" w:cs="Arial" w:eastAsia="Arial" w:hAnsi="Arial"/>
          <w:sz w:val="18"/>
          <w:szCs w:val="18"/>
          <w:color w:val="auto"/>
        </w:rPr>
        <w:t>).</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Sub-Data Processor </w:t>
      </w:r>
      <w:r>
        <w:rPr>
          <w:rFonts w:ascii="Arial" w:cs="Arial" w:eastAsia="Arial" w:hAnsi="Arial"/>
          <w:sz w:val="18"/>
          <w:szCs w:val="18"/>
          <w:color w:val="auto"/>
        </w:rPr>
        <w:t>means the person or entity which Processes Personal Data on behalf of the Data Processor.</w:t>
      </w:r>
    </w:p>
    <w:p>
      <w:pPr>
        <w:spacing w:after="0" w:line="225" w:lineRule="exact"/>
        <w:rPr>
          <w:sz w:val="20"/>
          <w:szCs w:val="20"/>
          <w:color w:val="auto"/>
        </w:rPr>
      </w:pPr>
    </w:p>
    <w:p>
      <w:pPr>
        <w:ind w:left="4" w:right="340"/>
        <w:spacing w:after="0" w:line="282" w:lineRule="auto"/>
        <w:rPr>
          <w:sz w:val="20"/>
          <w:szCs w:val="20"/>
          <w:color w:val="auto"/>
        </w:rPr>
      </w:pPr>
      <w:r>
        <w:rPr>
          <w:rFonts w:ascii="Arial" w:cs="Arial" w:eastAsia="Arial" w:hAnsi="Arial"/>
          <w:sz w:val="18"/>
          <w:szCs w:val="18"/>
          <w:b w:val="1"/>
          <w:bCs w:val="1"/>
          <w:color w:val="auto"/>
        </w:rPr>
        <w:t xml:space="preserve">Third Country </w:t>
      </w:r>
      <w:r>
        <w:rPr>
          <w:rFonts w:ascii="Arial" w:cs="Arial" w:eastAsia="Arial" w:hAnsi="Arial"/>
          <w:sz w:val="18"/>
          <w:szCs w:val="18"/>
          <w:color w:val="auto"/>
        </w:rPr>
        <w:t>means a country not deemed adequate to receive the Personal Data under the Data Protection Laws of the applicable Extended EEA</w:t>
      </w:r>
      <w:r>
        <w:rPr>
          <w:rFonts w:ascii="Arial" w:cs="Arial" w:eastAsia="Arial" w:hAnsi="Arial"/>
          <w:sz w:val="18"/>
          <w:szCs w:val="18"/>
          <w:b w:val="1"/>
          <w:bCs w:val="1"/>
          <w:color w:val="auto"/>
        </w:rPr>
        <w:t xml:space="preserve"> </w:t>
      </w:r>
      <w:r>
        <w:rPr>
          <w:rFonts w:ascii="Arial" w:cs="Arial" w:eastAsia="Arial" w:hAnsi="Arial"/>
          <w:sz w:val="18"/>
          <w:szCs w:val="18"/>
          <w:color w:val="auto"/>
        </w:rPr>
        <w:t>Country.</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Transferring AT&amp;T Entity </w:t>
      </w:r>
      <w:r>
        <w:rPr>
          <w:rFonts w:ascii="Arial" w:cs="Arial" w:eastAsia="Arial" w:hAnsi="Arial"/>
          <w:sz w:val="18"/>
          <w:szCs w:val="18"/>
          <w:color w:val="auto"/>
        </w:rPr>
        <w:t>has the meaning given to it in clause 2.1.</w:t>
      </w:r>
    </w:p>
    <w:p>
      <w:pPr>
        <w:spacing w:after="0" w:line="225" w:lineRule="exact"/>
        <w:rPr>
          <w:sz w:val="20"/>
          <w:szCs w:val="20"/>
          <w:color w:val="auto"/>
        </w:rPr>
      </w:pPr>
    </w:p>
    <w:p>
      <w:pPr>
        <w:ind w:left="4" w:right="360"/>
        <w:spacing w:after="0" w:line="282" w:lineRule="auto"/>
        <w:rPr>
          <w:sz w:val="20"/>
          <w:szCs w:val="20"/>
          <w:color w:val="auto"/>
        </w:rPr>
      </w:pPr>
      <w:r>
        <w:rPr>
          <w:rFonts w:ascii="Arial" w:cs="Arial" w:eastAsia="Arial" w:hAnsi="Arial"/>
          <w:sz w:val="18"/>
          <w:szCs w:val="18"/>
          <w:b w:val="1"/>
          <w:bCs w:val="1"/>
          <w:color w:val="auto"/>
        </w:rPr>
        <w:t xml:space="preserve">Transferred Personal Data </w:t>
      </w:r>
      <w:r>
        <w:rPr>
          <w:rFonts w:ascii="Arial" w:cs="Arial" w:eastAsia="Arial" w:hAnsi="Arial"/>
          <w:sz w:val="18"/>
          <w:szCs w:val="18"/>
          <w:color w:val="auto"/>
        </w:rPr>
        <w:t>means any Personal Data, the transfer of which by the Transferring AT&amp;T Entity is subject to the Standard Contractual</w:t>
      </w:r>
      <w:r>
        <w:rPr>
          <w:rFonts w:ascii="Arial" w:cs="Arial" w:eastAsia="Arial" w:hAnsi="Arial"/>
          <w:sz w:val="18"/>
          <w:szCs w:val="18"/>
          <w:b w:val="1"/>
          <w:bCs w:val="1"/>
          <w:color w:val="auto"/>
        </w:rPr>
        <w:t xml:space="preserve"> </w:t>
      </w:r>
      <w:r>
        <w:rPr>
          <w:rFonts w:ascii="Arial" w:cs="Arial" w:eastAsia="Arial" w:hAnsi="Arial"/>
          <w:sz w:val="18"/>
          <w:szCs w:val="18"/>
          <w:color w:val="auto"/>
        </w:rPr>
        <w:t>Clauses by virtue of clause 2.1.</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Vendor Party </w:t>
      </w:r>
      <w:r>
        <w:rPr>
          <w:rFonts w:ascii="Arial" w:cs="Arial" w:eastAsia="Arial" w:hAnsi="Arial"/>
          <w:sz w:val="18"/>
          <w:szCs w:val="18"/>
          <w:color w:val="auto"/>
        </w:rPr>
        <w:t>means the Vendor and any applicable Vendor Affiliate that is party to the Agreement.</w:t>
      </w:r>
    </w:p>
    <w:p>
      <w:pPr>
        <w:spacing w:after="0" w:line="131" w:lineRule="exact"/>
        <w:rPr>
          <w:sz w:val="20"/>
          <w:szCs w:val="20"/>
          <w:color w:val="auto"/>
        </w:rPr>
      </w:pPr>
    </w:p>
    <w:p>
      <w:pPr>
        <w:ind w:left="424" w:hanging="424"/>
        <w:spacing w:after="0"/>
        <w:tabs>
          <w:tab w:leader="none" w:pos="424"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the Standard Contractual Clauses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Where AT&amp;T, or where applicable, an AT&amp;T Affiliate acting as a Data Controller or a Data Processor (as applicable) of the Personal Data:</w:t>
      </w:r>
    </w:p>
    <w:p>
      <w:pPr>
        <w:spacing w:after="0" w:line="131" w:lineRule="exact"/>
        <w:rPr>
          <w:sz w:val="20"/>
          <w:szCs w:val="20"/>
          <w:color w:val="auto"/>
        </w:rPr>
      </w:pPr>
    </w:p>
    <w:p>
      <w:pPr>
        <w:ind w:left="964" w:hanging="532"/>
        <w:spacing w:after="0"/>
        <w:tabs>
          <w:tab w:leader="none" w:pos="96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is established in an Extended EEA Country; or</w:t>
      </w:r>
    </w:p>
    <w:p>
      <w:pPr>
        <w:spacing w:after="0" w:line="130" w:lineRule="exact"/>
        <w:rPr>
          <w:rFonts w:ascii="Arial" w:cs="Arial" w:eastAsia="Arial" w:hAnsi="Arial"/>
          <w:sz w:val="18"/>
          <w:szCs w:val="18"/>
          <w:color w:val="auto"/>
        </w:rPr>
      </w:pPr>
    </w:p>
    <w:p>
      <w:pPr>
        <w:ind w:left="964" w:right="40" w:hanging="532"/>
        <w:spacing w:after="0" w:line="259" w:lineRule="auto"/>
        <w:tabs>
          <w:tab w:leader="none" w:pos="964" w:val="left"/>
        </w:tabs>
        <w:numPr>
          <w:ilvl w:val="0"/>
          <w:numId w:val="411"/>
        </w:numPr>
        <w:rPr>
          <w:rFonts w:ascii="Arial" w:cs="Arial" w:eastAsia="Arial" w:hAnsi="Arial"/>
          <w:sz w:val="18"/>
          <w:szCs w:val="18"/>
          <w:color w:val="auto"/>
        </w:rPr>
      </w:pPr>
      <w:r>
        <w:rPr>
          <w:rFonts w:ascii="Arial" w:cs="Arial" w:eastAsia="Arial" w:hAnsi="Arial"/>
          <w:sz w:val="18"/>
          <w:szCs w:val="18"/>
          <w:color w:val="auto"/>
        </w:rPr>
        <w:t>is not established in an Extended EEA Country, but Processes Personal Data originating from an Extended EEA Country and: (i) is directly subject to the Data Protection Laws of the Extended EEA Country in relation to such Processing; or (ii) is contractually obliged to impose safeguards that are equivalent to those safeguards required under the Data Protection Laws of the Extended EEA Country on any third parties with whom they share the Personal Data,</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Proprietary and Confidential</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This Agreement is not for use or disclosure outside of AT&amp;T, its Affiliates, and its and their third-party representatives, and Supplier except under</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written agreement by the contracting Parties.</w:t>
      </w:r>
    </w:p>
    <w:p>
      <w:pPr>
        <w:sectPr>
          <w:pgSz w:w="11900" w:h="16838" w:orient="portrait"/>
          <w:cols w:equalWidth="0" w:num="1">
            <w:col w:w="11024"/>
          </w:cols>
          <w:pgMar w:left="436" w:top="274" w:right="439" w:bottom="1440" w:gutter="0" w:footer="0" w:header="0"/>
        </w:sectPr>
      </w:pPr>
    </w:p>
    <w:bookmarkStart w:id="339" w:name="page340"/>
    <w:bookmarkEnd w:id="339"/>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53258.A.008</w:t>
      </w:r>
    </w:p>
    <w:p>
      <w:pPr>
        <w:spacing w:after="0" w:line="181" w:lineRule="exact"/>
        <w:rPr>
          <w:sz w:val="20"/>
          <w:szCs w:val="20"/>
          <w:color w:val="auto"/>
        </w:rPr>
      </w:pPr>
    </w:p>
    <w:p>
      <w:pPr>
        <w:ind w:left="440" w:right="20"/>
        <w:spacing w:after="0" w:line="270" w:lineRule="auto"/>
        <w:rPr>
          <w:sz w:val="20"/>
          <w:szCs w:val="20"/>
          <w:color w:val="auto"/>
        </w:rPr>
      </w:pPr>
      <w:r>
        <w:rPr>
          <w:rFonts w:ascii="Arial" w:cs="Arial" w:eastAsia="Arial" w:hAnsi="Arial"/>
          <w:sz w:val="17"/>
          <w:szCs w:val="17"/>
          <w:color w:val="auto"/>
        </w:rPr>
        <w:t xml:space="preserve">and AT&amp;T or the AT&amp;T Affiliate transfers Personal Data it Processes to a Vendor Party located in a Third Country (each of such AT&amp;T or AT&amp;T Affiliate referred to in this section as the </w:t>
      </w:r>
      <w:r>
        <w:rPr>
          <w:rFonts w:ascii="Arial" w:cs="Arial" w:eastAsia="Arial" w:hAnsi="Arial"/>
          <w:sz w:val="17"/>
          <w:szCs w:val="17"/>
          <w:b w:val="1"/>
          <w:bCs w:val="1"/>
          <w:color w:val="auto"/>
        </w:rPr>
        <w:t>Transferring AT&amp;T Entity</w:t>
      </w:r>
      <w:r>
        <w:rPr>
          <w:rFonts w:ascii="Arial" w:cs="Arial" w:eastAsia="Arial" w:hAnsi="Arial"/>
          <w:sz w:val="17"/>
          <w:szCs w:val="17"/>
          <w:color w:val="auto"/>
        </w:rPr>
        <w:t xml:space="preserve"> and each such Vendor Party referred to in this section as the </w:t>
      </w:r>
      <w:r>
        <w:rPr>
          <w:rFonts w:ascii="Arial" w:cs="Arial" w:eastAsia="Arial" w:hAnsi="Arial"/>
          <w:sz w:val="17"/>
          <w:szCs w:val="17"/>
          <w:b w:val="1"/>
          <w:bCs w:val="1"/>
          <w:color w:val="auto"/>
        </w:rPr>
        <w:t>Recipient</w:t>
      </w:r>
      <w:r>
        <w:rPr>
          <w:rFonts w:ascii="Arial" w:cs="Arial" w:eastAsia="Arial" w:hAnsi="Arial"/>
          <w:sz w:val="17"/>
          <w:szCs w:val="17"/>
          <w:color w:val="auto"/>
        </w:rPr>
        <w:t xml:space="preserve"> </w:t>
      </w:r>
      <w:r>
        <w:rPr>
          <w:rFonts w:ascii="Arial" w:cs="Arial" w:eastAsia="Arial" w:hAnsi="Arial"/>
          <w:sz w:val="17"/>
          <w:szCs w:val="17"/>
          <w:b w:val="1"/>
          <w:bCs w:val="1"/>
          <w:color w:val="auto"/>
        </w:rPr>
        <w:t>Vendor Entity</w:t>
      </w:r>
      <w:r>
        <w:rPr>
          <w:rFonts w:ascii="Arial" w:cs="Arial" w:eastAsia="Arial" w:hAnsi="Arial"/>
          <w:sz w:val="17"/>
          <w:szCs w:val="17"/>
          <w:color w:val="auto"/>
        </w:rPr>
        <w:t>), the Standard Contractual Clauses shall apply to the Recipient Vendor Entity’s Processing of such Personal Data as set out in</w:t>
      </w:r>
      <w:r>
        <w:rPr>
          <w:rFonts w:ascii="Arial" w:cs="Arial" w:eastAsia="Arial" w:hAnsi="Arial"/>
          <w:sz w:val="17"/>
          <w:szCs w:val="17"/>
          <w:b w:val="1"/>
          <w:bCs w:val="1"/>
          <w:color w:val="auto"/>
        </w:rPr>
        <w:t xml:space="preserve"> </w:t>
      </w:r>
      <w:r>
        <w:rPr>
          <w:rFonts w:ascii="Arial" w:cs="Arial" w:eastAsia="Arial" w:hAnsi="Arial"/>
          <w:sz w:val="17"/>
          <w:szCs w:val="17"/>
          <w:color w:val="auto"/>
        </w:rPr>
        <w:t>clause 3 and clause 4 below, except to the extent that the Transferring AT&amp;T Entity agrees in writing that the Recipient Vendor Entity is entitled to Process such Personal Data in that Third Country by virtue of: (i) adherence to another framework recognized by the relevant data protection authorities or courts in the Extended EEA Country as providing an adequate level of protection for the Personal Data; or (ii) an export derogation recognized by the applicable Data Protection Law. Where the Transferring AT&amp;T Entity agrees in writing, such alternative framework or derogation shall apply. If the Transferring AT&amp;T Entity does not agree to this in writing, the Standard Contractual Clauses shall apply to the Recipient Vendor Entity’s Processing as set out in clause 3 and clause 4 below.</w:t>
      </w:r>
    </w:p>
    <w:p>
      <w:pPr>
        <w:spacing w:after="0" w:line="86" w:lineRule="exact"/>
        <w:rPr>
          <w:sz w:val="20"/>
          <w:szCs w:val="20"/>
          <w:color w:val="auto"/>
        </w:rPr>
      </w:pPr>
    </w:p>
    <w:p>
      <w:pPr>
        <w:ind w:left="420" w:right="200" w:hanging="431"/>
        <w:spacing w:after="0" w:line="301" w:lineRule="auto"/>
        <w:tabs>
          <w:tab w:leader="none" w:pos="4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Where the Standard Contractual Clauses apply to a transfer pursuant to clause 2.1 above, the Standard Contractual Clauses shall supersede and replace “the standard contractual clauses approved by Commission Decision of 5 February 2010 (2010/87/EU)” or “the standard contractual clauses approved by Commission Decision of 27 December 2004 amending Decision 2001/497/EC (2004/915/EC)” (as applicable) where either of these are currently being used by the Transferring AT&amp;T Entity and the Recipient Vendor Entity for the particular transfer.</w:t>
      </w:r>
    </w:p>
    <w:p>
      <w:pPr>
        <w:spacing w:after="0" w:line="63" w:lineRule="exact"/>
        <w:rPr>
          <w:sz w:val="20"/>
          <w:szCs w:val="20"/>
          <w:color w:val="auto"/>
        </w:rPr>
      </w:pPr>
    </w:p>
    <w:p>
      <w:pPr>
        <w:ind w:left="420" w:right="160" w:hanging="431"/>
        <w:spacing w:after="0" w:line="257" w:lineRule="auto"/>
        <w:tabs>
          <w:tab w:leader="none" w:pos="400" w:val="left"/>
        </w:tabs>
        <w:rPr>
          <w:sz w:val="20"/>
          <w:szCs w:val="20"/>
          <w:color w:val="auto"/>
        </w:rPr>
      </w:pPr>
      <w:r>
        <w:rPr>
          <w:rFonts w:ascii="Arial" w:cs="Arial" w:eastAsia="Arial" w:hAnsi="Arial"/>
          <w:sz w:val="18"/>
          <w:szCs w:val="18"/>
          <w:color w:val="auto"/>
        </w:rPr>
        <w:t>2.3</w:t>
        <w:tab/>
        <w:t>Where AT&amp;T or an AT&amp;T Affiliate transfers Personal Data referred to in clauses 2.1(a) or 2.1(b) above to a Vendor Party located in an Extended EEA Country, the Vendor Party shall enter into the Standard Contractual Clauses with any third party located in a Third Country (including any Vendor Affiliate) to whom the Vendor Party transfers such Personal Data before making such transfer, unless AT&amp;T or the relevant AT&amp;T Affiliate agrees otherwise in writing, and in all cases the Vendor Party shall comply with applicable Data Protection Law in relation to such transfer. Where this clause 2.3 applies:</w:t>
      </w:r>
    </w:p>
    <w:p>
      <w:pPr>
        <w:spacing w:after="0" w:line="93" w:lineRule="exact"/>
        <w:rPr>
          <w:sz w:val="20"/>
          <w:szCs w:val="20"/>
          <w:color w:val="auto"/>
        </w:rPr>
      </w:pPr>
    </w:p>
    <w:p>
      <w:pPr>
        <w:ind w:left="1420" w:right="520" w:hanging="439"/>
        <w:spacing w:after="0" w:line="296" w:lineRule="auto"/>
        <w:tabs>
          <w:tab w:leader="none" w:pos="1420" w:val="left"/>
        </w:tabs>
        <w:numPr>
          <w:ilvl w:val="0"/>
          <w:numId w:val="412"/>
        </w:numPr>
        <w:rPr>
          <w:rFonts w:ascii="Arial" w:cs="Arial" w:eastAsia="Arial" w:hAnsi="Arial"/>
          <w:sz w:val="16"/>
          <w:szCs w:val="16"/>
          <w:color w:val="auto"/>
        </w:rPr>
      </w:pPr>
      <w:r>
        <w:rPr>
          <w:rFonts w:ascii="Arial" w:cs="Arial" w:eastAsia="Arial" w:hAnsi="Arial"/>
          <w:sz w:val="16"/>
          <w:szCs w:val="16"/>
          <w:color w:val="auto"/>
        </w:rPr>
        <w:t>the Vendor Party warrants that it has provided AT&amp;T or any AT&amp;T Affiliate that transfers the Personal Data to it with relevant information about: (i) which third parties the Vendor Party will transfer the Personal Data to and where those third parties are located, (ii) the Third Countries to which the Vendor Party transfers the Personal Data; and (iii) the contractual, technical and organisational safeguards that are in place to protect the Personal Data when the Vendor Party or a relevant Data Processor or Sub-Data Processor (as applicable) transfers the Personal Data to a Third Country;</w:t>
      </w:r>
    </w:p>
    <w:p>
      <w:pPr>
        <w:spacing w:after="0" w:line="66" w:lineRule="exact"/>
        <w:rPr>
          <w:rFonts w:ascii="Arial" w:cs="Arial" w:eastAsia="Arial" w:hAnsi="Arial"/>
          <w:sz w:val="16"/>
          <w:szCs w:val="16"/>
          <w:color w:val="auto"/>
        </w:rPr>
      </w:pPr>
    </w:p>
    <w:p>
      <w:pPr>
        <w:ind w:left="1420" w:right="160" w:hanging="439"/>
        <w:spacing w:after="0" w:line="263" w:lineRule="auto"/>
        <w:tabs>
          <w:tab w:leader="none" w:pos="14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to the extent permitted by Law, no less than every six (6) months, the Vendor Party shall provide details of the number of legally binding requests that it or any Data Processor or Sub-Data Processor (as applicable) has received from a public authority in a Third Country; and</w:t>
      </w:r>
    </w:p>
    <w:p>
      <w:pPr>
        <w:spacing w:after="0" w:line="89" w:lineRule="exact"/>
        <w:rPr>
          <w:rFonts w:ascii="Arial" w:cs="Arial" w:eastAsia="Arial" w:hAnsi="Arial"/>
          <w:sz w:val="18"/>
          <w:szCs w:val="18"/>
          <w:color w:val="auto"/>
        </w:rPr>
      </w:pPr>
    </w:p>
    <w:p>
      <w:pPr>
        <w:ind w:left="1420" w:right="120" w:hanging="439"/>
        <w:spacing w:after="0" w:line="257" w:lineRule="auto"/>
        <w:tabs>
          <w:tab w:leader="none" w:pos="1420"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Annex II of the Standard Contractual Clauses (</w:t>
      </w:r>
      <w:r>
        <w:rPr>
          <w:rFonts w:ascii="Arial" w:cs="Arial" w:eastAsia="Arial" w:hAnsi="Arial"/>
          <w:sz w:val="18"/>
          <w:szCs w:val="18"/>
          <w:i w:val="1"/>
          <w:iCs w:val="1"/>
          <w:color w:val="auto"/>
        </w:rPr>
        <w:t>The Technical and organisational measures including technical and organisational</w:t>
      </w:r>
      <w:r>
        <w:rPr>
          <w:rFonts w:ascii="Arial" w:cs="Arial" w:eastAsia="Arial" w:hAnsi="Arial"/>
          <w:sz w:val="18"/>
          <w:szCs w:val="18"/>
          <w:color w:val="auto"/>
        </w:rPr>
        <w:t xml:space="preserve"> </w:t>
      </w:r>
      <w:r>
        <w:rPr>
          <w:rFonts w:ascii="Arial" w:cs="Arial" w:eastAsia="Arial" w:hAnsi="Arial"/>
          <w:sz w:val="18"/>
          <w:szCs w:val="18"/>
          <w:i w:val="1"/>
          <w:iCs w:val="1"/>
          <w:color w:val="auto"/>
        </w:rPr>
        <w:t>measures to ensure the security of the data</w:t>
      </w:r>
      <w:r>
        <w:rPr>
          <w:rFonts w:ascii="Arial" w:cs="Arial" w:eastAsia="Arial" w:hAnsi="Arial"/>
          <w:sz w:val="18"/>
          <w:szCs w:val="18"/>
          <w:color w:val="auto"/>
        </w:rPr>
        <w:t>) shall be deemed populated by the technical and organisational security measures agreed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AT&amp;T and the Vendor and in Appendix 1 of this SCC Amendment (and reference to “Transferring AT&amp;T Entity” in Appendix 1 shall be construed as AT&amp;T or the relevant AT&amp;T Affiliate, and reference to “Recipient Vendor Entity” shall be construed as the relevant Vendor Party).</w:t>
      </w:r>
    </w:p>
    <w:p>
      <w:pPr>
        <w:spacing w:after="0" w:line="8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Conflict and precedence</w:t>
      </w:r>
    </w:p>
    <w:p>
      <w:pPr>
        <w:spacing w:after="0" w:line="131" w:lineRule="exact"/>
        <w:rPr>
          <w:sz w:val="20"/>
          <w:szCs w:val="20"/>
          <w:color w:val="auto"/>
        </w:rPr>
      </w:pPr>
    </w:p>
    <w:p>
      <w:pPr>
        <w:ind w:left="420" w:right="320" w:hanging="431"/>
        <w:spacing w:after="0" w:line="277" w:lineRule="auto"/>
        <w:tabs>
          <w:tab w:leader="none" w:pos="400" w:val="left"/>
        </w:tabs>
        <w:rPr>
          <w:sz w:val="20"/>
          <w:szCs w:val="20"/>
          <w:color w:val="auto"/>
        </w:rPr>
      </w:pPr>
      <w:r>
        <w:rPr>
          <w:rFonts w:ascii="Arial" w:cs="Arial" w:eastAsia="Arial" w:hAnsi="Arial"/>
          <w:sz w:val="18"/>
          <w:szCs w:val="18"/>
          <w:color w:val="auto"/>
        </w:rPr>
        <w:t>2.4</w:t>
        <w:tab/>
        <w:t>Subject to clause 2.5 below, in the event of a conflict between the Standard Contractual Clauses and the DPA and/or Agreement (including any addenda) (as applicable), the Standard Contractual Clauses shall prevail.</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Liability</w:t>
      </w:r>
    </w:p>
    <w:p>
      <w:pPr>
        <w:spacing w:after="0" w:line="131" w:lineRule="exact"/>
        <w:rPr>
          <w:sz w:val="20"/>
          <w:szCs w:val="20"/>
          <w:color w:val="auto"/>
        </w:rPr>
      </w:pPr>
    </w:p>
    <w:p>
      <w:pPr>
        <w:ind w:left="420" w:right="460" w:hanging="431"/>
        <w:spacing w:after="0" w:line="311" w:lineRule="auto"/>
        <w:tabs>
          <w:tab w:leader="none" w:pos="40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Notwithstanding clause 2.4 above, AT&amp;T and the Vendor agree that all liabilities between them and/or any other Transferring AT&amp;T Entities acting as data exporter or Recipient Vendor Entity acting as data importer under the Standard Contractual Clauses, will be subject to the limitations and exclusions of liability set out in the DPA and/or Agreement (as applicable), except to the extent prohibited by applicable law.</w:t>
      </w:r>
    </w:p>
    <w:p>
      <w:pPr>
        <w:spacing w:after="0" w:line="4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Governing law, jurisdiction, Supervisory Authority, and interpretation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Agreement is not for use or disclosure outside of AT&amp;T, its Affiliates, and its and their third-party representatives, and Supplier except under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ectPr>
          <w:pgSz w:w="11900" w:h="16838" w:orient="portrait"/>
          <w:cols w:equalWidth="0" w:num="1">
            <w:col w:w="11020"/>
          </w:cols>
          <w:pgMar w:left="440" w:top="274" w:right="439" w:bottom="1440" w:gutter="0" w:footer="0" w:header="0"/>
        </w:sectPr>
      </w:pPr>
    </w:p>
    <w:bookmarkStart w:id="340" w:name="page341"/>
    <w:bookmarkEnd w:id="340"/>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53258.A.008</w:t>
      </w:r>
    </w:p>
    <w:p>
      <w:pPr>
        <w:spacing w:after="0" w:line="181" w:lineRule="exact"/>
        <w:rPr>
          <w:sz w:val="20"/>
          <w:szCs w:val="20"/>
          <w:color w:val="auto"/>
        </w:rPr>
      </w:pPr>
    </w:p>
    <w:p>
      <w:pPr>
        <w:ind w:left="424" w:right="260" w:hanging="431"/>
        <w:spacing w:after="0" w:line="277" w:lineRule="auto"/>
        <w:tabs>
          <w:tab w:leader="none" w:pos="404" w:val="left"/>
        </w:tabs>
        <w:rPr>
          <w:sz w:val="20"/>
          <w:szCs w:val="20"/>
          <w:color w:val="auto"/>
        </w:rPr>
      </w:pPr>
      <w:r>
        <w:rPr>
          <w:rFonts w:ascii="Arial" w:cs="Arial" w:eastAsia="Arial" w:hAnsi="Arial"/>
          <w:sz w:val="18"/>
          <w:szCs w:val="18"/>
          <w:color w:val="auto"/>
        </w:rPr>
        <w:t>2.6</w:t>
        <w:tab/>
        <w:t>The parties to Standard Contractual Clauses agree that their respective obligations under the Standard Contractual Clauses shall be governed by the law(s) of, and subject to the jurisdiction of the courts of:</w:t>
      </w:r>
    </w:p>
    <w:p>
      <w:pPr>
        <w:spacing w:after="0" w:line="76" w:lineRule="exact"/>
        <w:rPr>
          <w:sz w:val="20"/>
          <w:szCs w:val="20"/>
          <w:color w:val="auto"/>
        </w:rPr>
      </w:pPr>
    </w:p>
    <w:p>
      <w:pPr>
        <w:ind w:left="964" w:hanging="532"/>
        <w:spacing w:after="0"/>
        <w:tabs>
          <w:tab w:leader="none" w:pos="96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where the Transferring AT&amp;T Entity is established in the EU, the Netherlands;</w:t>
      </w:r>
    </w:p>
    <w:p>
      <w:pPr>
        <w:spacing w:after="0" w:line="130" w:lineRule="exact"/>
        <w:rPr>
          <w:rFonts w:ascii="Arial" w:cs="Arial" w:eastAsia="Arial" w:hAnsi="Arial"/>
          <w:sz w:val="18"/>
          <w:szCs w:val="18"/>
          <w:color w:val="auto"/>
        </w:rPr>
      </w:pPr>
    </w:p>
    <w:p>
      <w:pPr>
        <w:ind w:left="964" w:right="480" w:hanging="532"/>
        <w:spacing w:after="0" w:line="277" w:lineRule="auto"/>
        <w:tabs>
          <w:tab w:leader="none" w:pos="96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where the Transferring AT&amp;T Entity is established outside the EU and clause 2.1(b) above applies and the Transferred Personal Data originates from the EU, the Netherlands;</w:t>
      </w:r>
    </w:p>
    <w:p>
      <w:pPr>
        <w:spacing w:after="0" w:line="75" w:lineRule="exact"/>
        <w:rPr>
          <w:rFonts w:ascii="Arial" w:cs="Arial" w:eastAsia="Arial" w:hAnsi="Arial"/>
          <w:sz w:val="18"/>
          <w:szCs w:val="18"/>
          <w:color w:val="auto"/>
        </w:rPr>
      </w:pPr>
    </w:p>
    <w:p>
      <w:pPr>
        <w:ind w:left="964" w:right="260" w:hanging="532"/>
        <w:spacing w:after="0" w:line="277" w:lineRule="auto"/>
        <w:tabs>
          <w:tab w:leader="none" w:pos="96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where the Transferring AT&amp;T Entity is established outside the EU, but within an Extended EEA Country, the Extended EEA Country in which the Transferring AT&amp;T Entity is established; and</w:t>
      </w:r>
    </w:p>
    <w:p>
      <w:pPr>
        <w:spacing w:after="0" w:line="75" w:lineRule="exact"/>
        <w:rPr>
          <w:rFonts w:ascii="Arial" w:cs="Arial" w:eastAsia="Arial" w:hAnsi="Arial"/>
          <w:sz w:val="18"/>
          <w:szCs w:val="18"/>
          <w:color w:val="auto"/>
        </w:rPr>
      </w:pPr>
    </w:p>
    <w:p>
      <w:pPr>
        <w:ind w:left="964" w:right="360" w:hanging="532"/>
        <w:spacing w:after="0" w:line="277" w:lineRule="auto"/>
        <w:tabs>
          <w:tab w:leader="none" w:pos="964" w:val="left"/>
        </w:tabs>
        <w:numPr>
          <w:ilvl w:val="0"/>
          <w:numId w:val="413"/>
        </w:numPr>
        <w:rPr>
          <w:rFonts w:ascii="Arial" w:cs="Arial" w:eastAsia="Arial" w:hAnsi="Arial"/>
          <w:sz w:val="18"/>
          <w:szCs w:val="18"/>
          <w:color w:val="auto"/>
        </w:rPr>
      </w:pPr>
      <w:r>
        <w:rPr>
          <w:rFonts w:ascii="Arial" w:cs="Arial" w:eastAsia="Arial" w:hAnsi="Arial"/>
          <w:sz w:val="18"/>
          <w:szCs w:val="18"/>
          <w:color w:val="auto"/>
        </w:rPr>
        <w:t>subject to clause 2.6(b) above, where the Transferring AT&amp;T Entity is established outside an Extended EEA Country and clause 2.1(b) above applies, the Extended EEA Country from which the Personal Data originated.</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Annex I, Part C (</w:t>
      </w:r>
      <w:r>
        <w:rPr>
          <w:rFonts w:ascii="Arial" w:cs="Arial" w:eastAsia="Arial" w:hAnsi="Arial"/>
          <w:sz w:val="16"/>
          <w:szCs w:val="16"/>
          <w:i w:val="1"/>
          <w:iCs w:val="1"/>
          <w:color w:val="auto"/>
        </w:rPr>
        <w:t>Competent Supervisory Authority</w:t>
      </w:r>
      <w:r>
        <w:rPr>
          <w:rFonts w:ascii="Arial" w:cs="Arial" w:eastAsia="Arial" w:hAnsi="Arial"/>
          <w:sz w:val="16"/>
          <w:szCs w:val="16"/>
          <w:color w:val="auto"/>
        </w:rPr>
        <w:t>) of the Standard Contractual Clauses is hereby deemed to be completed as follows:</w:t>
      </w:r>
    </w:p>
    <w:p>
      <w:pPr>
        <w:spacing w:after="0" w:line="131" w:lineRule="exact"/>
        <w:rPr>
          <w:sz w:val="20"/>
          <w:szCs w:val="20"/>
          <w:color w:val="auto"/>
        </w:rPr>
      </w:pPr>
    </w:p>
    <w:p>
      <w:pPr>
        <w:ind w:left="964" w:right="180" w:hanging="532"/>
        <w:spacing w:after="0" w:line="277" w:lineRule="auto"/>
        <w:tabs>
          <w:tab w:leader="none" w:pos="96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where clause 2.6(a) of this SCC Amendment applies, the supervisory authority shall be the supervisory authority of the EU member state in which the Transferring AT&amp;T Entity is established;</w:t>
      </w:r>
    </w:p>
    <w:p>
      <w:pPr>
        <w:spacing w:after="0" w:line="75" w:lineRule="exact"/>
        <w:rPr>
          <w:rFonts w:ascii="Arial" w:cs="Arial" w:eastAsia="Arial" w:hAnsi="Arial"/>
          <w:sz w:val="18"/>
          <w:szCs w:val="18"/>
          <w:color w:val="auto"/>
        </w:rPr>
      </w:pPr>
    </w:p>
    <w:p>
      <w:pPr>
        <w:ind w:left="964" w:right="180" w:hanging="532"/>
        <w:spacing w:after="0" w:line="311" w:lineRule="auto"/>
        <w:tabs>
          <w:tab w:leader="none" w:pos="964" w:val="left"/>
        </w:tabs>
        <w:numPr>
          <w:ilvl w:val="0"/>
          <w:numId w:val="414"/>
        </w:numPr>
        <w:rPr>
          <w:rFonts w:ascii="Arial" w:cs="Arial" w:eastAsia="Arial" w:hAnsi="Arial"/>
          <w:sz w:val="16"/>
          <w:szCs w:val="16"/>
          <w:color w:val="auto"/>
        </w:rPr>
      </w:pPr>
      <w:r>
        <w:rPr>
          <w:rFonts w:ascii="Arial" w:cs="Arial" w:eastAsia="Arial" w:hAnsi="Arial"/>
          <w:sz w:val="16"/>
          <w:szCs w:val="16"/>
          <w:color w:val="auto"/>
        </w:rPr>
        <w:t xml:space="preserve">where clause 2.6(b) of this SCC Amendment applies, the supervisory authority shall be the supervisory authority of the EU member state in which the Transferring AT&amp;T Entity has appointed an EU representative under Article 27(2) of the GDPR (an </w:t>
      </w:r>
      <w:r>
        <w:rPr>
          <w:rFonts w:ascii="Arial" w:cs="Arial" w:eastAsia="Arial" w:hAnsi="Arial"/>
          <w:sz w:val="16"/>
          <w:szCs w:val="16"/>
          <w:b w:val="1"/>
          <w:bCs w:val="1"/>
          <w:color w:val="auto"/>
        </w:rPr>
        <w:t>EU Representative</w:t>
      </w:r>
      <w:r>
        <w:rPr>
          <w:rFonts w:ascii="Arial" w:cs="Arial" w:eastAsia="Arial" w:hAnsi="Arial"/>
          <w:sz w:val="16"/>
          <w:szCs w:val="16"/>
          <w:color w:val="auto"/>
        </w:rPr>
        <w:t>). Where an EU Representative has not been appointed, the supervisory authority shall be the supervisory authority of the Netherlands;</w:t>
      </w:r>
    </w:p>
    <w:p>
      <w:pPr>
        <w:spacing w:after="0" w:line="54" w:lineRule="exact"/>
        <w:rPr>
          <w:rFonts w:ascii="Arial" w:cs="Arial" w:eastAsia="Arial" w:hAnsi="Arial"/>
          <w:sz w:val="16"/>
          <w:szCs w:val="16"/>
          <w:color w:val="auto"/>
        </w:rPr>
      </w:pPr>
    </w:p>
    <w:p>
      <w:pPr>
        <w:ind w:left="964" w:right="360" w:hanging="532"/>
        <w:spacing w:after="0" w:line="277" w:lineRule="auto"/>
        <w:tabs>
          <w:tab w:leader="none" w:pos="96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where clause 2.6(c) of this SCC Amendment applies, the supervisory authority shall be the supervisory authority of the Extended EEA Country in which the Transferring AT&amp;T Entity is established; and</w:t>
      </w:r>
    </w:p>
    <w:p>
      <w:pPr>
        <w:spacing w:after="0" w:line="75" w:lineRule="exact"/>
        <w:rPr>
          <w:rFonts w:ascii="Arial" w:cs="Arial" w:eastAsia="Arial" w:hAnsi="Arial"/>
          <w:sz w:val="18"/>
          <w:szCs w:val="18"/>
          <w:color w:val="auto"/>
        </w:rPr>
      </w:pPr>
    </w:p>
    <w:p>
      <w:pPr>
        <w:ind w:left="964" w:right="360" w:hanging="532"/>
        <w:spacing w:after="0" w:line="277" w:lineRule="auto"/>
        <w:tabs>
          <w:tab w:leader="none" w:pos="964" w:val="left"/>
        </w:tabs>
        <w:numPr>
          <w:ilvl w:val="0"/>
          <w:numId w:val="414"/>
        </w:numPr>
        <w:rPr>
          <w:rFonts w:ascii="Arial" w:cs="Arial" w:eastAsia="Arial" w:hAnsi="Arial"/>
          <w:sz w:val="18"/>
          <w:szCs w:val="18"/>
          <w:color w:val="auto"/>
        </w:rPr>
      </w:pPr>
      <w:r>
        <w:rPr>
          <w:rFonts w:ascii="Arial" w:cs="Arial" w:eastAsia="Arial" w:hAnsi="Arial"/>
          <w:sz w:val="18"/>
          <w:szCs w:val="18"/>
          <w:color w:val="auto"/>
        </w:rPr>
        <w:t>where clause 2.6(d) of this SCC Amendment applies, the supervisory authority shall be the supervisory authority of the Extended EEA Country from which the Personal Data originated.</w:t>
      </w:r>
    </w:p>
    <w:p>
      <w:pPr>
        <w:spacing w:after="0" w:line="76" w:lineRule="exact"/>
        <w:rPr>
          <w:sz w:val="20"/>
          <w:szCs w:val="20"/>
          <w:color w:val="auto"/>
        </w:rPr>
      </w:pPr>
    </w:p>
    <w:p>
      <w:pPr>
        <w:ind w:left="424" w:right="160" w:hanging="431"/>
        <w:spacing w:after="0" w:line="277" w:lineRule="auto"/>
        <w:tabs>
          <w:tab w:leader="none" w:pos="404" w:val="left"/>
        </w:tabs>
        <w:rPr>
          <w:sz w:val="20"/>
          <w:szCs w:val="20"/>
          <w:color w:val="auto"/>
        </w:rPr>
      </w:pPr>
      <w:r>
        <w:rPr>
          <w:rFonts w:ascii="Arial" w:cs="Arial" w:eastAsia="Arial" w:hAnsi="Arial"/>
          <w:sz w:val="18"/>
          <w:szCs w:val="18"/>
          <w:color w:val="auto"/>
        </w:rPr>
        <w:t>2.8</w:t>
        <w:tab/>
        <w:t>Where the applicable Extended EEA Country in which the Transferring AT&amp;T Entity is established or from where the Transferred Personal Data originated is not a member state of the EU, references in the Standard Contractual Clauses to:</w:t>
      </w:r>
    </w:p>
    <w:p>
      <w:pPr>
        <w:spacing w:after="0" w:line="76" w:lineRule="exact"/>
        <w:rPr>
          <w:sz w:val="20"/>
          <w:szCs w:val="20"/>
          <w:color w:val="auto"/>
        </w:rPr>
      </w:pPr>
    </w:p>
    <w:p>
      <w:pPr>
        <w:ind w:left="964" w:right="320" w:hanging="532"/>
        <w:spacing w:after="0" w:line="277" w:lineRule="auto"/>
        <w:tabs>
          <w:tab w:leader="none" w:pos="964" w:val="left"/>
        </w:tabs>
        <w:numPr>
          <w:ilvl w:val="0"/>
          <w:numId w:val="415"/>
        </w:numPr>
        <w:rPr>
          <w:rFonts w:ascii="Arial" w:cs="Arial" w:eastAsia="Arial" w:hAnsi="Arial"/>
          <w:sz w:val="18"/>
          <w:szCs w:val="18"/>
          <w:color w:val="auto"/>
        </w:rPr>
      </w:pPr>
      <w:r>
        <w:rPr>
          <w:rFonts w:ascii="Arial" w:cs="Arial" w:eastAsia="Arial" w:hAnsi="Arial"/>
          <w:sz w:val="18"/>
          <w:szCs w:val="18"/>
          <w:color w:val="auto"/>
        </w:rPr>
        <w:t>“Member States of the European Union” shall refer to the applicable Extended EEA Country in which the Transferring AT&amp;T Entity is established or from where the Transferred Personal Data originated (as applicable);</w:t>
      </w:r>
    </w:p>
    <w:p>
      <w:pPr>
        <w:spacing w:after="0" w:line="75" w:lineRule="exact"/>
        <w:rPr>
          <w:rFonts w:ascii="Arial" w:cs="Arial" w:eastAsia="Arial" w:hAnsi="Arial"/>
          <w:sz w:val="18"/>
          <w:szCs w:val="18"/>
          <w:color w:val="auto"/>
        </w:rPr>
      </w:pPr>
    </w:p>
    <w:p>
      <w:pPr>
        <w:ind w:left="964" w:right="280" w:hanging="532"/>
        <w:spacing w:after="0" w:line="277" w:lineRule="auto"/>
        <w:tabs>
          <w:tab w:leader="none" w:pos="964" w:val="left"/>
        </w:tabs>
        <w:numPr>
          <w:ilvl w:val="0"/>
          <w:numId w:val="415"/>
        </w:numPr>
        <w:rPr>
          <w:rFonts w:ascii="Arial" w:cs="Arial" w:eastAsia="Arial" w:hAnsi="Arial"/>
          <w:sz w:val="18"/>
          <w:szCs w:val="18"/>
          <w:color w:val="auto"/>
        </w:rPr>
      </w:pPr>
      <w:r>
        <w:rPr>
          <w:rFonts w:ascii="Arial" w:cs="Arial" w:eastAsia="Arial" w:hAnsi="Arial"/>
          <w:sz w:val="18"/>
          <w:szCs w:val="18"/>
          <w:color w:val="auto"/>
        </w:rPr>
        <w:t>“the GDPR” shall refer to the applicable Data Protection Laws of the Extended EEA Country in which the Transferring AT&amp;T Entity is established or from where the Transferred Personal Data originated (as applicable); and</w:t>
      </w:r>
    </w:p>
    <w:p>
      <w:pPr>
        <w:spacing w:after="0" w:line="75" w:lineRule="exact"/>
        <w:rPr>
          <w:rFonts w:ascii="Arial" w:cs="Arial" w:eastAsia="Arial" w:hAnsi="Arial"/>
          <w:sz w:val="18"/>
          <w:szCs w:val="18"/>
          <w:color w:val="auto"/>
        </w:rPr>
      </w:pPr>
    </w:p>
    <w:p>
      <w:pPr>
        <w:ind w:left="964" w:right="180" w:hanging="532"/>
        <w:spacing w:after="0" w:line="277" w:lineRule="auto"/>
        <w:tabs>
          <w:tab w:leader="none" w:pos="964" w:val="left"/>
        </w:tabs>
        <w:numPr>
          <w:ilvl w:val="0"/>
          <w:numId w:val="415"/>
        </w:numPr>
        <w:rPr>
          <w:rFonts w:ascii="Arial" w:cs="Arial" w:eastAsia="Arial" w:hAnsi="Arial"/>
          <w:sz w:val="18"/>
          <w:szCs w:val="18"/>
          <w:color w:val="auto"/>
        </w:rPr>
      </w:pPr>
      <w:r>
        <w:rPr>
          <w:rFonts w:ascii="Arial" w:cs="Arial" w:eastAsia="Arial" w:hAnsi="Arial"/>
          <w:sz w:val="18"/>
          <w:szCs w:val="18"/>
          <w:color w:val="auto"/>
        </w:rPr>
        <w:t>“supervisory authority” shall refer to the data protection authority in the Extended EEA Country as determined by reference to clause 2.7 above.</w:t>
      </w:r>
    </w:p>
    <w:p>
      <w:pPr>
        <w:spacing w:after="0" w:line="72" w:lineRule="exact"/>
        <w:rPr>
          <w:sz w:val="20"/>
          <w:szCs w:val="20"/>
          <w:color w:val="auto"/>
        </w:rPr>
      </w:pPr>
    </w:p>
    <w:p>
      <w:pPr>
        <w:ind w:left="424" w:right="60" w:hanging="424"/>
        <w:spacing w:after="0" w:line="282" w:lineRule="auto"/>
        <w:tabs>
          <w:tab w:leader="none" w:pos="424" w:val="left"/>
        </w:tabs>
        <w:numPr>
          <w:ilvl w:val="0"/>
          <w:numId w:val="416"/>
        </w:numPr>
        <w:rPr>
          <w:rFonts w:ascii="Arial" w:cs="Arial" w:eastAsia="Arial" w:hAnsi="Arial"/>
          <w:sz w:val="18"/>
          <w:szCs w:val="18"/>
          <w:b w:val="1"/>
          <w:bCs w:val="1"/>
          <w:color w:val="auto"/>
        </w:rPr>
      </w:pPr>
      <w:r>
        <w:rPr>
          <w:rFonts w:ascii="Arial" w:cs="Arial" w:eastAsia="Arial" w:hAnsi="Arial"/>
          <w:sz w:val="18"/>
          <w:szCs w:val="18"/>
          <w:b w:val="1"/>
          <w:bCs w:val="1"/>
          <w:color w:val="auto"/>
        </w:rPr>
        <w:t>Transferring AT&amp;T Entity as Data Controller or a Data Processor and Recipient Vendor Entity as Data Processor or Sub-Data Processor (as applicable)</w:t>
      </w:r>
    </w:p>
    <w:p>
      <w:pPr>
        <w:spacing w:after="0" w:line="5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Incorporation and interpretation of the Standard Contractual Clauses</w:t>
      </w:r>
    </w:p>
    <w:p>
      <w:pPr>
        <w:spacing w:after="0" w:line="131" w:lineRule="exact"/>
        <w:rPr>
          <w:sz w:val="20"/>
          <w:szCs w:val="20"/>
          <w:color w:val="auto"/>
        </w:rPr>
      </w:pPr>
    </w:p>
    <w:p>
      <w:pPr>
        <w:ind w:left="424" w:right="100" w:hanging="431"/>
        <w:spacing w:after="0" w:line="259" w:lineRule="auto"/>
        <w:tabs>
          <w:tab w:leader="none" w:pos="404" w:val="left"/>
        </w:tabs>
        <w:rPr>
          <w:sz w:val="20"/>
          <w:szCs w:val="20"/>
          <w:color w:val="auto"/>
        </w:rPr>
      </w:pPr>
      <w:r>
        <w:rPr>
          <w:rFonts w:ascii="Arial" w:cs="Arial" w:eastAsia="Arial" w:hAnsi="Arial"/>
          <w:sz w:val="18"/>
          <w:szCs w:val="18"/>
          <w:color w:val="auto"/>
        </w:rPr>
        <w:t>3.1</w:t>
        <w:tab/>
        <w:t>Where a Transferring AT&amp;T Entity Processes Personal Data as a Data Controller or a Data Processor and a Recipient Vendor Entity Processes the Transferred Personal Data as a Data Processor or Sub-Data Processor (as applicable), the applicable Recipient Vendor Entity agrees to comply with the obligations of a data importer as set out in the Standard Contractual Clauses which are incorporated herein by reference and construed as follows:</w:t>
      </w:r>
    </w:p>
    <w:p>
      <w:pPr>
        <w:spacing w:after="0" w:line="92" w:lineRule="exact"/>
        <w:rPr>
          <w:sz w:val="20"/>
          <w:szCs w:val="20"/>
          <w:color w:val="auto"/>
        </w:rPr>
      </w:pPr>
    </w:p>
    <w:p>
      <w:pPr>
        <w:ind w:left="964" w:right="540" w:hanging="532"/>
        <w:spacing w:after="0" w:line="277" w:lineRule="auto"/>
        <w:tabs>
          <w:tab w:leader="none" w:pos="964"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Standard Contractual Clauses shall be binding upon each Transferring AT&amp;T Entity acting as a data exporter and each Recipient Vendor Entity, acting as data importer;</w:t>
      </w:r>
    </w:p>
    <w:p>
      <w:pPr>
        <w:spacing w:after="0" w:line="103" w:lineRule="exact"/>
        <w:rPr>
          <w:sz w:val="20"/>
          <w:szCs w:val="20"/>
          <w:color w:val="auto"/>
        </w:rPr>
      </w:pPr>
    </w:p>
    <w:p>
      <w:pPr>
        <w:ind w:left="4"/>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Proprietary and Confidential</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This Agreement is not for use or disclosure outside of AT&amp;T, its Affiliates, and its and their third-party representatives, and Supplier except under</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written agreement by the contracting Parties.</w:t>
      </w:r>
    </w:p>
    <w:p>
      <w:pPr>
        <w:sectPr>
          <w:pgSz w:w="11900" w:h="16838" w:orient="portrait"/>
          <w:cols w:equalWidth="0" w:num="1">
            <w:col w:w="11024"/>
          </w:cols>
          <w:pgMar w:left="436" w:top="274" w:right="439" w:bottom="1440" w:gutter="0" w:footer="0" w:header="0"/>
        </w:sectPr>
      </w:pPr>
    </w:p>
    <w:bookmarkStart w:id="341" w:name="page342"/>
    <w:bookmarkEnd w:id="3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53258.A.008</w:t>
      </w:r>
    </w:p>
    <w:p>
      <w:pPr>
        <w:spacing w:after="0" w:line="158" w:lineRule="exact"/>
        <w:rPr>
          <w:sz w:val="20"/>
          <w:szCs w:val="20"/>
          <w:color w:val="auto"/>
        </w:rPr>
      </w:pPr>
    </w:p>
    <w:p>
      <w:pPr>
        <w:ind w:left="960" w:right="260" w:hanging="532"/>
        <w:spacing w:after="0" w:line="277" w:lineRule="auto"/>
        <w:tabs>
          <w:tab w:leader="none" w:pos="9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where the applicable sections of the Standard Contractual Clauses require the data exporter and the data importer to select a module, the Vendor, on behalf of the Recipient Vendor Entity, acknowledges that:</w:t>
      </w:r>
    </w:p>
    <w:p>
      <w:pPr>
        <w:spacing w:after="0" w:line="75" w:lineRule="exact"/>
        <w:rPr>
          <w:rFonts w:ascii="Arial" w:cs="Arial" w:eastAsia="Arial" w:hAnsi="Arial"/>
          <w:sz w:val="18"/>
          <w:szCs w:val="18"/>
          <w:color w:val="auto"/>
        </w:rPr>
      </w:pPr>
    </w:p>
    <w:p>
      <w:pPr>
        <w:ind w:left="1420" w:right="180" w:hanging="439"/>
        <w:spacing w:after="0" w:line="277" w:lineRule="auto"/>
        <w:tabs>
          <w:tab w:leader="none" w:pos="142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Module Two of the Standard Contractual Clauses (</w:t>
      </w:r>
      <w:r>
        <w:rPr>
          <w:rFonts w:ascii="Arial" w:cs="Arial" w:eastAsia="Arial" w:hAnsi="Arial"/>
          <w:sz w:val="18"/>
          <w:szCs w:val="18"/>
          <w:i w:val="1"/>
          <w:iCs w:val="1"/>
          <w:color w:val="auto"/>
        </w:rPr>
        <w:t>Transfer controller to processor</w:t>
      </w:r>
      <w:r>
        <w:rPr>
          <w:rFonts w:ascii="Arial" w:cs="Arial" w:eastAsia="Arial" w:hAnsi="Arial"/>
          <w:sz w:val="18"/>
          <w:szCs w:val="18"/>
          <w:color w:val="auto"/>
        </w:rPr>
        <w:t>) shall apply where the Recipient Vendor Entity, as data importer, is acting as the Transferring AT&amp;T Entity’s Data Processor; and</w:t>
      </w:r>
    </w:p>
    <w:p>
      <w:pPr>
        <w:spacing w:after="0" w:line="75" w:lineRule="exact"/>
        <w:rPr>
          <w:rFonts w:ascii="Arial" w:cs="Arial" w:eastAsia="Arial" w:hAnsi="Arial"/>
          <w:sz w:val="18"/>
          <w:szCs w:val="18"/>
          <w:color w:val="auto"/>
        </w:rPr>
      </w:pPr>
    </w:p>
    <w:p>
      <w:pPr>
        <w:ind w:left="1420" w:right="100" w:hanging="439"/>
        <w:spacing w:after="0" w:line="277" w:lineRule="auto"/>
        <w:tabs>
          <w:tab w:leader="none" w:pos="1420" w:val="left"/>
        </w:tabs>
        <w:numPr>
          <w:ilvl w:val="1"/>
          <w:numId w:val="418"/>
        </w:numPr>
        <w:rPr>
          <w:rFonts w:ascii="Arial" w:cs="Arial" w:eastAsia="Arial" w:hAnsi="Arial"/>
          <w:sz w:val="18"/>
          <w:szCs w:val="18"/>
          <w:color w:val="auto"/>
        </w:rPr>
      </w:pPr>
      <w:r>
        <w:rPr>
          <w:rFonts w:ascii="Arial" w:cs="Arial" w:eastAsia="Arial" w:hAnsi="Arial"/>
          <w:sz w:val="18"/>
          <w:szCs w:val="18"/>
          <w:color w:val="auto"/>
        </w:rPr>
        <w:t>Module Three of the Standard Contractual Clauses (</w:t>
      </w:r>
      <w:r>
        <w:rPr>
          <w:rFonts w:ascii="Arial" w:cs="Arial" w:eastAsia="Arial" w:hAnsi="Arial"/>
          <w:sz w:val="18"/>
          <w:szCs w:val="18"/>
          <w:i w:val="1"/>
          <w:iCs w:val="1"/>
          <w:color w:val="auto"/>
        </w:rPr>
        <w:t>Transfer processor to processor</w:t>
      </w:r>
      <w:r>
        <w:rPr>
          <w:rFonts w:ascii="Arial" w:cs="Arial" w:eastAsia="Arial" w:hAnsi="Arial"/>
          <w:sz w:val="18"/>
          <w:szCs w:val="18"/>
          <w:color w:val="auto"/>
        </w:rPr>
        <w:t>) shall apply where the Recipient Vendor Entity, as data importer, is acting as the Transferring AT&amp;T Entity’s Sub-Data Processor.</w:t>
      </w:r>
    </w:p>
    <w:p>
      <w:pPr>
        <w:spacing w:after="0" w:line="75" w:lineRule="exact"/>
        <w:rPr>
          <w:rFonts w:ascii="Arial" w:cs="Arial" w:eastAsia="Arial" w:hAnsi="Arial"/>
          <w:sz w:val="18"/>
          <w:szCs w:val="18"/>
          <w:color w:val="auto"/>
        </w:rPr>
      </w:pPr>
    </w:p>
    <w:p>
      <w:pPr>
        <w:ind w:left="960" w:right="80" w:hanging="532"/>
        <w:spacing w:after="0" w:line="259" w:lineRule="auto"/>
        <w:tabs>
          <w:tab w:leader="none" w:pos="96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for the purposes of Section II, Clause 8.1 (Module Two) and Section II, Clause 8.1 (Module Three) (as applicable) of the Standard Contractual Clauses, the instructions to the Recipient Vendor Entity shall be an instruction to Process Personal Data strictly as is necessary to perform the services and/or provide the products provided by the Recipient Vendor Entity under the Agreement, which in the case of Module Three constitute the instructions of the relevant Data Controller(s);</w:t>
      </w:r>
    </w:p>
    <w:p>
      <w:pPr>
        <w:spacing w:after="0" w:line="92" w:lineRule="exact"/>
        <w:rPr>
          <w:rFonts w:ascii="Arial" w:cs="Arial" w:eastAsia="Arial" w:hAnsi="Arial"/>
          <w:sz w:val="18"/>
          <w:szCs w:val="18"/>
          <w:color w:val="auto"/>
        </w:rPr>
      </w:pPr>
    </w:p>
    <w:p>
      <w:pPr>
        <w:ind w:left="960" w:right="80" w:hanging="532"/>
        <w:spacing w:after="0" w:line="296" w:lineRule="auto"/>
        <w:tabs>
          <w:tab w:leader="none" w:pos="96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for the purposes of Section II, Clause 8.5 (Module Two) and Section II, Clause 8.5 (Module Three) (as applicable) of the Standard Contractual Clauses, the Recipient Vendor Entity’s storage, erasure and return of Personal Data shall be construed by reference to the provisions regarding deletion and return of Personal Data in the DPA and/or Agreement. In the absence of any such provision, the Transferring AT&amp;T Entity agrees that the Recipient Vendor Entity may delete the Transferred Personal Data in accordance with Section II, Clause 8.5 (Module Two) and Section II, Clause 8.5 (Module Three) of the Standard Contractual Clauses (as applicable); and</w:t>
      </w:r>
    </w:p>
    <w:p>
      <w:pPr>
        <w:spacing w:after="0" w:line="66" w:lineRule="exact"/>
        <w:rPr>
          <w:rFonts w:ascii="Arial" w:cs="Arial" w:eastAsia="Arial" w:hAnsi="Arial"/>
          <w:sz w:val="16"/>
          <w:szCs w:val="16"/>
          <w:color w:val="auto"/>
        </w:rPr>
      </w:pPr>
    </w:p>
    <w:p>
      <w:pPr>
        <w:ind w:left="960" w:right="20" w:hanging="532"/>
        <w:spacing w:after="0" w:line="296" w:lineRule="auto"/>
        <w:tabs>
          <w:tab w:leader="none" w:pos="960" w:val="left"/>
        </w:tabs>
        <w:numPr>
          <w:ilvl w:val="0"/>
          <w:numId w:val="418"/>
        </w:numPr>
        <w:rPr>
          <w:rFonts w:ascii="Arial" w:cs="Arial" w:eastAsia="Arial" w:hAnsi="Arial"/>
          <w:sz w:val="16"/>
          <w:szCs w:val="16"/>
          <w:color w:val="auto"/>
        </w:rPr>
      </w:pPr>
      <w:r>
        <w:rPr>
          <w:rFonts w:ascii="Arial" w:cs="Arial" w:eastAsia="Arial" w:hAnsi="Arial"/>
          <w:sz w:val="16"/>
          <w:szCs w:val="16"/>
          <w:color w:val="auto"/>
        </w:rPr>
        <w:t>for the purposes of Section II, Clause 9 (Module Two) and Section II, Clause 9 (Module Three) (as applicable) of the Standard Contractual Clauses, the Recipient Vendor Entity’s ability to engage subcontractors shall be construed by reference to the provisions regarding the engaging of Sub-Data Processors in the DPA and/or Agreement. In the absence of any such provision, the Recipient Vendor Entity and the Transferring AT&amp;T Entity agree that Option 1 shall apply. Where the DPA and/or Agreement do not specify a time period for the Recipient Vendor Entity to submit requests to authorise or amend new Sub-Data Processors, this time period shall be thirty (30) calendar days.</w:t>
      </w:r>
    </w:p>
    <w:p>
      <w:pPr>
        <w:spacing w:after="0" w:line="53"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Completion of the Annexes of the Standard Contractual Clauses</w:t>
      </w:r>
    </w:p>
    <w:p>
      <w:pPr>
        <w:spacing w:after="0" w:line="131" w:lineRule="exact"/>
        <w:rPr>
          <w:sz w:val="20"/>
          <w:szCs w:val="20"/>
          <w:color w:val="auto"/>
        </w:rPr>
      </w:pPr>
    </w:p>
    <w:p>
      <w:pPr>
        <w:ind w:left="420" w:right="120" w:hanging="431"/>
        <w:spacing w:after="0" w:line="311" w:lineRule="auto"/>
        <w:tabs>
          <w:tab w:leader="none" w:pos="40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Annex I, Part A (</w:t>
      </w:r>
      <w:r>
        <w:rPr>
          <w:rFonts w:ascii="Arial" w:cs="Arial" w:eastAsia="Arial" w:hAnsi="Arial"/>
          <w:sz w:val="16"/>
          <w:szCs w:val="16"/>
          <w:i w:val="1"/>
          <w:iCs w:val="1"/>
          <w:color w:val="auto"/>
        </w:rPr>
        <w:t>List of parties</w:t>
      </w:r>
      <w:r>
        <w:rPr>
          <w:rFonts w:ascii="Arial" w:cs="Arial" w:eastAsia="Arial" w:hAnsi="Arial"/>
          <w:sz w:val="16"/>
          <w:szCs w:val="16"/>
          <w:color w:val="auto"/>
        </w:rPr>
        <w:t>) of the Standard Contractual Clauses is hereby deemed to be completed with: (i) the details of the exporting Transferring AT&amp;T Entity (as data exporter and Data Controller or Data Processor (as applicable)); and (ii) the details of the applicable Recipient Vendor Entity (as data importer and Data Processor or Sub-Data Processor (as applicable)), in each case as set out in the Agreement.</w:t>
      </w:r>
    </w:p>
    <w:p>
      <w:pPr>
        <w:spacing w:after="0" w:line="54" w:lineRule="exact"/>
        <w:rPr>
          <w:sz w:val="20"/>
          <w:szCs w:val="20"/>
          <w:color w:val="auto"/>
        </w:rPr>
      </w:pPr>
    </w:p>
    <w:p>
      <w:pPr>
        <w:ind w:left="420" w:right="880" w:hanging="431"/>
        <w:spacing w:after="0" w:line="277" w:lineRule="auto"/>
        <w:tabs>
          <w:tab w:leader="none" w:pos="400" w:val="left"/>
        </w:tabs>
        <w:rPr>
          <w:sz w:val="20"/>
          <w:szCs w:val="20"/>
          <w:color w:val="auto"/>
        </w:rPr>
      </w:pPr>
      <w:r>
        <w:rPr>
          <w:rFonts w:ascii="Arial" w:cs="Arial" w:eastAsia="Arial" w:hAnsi="Arial"/>
          <w:sz w:val="18"/>
          <w:szCs w:val="18"/>
          <w:color w:val="auto"/>
        </w:rPr>
        <w:t>3.3</w:t>
        <w:tab/>
        <w:t>Annex I, Part B (</w:t>
      </w:r>
      <w:r>
        <w:rPr>
          <w:rFonts w:ascii="Arial" w:cs="Arial" w:eastAsia="Arial" w:hAnsi="Arial"/>
          <w:sz w:val="18"/>
          <w:szCs w:val="18"/>
          <w:i w:val="1"/>
          <w:iCs w:val="1"/>
          <w:color w:val="auto"/>
        </w:rPr>
        <w:t>Description of the transfer</w:t>
      </w:r>
      <w:r>
        <w:rPr>
          <w:rFonts w:ascii="Arial" w:cs="Arial" w:eastAsia="Arial" w:hAnsi="Arial"/>
          <w:sz w:val="18"/>
          <w:szCs w:val="18"/>
          <w:color w:val="auto"/>
        </w:rPr>
        <w:t>) of the Standard Contractual Clauses is hereby deemed to be completed with the following information:</w:t>
      </w:r>
    </w:p>
    <w:p>
      <w:pPr>
        <w:spacing w:after="0" w:line="76" w:lineRule="exact"/>
        <w:rPr>
          <w:sz w:val="20"/>
          <w:szCs w:val="20"/>
          <w:color w:val="auto"/>
        </w:rPr>
      </w:pPr>
    </w:p>
    <w:p>
      <w:pPr>
        <w:ind w:left="960" w:right="40" w:hanging="532"/>
        <w:spacing w:after="0" w:line="277" w:lineRule="auto"/>
        <w:tabs>
          <w:tab w:leader="none" w:pos="9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Categories of Data Subjects whose Personal Data is transferred: such Data Subjects whose Transferred Personal Data is strictly required by the Recipient Vendor Entity (as data importer) to provide the services and/or products;</w:t>
      </w:r>
    </w:p>
    <w:p>
      <w:pPr>
        <w:spacing w:after="0" w:line="75" w:lineRule="exact"/>
        <w:rPr>
          <w:rFonts w:ascii="Arial" w:cs="Arial" w:eastAsia="Arial" w:hAnsi="Arial"/>
          <w:sz w:val="18"/>
          <w:szCs w:val="18"/>
          <w:color w:val="auto"/>
        </w:rPr>
      </w:pPr>
    </w:p>
    <w:p>
      <w:pPr>
        <w:ind w:left="960" w:right="380" w:hanging="532"/>
        <w:spacing w:after="0" w:line="277" w:lineRule="auto"/>
        <w:tabs>
          <w:tab w:leader="none" w:pos="9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Categories of Transferred Personal Data: such Transferred Personal Data as is strictly required by the Recipient Vendor Entity (as data importer) to provide the services and/or products;</w:t>
      </w:r>
    </w:p>
    <w:p>
      <w:pPr>
        <w:spacing w:after="0" w:line="75" w:lineRule="exact"/>
        <w:rPr>
          <w:rFonts w:ascii="Arial" w:cs="Arial" w:eastAsia="Arial" w:hAnsi="Arial"/>
          <w:sz w:val="18"/>
          <w:szCs w:val="18"/>
          <w:color w:val="auto"/>
        </w:rPr>
      </w:pPr>
    </w:p>
    <w:p>
      <w:pPr>
        <w:ind w:left="960" w:right="200" w:hanging="532"/>
        <w:spacing w:after="0" w:line="263" w:lineRule="auto"/>
        <w:tabs>
          <w:tab w:leader="none" w:pos="9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Special categories of Personal Data transferred (if applicable): such special categories of Transferred Personal Data as is strictly required by the Recipient Vendor Entity (as data importer) to provide the services and/or products. The applied restrictions or safeguards are described at clause 4.4 below;</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Frequency of the transfer: regular as required in connection with the provision and receipt of the services and/or products;</w:t>
      </w:r>
    </w:p>
    <w:p>
      <w:pPr>
        <w:spacing w:after="0" w:line="130" w:lineRule="exact"/>
        <w:rPr>
          <w:rFonts w:ascii="Arial" w:cs="Arial" w:eastAsia="Arial" w:hAnsi="Arial"/>
          <w:sz w:val="18"/>
          <w:szCs w:val="18"/>
          <w:color w:val="auto"/>
        </w:rPr>
      </w:pPr>
    </w:p>
    <w:p>
      <w:pPr>
        <w:ind w:left="960" w:right="560" w:hanging="532"/>
        <w:spacing w:after="0" w:line="277" w:lineRule="auto"/>
        <w:tabs>
          <w:tab w:leader="none" w:pos="960" w:val="left"/>
        </w:tabs>
        <w:numPr>
          <w:ilvl w:val="0"/>
          <w:numId w:val="419"/>
        </w:numPr>
        <w:rPr>
          <w:rFonts w:ascii="Arial" w:cs="Arial" w:eastAsia="Arial" w:hAnsi="Arial"/>
          <w:sz w:val="18"/>
          <w:szCs w:val="18"/>
          <w:color w:val="auto"/>
        </w:rPr>
      </w:pPr>
      <w:r>
        <w:rPr>
          <w:rFonts w:ascii="Arial" w:cs="Arial" w:eastAsia="Arial" w:hAnsi="Arial"/>
          <w:sz w:val="18"/>
          <w:szCs w:val="18"/>
          <w:color w:val="auto"/>
        </w:rPr>
        <w:t>Nature and purpose(s) of the data transfer and further Processing: strictly to provide the services and/or products in accordance with applicable Data Protection Laws and the Transferring AT&amp;T Entity’s (as data exporter) instructions;</w:t>
      </w:r>
    </w:p>
    <w:p>
      <w:pPr>
        <w:spacing w:after="0" w:line="75" w:lineRule="exact"/>
        <w:rPr>
          <w:rFonts w:ascii="Arial" w:cs="Arial" w:eastAsia="Arial" w:hAnsi="Arial"/>
          <w:sz w:val="18"/>
          <w:szCs w:val="18"/>
          <w:color w:val="auto"/>
        </w:rPr>
      </w:pPr>
    </w:p>
    <w:p>
      <w:pPr>
        <w:ind w:left="960" w:right="80" w:hanging="532"/>
        <w:spacing w:after="0" w:line="342" w:lineRule="auto"/>
        <w:tabs>
          <w:tab w:leader="none" w:pos="960" w:val="left"/>
        </w:tabs>
        <w:numPr>
          <w:ilvl w:val="0"/>
          <w:numId w:val="419"/>
        </w:numPr>
        <w:rPr>
          <w:rFonts w:ascii="Arial" w:cs="Arial" w:eastAsia="Arial" w:hAnsi="Arial"/>
          <w:sz w:val="16"/>
          <w:szCs w:val="16"/>
          <w:color w:val="auto"/>
        </w:rPr>
      </w:pPr>
      <w:r>
        <w:rPr>
          <w:rFonts w:ascii="Arial" w:cs="Arial" w:eastAsia="Arial" w:hAnsi="Arial"/>
          <w:sz w:val="16"/>
          <w:szCs w:val="16"/>
          <w:color w:val="auto"/>
        </w:rPr>
        <w:t>The period for which the Transferred Personal Data will be retained, or if that is not possible, the criteria used to determine that period: for no longer than is necessary to provide the services and/or products (unless otherwise agreed with the Transferring Customer Entity); and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color w:val="auto"/>
        </w:rPr>
        <w:t>5</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Agreement is not for use or disclosure outside of AT&amp;T, its Affiliates, and its and their third-party representatives, and Supplier except under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ectPr>
          <w:pgSz w:w="11900" w:h="16838" w:orient="portrait"/>
          <w:cols w:equalWidth="0" w:num="1">
            <w:col w:w="11020"/>
          </w:cols>
          <w:pgMar w:left="440" w:top="274" w:right="439" w:bottom="1440" w:gutter="0" w:footer="0" w:header="0"/>
        </w:sectPr>
      </w:pPr>
    </w:p>
    <w:bookmarkStart w:id="342" w:name="page343"/>
    <w:bookmarkEnd w:id="3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53258.A.008</w:t>
      </w:r>
    </w:p>
    <w:p>
      <w:pPr>
        <w:spacing w:after="0" w:line="158" w:lineRule="exact"/>
        <w:rPr>
          <w:sz w:val="20"/>
          <w:szCs w:val="20"/>
          <w:color w:val="auto"/>
        </w:rPr>
      </w:pPr>
    </w:p>
    <w:p>
      <w:pPr>
        <w:ind w:left="444" w:right="1160" w:hanging="4"/>
        <w:spacing w:after="0" w:line="383" w:lineRule="auto"/>
        <w:tabs>
          <w:tab w:leader="none" w:pos="699" w:val="left"/>
        </w:tabs>
        <w:numPr>
          <w:ilvl w:val="0"/>
          <w:numId w:val="420"/>
        </w:numPr>
        <w:rPr>
          <w:rFonts w:ascii="Arial" w:cs="Arial" w:eastAsia="Arial" w:hAnsi="Arial"/>
          <w:sz w:val="18"/>
          <w:szCs w:val="18"/>
          <w:color w:val="auto"/>
        </w:rPr>
      </w:pPr>
      <w:r>
        <w:rPr>
          <w:rFonts w:ascii="Arial" w:cs="Arial" w:eastAsia="Arial" w:hAnsi="Arial"/>
          <w:sz w:val="18"/>
          <w:szCs w:val="18"/>
          <w:color w:val="auto"/>
        </w:rPr>
        <w:t>Subject matter, nature and duration of the Processing in relation to any transfers to (sub-)processors: as per clause 4.3(e) above, in each case in accordance with applicable Data Protection Laws and the data exporter’s instructions.</w:t>
      </w:r>
    </w:p>
    <w:p>
      <w:pPr>
        <w:spacing w:after="0" w:line="1" w:lineRule="exact"/>
        <w:rPr>
          <w:sz w:val="20"/>
          <w:szCs w:val="20"/>
          <w:color w:val="auto"/>
        </w:rPr>
      </w:pPr>
    </w:p>
    <w:p>
      <w:pPr>
        <w:ind w:left="424" w:right="320" w:hanging="431"/>
        <w:spacing w:after="0" w:line="311" w:lineRule="auto"/>
        <w:tabs>
          <w:tab w:leader="none" w:pos="40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Annex II of the Standard Contractual Clauses (</w:t>
      </w:r>
      <w:r>
        <w:rPr>
          <w:rFonts w:ascii="Arial" w:cs="Arial" w:eastAsia="Arial" w:hAnsi="Arial"/>
          <w:sz w:val="16"/>
          <w:szCs w:val="16"/>
          <w:i w:val="1"/>
          <w:iCs w:val="1"/>
          <w:color w:val="auto"/>
        </w:rPr>
        <w:t>The Technical and organisational measures including technical and organisational measures to</w:t>
      </w:r>
      <w:r>
        <w:rPr>
          <w:rFonts w:ascii="Arial" w:cs="Arial" w:eastAsia="Arial" w:hAnsi="Arial"/>
          <w:sz w:val="16"/>
          <w:szCs w:val="16"/>
          <w:color w:val="auto"/>
        </w:rPr>
        <w:t xml:space="preserve"> </w:t>
      </w:r>
      <w:r>
        <w:rPr>
          <w:rFonts w:ascii="Arial" w:cs="Arial" w:eastAsia="Arial" w:hAnsi="Arial"/>
          <w:sz w:val="16"/>
          <w:szCs w:val="16"/>
          <w:i w:val="1"/>
          <w:iCs w:val="1"/>
          <w:color w:val="auto"/>
        </w:rPr>
        <w:t>ensure the security of the data</w:t>
      </w:r>
      <w:r>
        <w:rPr>
          <w:rFonts w:ascii="Arial" w:cs="Arial" w:eastAsia="Arial" w:hAnsi="Arial"/>
          <w:sz w:val="16"/>
          <w:szCs w:val="16"/>
          <w:color w:val="auto"/>
        </w:rPr>
        <w:t>) is hereby deemed to be completed as follows: the Recipient Vendor Entity shall implement and maintain the</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and organisational security measures specified in (i)the DPA and/or Agreement; and (ii) Appendix 1 of this SCC Amendment.</w:t>
      </w:r>
    </w:p>
    <w:p>
      <w:pPr>
        <w:spacing w:after="0" w:line="54" w:lineRule="exact"/>
        <w:rPr>
          <w:sz w:val="20"/>
          <w:szCs w:val="20"/>
          <w:color w:val="auto"/>
        </w:rPr>
      </w:pPr>
    </w:p>
    <w:p>
      <w:pPr>
        <w:ind w:left="424" w:right="160" w:hanging="431"/>
        <w:spacing w:after="0" w:line="277" w:lineRule="auto"/>
        <w:tabs>
          <w:tab w:leader="none" w:pos="404" w:val="left"/>
        </w:tabs>
        <w:rPr>
          <w:sz w:val="20"/>
          <w:szCs w:val="20"/>
          <w:color w:val="auto"/>
        </w:rPr>
      </w:pPr>
      <w:r>
        <w:rPr>
          <w:rFonts w:ascii="Arial" w:cs="Arial" w:eastAsia="Arial" w:hAnsi="Arial"/>
          <w:sz w:val="18"/>
          <w:szCs w:val="18"/>
          <w:color w:val="auto"/>
        </w:rPr>
        <w:t>3.5</w:t>
        <w:tab/>
        <w:t>The Recipient Vendor Entity agrees to execute additional documents (including updates to the Annexes of the Standard Contractual Clauses) and apply additional protections, as may be required by the Data Protection Laws.</w:t>
      </w:r>
    </w:p>
    <w:p>
      <w:pPr>
        <w:spacing w:after="0" w:line="72" w:lineRule="exact"/>
        <w:rPr>
          <w:sz w:val="20"/>
          <w:szCs w:val="20"/>
          <w:color w:val="auto"/>
        </w:rPr>
      </w:pPr>
    </w:p>
    <w:p>
      <w:pPr>
        <w:ind w:left="424" w:hanging="424"/>
        <w:spacing w:after="0"/>
        <w:tabs>
          <w:tab w:leader="none" w:pos="424" w:val="left"/>
        </w:tabs>
        <w:numPr>
          <w:ilvl w:val="0"/>
          <w:numId w:val="421"/>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country requirements</w:t>
      </w:r>
    </w:p>
    <w:p>
      <w:pPr>
        <w:spacing w:after="0" w:line="135" w:lineRule="exact"/>
        <w:rPr>
          <w:sz w:val="20"/>
          <w:szCs w:val="20"/>
          <w:color w:val="auto"/>
        </w:rPr>
      </w:pPr>
    </w:p>
    <w:p>
      <w:pPr>
        <w:ind w:left="424" w:right="20" w:hanging="431"/>
        <w:spacing w:after="0" w:line="257" w:lineRule="auto"/>
        <w:tabs>
          <w:tab w:leader="none" w:pos="404" w:val="left"/>
        </w:tabs>
        <w:rPr>
          <w:sz w:val="20"/>
          <w:szCs w:val="20"/>
          <w:color w:val="auto"/>
        </w:rPr>
      </w:pPr>
      <w:r>
        <w:rPr>
          <w:rFonts w:ascii="Arial" w:cs="Arial" w:eastAsia="Arial" w:hAnsi="Arial"/>
          <w:sz w:val="18"/>
          <w:szCs w:val="18"/>
          <w:color w:val="auto"/>
        </w:rPr>
        <w:t>4.1</w:t>
        <w:tab/>
        <w:t>If a Vendor Party at any time Processes Personal Data originating from AT&amp;T or an AT&amp;T Affiliate in any country which restricts the Processing, export, or use of the Personal Data outside that country (including an Extended EEA Country), the relevant Vendor Party will, on the relevant AT&amp;T or AT&amp;T Affiliate’s instructions, take all necessary actions and execute such agreements as may be required under applicable data protection law in such country to legitimise any Processing or data transfer of Personal Data to the Vendor Party and to ensure an adequate level of protection for the relevant Personal Data.</w:t>
      </w:r>
    </w:p>
    <w:p>
      <w:pPr>
        <w:spacing w:after="0" w:line="93" w:lineRule="exact"/>
        <w:rPr>
          <w:sz w:val="20"/>
          <w:szCs w:val="20"/>
          <w:color w:val="auto"/>
        </w:rPr>
      </w:pPr>
    </w:p>
    <w:p>
      <w:pPr>
        <w:ind w:left="424" w:right="20" w:hanging="431"/>
        <w:spacing w:after="0" w:line="257" w:lineRule="auto"/>
        <w:tabs>
          <w:tab w:leader="none" w:pos="404" w:val="left"/>
        </w:tabs>
        <w:rPr>
          <w:sz w:val="20"/>
          <w:szCs w:val="20"/>
          <w:color w:val="auto"/>
        </w:rPr>
      </w:pPr>
      <w:r>
        <w:rPr>
          <w:rFonts w:ascii="Arial" w:cs="Arial" w:eastAsia="Arial" w:hAnsi="Arial"/>
          <w:sz w:val="18"/>
          <w:szCs w:val="18"/>
          <w:color w:val="auto"/>
        </w:rPr>
        <w:t>4.2</w:t>
        <w:tab/>
        <w:t>In the event that any competent authority holds that a data transfer mechanism relied on by the Parties (including pursuant to clause 5.1 above) is invalid, or any supervisory authority requires transfers of Personal Data made pursuant to such mechanism to be suspended, then AT&amp;T may, at its discretion, require the Vendor Party to cease Processing Personal Data, or co-operate with it to facilitate use of an alternative transfer mechanism, provided, however, that any such instruction of AT&amp;T to cease the Processing Personal Data shall not be construed as a breach of the Vendor’s obligations under the DPA or the Agreement.</w:t>
      </w:r>
    </w:p>
    <w:p>
      <w:pPr>
        <w:spacing w:after="0" w:line="29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How to Execute</w:t>
      </w:r>
    </w:p>
    <w:p>
      <w:pPr>
        <w:spacing w:after="0" w:line="121"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If e-signatures are accepted in your jurisdiction and you elect to execute this SCC Amendment through Adobe (or other e-sign application), follow the prompts to provide the required information and e-signature. Alternatively, this SCC Amendment may be printed, completed and signed as indicated above, and returned to AT&amp;T via email at: sw1371@att.com.</w:t>
      </w:r>
    </w:p>
    <w:p>
      <w:pPr>
        <w:spacing w:after="0" w:line="184" w:lineRule="exact"/>
        <w:rPr>
          <w:sz w:val="20"/>
          <w:szCs w:val="20"/>
          <w:color w:val="auto"/>
        </w:rPr>
      </w:pPr>
    </w:p>
    <w:p>
      <w:pPr>
        <w:ind w:left="4" w:right="480"/>
        <w:spacing w:after="0" w:line="259" w:lineRule="auto"/>
        <w:rPr>
          <w:sz w:val="20"/>
          <w:szCs w:val="20"/>
          <w:color w:val="auto"/>
        </w:rPr>
      </w:pPr>
      <w:r>
        <w:rPr>
          <w:rFonts w:ascii="Arial" w:cs="Arial" w:eastAsia="Arial" w:hAnsi="Arial"/>
          <w:sz w:val="18"/>
          <w:szCs w:val="18"/>
          <w:color w:val="auto"/>
        </w:rPr>
        <w:t>Please note that if you do not sign this SCC Amendment within thirty (30) days receipt but continue to provide your products or services to AT&amp;T and/or AT&amp;T’s Affiliates under the Agreement, such continued provision of products or services will constitute your acceptance of this SCC Amendment and signify your agreement that the DPA and/or the Agreement (as applicable) is deemed to be amended as provided by this SCC Amendment.</w:t>
      </w:r>
    </w:p>
    <w:p>
      <w:pPr>
        <w:spacing w:after="0" w:line="119" w:lineRule="exact"/>
        <w:rPr>
          <w:sz w:val="20"/>
          <w:szCs w:val="20"/>
          <w:color w:val="auto"/>
        </w:rPr>
      </w:pPr>
    </w:p>
    <w:p>
      <w:pPr>
        <w:ind w:left="4"/>
        <w:spacing w:after="0"/>
        <w:rPr>
          <w:sz w:val="20"/>
          <w:szCs w:val="20"/>
          <w:color w:val="auto"/>
        </w:rPr>
      </w:pPr>
      <w:r>
        <w:rPr>
          <w:rFonts w:ascii="Arial" w:cs="Arial" w:eastAsia="Arial" w:hAnsi="Arial"/>
          <w:sz w:val="18"/>
          <w:szCs w:val="18"/>
          <w:color w:val="auto"/>
        </w:rPr>
        <w:t>6</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Proprietary and Confidential</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7"/>
          <w:szCs w:val="17"/>
          <w:color w:val="auto"/>
        </w:rPr>
        <w:t>This Agreement is not for use or disclosure outside of AT&amp;T, its Affiliates, and its and their third-party representatives, and Supplier except under</w:t>
      </w:r>
    </w:p>
    <w:p>
      <w:pPr>
        <w:spacing w:after="0" w:line="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written agreement by the contracting Parties.</w:t>
      </w:r>
    </w:p>
    <w:p>
      <w:pPr>
        <w:sectPr>
          <w:pgSz w:w="11900" w:h="16838" w:orient="portrait"/>
          <w:cols w:equalWidth="0" w:num="1">
            <w:col w:w="11024"/>
          </w:cols>
          <w:pgMar w:left="436" w:top="274" w:right="439" w:bottom="1440" w:gutter="0" w:footer="0" w:header="0"/>
        </w:sectPr>
      </w:pPr>
    </w:p>
    <w:bookmarkStart w:id="343" w:name="page344"/>
    <w:bookmarkEnd w:id="343"/>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by their duly authorized representatives, agree to the terms set forth in this SCC Amendment.</w:t>
      </w:r>
    </w:p>
    <w:p>
      <w:pPr>
        <w:spacing w:after="0" w:line="252" w:lineRule="exact"/>
        <w:rPr>
          <w:sz w:val="20"/>
          <w:szCs w:val="20"/>
          <w:color w:val="auto"/>
        </w:rPr>
      </w:pPr>
    </w:p>
    <w:p>
      <w:pPr>
        <w:ind w:left="5740"/>
        <w:spacing w:after="0"/>
        <w:rPr>
          <w:sz w:val="20"/>
          <w:szCs w:val="20"/>
          <w:color w:val="auto"/>
        </w:rPr>
      </w:pPr>
      <w:r>
        <w:rPr>
          <w:rFonts w:ascii="Arial" w:cs="Arial" w:eastAsia="Arial" w:hAnsi="Arial"/>
          <w:sz w:val="18"/>
          <w:szCs w:val="18"/>
          <w:b w:val="1"/>
          <w:bCs w:val="1"/>
          <w:color w:val="auto"/>
        </w:rPr>
        <w:t xml:space="preserve">AT&amp;T Services, Inc. </w:t>
      </w:r>
      <w:r>
        <w:rPr>
          <w:rFonts w:ascii="Arial" w:cs="Arial" w:eastAsia="Arial" w:hAnsi="Arial"/>
          <w:sz w:val="18"/>
          <w:szCs w:val="18"/>
          <w:color w:val="auto"/>
        </w:rPr>
        <w:t>(for itself and for and on behalf of any AT&amp;T</w:t>
      </w:r>
    </w:p>
    <w:p>
      <w:pPr>
        <w:spacing w:after="0" w:line="27" w:lineRule="exact"/>
        <w:rPr>
          <w:sz w:val="20"/>
          <w:szCs w:val="20"/>
          <w:color w:val="auto"/>
        </w:rPr>
      </w:pPr>
    </w:p>
    <w:p>
      <w:pPr>
        <w:spacing w:after="0"/>
        <w:tabs>
          <w:tab w:leader="none" w:pos="5720" w:val="left"/>
        </w:tabs>
        <w:rPr>
          <w:sz w:val="20"/>
          <w:szCs w:val="20"/>
          <w:color w:val="auto"/>
        </w:rPr>
      </w:pPr>
      <w:r>
        <w:rPr>
          <w:rFonts w:ascii="Arial" w:cs="Arial" w:eastAsia="Arial" w:hAnsi="Arial"/>
          <w:sz w:val="18"/>
          <w:szCs w:val="18"/>
          <w:b w:val="1"/>
          <w:bCs w:val="1"/>
          <w:color w:val="auto"/>
        </w:rPr>
        <w:t>Amdocs Development Limited</w:t>
      </w:r>
      <w:r>
        <w:rPr>
          <w:sz w:val="20"/>
          <w:szCs w:val="20"/>
          <w:color w:val="auto"/>
        </w:rPr>
        <w:tab/>
      </w:r>
      <w:r>
        <w:rPr>
          <w:rFonts w:ascii="Arial" w:cs="Arial" w:eastAsia="Arial" w:hAnsi="Arial"/>
          <w:sz w:val="16"/>
          <w:szCs w:val="16"/>
          <w:color w:val="auto"/>
        </w:rPr>
        <w:t>Affiliate that is party to the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itself and for and on behalf of any Vendor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Affiliate that is party to the Agreement)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220" w:type="dxa"/>
            <w:vAlign w:val="bottom"/>
          </w:tcPr>
          <w:p>
            <w:pPr>
              <w:ind w:left="80"/>
              <w:spacing w:after="0"/>
              <w:rPr>
                <w:sz w:val="20"/>
                <w:szCs w:val="20"/>
                <w:color w:val="auto"/>
              </w:rPr>
            </w:pPr>
            <w:r>
              <w:rPr>
                <w:rFonts w:ascii="Arial" w:cs="Arial" w:eastAsia="Arial" w:hAnsi="Arial"/>
                <w:sz w:val="18"/>
                <w:szCs w:val="18"/>
                <w:color w:val="auto"/>
              </w:rPr>
              <w:t>/s/ Steven Kennedy</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1820" w:type="dxa"/>
            <w:vAlign w:val="bottom"/>
          </w:tcPr>
          <w:p>
            <w:pPr>
              <w:ind w:left="80"/>
              <w:spacing w:after="0"/>
              <w:rPr>
                <w:sz w:val="20"/>
                <w:szCs w:val="20"/>
                <w:color w:val="auto"/>
              </w:rPr>
            </w:pPr>
            <w:r>
              <w:rPr>
                <w:rFonts w:ascii="Arial" w:cs="Arial" w:eastAsia="Arial" w:hAnsi="Arial"/>
                <w:sz w:val="18"/>
                <w:szCs w:val="18"/>
                <w:color w:val="auto"/>
              </w:rPr>
              <w:t>/s/ Steven Wehde</w:t>
            </w:r>
          </w:p>
        </w:tc>
      </w:tr>
      <w:tr>
        <w:trPr>
          <w:trHeight w:val="216"/>
        </w:trPr>
        <w:tc>
          <w:tcPr>
            <w:tcW w:w="560" w:type="dxa"/>
            <w:vAlign w:val="bottom"/>
          </w:tcPr>
          <w:p>
            <w:pPr>
              <w:spacing w:after="0"/>
              <w:rPr>
                <w:sz w:val="18"/>
                <w:szCs w:val="18"/>
                <w:color w:val="auto"/>
              </w:rPr>
            </w:pPr>
          </w:p>
        </w:tc>
        <w:tc>
          <w:tcPr>
            <w:tcW w:w="3220" w:type="dxa"/>
            <w:vAlign w:val="bottom"/>
          </w:tcPr>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Signature</w:t>
            </w:r>
            <w:r>
              <w:rPr>
                <w:rFonts w:ascii="Arial" w:cs="Arial" w:eastAsia="Arial" w:hAnsi="Arial"/>
                <w:sz w:val="18"/>
                <w:szCs w:val="18"/>
                <w:color w:val="auto"/>
              </w:rPr>
              <w:t>)</w:t>
            </w:r>
          </w:p>
        </w:tc>
        <w:tc>
          <w:tcPr>
            <w:tcW w:w="4460" w:type="dxa"/>
            <w:vAlign w:val="bottom"/>
            <w:gridSpan w:val="2"/>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Signature</w:t>
            </w:r>
            <w:r>
              <w:rPr>
                <w:rFonts w:ascii="Arial" w:cs="Arial" w:eastAsia="Arial" w:hAnsi="Arial"/>
                <w:sz w:val="18"/>
                <w:szCs w:val="18"/>
                <w:color w:val="auto"/>
              </w:rPr>
              <w:t>)</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3220" w:type="dxa"/>
            <w:vAlign w:val="bottom"/>
          </w:tcPr>
          <w:p>
            <w:pPr>
              <w:ind w:left="80"/>
              <w:spacing w:after="0"/>
              <w:rPr>
                <w:sz w:val="20"/>
                <w:szCs w:val="20"/>
                <w:color w:val="auto"/>
              </w:rPr>
            </w:pPr>
            <w:r>
              <w:rPr>
                <w:rFonts w:ascii="Arial" w:cs="Arial" w:eastAsia="Arial" w:hAnsi="Arial"/>
                <w:sz w:val="18"/>
                <w:szCs w:val="18"/>
                <w:color w:val="auto"/>
              </w:rPr>
              <w:t>Steven Kennedy</w:t>
            </w:r>
          </w:p>
        </w:tc>
        <w:tc>
          <w:tcPr>
            <w:tcW w:w="2640" w:type="dxa"/>
            <w:vAlign w:val="bottom"/>
          </w:tcPr>
          <w:p>
            <w:pPr>
              <w:ind w:left="2080"/>
              <w:spacing w:after="0"/>
              <w:rPr>
                <w:sz w:val="20"/>
                <w:szCs w:val="20"/>
                <w:color w:val="auto"/>
              </w:rPr>
            </w:pPr>
            <w:r>
              <w:rPr>
                <w:rFonts w:ascii="Arial" w:cs="Arial" w:eastAsia="Arial" w:hAnsi="Arial"/>
                <w:sz w:val="18"/>
                <w:szCs w:val="18"/>
                <w:color w:val="auto"/>
              </w:rPr>
              <w:t>Name:</w:t>
            </w:r>
          </w:p>
        </w:tc>
        <w:tc>
          <w:tcPr>
            <w:tcW w:w="1820" w:type="dxa"/>
            <w:vAlign w:val="bottom"/>
          </w:tcPr>
          <w:p>
            <w:pPr>
              <w:ind w:left="80"/>
              <w:spacing w:after="0"/>
              <w:rPr>
                <w:sz w:val="20"/>
                <w:szCs w:val="20"/>
                <w:color w:val="auto"/>
              </w:rPr>
            </w:pPr>
            <w:r>
              <w:rPr>
                <w:rFonts w:ascii="Arial" w:cs="Arial" w:eastAsia="Arial" w:hAnsi="Arial"/>
                <w:sz w:val="18"/>
                <w:szCs w:val="18"/>
                <w:color w:val="auto"/>
              </w:rPr>
              <w:t>Steve Wehde</w:t>
            </w: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220" w:type="dxa"/>
            <w:vAlign w:val="bottom"/>
          </w:tcPr>
          <w:p>
            <w:pPr>
              <w:ind w:left="80"/>
              <w:spacing w:after="0"/>
              <w:rPr>
                <w:sz w:val="20"/>
                <w:szCs w:val="20"/>
                <w:color w:val="auto"/>
              </w:rPr>
            </w:pPr>
            <w:r>
              <w:rPr>
                <w:rFonts w:ascii="Arial" w:cs="Arial" w:eastAsia="Arial" w:hAnsi="Arial"/>
                <w:sz w:val="18"/>
                <w:szCs w:val="18"/>
                <w:color w:val="auto"/>
              </w:rPr>
              <w:t>Authorized Signatory</w:t>
            </w:r>
          </w:p>
        </w:tc>
        <w:tc>
          <w:tcPr>
            <w:tcW w:w="2640" w:type="dxa"/>
            <w:vAlign w:val="bottom"/>
          </w:tcPr>
          <w:p>
            <w:pPr>
              <w:ind w:left="2080"/>
              <w:spacing w:after="0"/>
              <w:rPr>
                <w:sz w:val="20"/>
                <w:szCs w:val="20"/>
                <w:color w:val="auto"/>
              </w:rPr>
            </w:pPr>
            <w:r>
              <w:rPr>
                <w:rFonts w:ascii="Arial" w:cs="Arial" w:eastAsia="Arial" w:hAnsi="Arial"/>
                <w:sz w:val="18"/>
                <w:szCs w:val="18"/>
                <w:color w:val="auto"/>
              </w:rPr>
              <w:t>Title:</w:t>
            </w:r>
          </w:p>
        </w:tc>
        <w:tc>
          <w:tcPr>
            <w:tcW w:w="1820" w:type="dxa"/>
            <w:vAlign w:val="bottom"/>
          </w:tcPr>
          <w:p>
            <w:pPr>
              <w:ind w:left="80"/>
              <w:spacing w:after="0"/>
              <w:rPr>
                <w:sz w:val="20"/>
                <w:szCs w:val="20"/>
                <w:color w:val="auto"/>
              </w:rPr>
            </w:pPr>
            <w:r>
              <w:rPr>
                <w:rFonts w:ascii="Arial" w:cs="Arial" w:eastAsia="Arial" w:hAnsi="Arial"/>
                <w:sz w:val="18"/>
                <w:szCs w:val="18"/>
                <w:color w:val="auto"/>
                <w:w w:val="89"/>
              </w:rPr>
              <w:t>Lead Sourcing Manager</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220" w:type="dxa"/>
            <w:vAlign w:val="bottom"/>
          </w:tcPr>
          <w:p>
            <w:pPr>
              <w:ind w:left="80"/>
              <w:spacing w:after="0"/>
              <w:rPr>
                <w:sz w:val="20"/>
                <w:szCs w:val="20"/>
                <w:color w:val="auto"/>
              </w:rPr>
            </w:pPr>
            <w:r>
              <w:rPr>
                <w:rFonts w:ascii="Arial" w:cs="Arial" w:eastAsia="Arial" w:hAnsi="Arial"/>
                <w:sz w:val="18"/>
                <w:szCs w:val="18"/>
                <w:color w:val="auto"/>
              </w:rPr>
              <w:t>May 10, 2022</w:t>
            </w:r>
          </w:p>
        </w:tc>
        <w:tc>
          <w:tcPr>
            <w:tcW w:w="2640" w:type="dxa"/>
            <w:vAlign w:val="bottom"/>
          </w:tcPr>
          <w:p>
            <w:pPr>
              <w:ind w:left="2080"/>
              <w:spacing w:after="0"/>
              <w:rPr>
                <w:sz w:val="20"/>
                <w:szCs w:val="20"/>
                <w:color w:val="auto"/>
              </w:rPr>
            </w:pPr>
            <w:r>
              <w:rPr>
                <w:rFonts w:ascii="Arial" w:cs="Arial" w:eastAsia="Arial" w:hAnsi="Arial"/>
                <w:sz w:val="18"/>
                <w:szCs w:val="18"/>
                <w:color w:val="auto"/>
              </w:rPr>
              <w:t>Date:</w:t>
            </w:r>
          </w:p>
        </w:tc>
        <w:tc>
          <w:tcPr>
            <w:tcW w:w="1820" w:type="dxa"/>
            <w:vAlign w:val="bottom"/>
          </w:tcPr>
          <w:p>
            <w:pPr>
              <w:ind w:left="80"/>
              <w:spacing w:after="0"/>
              <w:rPr>
                <w:sz w:val="20"/>
                <w:szCs w:val="20"/>
                <w:color w:val="auto"/>
              </w:rPr>
            </w:pPr>
            <w:r>
              <w:rPr>
                <w:rFonts w:ascii="Arial" w:cs="Arial" w:eastAsia="Arial" w:hAnsi="Arial"/>
                <w:sz w:val="18"/>
                <w:szCs w:val="18"/>
                <w:color w:val="auto"/>
              </w:rPr>
              <w:t>May 2, 2022</w:t>
            </w:r>
          </w:p>
        </w:tc>
      </w:tr>
    </w:tbl>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Agreement is not for use or disclosure outside of AT&amp;T, its Affiliates, and its and their third-party representatives, and Supplier except under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ectPr>
          <w:pgSz w:w="11900" w:h="16838" w:orient="portrait"/>
          <w:cols w:equalWidth="0" w:num="1">
            <w:col w:w="11020"/>
          </w:cols>
          <w:pgMar w:left="440" w:top="274" w:right="439" w:bottom="1440" w:gutter="0" w:footer="0" w:header="0"/>
        </w:sectPr>
      </w:pPr>
    </w:p>
    <w:bookmarkStart w:id="344" w:name="page345"/>
    <w:bookmarkEnd w:id="34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53258.A.008</w:t>
      </w:r>
    </w:p>
    <w:p>
      <w:pPr>
        <w:spacing w:after="0" w:line="177"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Appendix 1 – Security Measures supporting the Standard Contractual Clauses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Recipient Vendor Entity shall apply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Technical:</w:t>
      </w:r>
    </w:p>
    <w:p>
      <w:pPr>
        <w:spacing w:after="0" w:line="131" w:lineRule="exact"/>
        <w:rPr>
          <w:sz w:val="20"/>
          <w:szCs w:val="20"/>
          <w:color w:val="auto"/>
        </w:rPr>
      </w:pPr>
    </w:p>
    <w:p>
      <w:pPr>
        <w:ind w:left="960" w:right="380" w:hanging="532"/>
        <w:spacing w:after="0" w:line="286" w:lineRule="auto"/>
        <w:tabs>
          <w:tab w:leader="none" w:pos="96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Strong encryption that meets industry best practices, is robust against cryptanalysis, is not susceptible to interference or unauthorized access, and for which key access is limited to specific authorized individuals with a need to access Personal Data in order to engage in Processing or, wherever practicable, such key access is limited solely to the Transferring AT&amp;T Entity;</w:t>
      </w:r>
    </w:p>
    <w:p>
      <w:pPr>
        <w:spacing w:after="0" w:line="70" w:lineRule="exact"/>
        <w:rPr>
          <w:rFonts w:ascii="Arial" w:cs="Arial" w:eastAsia="Arial" w:hAnsi="Arial"/>
          <w:sz w:val="17"/>
          <w:szCs w:val="17"/>
          <w:color w:val="auto"/>
        </w:rPr>
      </w:pPr>
    </w:p>
    <w:p>
      <w:pPr>
        <w:ind w:left="960" w:right="140" w:hanging="532"/>
        <w:spacing w:after="0" w:line="263" w:lineRule="auto"/>
        <w:tabs>
          <w:tab w:leader="none" w:pos="9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Wherever practicable with respect to Processing, pseudonymization sufficient to cause Personal Data to no longer be attributable to a specific individual, provided safeguards are in place to prevent re-identification and the algorithmic process or key to re-establish identity is held only by the Transferring AT&amp;T Entity;</w:t>
      </w:r>
    </w:p>
    <w:p>
      <w:pPr>
        <w:spacing w:after="0" w:line="89" w:lineRule="exact"/>
        <w:rPr>
          <w:rFonts w:ascii="Arial" w:cs="Arial" w:eastAsia="Arial" w:hAnsi="Arial"/>
          <w:sz w:val="18"/>
          <w:szCs w:val="18"/>
          <w:color w:val="auto"/>
        </w:rPr>
      </w:pPr>
    </w:p>
    <w:p>
      <w:pPr>
        <w:ind w:left="960" w:right="20" w:hanging="532"/>
        <w:spacing w:after="0" w:line="263" w:lineRule="auto"/>
        <w:tabs>
          <w:tab w:leader="none" w:pos="9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If already the case as at the date of receipt of this SCC Amendment or otherwise practicable, physical locations in which Sensitive Personal Data are Processed will be limited to the applicable Extended EEA Country or countries deemed adequate to receive such Personal Data under the Data Protection Laws of the applicable Extended EEA Country;</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Restrictions to prevent Processing any Personal Data on devices or systems not protected by the Recipient Vendor Entity’s firewall;</w:t>
      </w:r>
    </w:p>
    <w:p>
      <w:pPr>
        <w:spacing w:after="0" w:line="142" w:lineRule="exact"/>
        <w:rPr>
          <w:rFonts w:ascii="Arial" w:cs="Arial" w:eastAsia="Arial" w:hAnsi="Arial"/>
          <w:sz w:val="17"/>
          <w:szCs w:val="17"/>
          <w:color w:val="auto"/>
        </w:rPr>
      </w:pPr>
    </w:p>
    <w:p>
      <w:pPr>
        <w:ind w:left="960" w:right="100" w:hanging="532"/>
        <w:spacing w:after="0" w:line="308" w:lineRule="auto"/>
        <w:tabs>
          <w:tab w:leader="none" w:pos="960" w:val="left"/>
        </w:tabs>
        <w:numPr>
          <w:ilvl w:val="0"/>
          <w:numId w:val="422"/>
        </w:numPr>
        <w:rPr>
          <w:rFonts w:ascii="Arial" w:cs="Arial" w:eastAsia="Arial" w:hAnsi="Arial"/>
          <w:sz w:val="17"/>
          <w:szCs w:val="17"/>
          <w:color w:val="auto"/>
        </w:rPr>
      </w:pPr>
      <w:r>
        <w:rPr>
          <w:rFonts w:ascii="Arial" w:cs="Arial" w:eastAsia="Arial" w:hAnsi="Arial"/>
          <w:sz w:val="17"/>
          <w:szCs w:val="17"/>
          <w:color w:val="auto"/>
        </w:rPr>
        <w:t>Access restrictions to limit Processing to authorized Recipient Vendor Entity workforce and devices authorized explicitly by the Recipient Vendor Entity through proper separation of duties, role-based access, on a need-to-know and least privilege basis;</w:t>
      </w:r>
    </w:p>
    <w:p>
      <w:pPr>
        <w:spacing w:after="0" w:line="51" w:lineRule="exact"/>
        <w:rPr>
          <w:rFonts w:ascii="Arial" w:cs="Arial" w:eastAsia="Arial" w:hAnsi="Arial"/>
          <w:sz w:val="17"/>
          <w:szCs w:val="17"/>
          <w:color w:val="auto"/>
        </w:rPr>
      </w:pPr>
    </w:p>
    <w:p>
      <w:pPr>
        <w:ind w:left="960" w:hanging="532"/>
        <w:spacing w:after="0"/>
        <w:tabs>
          <w:tab w:leader="none" w:pos="96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Multi-factor authentication and use of a virtual private network for any remote access to Recipient Vendor Entity systems or Personal Data;</w:t>
      </w:r>
    </w:p>
    <w:p>
      <w:pPr>
        <w:spacing w:after="0" w:line="153" w:lineRule="exact"/>
        <w:rPr>
          <w:rFonts w:ascii="Arial" w:cs="Arial" w:eastAsia="Arial" w:hAnsi="Arial"/>
          <w:sz w:val="16"/>
          <w:szCs w:val="16"/>
          <w:color w:val="auto"/>
        </w:rPr>
      </w:pPr>
    </w:p>
    <w:p>
      <w:pPr>
        <w:ind w:left="960" w:right="260" w:hanging="532"/>
        <w:spacing w:after="0" w:line="263" w:lineRule="auto"/>
        <w:tabs>
          <w:tab w:leader="none" w:pos="9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Physical security procedures, including the use of monitoring 24 hours /7 days a week, access controls and logs of access, and measures sufficient to prevent physical intrusions to any Recipient Vendor Entity or other Vendor Affiliate’s facility where Personal Data is Processed;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Secure disposal of equipment and physical and electronic media that contain Personal Data;</w:t>
      </w:r>
    </w:p>
    <w:p>
      <w:pPr>
        <w:spacing w:after="0" w:line="130" w:lineRule="exact"/>
        <w:rPr>
          <w:rFonts w:ascii="Arial" w:cs="Arial" w:eastAsia="Arial" w:hAnsi="Arial"/>
          <w:sz w:val="18"/>
          <w:szCs w:val="18"/>
          <w:color w:val="auto"/>
        </w:rPr>
      </w:pPr>
    </w:p>
    <w:p>
      <w:pPr>
        <w:ind w:left="960" w:right="320" w:hanging="532"/>
        <w:spacing w:after="0" w:line="277" w:lineRule="auto"/>
        <w:tabs>
          <w:tab w:leader="none" w:pos="9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Ongoing vulnerability identification, management and remediation of systems including applications, databases, and operating systems used by the Recipient Vendor Entity to Process Personal Data;</w:t>
      </w:r>
    </w:p>
    <w:p>
      <w:pPr>
        <w:spacing w:after="0" w:line="75" w:lineRule="exact"/>
        <w:rPr>
          <w:rFonts w:ascii="Arial" w:cs="Arial" w:eastAsia="Arial" w:hAnsi="Arial"/>
          <w:sz w:val="18"/>
          <w:szCs w:val="18"/>
          <w:color w:val="auto"/>
        </w:rPr>
      </w:pPr>
    </w:p>
    <w:p>
      <w:pPr>
        <w:ind w:left="960" w:right="420" w:hanging="532"/>
        <w:spacing w:after="0" w:line="311" w:lineRule="auto"/>
        <w:tabs>
          <w:tab w:leader="none" w:pos="96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Logging and monitoring to include security events, all critical assets that Process Personal Data, and system components that perform security functions for the Recipient Vendor Entity or other Vendor Affiliate network (e.g., firewalls, IDS/IPS, authentication servers) intended to identify actual or attempted access by unauthorized individuals and anomalous behavior by authenticated users;</w:t>
      </w:r>
    </w:p>
    <w:p>
      <w:pPr>
        <w:spacing w:after="0" w:line="54" w:lineRule="exact"/>
        <w:rPr>
          <w:rFonts w:ascii="Arial" w:cs="Arial" w:eastAsia="Arial" w:hAnsi="Arial"/>
          <w:sz w:val="16"/>
          <w:szCs w:val="16"/>
          <w:color w:val="auto"/>
        </w:rPr>
      </w:pPr>
    </w:p>
    <w:p>
      <w:pPr>
        <w:ind w:left="960" w:right="200" w:hanging="532"/>
        <w:spacing w:after="0" w:line="342" w:lineRule="auto"/>
        <w:tabs>
          <w:tab w:leader="none" w:pos="96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Monitoring, detecting, and restricting the flows of Personal Data on a multi-layered basis, including but not limited to the use of network segmentation, secure configuration of firewalls, intrusion detection and/or prevention systems, denial of service protections;</w:t>
      </w:r>
    </w:p>
    <w:p>
      <w:pPr>
        <w:spacing w:after="0" w:line="29" w:lineRule="exact"/>
        <w:rPr>
          <w:rFonts w:ascii="Arial" w:cs="Arial" w:eastAsia="Arial" w:hAnsi="Arial"/>
          <w:sz w:val="16"/>
          <w:szCs w:val="16"/>
          <w:color w:val="auto"/>
        </w:rPr>
      </w:pPr>
    </w:p>
    <w:p>
      <w:pPr>
        <w:ind w:left="960" w:right="460" w:hanging="532"/>
        <w:spacing w:after="0" w:line="277" w:lineRule="auto"/>
        <w:tabs>
          <w:tab w:leader="none" w:pos="96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Remote work procedures that require “clean desk” standards in place and a remote work management program that limits use to only devices authorized pursuant to Vendor’s security program; and</w:t>
      </w:r>
    </w:p>
    <w:p>
      <w:pPr>
        <w:spacing w:after="0" w:line="75" w:lineRule="exact"/>
        <w:rPr>
          <w:rFonts w:ascii="Arial" w:cs="Arial" w:eastAsia="Arial" w:hAnsi="Arial"/>
          <w:sz w:val="18"/>
          <w:szCs w:val="18"/>
          <w:color w:val="auto"/>
        </w:rPr>
      </w:pPr>
    </w:p>
    <w:p>
      <w:pPr>
        <w:ind w:left="960" w:right="180" w:hanging="532"/>
        <w:spacing w:after="0" w:line="296" w:lineRule="auto"/>
        <w:tabs>
          <w:tab w:leader="none" w:pos="960" w:val="left"/>
        </w:tabs>
        <w:numPr>
          <w:ilvl w:val="0"/>
          <w:numId w:val="422"/>
        </w:numPr>
        <w:rPr>
          <w:rFonts w:ascii="Arial" w:cs="Arial" w:eastAsia="Arial" w:hAnsi="Arial"/>
          <w:sz w:val="16"/>
          <w:szCs w:val="16"/>
          <w:color w:val="auto"/>
        </w:rPr>
      </w:pPr>
      <w:r>
        <w:rPr>
          <w:rFonts w:ascii="Arial" w:cs="Arial" w:eastAsia="Arial" w:hAnsi="Arial"/>
          <w:sz w:val="16"/>
          <w:szCs w:val="16"/>
          <w:color w:val="auto"/>
        </w:rPr>
        <w:t>Recipient Vendor Entity shall, at the request of data Transferring AT&amp;T Entity, promptly provide a copy of its most recent Recipient Vendor Entity SOC2 Type II report, PCI Attestation of Compliance and/or industry certification such as ISO/IEC 27001 or any successor standards for information security management. If Recipient Vendor Entity does not hold such certification, it must conduct, at its own expense no less than annually, an independent third-party audit of Recipient Vendor Entity’s security program and systems, and facilities used to Process Personal Data, with a detailed summary of the report to be provided to the Transferring AT&amp;T Entity.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Agreement is not for use or disclosure outside of AT&amp;T, its Affiliates, and its and their third-party representatives, and Supplier except under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ectPr>
          <w:pgSz w:w="11900" w:h="16838" w:orient="portrait"/>
          <w:cols w:equalWidth="0" w:num="1">
            <w:col w:w="11020"/>
          </w:cols>
          <w:pgMar w:left="440" w:top="274" w:right="439" w:bottom="1440" w:gutter="0" w:footer="0" w:header="0"/>
        </w:sectPr>
      </w:pPr>
    </w:p>
    <w:bookmarkStart w:id="345" w:name="page346"/>
    <w:bookmarkEnd w:id="34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53258.A.008</w:t>
      </w:r>
    </w:p>
    <w:p>
      <w:pPr>
        <w:spacing w:after="0" w:line="181"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foregoing are without prejudice to other measures identified by the Parties in the DPA and/or Agreement (as applicable), including any relevant addendum or exhibit specifying security requirements, which shall take precedence to the extent they require Recipient Vendor Entity to implement more protective measures.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Proprietary and Confidential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This Agreement is not for use or disclosure outside of AT&amp;T, its Affiliates, and its and their third-party representatives, and Supplier except under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ectPr>
          <w:pgSz w:w="11900" w:h="16838" w:orient="portrait"/>
          <w:cols w:equalWidth="0" w:num="1">
            <w:col w:w="11020"/>
          </w:cols>
          <w:pgMar w:left="440" w:top="274" w:right="439" w:bottom="1440" w:gutter="0" w:footer="0" w:header="0"/>
        </w:sectPr>
      </w:pPr>
    </w:p>
    <w:bookmarkStart w:id="346" w:name="page347"/>
    <w:bookmarkEnd w:id="346"/>
    <w:p>
      <w:pPr>
        <w:jc w:val="right"/>
        <w:spacing w:after="0"/>
        <w:rPr>
          <w:sz w:val="20"/>
          <w:szCs w:val="20"/>
          <w:color w:val="auto"/>
        </w:rPr>
      </w:pPr>
      <w:r>
        <w:rPr>
          <w:rFonts w:ascii="Arial" w:cs="Arial" w:eastAsia="Arial" w:hAnsi="Arial"/>
          <w:sz w:val="18"/>
          <w:szCs w:val="18"/>
          <w:b w:val="1"/>
          <w:bCs w:val="1"/>
          <w:color w:val="auto"/>
        </w:rPr>
        <w:t>Exhibit 4.a.4</w:t>
      </w:r>
    </w:p>
    <w:p>
      <w:pPr>
        <w:spacing w:after="0" w:line="229"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Agreement No. 53258.A.009</w:t>
      </w:r>
    </w:p>
    <w:p>
      <w:pPr>
        <w:spacing w:after="0" w:line="24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(I) NOT MATERIAL AND (II) IS THE TYPE THAT THE REGISTRANT TREATS AS PRIVATE OR CONFIDENTIAL</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No. 53258.C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Amdocs Development Limited</w:t>
      </w:r>
    </w:p>
    <w:p>
      <w:pPr>
        <w:spacing w:after="0" w:line="15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47" w:name="page348"/>
    <w:bookmarkEnd w:id="347"/>
    <w:p>
      <w:pPr>
        <w:ind w:left="89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53258.A.009</w:t>
      </w:r>
    </w:p>
    <w:p>
      <w:pPr>
        <w:spacing w:after="0" w:line="177"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(I) NOT MATERIAL AND (II) IS THE TYPE THAT THE REGISTRANT TREATS AS PRIVATE OR CONFIDENTIAL</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 NO. 53258.C</w:t>
      </w:r>
    </w:p>
    <w:p>
      <w:pPr>
        <w:spacing w:after="0" w:line="229"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This Amendment No. 9, effective as of the last date signed by a Party (“Effective Date”) and amending Restated and Amended Master Services and Software License Agreement Number 53258.C, is by and between Amdocs Development Limited, a Cyprus corporation (hereinafter referred to as “Supplier” or “Amdocs”), and AT&amp;T Services, Inc., a Delaware corporation (hereinafter referred to as “AT&amp;T”), each of which may be referred to in the singular as a “Party” or in the plural as the “Parties.”</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ind w:left="4" w:right="2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are parties to the Master Services Agreement No.53258.C entered into on/with the effective date of on February 28,</w:t>
      </w:r>
      <w:r>
        <w:rPr>
          <w:rFonts w:ascii="Arial" w:cs="Arial" w:eastAsia="Arial" w:hAnsi="Arial"/>
          <w:sz w:val="18"/>
          <w:szCs w:val="18"/>
          <w:b w:val="1"/>
          <w:bCs w:val="1"/>
          <w:color w:val="auto"/>
        </w:rPr>
        <w:t xml:space="preserve"> </w:t>
      </w:r>
      <w:r>
        <w:rPr>
          <w:rFonts w:ascii="Arial" w:cs="Arial" w:eastAsia="Arial" w:hAnsi="Arial"/>
          <w:sz w:val="18"/>
          <w:szCs w:val="18"/>
          <w:color w:val="auto"/>
        </w:rPr>
        <w:t>2017 (as previously restated and amended, the “Agreement”); and</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now desire to amend the Agreement as hereinafter set forth.</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as follows:</w:t>
      </w:r>
    </w:p>
    <w:p>
      <w:pPr>
        <w:spacing w:after="0" w:line="252" w:lineRule="exact"/>
        <w:rPr>
          <w:sz w:val="20"/>
          <w:szCs w:val="20"/>
          <w:color w:val="auto"/>
        </w:rPr>
      </w:pPr>
    </w:p>
    <w:p>
      <w:pPr>
        <w:ind w:left="424" w:hanging="424"/>
        <w:spacing w:after="0"/>
        <w:tabs>
          <w:tab w:leader="none" w:pos="424" w:val="left"/>
        </w:tabs>
        <w:numPr>
          <w:ilvl w:val="0"/>
          <w:numId w:val="42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Table 3.24.g </w:t>
      </w:r>
      <w:r>
        <w:rPr>
          <w:rFonts w:ascii="Arial" w:cs="Arial" w:eastAsia="Arial" w:hAnsi="Arial"/>
          <w:sz w:val="18"/>
          <w:szCs w:val="18"/>
          <w:color w:val="auto"/>
        </w:rPr>
        <w:t>is hereby deleted and replaced with the following</w:t>
      </w:r>
      <w:r>
        <w:rPr>
          <w:rFonts w:ascii="Arial" w:cs="Arial" w:eastAsia="Arial" w:hAnsi="Arial"/>
          <w:sz w:val="18"/>
          <w:szCs w:val="18"/>
          <w:b w:val="1"/>
          <w:bCs w:val="1"/>
          <w:color w:val="auto"/>
        </w:rPr>
        <w:t xml:space="preserve"> Table 3.24.g </w:t>
      </w:r>
      <w:r>
        <w:rPr>
          <w:rFonts w:ascii="Arial" w:cs="Arial" w:eastAsia="Arial" w:hAnsi="Arial"/>
          <w:sz w:val="18"/>
          <w:szCs w:val="18"/>
          <w:color w:val="auto"/>
        </w:rPr>
        <w:t>to add additional approved locations:</w:t>
      </w:r>
    </w:p>
    <w:p>
      <w:pPr>
        <w:spacing w:after="0" w:line="158" w:lineRule="exact"/>
        <w:rPr>
          <w:sz w:val="20"/>
          <w:szCs w:val="20"/>
          <w:color w:val="auto"/>
        </w:rPr>
      </w:pPr>
    </w:p>
    <w:p>
      <w:pPr>
        <w:ind w:left="4384"/>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04"/>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348" w:name="page349"/>
    <w:bookmarkEnd w:id="348"/>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b w:val="1"/>
          <w:bCs w:val="1"/>
          <w:color w:val="auto"/>
        </w:rPr>
        <w:t>Table 3.24.g</w:t>
      </w:r>
    </w:p>
    <w:p>
      <w:pPr>
        <w:spacing w:after="0" w:line="248" w:lineRule="exact"/>
        <w:rPr>
          <w:sz w:val="20"/>
          <w:szCs w:val="20"/>
          <w:color w:val="auto"/>
        </w:rPr>
      </w:pPr>
    </w:p>
    <w:p>
      <w:pPr>
        <w:jc w:val="center"/>
        <w:ind w:left="1520"/>
        <w:spacing w:after="0"/>
        <w:rPr>
          <w:sz w:val="20"/>
          <w:szCs w:val="20"/>
          <w:color w:val="auto"/>
        </w:rPr>
      </w:pPr>
      <w:r>
        <w:rPr>
          <w:rFonts w:ascii="Arial" w:cs="Arial" w:eastAsia="Arial" w:hAnsi="Arial"/>
          <w:sz w:val="14"/>
          <w:szCs w:val="14"/>
          <w:b w:val="1"/>
          <w:bCs w:val="1"/>
          <w:color w:val="auto"/>
        </w:rPr>
        <w:t>Countries where services are</w:t>
      </w:r>
    </w:p>
    <w:p>
      <w:pPr>
        <w:jc w:val="center"/>
        <w:ind w:left="1520"/>
        <w:spacing w:after="0" w:line="226" w:lineRule="auto"/>
        <w:rPr>
          <w:sz w:val="20"/>
          <w:szCs w:val="20"/>
          <w:color w:val="auto"/>
        </w:rPr>
      </w:pPr>
      <w:r>
        <w:rPr>
          <w:rFonts w:ascii="Arial" w:cs="Arial" w:eastAsia="Arial" w:hAnsi="Arial"/>
          <w:sz w:val="14"/>
          <w:szCs w:val="14"/>
          <w:b w:val="1"/>
          <w:bCs w:val="1"/>
          <w:color w:val="auto"/>
        </w:rPr>
        <w:t>authorized by AT&amp;T to be</w:t>
      </w:r>
    </w:p>
    <w:p>
      <w:pPr>
        <w:jc w:val="center"/>
        <w:ind w:left="1520"/>
        <w:spacing w:after="0" w:line="221" w:lineRule="auto"/>
        <w:rPr>
          <w:sz w:val="20"/>
          <w:szCs w:val="20"/>
          <w:color w:val="auto"/>
        </w:rPr>
      </w:pPr>
      <w:r>
        <w:rPr>
          <w:rFonts w:ascii="Arial" w:cs="Arial" w:eastAsia="Arial" w:hAnsi="Arial"/>
          <w:sz w:val="14"/>
          <w:szCs w:val="14"/>
          <w:b w:val="1"/>
          <w:bCs w:val="1"/>
          <w:color w:val="auto"/>
        </w:rPr>
        <w:t xml:space="preserve">performed </w:t>
      </w:r>
      <w:r>
        <w:rPr>
          <w:rFonts w:ascii="Arial" w:cs="Arial" w:eastAsia="Arial" w:hAnsi="Arial"/>
          <w:sz w:val="14"/>
          <w:szCs w:val="14"/>
          <w:color w:val="auto"/>
        </w:rPr>
        <w:t>(physical location</w:t>
      </w:r>
    </w:p>
    <w:p>
      <w:pPr>
        <w:jc w:val="center"/>
        <w:ind w:left="1520"/>
        <w:spacing w:after="0" w:line="222" w:lineRule="auto"/>
        <w:rPr>
          <w:sz w:val="20"/>
          <w:szCs w:val="20"/>
          <w:color w:val="auto"/>
        </w:rPr>
      </w:pPr>
      <w:r>
        <w:rPr>
          <w:rFonts w:ascii="Arial" w:cs="Arial" w:eastAsia="Arial" w:hAnsi="Arial"/>
          <w:sz w:val="14"/>
          <w:szCs w:val="14"/>
          <w:color w:val="auto"/>
        </w:rPr>
        <w:t>address is also required if the</w:t>
      </w:r>
    </w:p>
    <w:p>
      <w:pPr>
        <w:jc w:val="center"/>
        <w:ind w:left="1520"/>
        <w:spacing w:after="0" w:line="221" w:lineRule="auto"/>
        <w:rPr>
          <w:sz w:val="20"/>
          <w:szCs w:val="20"/>
          <w:color w:val="auto"/>
        </w:rPr>
      </w:pPr>
      <w:r>
        <w:rPr>
          <w:rFonts w:ascii="Arial" w:cs="Arial" w:eastAsia="Arial" w:hAnsi="Arial"/>
          <w:sz w:val="14"/>
          <w:szCs w:val="14"/>
          <w:color w:val="auto"/>
        </w:rPr>
        <w:t>Services involve Information</w:t>
      </w:r>
    </w:p>
    <w:p>
      <w:pPr>
        <w:jc w:val="center"/>
        <w:ind w:left="1520"/>
        <w:spacing w:after="0" w:line="222" w:lineRule="auto"/>
        <w:rPr>
          <w:sz w:val="20"/>
          <w:szCs w:val="20"/>
          <w:color w:val="auto"/>
        </w:rPr>
      </w:pPr>
      <w:r>
        <w:rPr>
          <w:rFonts w:ascii="Arial" w:cs="Arial" w:eastAsia="Arial" w:hAnsi="Arial"/>
          <w:sz w:val="14"/>
          <w:szCs w:val="14"/>
          <w:color w:val="auto"/>
        </w:rPr>
        <w:t>Technology-related work or if a</w:t>
      </w:r>
    </w:p>
    <w:p>
      <w:pPr>
        <w:jc w:val="center"/>
        <w:ind w:left="1520"/>
        <w:spacing w:after="0" w:line="221" w:lineRule="auto"/>
        <w:rPr>
          <w:sz w:val="20"/>
          <w:szCs w:val="20"/>
          <w:color w:val="auto"/>
        </w:rPr>
      </w:pPr>
      <w:r>
        <w:rPr>
          <w:rFonts w:ascii="Arial" w:cs="Arial" w:eastAsia="Arial" w:hAnsi="Arial"/>
          <w:sz w:val="14"/>
          <w:szCs w:val="14"/>
          <w:color w:val="auto"/>
        </w:rPr>
        <w:t>“virtual” or “work-from-home”</w:t>
      </w:r>
    </w:p>
    <w:p>
      <w:pPr>
        <w:jc w:val="center"/>
        <w:ind w:left="1520"/>
        <w:spacing w:after="0"/>
        <w:rPr>
          <w:sz w:val="20"/>
          <w:szCs w:val="20"/>
          <w:color w:val="auto"/>
        </w:rPr>
      </w:pPr>
      <w:r>
        <w:rPr>
          <w:rFonts w:ascii="Arial" w:cs="Arial" w:eastAsia="Arial" w:hAnsi="Arial"/>
          <w:sz w:val="14"/>
          <w:szCs w:val="14"/>
          <w:color w:val="auto"/>
        </w:rPr>
        <w:t>address is authorized)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520" w:type="dxa"/>
            <w:vAlign w:val="bottom"/>
          </w:tcPr>
          <w:p>
            <w:pPr>
              <w:spacing w:after="0" w:line="195" w:lineRule="exact"/>
              <w:rPr>
                <w:sz w:val="20"/>
                <w:szCs w:val="20"/>
                <w:color w:val="auto"/>
              </w:rPr>
            </w:pPr>
            <w:r>
              <w:rPr>
                <w:rFonts w:ascii="Arial" w:cs="Arial" w:eastAsia="Arial" w:hAnsi="Arial"/>
                <w:sz w:val="18"/>
                <w:szCs w:val="18"/>
                <w:color w:val="auto"/>
              </w:rPr>
              <w:t>Bulgaria</w:t>
            </w:r>
          </w:p>
        </w:tc>
        <w:tc>
          <w:tcPr>
            <w:tcW w:w="5140" w:type="dxa"/>
            <w:vAlign w:val="bottom"/>
            <w:tcBorders>
              <w:top w:val="single" w:sz="8" w:color="auto"/>
            </w:tcBorders>
          </w:tcPr>
          <w:p>
            <w:pPr>
              <w:jc w:val="right"/>
              <w:ind w:right="4650"/>
              <w:spacing w:after="0" w:line="195" w:lineRule="exact"/>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Guatemala</w:t>
            </w:r>
          </w:p>
        </w:tc>
        <w:tc>
          <w:tcPr>
            <w:tcW w:w="5140" w:type="dxa"/>
            <w:vAlign w:val="bottom"/>
          </w:tcPr>
          <w:p>
            <w:pPr>
              <w:jc w:val="right"/>
              <w:ind w:right="465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France</w:t>
            </w:r>
          </w:p>
        </w:tc>
        <w:tc>
          <w:tcPr>
            <w:tcW w:w="5140" w:type="dxa"/>
            <w:vAlign w:val="bottom"/>
          </w:tcPr>
          <w:p>
            <w:pPr>
              <w:jc w:val="right"/>
              <w:ind w:right="4650"/>
              <w:spacing w:after="0"/>
              <w:rPr>
                <w:sz w:val="20"/>
                <w:szCs w:val="20"/>
                <w:color w:val="auto"/>
              </w:rPr>
            </w:pPr>
            <w:r>
              <w:rPr>
                <w:rFonts w:ascii="Arial" w:cs="Arial" w:eastAsia="Arial" w:hAnsi="Arial"/>
                <w:sz w:val="18"/>
                <w:szCs w:val="18"/>
                <w:color w:val="auto"/>
              </w:rPr>
              <w:t>[***]</w:t>
            </w:r>
          </w:p>
        </w:tc>
      </w:tr>
      <w:tr>
        <w:trPr>
          <w:trHeight w:val="216"/>
        </w:trPr>
        <w:tc>
          <w:tcPr>
            <w:tcW w:w="1520" w:type="dxa"/>
            <w:vAlign w:val="bottom"/>
          </w:tcPr>
          <w:p>
            <w:pPr>
              <w:spacing w:after="0"/>
              <w:rPr>
                <w:sz w:val="20"/>
                <w:szCs w:val="20"/>
                <w:color w:val="auto"/>
              </w:rPr>
            </w:pPr>
            <w:r>
              <w:rPr>
                <w:rFonts w:ascii="Arial" w:cs="Arial" w:eastAsia="Arial" w:hAnsi="Arial"/>
                <w:sz w:val="18"/>
                <w:szCs w:val="18"/>
                <w:color w:val="auto"/>
              </w:rPr>
              <w:t>Germany</w:t>
            </w:r>
          </w:p>
        </w:tc>
        <w:tc>
          <w:tcPr>
            <w:tcW w:w="5140" w:type="dxa"/>
            <w:vAlign w:val="bottom"/>
          </w:tcPr>
          <w:p>
            <w:pPr>
              <w:jc w:val="right"/>
              <w:ind w:right="4650"/>
              <w:spacing w:after="0"/>
              <w:rPr>
                <w:sz w:val="20"/>
                <w:szCs w:val="20"/>
                <w:color w:val="auto"/>
              </w:rPr>
            </w:pPr>
            <w:r>
              <w:rPr>
                <w:rFonts w:ascii="Arial" w:cs="Arial" w:eastAsia="Arial" w:hAnsi="Arial"/>
                <w:sz w:val="18"/>
                <w:szCs w:val="18"/>
                <w:color w:val="auto"/>
              </w:rPr>
              <w:t>[***]</w:t>
            </w:r>
          </w:p>
        </w:tc>
      </w:tr>
      <w:tr>
        <w:trPr>
          <w:trHeight w:val="230"/>
        </w:trPr>
        <w:tc>
          <w:tcPr>
            <w:tcW w:w="1520" w:type="dxa"/>
            <w:vAlign w:val="bottom"/>
          </w:tcPr>
          <w:p>
            <w:pPr>
              <w:spacing w:after="0"/>
              <w:rPr>
                <w:sz w:val="20"/>
                <w:szCs w:val="20"/>
                <w:color w:val="auto"/>
              </w:rPr>
            </w:pPr>
            <w:r>
              <w:rPr>
                <w:rFonts w:ascii="Arial" w:cs="Arial" w:eastAsia="Arial" w:hAnsi="Arial"/>
                <w:sz w:val="18"/>
                <w:szCs w:val="18"/>
                <w:color w:val="auto"/>
              </w:rPr>
              <w:t>Australia</w:t>
            </w:r>
          </w:p>
        </w:tc>
        <w:tc>
          <w:tcPr>
            <w:tcW w:w="5140" w:type="dxa"/>
            <w:vAlign w:val="bottom"/>
          </w:tcPr>
          <w:p>
            <w:pPr>
              <w:jc w:val="right"/>
              <w:ind w:right="4650"/>
              <w:spacing w:after="0"/>
              <w:rPr>
                <w:sz w:val="20"/>
                <w:szCs w:val="20"/>
                <w:color w:val="auto"/>
              </w:rPr>
            </w:pPr>
            <w:r>
              <w:rPr>
                <w:rFonts w:ascii="Arial" w:cs="Arial" w:eastAsia="Arial" w:hAnsi="Arial"/>
                <w:sz w:val="18"/>
                <w:szCs w:val="18"/>
                <w:color w:val="auto"/>
              </w:rPr>
              <w:t>[***]</w:t>
            </w:r>
          </w:p>
        </w:tc>
      </w:tr>
    </w:tbl>
    <w:p>
      <w:pPr>
        <w:spacing w:after="0" w:line="130" w:lineRule="exact"/>
        <w:rPr>
          <w:sz w:val="20"/>
          <w:szCs w:val="20"/>
          <w:color w:val="auto"/>
        </w:rPr>
      </w:pPr>
    </w:p>
    <w:p>
      <w:pPr>
        <w:ind w:left="4380"/>
        <w:spacing w:after="0"/>
        <w:rPr>
          <w:sz w:val="20"/>
          <w:szCs w:val="20"/>
          <w:color w:val="auto"/>
        </w:rPr>
      </w:pPr>
      <w:r>
        <w:rPr>
          <w:rFonts w:ascii="Arial" w:cs="Arial" w:eastAsia="Arial" w:hAnsi="Arial"/>
          <w:sz w:val="16"/>
          <w:szCs w:val="16"/>
          <w:b w:val="1"/>
          <w:bCs w:val="1"/>
          <w:color w:val="auto"/>
        </w:rPr>
        <w:t>Proprietary and Confidential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Agreement No. 53258.A.009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color w:val="auto"/>
                <w:w w:val="94"/>
              </w:rPr>
              <w:t>Name of Supplier /</w:t>
            </w:r>
          </w:p>
        </w:tc>
      </w:tr>
      <w:tr>
        <w:trPr>
          <w:trHeight w:val="148"/>
        </w:trPr>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8"/>
              </w:rPr>
              <w:t>Supplier Affiliate,</w:t>
            </w:r>
          </w:p>
        </w:tc>
      </w:tr>
      <w:tr>
        <w:trPr>
          <w:trHeight w:val="148"/>
        </w:trPr>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Cities where</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Services to be</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and/or</w:t>
            </w:r>
          </w:p>
        </w:tc>
      </w:tr>
      <w:tr>
        <w:trPr>
          <w:trHeight w:val="148"/>
        </w:trPr>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services will be</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performed at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1"/>
              </w:rPr>
              <w:t>Subcontractor</w:t>
            </w:r>
          </w:p>
        </w:tc>
      </w:tr>
      <w:tr>
        <w:trPr>
          <w:trHeight w:val="148"/>
        </w:trPr>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performed for</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approved Physical</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5"/>
              </w:rPr>
              <w:t>performing the</w:t>
            </w:r>
          </w:p>
        </w:tc>
      </w:tr>
      <w:tr>
        <w:trPr>
          <w:trHeight w:val="167"/>
        </w:trPr>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rPr>
              <w:t>AT&amp;T</w:t>
            </w: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color w:val="auto"/>
                <w:w w:val="98"/>
              </w:rPr>
              <w:t>Location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services</w:t>
            </w:r>
          </w:p>
        </w:tc>
      </w:tr>
      <w:tr>
        <w:trPr>
          <w:trHeight w:val="195"/>
        </w:trPr>
        <w:tc>
          <w:tcPr>
            <w:tcW w:w="9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0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c>
          <w:tcPr>
            <w:tcW w:w="38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16"/>
        </w:trPr>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r>
      <w:tr>
        <w:trPr>
          <w:trHeight w:val="230"/>
        </w:trPr>
        <w:tc>
          <w:tcPr>
            <w:tcW w:w="900" w:type="dxa"/>
            <w:vAlign w:val="bottom"/>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rPr>
              <w:t>[***]</w:t>
            </w:r>
          </w:p>
        </w:tc>
      </w:tr>
    </w:tbl>
    <w:p>
      <w:pPr>
        <w:spacing w:after="0" w:line="458" w:lineRule="exact"/>
        <w:rPr>
          <w:sz w:val="20"/>
          <w:szCs w:val="20"/>
          <w:color w:val="auto"/>
        </w:rPr>
      </w:pPr>
    </w:p>
    <w:p>
      <w:pPr>
        <w:sectPr>
          <w:pgSz w:w="11900" w:h="16838" w:orient="portrait"/>
          <w:cols w:equalWidth="0" w:num="2">
            <w:col w:w="6660" w:space="580"/>
            <w:col w:w="3780"/>
          </w:cols>
          <w:pgMar w:left="440" w:top="274" w:right="439" w:bottom="1440" w:gutter="0" w:footer="0" w:header="0"/>
        </w:sectPr>
      </w:pPr>
    </w:p>
    <w:p>
      <w:pPr>
        <w:jc w:val="center"/>
        <w:ind w:left="200" w:right="22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type w:val="continuous"/>
        </w:sectPr>
      </w:pPr>
    </w:p>
    <w:bookmarkStart w:id="349" w:name="page350"/>
    <w:bookmarkEnd w:id="3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53258.A.009</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61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Countries where services are</w:t>
            </w: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61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authorized by AT&amp;T to be</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080" w:type="dxa"/>
            <w:vAlign w:val="bottom"/>
          </w:tcPr>
          <w:p>
            <w:pPr>
              <w:spacing w:after="0"/>
              <w:rPr>
                <w:sz w:val="13"/>
                <w:szCs w:val="13"/>
                <w:color w:val="auto"/>
              </w:rPr>
            </w:pPr>
          </w:p>
        </w:tc>
        <w:tc>
          <w:tcPr>
            <w:tcW w:w="6160" w:type="dxa"/>
            <w:vAlign w:val="bottom"/>
            <w:gridSpan w:val="2"/>
          </w:tcPr>
          <w:p>
            <w:pPr>
              <w:jc w:val="center"/>
              <w:ind w:right="580"/>
              <w:spacing w:after="0" w:line="158" w:lineRule="exact"/>
              <w:rPr>
                <w:sz w:val="20"/>
                <w:szCs w:val="20"/>
                <w:color w:val="auto"/>
              </w:rPr>
            </w:pPr>
            <w:r>
              <w:rPr>
                <w:rFonts w:ascii="Arial" w:cs="Arial" w:eastAsia="Arial" w:hAnsi="Arial"/>
                <w:sz w:val="14"/>
                <w:szCs w:val="14"/>
                <w:b w:val="1"/>
                <w:bCs w:val="1"/>
                <w:color w:val="auto"/>
                <w:w w:val="94"/>
              </w:rPr>
              <w:t xml:space="preserve">performed </w:t>
            </w:r>
            <w:r>
              <w:rPr>
                <w:rFonts w:ascii="Arial" w:cs="Arial" w:eastAsia="Arial" w:hAnsi="Arial"/>
                <w:sz w:val="14"/>
                <w:szCs w:val="14"/>
                <w:color w:val="auto"/>
                <w:w w:val="94"/>
              </w:rPr>
              <w:t>(physical location</w:t>
            </w:r>
          </w:p>
        </w:tc>
        <w:tc>
          <w:tcPr>
            <w:tcW w:w="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Arial" w:cs="Arial" w:eastAsia="Arial" w:hAnsi="Arial"/>
                <w:sz w:val="14"/>
                <w:szCs w:val="14"/>
                <w:color w:val="auto"/>
                <w:w w:val="94"/>
              </w:rPr>
              <w:t>Name of Supplier /</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61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2"/>
              </w:rPr>
              <w:t>address is also required if the</w:t>
            </w: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8"/>
              </w:rPr>
              <w:t>Supplier Affiliate,</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61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4"/>
              </w:rPr>
              <w:t>Services involve Information</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Cities where</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Services to be</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0"/>
              </w:rPr>
              <w:t>and/or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61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4"/>
              </w:rPr>
              <w:t>Technology-related work or if a</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services will be</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performed at</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1"/>
              </w:rPr>
              <w:t>Subcontractor</w:t>
            </w:r>
          </w:p>
        </w:tc>
        <w:tc>
          <w:tcPr>
            <w:tcW w:w="0" w:type="dxa"/>
            <w:vAlign w:val="bottom"/>
          </w:tcPr>
          <w:p>
            <w:pPr>
              <w:spacing w:after="0"/>
              <w:rPr>
                <w:sz w:val="1"/>
                <w:szCs w:val="1"/>
                <w:color w:val="auto"/>
              </w:rPr>
            </w:pPr>
          </w:p>
        </w:tc>
      </w:tr>
      <w:tr>
        <w:trPr>
          <w:trHeight w:val="148"/>
        </w:trPr>
        <w:tc>
          <w:tcPr>
            <w:tcW w:w="1080" w:type="dxa"/>
            <w:vAlign w:val="bottom"/>
          </w:tcPr>
          <w:p>
            <w:pPr>
              <w:spacing w:after="0"/>
              <w:rPr>
                <w:sz w:val="12"/>
                <w:szCs w:val="12"/>
                <w:color w:val="auto"/>
              </w:rPr>
            </w:pPr>
          </w:p>
        </w:tc>
        <w:tc>
          <w:tcPr>
            <w:tcW w:w="61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rPr>
              <w:t>“virtual” or “work-from-home”</w:t>
            </w: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5"/>
              </w:rPr>
              <w:t>performed for</w:t>
            </w:r>
          </w:p>
        </w:tc>
        <w:tc>
          <w:tcPr>
            <w:tcW w:w="14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w w:val="90"/>
              </w:rPr>
              <w:t>approved Physical</w:t>
            </w:r>
          </w:p>
        </w:tc>
        <w:tc>
          <w:tcPr>
            <w:tcW w:w="1120" w:type="dxa"/>
            <w:vAlign w:val="bottom"/>
          </w:tcPr>
          <w:p>
            <w:pPr>
              <w:jc w:val="center"/>
              <w:spacing w:after="0" w:line="149" w:lineRule="exact"/>
              <w:rPr>
                <w:sz w:val="20"/>
                <w:szCs w:val="20"/>
                <w:color w:val="auto"/>
              </w:rPr>
            </w:pPr>
            <w:r>
              <w:rPr>
                <w:rFonts w:ascii="Arial" w:cs="Arial" w:eastAsia="Arial" w:hAnsi="Arial"/>
                <w:sz w:val="14"/>
                <w:szCs w:val="14"/>
                <w:color w:val="auto"/>
                <w:w w:val="95"/>
              </w:rPr>
              <w:t>performing the</w:t>
            </w:r>
          </w:p>
        </w:tc>
        <w:tc>
          <w:tcPr>
            <w:tcW w:w="0" w:type="dxa"/>
            <w:vAlign w:val="bottom"/>
          </w:tcPr>
          <w:p>
            <w:pPr>
              <w:spacing w:after="0"/>
              <w:rPr>
                <w:sz w:val="1"/>
                <w:szCs w:val="1"/>
                <w:color w:val="auto"/>
              </w:rPr>
            </w:pPr>
          </w:p>
        </w:tc>
      </w:tr>
      <w:tr>
        <w:trPr>
          <w:trHeight w:val="176"/>
        </w:trPr>
        <w:tc>
          <w:tcPr>
            <w:tcW w:w="1080" w:type="dxa"/>
            <w:vAlign w:val="bottom"/>
            <w:vMerge w:val="restart"/>
          </w:tcPr>
          <w:p>
            <w:pPr>
              <w:spacing w:after="0"/>
              <w:rPr>
                <w:sz w:val="20"/>
                <w:szCs w:val="20"/>
                <w:color w:val="auto"/>
              </w:rPr>
            </w:pPr>
            <w:r>
              <w:rPr>
                <w:rFonts w:ascii="Arial" w:cs="Arial" w:eastAsia="Arial" w:hAnsi="Arial"/>
                <w:sz w:val="18"/>
                <w:szCs w:val="18"/>
                <w:color w:val="auto"/>
              </w:rPr>
              <w:t>Peru</w:t>
            </w:r>
          </w:p>
        </w:tc>
        <w:tc>
          <w:tcPr>
            <w:tcW w:w="6160" w:type="dxa"/>
            <w:vAlign w:val="bottom"/>
            <w:gridSpan w:val="2"/>
          </w:tcPr>
          <w:p>
            <w:pPr>
              <w:jc w:val="center"/>
              <w:ind w:right="580"/>
              <w:spacing w:after="0"/>
              <w:rPr>
                <w:sz w:val="20"/>
                <w:szCs w:val="20"/>
                <w:color w:val="auto"/>
              </w:rPr>
            </w:pPr>
            <w:r>
              <w:rPr>
                <w:rFonts w:ascii="Arial" w:cs="Arial" w:eastAsia="Arial" w:hAnsi="Arial"/>
                <w:sz w:val="14"/>
                <w:szCs w:val="14"/>
                <w:color w:val="auto"/>
                <w:w w:val="91"/>
              </w:rPr>
              <w:t>address is authorized)</w:t>
            </w: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color w:val="auto"/>
              </w:rPr>
              <w:t>AT&amp;T</w:t>
            </w: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color w:val="auto"/>
                <w:w w:val="98"/>
              </w:rPr>
              <w:t>Location</w:t>
            </w:r>
          </w:p>
        </w:tc>
        <w:tc>
          <w:tcPr>
            <w:tcW w:w="1120" w:type="dxa"/>
            <w:vAlign w:val="bottom"/>
          </w:tcPr>
          <w:p>
            <w:pPr>
              <w:jc w:val="center"/>
              <w:spacing w:after="0"/>
              <w:rPr>
                <w:sz w:val="20"/>
                <w:szCs w:val="20"/>
                <w:color w:val="auto"/>
              </w:rPr>
            </w:pPr>
            <w:r>
              <w:rPr>
                <w:rFonts w:ascii="Arial" w:cs="Arial" w:eastAsia="Arial" w:hAnsi="Arial"/>
                <w:sz w:val="14"/>
                <w:szCs w:val="14"/>
                <w:color w:val="auto"/>
                <w:w w:val="93"/>
              </w:rPr>
              <w:t>services</w:t>
            </w:r>
          </w:p>
        </w:tc>
        <w:tc>
          <w:tcPr>
            <w:tcW w:w="0" w:type="dxa"/>
            <w:vAlign w:val="bottom"/>
          </w:tcPr>
          <w:p>
            <w:pPr>
              <w:spacing w:after="0"/>
              <w:rPr>
                <w:sz w:val="1"/>
                <w:szCs w:val="1"/>
                <w:color w:val="auto"/>
              </w:rPr>
            </w:pPr>
          </w:p>
        </w:tc>
      </w:tr>
      <w:tr>
        <w:trPr>
          <w:trHeight w:val="224"/>
        </w:trPr>
        <w:tc>
          <w:tcPr>
            <w:tcW w:w="1080" w:type="dxa"/>
            <w:vAlign w:val="bottom"/>
            <w:vMerge w:val="continue"/>
          </w:tcPr>
          <w:p>
            <w:pPr>
              <w:spacing w:after="0"/>
              <w:rPr>
                <w:sz w:val="19"/>
                <w:szCs w:val="19"/>
                <w:color w:val="auto"/>
              </w:rPr>
            </w:pPr>
          </w:p>
        </w:tc>
        <w:tc>
          <w:tcPr>
            <w:tcW w:w="5580" w:type="dxa"/>
            <w:vAlign w:val="bottom"/>
            <w:tcBorders>
              <w:top w:val="single" w:sz="8" w:color="auto"/>
            </w:tcBorders>
          </w:tcPr>
          <w:p>
            <w:pPr>
              <w:jc w:val="right"/>
              <w:ind w:right="5126"/>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Original signatures transmitted and received via facsimile or other electronic transmission of a scanned document, (e.g., .pdf or similar format) are true and valid signatures for all purposes hereunder and shall bind the Parties to the same extent as that of an original signature. This Amendment may be executed in multiple counterparts, each of which shall be deemed to constitute an original but all of which together shall constitute only one document.</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caused this Amendment to Agreement No. 53258.C to be executed, as of the date the last Party signs.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w:t>
            </w:r>
          </w:p>
        </w:tc>
        <w:tc>
          <w:tcPr>
            <w:tcW w:w="48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740" w:type="dxa"/>
            <w:vAlign w:val="bottom"/>
          </w:tcPr>
          <w:p>
            <w:pPr>
              <w:spacing w:after="0"/>
              <w:rPr>
                <w:sz w:val="20"/>
                <w:szCs w:val="20"/>
                <w:color w:val="auto"/>
              </w:rPr>
            </w:pPr>
          </w:p>
        </w:tc>
      </w:tr>
      <w:tr>
        <w:trPr>
          <w:trHeight w:val="459"/>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Amdocs Development Limited</w:t>
            </w:r>
          </w:p>
        </w:tc>
        <w:tc>
          <w:tcPr>
            <w:tcW w:w="5520" w:type="dxa"/>
            <w:vAlign w:val="bottom"/>
            <w:gridSpan w:val="2"/>
          </w:tcPr>
          <w:p>
            <w:pPr>
              <w:ind w:left="14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Kennedy</w:t>
            </w:r>
          </w:p>
        </w:tc>
        <w:tc>
          <w:tcPr>
            <w:tcW w:w="780" w:type="dxa"/>
            <w:vAlign w:val="bottom"/>
          </w:tcPr>
          <w:p>
            <w:pPr>
              <w:ind w:left="140"/>
              <w:spacing w:after="0"/>
              <w:rPr>
                <w:sz w:val="20"/>
                <w:szCs w:val="20"/>
                <w:color w:val="auto"/>
              </w:rPr>
            </w:pPr>
            <w:r>
              <w:rPr>
                <w:rFonts w:ascii="Arial" w:cs="Arial" w:eastAsia="Arial" w:hAnsi="Arial"/>
                <w:sz w:val="18"/>
                <w:szCs w:val="18"/>
                <w:color w:val="auto"/>
              </w:rPr>
              <w:t>By:</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Wehde</w:t>
            </w: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Steven Kennedy</w:t>
            </w:r>
          </w:p>
        </w:tc>
        <w:tc>
          <w:tcPr>
            <w:tcW w:w="780" w:type="dxa"/>
            <w:vAlign w:val="bottom"/>
          </w:tcPr>
          <w:p>
            <w:pPr>
              <w:ind w:left="140"/>
              <w:spacing w:after="0"/>
              <w:rPr>
                <w:sz w:val="20"/>
                <w:szCs w:val="20"/>
                <w:color w:val="auto"/>
              </w:rPr>
            </w:pPr>
            <w:r>
              <w:rPr>
                <w:rFonts w:ascii="Arial" w:cs="Arial" w:eastAsia="Arial" w:hAnsi="Arial"/>
                <w:sz w:val="18"/>
                <w:szCs w:val="18"/>
                <w:color w:val="auto"/>
              </w:rPr>
              <w:t>Name: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Steve Wehde</w:t>
            </w: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Signatory</w:t>
            </w:r>
          </w:p>
        </w:tc>
        <w:tc>
          <w:tcPr>
            <w:tcW w:w="780" w:type="dxa"/>
            <w:vAlign w:val="bottom"/>
          </w:tcPr>
          <w:p>
            <w:pPr>
              <w:ind w:left="140"/>
              <w:spacing w:after="0"/>
              <w:rPr>
                <w:sz w:val="20"/>
                <w:szCs w:val="20"/>
                <w:color w:val="auto"/>
              </w:rPr>
            </w:pPr>
            <w:r>
              <w:rPr>
                <w:rFonts w:ascii="Arial" w:cs="Arial" w:eastAsia="Arial" w:hAnsi="Arial"/>
                <w:sz w:val="18"/>
                <w:szCs w:val="18"/>
                <w:color w:val="auto"/>
              </w:rPr>
              <w:t>Title: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Lead Sourcing Manager</w:t>
            </w:r>
          </w:p>
        </w:tc>
      </w:tr>
      <w:tr>
        <w:trPr>
          <w:trHeight w:val="439"/>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9, 2022</w:t>
            </w:r>
          </w:p>
        </w:tc>
        <w:tc>
          <w:tcPr>
            <w:tcW w:w="780" w:type="dxa"/>
            <w:vAlign w:val="bottom"/>
          </w:tcPr>
          <w:p>
            <w:pPr>
              <w:ind w:left="140"/>
              <w:spacing w:after="0"/>
              <w:rPr>
                <w:sz w:val="20"/>
                <w:szCs w:val="20"/>
                <w:color w:val="auto"/>
              </w:rPr>
            </w:pPr>
            <w:r>
              <w:rPr>
                <w:rFonts w:ascii="Arial" w:cs="Arial" w:eastAsia="Arial" w:hAnsi="Arial"/>
                <w:sz w:val="18"/>
                <w:szCs w:val="18"/>
                <w:color w:val="auto"/>
              </w:rPr>
              <w:t>Date:</w:t>
            </w:r>
          </w:p>
        </w:tc>
        <w:tc>
          <w:tcPr>
            <w:tcW w:w="4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June 9, 2022</w:t>
            </w:r>
          </w:p>
        </w:tc>
      </w:tr>
    </w:tbl>
    <w:p>
      <w:pPr>
        <w:spacing w:after="0" w:line="14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50" w:name="page351"/>
    <w:bookmarkEnd w:id="350"/>
    <w:p>
      <w:pPr>
        <w:jc w:val="right"/>
        <w:spacing w:after="0"/>
        <w:rPr>
          <w:sz w:val="20"/>
          <w:szCs w:val="20"/>
          <w:color w:val="auto"/>
        </w:rPr>
      </w:pPr>
      <w:r>
        <w:rPr>
          <w:rFonts w:ascii="Arial" w:cs="Arial" w:eastAsia="Arial" w:hAnsi="Arial"/>
          <w:sz w:val="18"/>
          <w:szCs w:val="18"/>
          <w:b w:val="1"/>
          <w:bCs w:val="1"/>
          <w:color w:val="auto"/>
        </w:rPr>
        <w:t>Exhibit 4.a.5</w:t>
      </w:r>
    </w:p>
    <w:p>
      <w:pPr>
        <w:spacing w:after="0" w:line="229" w:lineRule="exact"/>
        <w:rPr>
          <w:sz w:val="20"/>
          <w:szCs w:val="20"/>
          <w:color w:val="auto"/>
        </w:rPr>
      </w:pPr>
    </w:p>
    <w:p>
      <w:pPr>
        <w:ind w:left="8920"/>
        <w:spacing w:after="0"/>
        <w:rPr>
          <w:sz w:val="20"/>
          <w:szCs w:val="20"/>
          <w:color w:val="auto"/>
        </w:rPr>
      </w:pPr>
      <w:r>
        <w:rPr>
          <w:rFonts w:ascii="Arial" w:cs="Arial" w:eastAsia="Arial" w:hAnsi="Arial"/>
          <w:sz w:val="16"/>
          <w:szCs w:val="16"/>
          <w:color w:val="auto"/>
        </w:rPr>
        <w:t>Agreement No. 53258.A.010</w:t>
      </w:r>
    </w:p>
    <w:p>
      <w:pPr>
        <w:spacing w:after="0" w:line="24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(I) NOT MATERIAL AND (II) IS THE TYPE THAT THE REGISTRANT TREATS AS PRIVATE OR CONFIDENTIAL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Amendment 10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Agreement No. 53258.C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AT&amp;T Services,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1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Amdocs Development Limited</w:t>
      </w:r>
    </w:p>
    <w:p>
      <w:pPr>
        <w:spacing w:after="0" w:line="154"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0"/>
          </w:cols>
          <w:pgMar w:left="440" w:top="121" w:right="439" w:bottom="1440" w:gutter="0" w:footer="0" w:header="0"/>
        </w:sectPr>
      </w:pPr>
    </w:p>
    <w:bookmarkStart w:id="351" w:name="page352"/>
    <w:bookmarkEnd w:id="351"/>
    <w:p>
      <w:pPr>
        <w:ind w:left="892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53258.A.010</w:t>
      </w:r>
    </w:p>
    <w:p>
      <w:pPr>
        <w:spacing w:after="0" w:line="177"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CERTAIN IDENTIFIED INFORMATION HAS BEEN EXCLUDED FROM THE EXHIBIT BECAUSE IT IS BOTH (I) NOT MATERIAL AND (II) IS THE TYPE THAT THE REGISTRANT TREATS AS PRIVATE OR CONFIDENTIAL</w:t>
      </w:r>
    </w:p>
    <w:p>
      <w:pPr>
        <w:spacing w:after="0" w:line="378"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AMENDMENT NO.10</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AGREEMENT NO. 53258.C</w:t>
      </w:r>
    </w:p>
    <w:p>
      <w:pPr>
        <w:spacing w:after="0" w:line="121" w:lineRule="exact"/>
        <w:rPr>
          <w:sz w:val="20"/>
          <w:szCs w:val="20"/>
          <w:color w:val="auto"/>
        </w:rPr>
      </w:pPr>
    </w:p>
    <w:p>
      <w:pPr>
        <w:ind w:left="4" w:right="260"/>
        <w:spacing w:after="0" w:line="259" w:lineRule="auto"/>
        <w:rPr>
          <w:sz w:val="20"/>
          <w:szCs w:val="20"/>
          <w:color w:val="auto"/>
        </w:rPr>
      </w:pPr>
      <w:r>
        <w:rPr>
          <w:rFonts w:ascii="Arial" w:cs="Arial" w:eastAsia="Arial" w:hAnsi="Arial"/>
          <w:sz w:val="18"/>
          <w:szCs w:val="18"/>
          <w:color w:val="auto"/>
        </w:rPr>
        <w:t>This Amendment No. 10, effective as of the last date signed by a Party (“Effective Date”) and amending Restated and Amended Master Services and Software License Agreement Number 53258.C, is by and between Amdocs Development Limited, a Cyprus corporation (hereinafter referred to as “Supplier” or “Amdocs”), and AT&amp;T Services, Inc., a Delaware corporation (hereinafter referred to as “AT&amp;T”), each of which may be referred to in the singular as a “Party” or in the plural as the “Parties.”</w:t>
      </w:r>
    </w:p>
    <w:p>
      <w:pPr>
        <w:spacing w:after="0" w:line="39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WITNESSETH</w:t>
      </w:r>
    </w:p>
    <w:p>
      <w:pPr>
        <w:spacing w:after="0" w:line="117" w:lineRule="exact"/>
        <w:rPr>
          <w:sz w:val="20"/>
          <w:szCs w:val="20"/>
          <w:color w:val="auto"/>
        </w:rPr>
      </w:pPr>
    </w:p>
    <w:p>
      <w:pPr>
        <w:ind w:left="4" w:right="18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are parties to the Restated and Amended Master Services and Software License Agreement No.53258.C entered into</w:t>
      </w:r>
      <w:r>
        <w:rPr>
          <w:rFonts w:ascii="Arial" w:cs="Arial" w:eastAsia="Arial" w:hAnsi="Arial"/>
          <w:sz w:val="18"/>
          <w:szCs w:val="18"/>
          <w:b w:val="1"/>
          <w:bCs w:val="1"/>
          <w:color w:val="auto"/>
        </w:rPr>
        <w:t xml:space="preserve"> </w:t>
      </w:r>
      <w:r>
        <w:rPr>
          <w:rFonts w:ascii="Arial" w:cs="Arial" w:eastAsia="Arial" w:hAnsi="Arial"/>
          <w:sz w:val="18"/>
          <w:szCs w:val="18"/>
          <w:color w:val="auto"/>
        </w:rPr>
        <w:t>on/with the effective date of February 28, 2017 (as previously restated and amended, the “Agreement”); and</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Supplier and AT&amp;T now desire to amend the Agreement as hereinafter set forth.</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the covenants hereinafter contained, the Parties hereto agree as follows:</w:t>
      </w:r>
    </w:p>
    <w:p>
      <w:pPr>
        <w:spacing w:after="0" w:line="131" w:lineRule="exact"/>
        <w:rPr>
          <w:sz w:val="20"/>
          <w:szCs w:val="20"/>
          <w:color w:val="auto"/>
        </w:rPr>
      </w:pPr>
    </w:p>
    <w:p>
      <w:pPr>
        <w:ind w:left="424" w:hanging="424"/>
        <w:spacing w:after="0"/>
        <w:tabs>
          <w:tab w:leader="none" w:pos="424" w:val="left"/>
        </w:tabs>
        <w:numPr>
          <w:ilvl w:val="0"/>
          <w:numId w:val="424"/>
        </w:numPr>
        <w:rPr>
          <w:rFonts w:ascii="Arial" w:cs="Arial" w:eastAsia="Arial" w:hAnsi="Arial"/>
          <w:sz w:val="18"/>
          <w:szCs w:val="18"/>
          <w:b w:val="1"/>
          <w:bCs w:val="1"/>
          <w:color w:val="auto"/>
        </w:rPr>
      </w:pPr>
      <w:r>
        <w:rPr>
          <w:rFonts w:ascii="Arial" w:cs="Arial" w:eastAsia="Arial" w:hAnsi="Arial"/>
          <w:sz w:val="18"/>
          <w:szCs w:val="18"/>
          <w:color w:val="auto"/>
        </w:rPr>
        <w:t xml:space="preserve">Revise </w:t>
      </w:r>
      <w:r>
        <w:rPr>
          <w:rFonts w:ascii="Arial" w:cs="Arial" w:eastAsia="Arial" w:hAnsi="Arial"/>
          <w:sz w:val="18"/>
          <w:szCs w:val="18"/>
          <w:b w:val="1"/>
          <w:bCs w:val="1"/>
          <w:color w:val="auto"/>
        </w:rPr>
        <w:t>Section 1.3 Term of Agreement</w:t>
      </w:r>
      <w:r>
        <w:rPr>
          <w:rFonts w:ascii="Arial" w:cs="Arial" w:eastAsia="Arial" w:hAnsi="Arial"/>
          <w:sz w:val="18"/>
          <w:szCs w:val="18"/>
          <w:color w:val="auto"/>
        </w:rPr>
        <w:t xml:space="preserve"> to change the Expiration Date to October 15, 2025.</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424"/>
        </w:numPr>
        <w:rPr>
          <w:rFonts w:ascii="Arial" w:cs="Arial" w:eastAsia="Arial" w:hAnsi="Arial"/>
          <w:sz w:val="18"/>
          <w:szCs w:val="18"/>
          <w:b w:val="1"/>
          <w:bCs w:val="1"/>
          <w:color w:val="auto"/>
        </w:rPr>
      </w:pPr>
      <w:r>
        <w:rPr>
          <w:rFonts w:ascii="Arial" w:cs="Arial" w:eastAsia="Arial" w:hAnsi="Arial"/>
          <w:sz w:val="18"/>
          <w:szCs w:val="18"/>
          <w:color w:val="auto"/>
        </w:rPr>
        <w:t xml:space="preserve">To add a new </w:t>
      </w:r>
      <w:r>
        <w:rPr>
          <w:rFonts w:ascii="Arial" w:cs="Arial" w:eastAsia="Arial" w:hAnsi="Arial"/>
          <w:sz w:val="18"/>
          <w:szCs w:val="18"/>
          <w:b w:val="1"/>
          <w:bCs w:val="1"/>
          <w:color w:val="auto"/>
        </w:rPr>
        <w:t>Appendix P (Supplier Supplemental SaaS Terms)</w:t>
      </w:r>
      <w:r>
        <w:rPr>
          <w:rFonts w:ascii="Arial" w:cs="Arial" w:eastAsia="Arial" w:hAnsi="Arial"/>
          <w:sz w:val="18"/>
          <w:szCs w:val="18"/>
          <w:color w:val="auto"/>
        </w:rPr>
        <w:t xml:space="preserve"> to the Agreement as attached hereto.</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424"/>
        </w:numPr>
        <w:rPr>
          <w:rFonts w:ascii="Arial" w:cs="Arial" w:eastAsia="Arial" w:hAnsi="Arial"/>
          <w:sz w:val="18"/>
          <w:szCs w:val="18"/>
          <w:b w:val="1"/>
          <w:bCs w:val="1"/>
          <w:color w:val="auto"/>
        </w:rPr>
      </w:pPr>
      <w:r>
        <w:rPr>
          <w:rFonts w:ascii="Arial" w:cs="Arial" w:eastAsia="Arial" w:hAnsi="Arial"/>
          <w:sz w:val="18"/>
          <w:szCs w:val="18"/>
          <w:color w:val="auto"/>
        </w:rPr>
        <w:t xml:space="preserve">The add the following </w:t>
      </w:r>
      <w:r>
        <w:rPr>
          <w:rFonts w:ascii="Arial" w:cs="Arial" w:eastAsia="Arial" w:hAnsi="Arial"/>
          <w:sz w:val="18"/>
          <w:szCs w:val="18"/>
          <w:b w:val="1"/>
          <w:bCs w:val="1"/>
          <w:color w:val="auto"/>
        </w:rPr>
        <w:t>new Section 3.46 (Hiring of Employees)</w:t>
      </w:r>
      <w:r>
        <w:rPr>
          <w:rFonts w:ascii="Arial" w:cs="Arial" w:eastAsia="Arial" w:hAnsi="Arial"/>
          <w:sz w:val="18"/>
          <w:szCs w:val="18"/>
          <w:color w:val="auto"/>
        </w:rPr>
        <w:t xml:space="preserve"> to the Agreement:</w:t>
      </w:r>
    </w:p>
    <w:p>
      <w:pPr>
        <w:spacing w:after="0" w:line="22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3.46 Hiring of Employees</w:t>
      </w:r>
    </w:p>
    <w:p>
      <w:pPr>
        <w:spacing w:after="0" w:line="134" w:lineRule="exact"/>
        <w:rPr>
          <w:rFonts w:ascii="Arial" w:cs="Arial" w:eastAsia="Arial" w:hAnsi="Arial"/>
          <w:sz w:val="18"/>
          <w:szCs w:val="18"/>
          <w:b w:val="1"/>
          <w:bCs w:val="1"/>
          <w:color w:val="auto"/>
        </w:rPr>
      </w:pPr>
    </w:p>
    <w:p>
      <w:pPr>
        <w:ind w:left="1424" w:right="160" w:hanging="439"/>
        <w:spacing w:after="0" w:line="272" w:lineRule="auto"/>
        <w:tabs>
          <w:tab w:leader="none" w:pos="1424" w:val="left"/>
        </w:tabs>
        <w:numPr>
          <w:ilvl w:val="1"/>
          <w:numId w:val="424"/>
        </w:numPr>
        <w:rPr>
          <w:rFonts w:ascii="Arial" w:cs="Arial" w:eastAsia="Arial" w:hAnsi="Arial"/>
          <w:sz w:val="17"/>
          <w:szCs w:val="17"/>
          <w:color w:val="auto"/>
        </w:rPr>
      </w:pPr>
      <w:r>
        <w:rPr>
          <w:rFonts w:ascii="Arial" w:cs="Arial" w:eastAsia="Arial" w:hAnsi="Arial"/>
          <w:sz w:val="17"/>
          <w:szCs w:val="17"/>
          <w:color w:val="auto"/>
        </w:rPr>
        <w:t>Except as set forth in subsection 3.46(b) below, neither Party will solicit for employment, directly or indirectly, or employ any employees of the other Party that are involved in the performance of the other Party’s obligations under this Agreement without the prior written approval of the other Party. In each case, the prohibition on solicitation and hiring shall extend for a period of [***] after the termination of the employee’s employment or, as applicable, the cessation of his or her involvement in working with the other Party in its performance of the other Party’s obligations under this Agreement. This provision shall not operate or be construed to prevent or limit any employee of either Party’s right to practice his or her profession or to utilize his or her skills for another employer or to restrict any employee’s freedom of movement or association.</w:t>
      </w:r>
    </w:p>
    <w:p>
      <w:pPr>
        <w:spacing w:after="0" w:line="204" w:lineRule="exact"/>
        <w:rPr>
          <w:rFonts w:ascii="Arial" w:cs="Arial" w:eastAsia="Arial" w:hAnsi="Arial"/>
          <w:sz w:val="17"/>
          <w:szCs w:val="17"/>
          <w:color w:val="auto"/>
        </w:rPr>
      </w:pPr>
    </w:p>
    <w:p>
      <w:pPr>
        <w:ind w:left="1424" w:right="20" w:hanging="439"/>
        <w:spacing w:after="0" w:line="263" w:lineRule="auto"/>
        <w:tabs>
          <w:tab w:leader="none" w:pos="1424" w:val="left"/>
        </w:tabs>
        <w:numPr>
          <w:ilvl w:val="1"/>
          <w:numId w:val="424"/>
        </w:numPr>
        <w:rPr>
          <w:rFonts w:ascii="Arial" w:cs="Arial" w:eastAsia="Arial" w:hAnsi="Arial"/>
          <w:sz w:val="18"/>
          <w:szCs w:val="18"/>
          <w:color w:val="auto"/>
        </w:rPr>
      </w:pPr>
      <w:r>
        <w:rPr>
          <w:rFonts w:ascii="Arial" w:cs="Arial" w:eastAsia="Arial" w:hAnsi="Arial"/>
          <w:sz w:val="18"/>
          <w:szCs w:val="18"/>
          <w:color w:val="auto"/>
        </w:rPr>
        <w:t>Each Party is free to hire any employee who responds to a general solicitation of employment through public media (e.g., newspaper, television, internet, or radio) to members of the public at large or any employee who takes affirmative steps to seek alternative employment on their own initiative.</w:t>
      </w:r>
    </w:p>
    <w:p>
      <w:pPr>
        <w:spacing w:after="0" w:line="112" w:lineRule="exact"/>
        <w:rPr>
          <w:sz w:val="20"/>
          <w:szCs w:val="20"/>
          <w:color w:val="auto"/>
        </w:rPr>
      </w:pPr>
    </w:p>
    <w:p>
      <w:pPr>
        <w:ind w:left="4384"/>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04"/>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4"/>
          </w:cols>
          <w:pgMar w:left="436" w:top="274" w:right="439" w:bottom="1440" w:gutter="0" w:footer="0" w:header="0"/>
        </w:sectPr>
      </w:pPr>
    </w:p>
    <w:bookmarkStart w:id="352" w:name="page353"/>
    <w:bookmarkEnd w:id="352"/>
    <w:p>
      <w:pPr>
        <w:ind w:left="89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53258.A.010</w:t>
      </w:r>
    </w:p>
    <w:p>
      <w:pPr>
        <w:spacing w:after="0" w:line="181"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Original signatures transmitted and received via facsimile or other electronic transmission of a scanned document, (e.g., .pdf or similar format) are true and valid signatures for all purposes hereunder and shall bind the Parties to the same extent as that of an original signature. This Amendment may be executed in multiple counterparts, each of which shall be deemed to constitute an original but all of which together shall constitute only one document.</w:t>
      </w:r>
    </w:p>
    <w:p>
      <w:pPr>
        <w:spacing w:after="0" w:line="77"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00"/>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440" w:top="274" w:right="439" w:bottom="1440" w:gutter="0" w:footer="0" w:header="0"/>
        </w:sectPr>
      </w:pPr>
    </w:p>
    <w:bookmarkStart w:id="353" w:name="page354"/>
    <w:bookmarkEnd w:id="3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53258.A.010</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Appendix P</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Supplier Supplemental SaaS Terms</w:t>
      </w:r>
    </w:p>
    <w:p>
      <w:pPr>
        <w:spacing w:after="0" w:line="131" w:lineRule="exact"/>
        <w:rPr>
          <w:sz w:val="20"/>
          <w:szCs w:val="20"/>
          <w:color w:val="auto"/>
        </w:rPr>
      </w:pPr>
    </w:p>
    <w:p>
      <w:pPr>
        <w:ind w:left="424" w:hanging="424"/>
        <w:spacing w:after="0"/>
        <w:tabs>
          <w:tab w:leader="none" w:pos="424" w:val="left"/>
        </w:tabs>
        <w:numPr>
          <w:ilvl w:val="0"/>
          <w:numId w:val="425"/>
        </w:numPr>
        <w:rPr>
          <w:rFonts w:ascii="Arial" w:cs="Arial" w:eastAsia="Arial" w:hAnsi="Arial"/>
          <w:sz w:val="18"/>
          <w:szCs w:val="18"/>
          <w:color w:val="auto"/>
        </w:rPr>
      </w:pPr>
      <w:r>
        <w:rPr>
          <w:rFonts w:ascii="Arial" w:cs="Arial" w:eastAsia="Arial" w:hAnsi="Arial"/>
          <w:sz w:val="18"/>
          <w:szCs w:val="18"/>
          <w:b w:val="1"/>
          <w:bCs w:val="1"/>
          <w:color w:val="auto"/>
        </w:rPr>
        <w:t>INTRODUCTION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444" w:right="260"/>
        <w:spacing w:after="0" w:line="296" w:lineRule="auto"/>
        <w:rPr>
          <w:rFonts w:ascii="Arial" w:cs="Arial" w:eastAsia="Arial" w:hAnsi="Arial"/>
          <w:sz w:val="18"/>
          <w:szCs w:val="18"/>
          <w:color w:val="auto"/>
        </w:rPr>
      </w:pPr>
      <w:r>
        <w:rPr>
          <w:rFonts w:ascii="Arial" w:cs="Arial" w:eastAsia="Arial" w:hAnsi="Arial"/>
          <w:sz w:val="16"/>
          <w:szCs w:val="16"/>
          <w:color w:val="auto"/>
        </w:rPr>
        <w:t xml:space="preserve">These Supplier Supplemental SaaS Terms (collectively and together with their Attachments, physically attached or electronically linked hereto, the “SaaS Terms”) govern the access to and use of Amdocs SaaS (as defined in Section 3) by AT&amp;T pursuant to software-as-a-service Orders, SOWs, and other agreements (the “SaaS Orders”) to be executed pursuant to the Restated and Amended Master Services and Software License Agreement Number 53258.C to which this Appendix P is attached (the “Agreement”), but only if it is specifically stated in the applicable SaaS Order that the terms in this </w:t>
      </w:r>
      <w:r>
        <w:rPr>
          <w:rFonts w:ascii="Arial" w:cs="Arial" w:eastAsia="Arial" w:hAnsi="Arial"/>
          <w:sz w:val="16"/>
          <w:szCs w:val="16"/>
          <w:b w:val="1"/>
          <w:bCs w:val="1"/>
          <w:color w:val="auto"/>
        </w:rPr>
        <w:t>Appendix P</w:t>
      </w:r>
      <w:r>
        <w:rPr>
          <w:rFonts w:ascii="Arial" w:cs="Arial" w:eastAsia="Arial" w:hAnsi="Arial"/>
          <w:sz w:val="16"/>
          <w:szCs w:val="16"/>
          <w:color w:val="auto"/>
        </w:rPr>
        <w:t xml:space="preserve"> shall apply to such Order or if the Order explicitly states that it is a SaaS Order under the Agreement.</w:t>
      </w:r>
    </w:p>
    <w:p>
      <w:pPr>
        <w:spacing w:after="0" w:line="62" w:lineRule="exact"/>
        <w:rPr>
          <w:rFonts w:ascii="Arial" w:cs="Arial" w:eastAsia="Arial" w:hAnsi="Arial"/>
          <w:sz w:val="18"/>
          <w:szCs w:val="18"/>
          <w:color w:val="auto"/>
        </w:rPr>
      </w:pPr>
    </w:p>
    <w:p>
      <w:pPr>
        <w:ind w:left="424" w:right="200" w:hanging="424"/>
        <w:spacing w:after="0" w:line="258" w:lineRule="auto"/>
        <w:tabs>
          <w:tab w:leader="none" w:pos="424" w:val="left"/>
        </w:tabs>
        <w:numPr>
          <w:ilvl w:val="0"/>
          <w:numId w:val="425"/>
        </w:numPr>
        <w:rPr>
          <w:rFonts w:ascii="Arial" w:cs="Arial" w:eastAsia="Arial" w:hAnsi="Arial"/>
          <w:sz w:val="18"/>
          <w:szCs w:val="18"/>
          <w:color w:val="auto"/>
        </w:rPr>
      </w:pPr>
      <w:r>
        <w:rPr>
          <w:rFonts w:ascii="Arial" w:cs="Arial" w:eastAsia="Arial" w:hAnsi="Arial"/>
          <w:sz w:val="18"/>
          <w:szCs w:val="18"/>
          <w:b w:val="1"/>
          <w:bCs w:val="1"/>
          <w:color w:val="auto"/>
        </w:rPr>
        <w:t>EACH OF AMDOCS AND AT&amp;T IS A “PARTY” AND TOGETHER THEY ARE THE “PARTIES” HERETO. IN THE EVENT OF ANY CONFLICT OR INCONSISTENCY BETWEEN THESE SAAS TERMS, THE AGREEMENT, AND/OR THE ORDERS, SOWS, AND OTHER AGREEMENTS TO BE EXECUTED PURSUANT TO THE AGREEMENT, THE TERMS OF THE ORDERS, SOWS, AND OTHER AGREEMENTS CONTROL OVER THESE SAAS TERMS AND THESE SAAS TERMS SHALL CONTROL OVER THE AGREEMENT.</w:t>
      </w:r>
    </w:p>
    <w:p>
      <w:pPr>
        <w:spacing w:after="0" w:line="88" w:lineRule="exact"/>
        <w:rPr>
          <w:rFonts w:ascii="Arial" w:cs="Arial" w:eastAsia="Arial" w:hAnsi="Arial"/>
          <w:sz w:val="18"/>
          <w:szCs w:val="18"/>
          <w:color w:val="auto"/>
        </w:rPr>
      </w:pPr>
    </w:p>
    <w:p>
      <w:pPr>
        <w:ind w:left="424" w:hanging="424"/>
        <w:spacing w:after="0"/>
        <w:tabs>
          <w:tab w:leader="none" w:pos="424" w:val="left"/>
        </w:tabs>
        <w:numPr>
          <w:ilvl w:val="0"/>
          <w:numId w:val="425"/>
        </w:numPr>
        <w:rPr>
          <w:rFonts w:ascii="Arial" w:cs="Arial" w:eastAsia="Arial" w:hAnsi="Arial"/>
          <w:sz w:val="18"/>
          <w:szCs w:val="18"/>
          <w:color w:val="auto"/>
        </w:rPr>
      </w:pPr>
      <w:r>
        <w:rPr>
          <w:rFonts w:ascii="Arial" w:cs="Arial" w:eastAsia="Arial" w:hAnsi="Arial"/>
          <w:sz w:val="18"/>
          <w:szCs w:val="18"/>
          <w:b w:val="1"/>
          <w:bCs w:val="1"/>
          <w:color w:val="auto"/>
        </w:rPr>
        <w:t>SERVICES.</w:t>
      </w:r>
    </w:p>
    <w:p>
      <w:pPr>
        <w:spacing w:after="0" w:line="117" w:lineRule="exact"/>
        <w:rPr>
          <w:rFonts w:ascii="Arial" w:cs="Arial" w:eastAsia="Arial" w:hAnsi="Arial"/>
          <w:sz w:val="18"/>
          <w:szCs w:val="18"/>
          <w:color w:val="auto"/>
        </w:rPr>
      </w:pPr>
    </w:p>
    <w:p>
      <w:pPr>
        <w:ind w:left="444" w:right="40"/>
        <w:spacing w:after="0" w:line="274" w:lineRule="auto"/>
        <w:rPr>
          <w:rFonts w:ascii="Arial" w:cs="Arial" w:eastAsia="Arial" w:hAnsi="Arial"/>
          <w:sz w:val="18"/>
          <w:szCs w:val="18"/>
          <w:color w:val="auto"/>
        </w:rPr>
      </w:pPr>
      <w:r>
        <w:rPr>
          <w:rFonts w:ascii="Arial" w:cs="Arial" w:eastAsia="Arial" w:hAnsi="Arial"/>
          <w:sz w:val="17"/>
          <w:szCs w:val="17"/>
          <w:b w:val="1"/>
          <w:bCs w:val="1"/>
          <w:color w:val="auto"/>
        </w:rPr>
        <w:t xml:space="preserve">Amdocs Software-as-a-Service. </w:t>
      </w:r>
      <w:r>
        <w:rPr>
          <w:rFonts w:ascii="Arial" w:cs="Arial" w:eastAsia="Arial" w:hAnsi="Arial"/>
          <w:sz w:val="17"/>
          <w:szCs w:val="17"/>
          <w:color w:val="auto"/>
        </w:rPr>
        <w:t>For the purposes of the Agreement, “Amdocs SaaS” or “SaaS” means (i) the software-as-a-service offering, as</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in the SaaS Orders, that Amdocs makes available for AT&amp;T’s use through a network connection and (ii) the applicable SaaS Documentation (as defined below). The terms and conditions for the access to and use of Amdocs SaaS by AT&amp;T and its Affiliates are stated in these SaaS Terms, as well as any SaaS service descriptions, Specifications, and data sheets and their applicable exhibits, addenda, and attachments to the SaaS Orders (collectively, the “SaaS Documentation”) that are attached hereto. Amdocs SaaS will be supported and provided at the service levels as described and specified in the applicable SaaS Order.</w:t>
      </w:r>
    </w:p>
    <w:p>
      <w:pPr>
        <w:spacing w:after="0" w:line="78" w:lineRule="exact"/>
        <w:rPr>
          <w:rFonts w:ascii="Arial" w:cs="Arial" w:eastAsia="Arial" w:hAnsi="Arial"/>
          <w:sz w:val="18"/>
          <w:szCs w:val="18"/>
          <w:color w:val="auto"/>
        </w:rPr>
      </w:pPr>
    </w:p>
    <w:p>
      <w:pPr>
        <w:ind w:left="424" w:hanging="424"/>
        <w:spacing w:after="0"/>
        <w:tabs>
          <w:tab w:leader="none" w:pos="424" w:val="left"/>
        </w:tabs>
        <w:numPr>
          <w:ilvl w:val="0"/>
          <w:numId w:val="425"/>
        </w:numPr>
        <w:rPr>
          <w:rFonts w:ascii="Arial" w:cs="Arial" w:eastAsia="Arial" w:hAnsi="Arial"/>
          <w:sz w:val="18"/>
          <w:szCs w:val="18"/>
          <w:color w:val="auto"/>
        </w:rPr>
      </w:pPr>
      <w:r>
        <w:rPr>
          <w:rFonts w:ascii="Arial" w:cs="Arial" w:eastAsia="Arial" w:hAnsi="Arial"/>
          <w:sz w:val="18"/>
          <w:szCs w:val="18"/>
          <w:b w:val="1"/>
          <w:bCs w:val="1"/>
          <w:color w:val="auto"/>
        </w:rPr>
        <w:t>ACCESS RIGHTS AND USAGE.</w:t>
      </w:r>
    </w:p>
    <w:p>
      <w:pPr>
        <w:spacing w:after="0" w:line="130" w:lineRule="exact"/>
        <w:rPr>
          <w:rFonts w:ascii="Arial" w:cs="Arial" w:eastAsia="Arial" w:hAnsi="Arial"/>
          <w:sz w:val="18"/>
          <w:szCs w:val="18"/>
          <w:color w:val="auto"/>
        </w:rPr>
      </w:pPr>
    </w:p>
    <w:p>
      <w:pPr>
        <w:ind w:left="964" w:right="120" w:hanging="532"/>
        <w:spacing w:after="0" w:line="258" w:lineRule="auto"/>
        <w:tabs>
          <w:tab w:leader="none" w:pos="964" w:val="left"/>
        </w:tabs>
        <w:numPr>
          <w:ilvl w:val="1"/>
          <w:numId w:val="425"/>
        </w:numPr>
        <w:rPr>
          <w:rFonts w:ascii="Arial" w:cs="Arial" w:eastAsia="Arial" w:hAnsi="Arial"/>
          <w:sz w:val="18"/>
          <w:szCs w:val="18"/>
          <w:color w:val="auto"/>
        </w:rPr>
      </w:pPr>
      <w:r>
        <w:rPr>
          <w:rFonts w:ascii="Arial" w:cs="Arial" w:eastAsia="Arial" w:hAnsi="Arial"/>
          <w:sz w:val="18"/>
          <w:szCs w:val="18"/>
          <w:b w:val="1"/>
          <w:bCs w:val="1"/>
          <w:color w:val="auto"/>
        </w:rPr>
        <w:t>Access and Usage of Amdocs SaaS</w:t>
      </w:r>
      <w:r>
        <w:rPr>
          <w:rFonts w:ascii="Arial" w:cs="Arial" w:eastAsia="Arial" w:hAnsi="Arial"/>
          <w:sz w:val="18"/>
          <w:szCs w:val="18"/>
          <w:color w:val="auto"/>
        </w:rPr>
        <w:t>. AT&amp;T may access and use Amdocs SaaS in accordance with the SaaS Orders, the SaaS</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and these SaaS Terms. AT&amp;T is responsible for any and all use of Amdocs SaaS through AT&amp;T’s credentials or any account that AT&amp;T may establish. AT&amp;T agrees to maintain the confidentiality of AT&amp;T’s account, credentials, and any passwords necessary to use Amdocs SaaS. Should AT&amp;T believe that there has been unauthorized use of AT&amp;T’s account, credentials, or passwords, AT&amp;T will promptly notify Amdocs.</w:t>
      </w:r>
    </w:p>
    <w:p>
      <w:pPr>
        <w:spacing w:after="0" w:line="88" w:lineRule="exact"/>
        <w:rPr>
          <w:rFonts w:ascii="Arial" w:cs="Arial" w:eastAsia="Arial" w:hAnsi="Arial"/>
          <w:sz w:val="18"/>
          <w:szCs w:val="18"/>
          <w:color w:val="auto"/>
        </w:rPr>
      </w:pPr>
    </w:p>
    <w:p>
      <w:pPr>
        <w:ind w:left="964" w:right="220" w:hanging="532"/>
        <w:spacing w:after="0" w:line="261" w:lineRule="auto"/>
        <w:tabs>
          <w:tab w:leader="none" w:pos="964" w:val="left"/>
        </w:tabs>
        <w:numPr>
          <w:ilvl w:val="1"/>
          <w:numId w:val="425"/>
        </w:numPr>
        <w:rPr>
          <w:rFonts w:ascii="Arial" w:cs="Arial" w:eastAsia="Arial" w:hAnsi="Arial"/>
          <w:sz w:val="18"/>
          <w:szCs w:val="18"/>
          <w:color w:val="auto"/>
        </w:rPr>
      </w:pPr>
      <w:r>
        <w:rPr>
          <w:rFonts w:ascii="Arial" w:cs="Arial" w:eastAsia="Arial" w:hAnsi="Arial"/>
          <w:sz w:val="18"/>
          <w:szCs w:val="18"/>
          <w:b w:val="1"/>
          <w:bCs w:val="1"/>
          <w:color w:val="auto"/>
        </w:rPr>
        <w:t xml:space="preserve">Usage Limitations. </w:t>
      </w:r>
      <w:r>
        <w:rPr>
          <w:rFonts w:ascii="Arial" w:cs="Arial" w:eastAsia="Arial" w:hAnsi="Arial"/>
          <w:sz w:val="18"/>
          <w:szCs w:val="18"/>
          <w:color w:val="auto"/>
        </w:rPr>
        <w:t>Amdocs SaaS may be accessed and used solely for AT&amp;T’s and its Affiliates’ internal business purposes and not for</w:t>
      </w:r>
      <w:r>
        <w:rPr>
          <w:rFonts w:ascii="Arial" w:cs="Arial" w:eastAsia="Arial" w:hAnsi="Arial"/>
          <w:sz w:val="18"/>
          <w:szCs w:val="18"/>
          <w:b w:val="1"/>
          <w:bCs w:val="1"/>
          <w:color w:val="auto"/>
        </w:rPr>
        <w:t xml:space="preserve"> </w:t>
      </w:r>
      <w:r>
        <w:rPr>
          <w:rFonts w:ascii="Arial" w:cs="Arial" w:eastAsia="Arial" w:hAnsi="Arial"/>
          <w:sz w:val="18"/>
          <w:szCs w:val="18"/>
          <w:color w:val="auto"/>
        </w:rPr>
        <w:t>commercialization. AT&amp;T shall not: (i) exceed any usage limitations explicitly set forth in the applicable SaaS Order; (ii) sell, resell, license, sublicense, lease, rent, or distribute Amdocs SaaS or include Amdocs SaaS as a service or outsourcing offering, or make any portion of Amdocs SaaS available for the</w:t>
      </w:r>
    </w:p>
    <w:p>
      <w:pPr>
        <w:spacing w:after="0" w:line="112" w:lineRule="exact"/>
        <w:rPr>
          <w:sz w:val="20"/>
          <w:szCs w:val="20"/>
          <w:color w:val="auto"/>
        </w:rPr>
      </w:pPr>
    </w:p>
    <w:p>
      <w:pPr>
        <w:ind w:left="4384"/>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04"/>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4"/>
          </w:cols>
          <w:pgMar w:left="436" w:top="274" w:right="439" w:bottom="1440" w:gutter="0" w:footer="0" w:header="0"/>
        </w:sectPr>
      </w:pPr>
    </w:p>
    <w:bookmarkStart w:id="354" w:name="page355"/>
    <w:bookmarkEnd w:id="354"/>
    <w:p>
      <w:pPr>
        <w:ind w:left="87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53258.A.010</w:t>
      </w:r>
    </w:p>
    <w:p>
      <w:pPr>
        <w:spacing w:after="0" w:line="181" w:lineRule="exact"/>
        <w:rPr>
          <w:sz w:val="20"/>
          <w:szCs w:val="20"/>
          <w:color w:val="auto"/>
        </w:rPr>
      </w:pPr>
    </w:p>
    <w:p>
      <w:pPr>
        <w:ind w:left="780"/>
        <w:spacing w:after="0" w:line="286" w:lineRule="auto"/>
        <w:rPr>
          <w:sz w:val="20"/>
          <w:szCs w:val="20"/>
          <w:color w:val="auto"/>
        </w:rPr>
      </w:pPr>
      <w:r>
        <w:rPr>
          <w:rFonts w:ascii="Arial" w:cs="Arial" w:eastAsia="Arial" w:hAnsi="Arial"/>
          <w:sz w:val="16"/>
          <w:szCs w:val="16"/>
          <w:color w:val="auto"/>
        </w:rPr>
        <w:t>use or benefit of any third party except an Affiliate; provided that nothing herein shall prevent AT&amp;T or its Affiliates from selling services or products of third parties through its use of the SaaS; (iii) copy or reproduce any portion, feature, function, idea, or user interface of Amdocs SaaS; (iv) interfere with or disrupt the integrity or performance of Amdocs SaaS; (v) use Amdocs SaaS to submit, send, or store AT&amp;T-provided SaaS Data (defined below) that is obscene, threatening, libelous, or otherwise unlawful or tortious material, violates any third party’s privacy rights, or infringes upon or misappropriates Intellectual Property Rights; provided that nothing herein shall prevent AT&amp;T or its Affiliates from storing any AT&amp;T-provided SaaS Data that is used by AT&amp;T or its Affiliates in a database to prohibit users from using obscene, threatening, libelous, or otherwise unlawful or tortious material in connection with Amdocs SaaS; (vi) use Amdocs SaaS to disrupt or cause harm to a third party’s system or environment; (vii) access or use Amdocs SaaS to build a competitive product or service; (viii) engage in any product evaluation, benchmarking, or other comparative analysis intended for publication outside AT&amp;T and its Affiliates, except with Amdocs’ prior written consent; or (ix) disassemble, reverse engineer, translate, decompile, decode, or modify the Amdocs SaaS or in any other manner attempt to extract the source code of Amdocs SaaS or create derivative works or make any enhancements, adaptations, or translations of the Amdocs SaaS, except as may be explicitly permitted by Amdocs in a SaaS Order or to the extent applicable Law specifically prohibits any such restriction. AT&amp;T is responsible for complying with all terms of use for any software, content, service, or website it loads, creates, or accesses when using Amdocs SaaS.</w:t>
      </w:r>
    </w:p>
    <w:p>
      <w:pPr>
        <w:spacing w:after="0" w:line="72" w:lineRule="exact"/>
        <w:rPr>
          <w:sz w:val="20"/>
          <w:szCs w:val="20"/>
          <w:color w:val="auto"/>
        </w:rPr>
      </w:pPr>
    </w:p>
    <w:p>
      <w:pPr>
        <w:ind w:left="760" w:right="20" w:hanging="532"/>
        <w:spacing w:after="0" w:line="287" w:lineRule="auto"/>
        <w:tabs>
          <w:tab w:leader="none" w:pos="760" w:val="left"/>
        </w:tabs>
        <w:numPr>
          <w:ilvl w:val="0"/>
          <w:numId w:val="426"/>
        </w:numPr>
        <w:rPr>
          <w:rFonts w:ascii="Arial" w:cs="Arial" w:eastAsia="Arial" w:hAnsi="Arial"/>
          <w:sz w:val="16"/>
          <w:szCs w:val="16"/>
          <w:color w:val="auto"/>
        </w:rPr>
      </w:pPr>
      <w:r>
        <w:rPr>
          <w:rFonts w:ascii="Arial" w:cs="Arial" w:eastAsia="Arial" w:hAnsi="Arial"/>
          <w:sz w:val="16"/>
          <w:szCs w:val="16"/>
          <w:b w:val="1"/>
          <w:bCs w:val="1"/>
          <w:color w:val="auto"/>
        </w:rPr>
        <w:t xml:space="preserve">AT&amp;T-provided SaaS Data. </w:t>
      </w:r>
      <w:r>
        <w:rPr>
          <w:rFonts w:ascii="Arial" w:cs="Arial" w:eastAsia="Arial" w:hAnsi="Arial"/>
          <w:sz w:val="16"/>
          <w:szCs w:val="16"/>
          <w:color w:val="auto"/>
        </w:rPr>
        <w:t>AT&amp;T is solely responsible for the data, text, audio, video, images, software, and other content input by</w:t>
      </w:r>
      <w:r>
        <w:rPr>
          <w:rFonts w:ascii="Arial" w:cs="Arial" w:eastAsia="Arial" w:hAnsi="Arial"/>
          <w:sz w:val="16"/>
          <w:szCs w:val="16"/>
          <w:b w:val="1"/>
          <w:bCs w:val="1"/>
          <w:color w:val="auto"/>
        </w:rPr>
        <w:t xml:space="preserve"> </w:t>
      </w:r>
      <w:r>
        <w:rPr>
          <w:rFonts w:ascii="Arial" w:cs="Arial" w:eastAsia="Arial" w:hAnsi="Arial"/>
          <w:sz w:val="16"/>
          <w:szCs w:val="16"/>
          <w:color w:val="auto"/>
        </w:rPr>
        <w:t>AT&amp;T personnel or by Amdocs at AT&amp;T’s personnel’s direction into an Amdocs System or Environment during AT&amp;T’s access and use of Amdocs SaaS (“AT&amp;T-provided SaaS Data”). As between Amdocs and AT&amp;T, AT&amp;T is and will remain the sole and exclusive owner of all right, title, and interest in and to all AT&amp;T-provided SaaS Data. AT&amp;T hereby grants to Amdocs, its Affiliates, and its Subcontractors all necessary rights to AT&amp;T-provided SaaS Data to enable Amdocs to provide the Amdocs SaaS. Amdocs will use AT&amp;T-provided SaaS Data only as necessary to provide Amdocs SaaS and technical support, or as otherwise required by Law. AT&amp;T represents and warrants that no legal requirements of AT&amp;T prevent or will prevent Amdocs from fulfilling its contractual obligations under these SaaS Terms or the SaaS Orders. AT&amp;T agrees that it will collect, maintain, and handle all AT&amp;T-provided SaaS Data in compliance with all data privacy and protection Laws applicable to AT&amp;T in its use of the Amdocs SaaS and that it shall obtain at its sole expense any rights and consents from any third parties (including its subscribers and end users) and provide any notices required prior to the collection, use, and disclosure of such content and/or otherwise necessary for Amdocs, its Affiliates, and its Subcontractors to provide the Amdocs SaaS under these SaaS Terms and the SaaS Orders. Amdocs agrees to comply with all Laws applicable to Amdocs in connection with its maintenance, handling, use, and disclosure of the AT&amp;T-provided SaaS Data in connection with its provision of the Amdocs SaaS.</w:t>
      </w:r>
    </w:p>
    <w:p>
      <w:pPr>
        <w:spacing w:after="0" w:line="69" w:lineRule="exact"/>
        <w:rPr>
          <w:rFonts w:ascii="Arial" w:cs="Arial" w:eastAsia="Arial" w:hAnsi="Arial"/>
          <w:sz w:val="16"/>
          <w:szCs w:val="16"/>
          <w:color w:val="auto"/>
        </w:rPr>
      </w:pPr>
    </w:p>
    <w:p>
      <w:pPr>
        <w:ind w:left="760" w:right="100" w:hanging="532"/>
        <w:spacing w:after="0" w:line="312" w:lineRule="auto"/>
        <w:tabs>
          <w:tab w:leader="none" w:pos="760" w:val="left"/>
        </w:tabs>
        <w:numPr>
          <w:ilvl w:val="0"/>
          <w:numId w:val="426"/>
        </w:numPr>
        <w:rPr>
          <w:rFonts w:ascii="Arial" w:cs="Arial" w:eastAsia="Arial" w:hAnsi="Arial"/>
          <w:sz w:val="17"/>
          <w:szCs w:val="17"/>
          <w:color w:val="auto"/>
        </w:rPr>
      </w:pPr>
      <w:r>
        <w:rPr>
          <w:rFonts w:ascii="Arial" w:cs="Arial" w:eastAsia="Arial" w:hAnsi="Arial"/>
          <w:sz w:val="17"/>
          <w:szCs w:val="17"/>
          <w:b w:val="1"/>
          <w:bCs w:val="1"/>
          <w:color w:val="auto"/>
        </w:rPr>
        <w:t xml:space="preserve">Personal Data. </w:t>
      </w:r>
      <w:r>
        <w:rPr>
          <w:rFonts w:ascii="Arial" w:cs="Arial" w:eastAsia="Arial" w:hAnsi="Arial"/>
          <w:sz w:val="17"/>
          <w:szCs w:val="17"/>
          <w:color w:val="auto"/>
        </w:rPr>
        <w:t>If, in the course of providing Amdocs SaaS, Amdocs processes personal data of which AT&amp;T or one of its Affiliates is the</w:t>
      </w:r>
      <w:r>
        <w:rPr>
          <w:rFonts w:ascii="Arial" w:cs="Arial" w:eastAsia="Arial" w:hAnsi="Arial"/>
          <w:sz w:val="17"/>
          <w:szCs w:val="17"/>
          <w:b w:val="1"/>
          <w:bCs w:val="1"/>
          <w:color w:val="auto"/>
        </w:rPr>
        <w:t xml:space="preserve"> </w:t>
      </w:r>
      <w:r>
        <w:rPr>
          <w:rFonts w:ascii="Arial" w:cs="Arial" w:eastAsia="Arial" w:hAnsi="Arial"/>
          <w:sz w:val="17"/>
          <w:szCs w:val="17"/>
          <w:color w:val="auto"/>
        </w:rPr>
        <w:t>controller (“AT&amp;T Personal Data”), Amdocs shall process such AT&amp;T Personal Data only as permitted under the Agreement.</w:t>
      </w:r>
    </w:p>
    <w:p>
      <w:pPr>
        <w:spacing w:after="0" w:line="72"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820"/>
          </w:cols>
          <w:pgMar w:left="640" w:top="274" w:right="439" w:bottom="1440" w:gutter="0" w:footer="0" w:header="0"/>
        </w:sectPr>
      </w:pPr>
    </w:p>
    <w:bookmarkStart w:id="355" w:name="page356"/>
    <w:bookmarkEnd w:id="3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53258.A.010</w:t>
      </w:r>
    </w:p>
    <w:p>
      <w:pPr>
        <w:spacing w:after="0" w:line="154" w:lineRule="exact"/>
        <w:rPr>
          <w:sz w:val="20"/>
          <w:szCs w:val="20"/>
          <w:color w:val="auto"/>
        </w:rPr>
      </w:pPr>
    </w:p>
    <w:p>
      <w:pPr>
        <w:ind w:left="424" w:hanging="424"/>
        <w:spacing w:after="0"/>
        <w:tabs>
          <w:tab w:leader="none" w:pos="424" w:val="left"/>
        </w:tabs>
        <w:numPr>
          <w:ilvl w:val="0"/>
          <w:numId w:val="427"/>
        </w:numPr>
        <w:rPr>
          <w:rFonts w:ascii="Arial" w:cs="Arial" w:eastAsia="Arial" w:hAnsi="Arial"/>
          <w:sz w:val="18"/>
          <w:szCs w:val="18"/>
          <w:color w:val="auto"/>
        </w:rPr>
      </w:pPr>
      <w:r>
        <w:rPr>
          <w:rFonts w:ascii="Arial" w:cs="Arial" w:eastAsia="Arial" w:hAnsi="Arial"/>
          <w:sz w:val="18"/>
          <w:szCs w:val="18"/>
          <w:b w:val="1"/>
          <w:bCs w:val="1"/>
          <w:color w:val="auto"/>
        </w:rPr>
        <w:t>PERFORMANCE AND OPERATIONS.</w:t>
      </w:r>
    </w:p>
    <w:p>
      <w:pPr>
        <w:spacing w:after="0" w:line="130" w:lineRule="exact"/>
        <w:rPr>
          <w:rFonts w:ascii="Arial" w:cs="Arial" w:eastAsia="Arial" w:hAnsi="Arial"/>
          <w:sz w:val="18"/>
          <w:szCs w:val="18"/>
          <w:color w:val="auto"/>
        </w:rPr>
      </w:pPr>
    </w:p>
    <w:p>
      <w:pPr>
        <w:ind w:left="964" w:right="100" w:hanging="532"/>
        <w:spacing w:after="0" w:line="282" w:lineRule="auto"/>
        <w:tabs>
          <w:tab w:leader="none" w:pos="964" w:val="left"/>
        </w:tabs>
        <w:numPr>
          <w:ilvl w:val="1"/>
          <w:numId w:val="427"/>
        </w:numPr>
        <w:rPr>
          <w:rFonts w:ascii="Arial" w:cs="Arial" w:eastAsia="Arial" w:hAnsi="Arial"/>
          <w:sz w:val="18"/>
          <w:szCs w:val="18"/>
          <w:color w:val="auto"/>
        </w:rPr>
      </w:pPr>
      <w:r>
        <w:rPr>
          <w:rFonts w:ascii="Arial" w:cs="Arial" w:eastAsia="Arial" w:hAnsi="Arial"/>
          <w:sz w:val="18"/>
          <w:szCs w:val="18"/>
          <w:b w:val="1"/>
          <w:bCs w:val="1"/>
          <w:color w:val="auto"/>
        </w:rPr>
        <w:t xml:space="preserve">PCI Compliance/Data Security. </w:t>
      </w:r>
      <w:r>
        <w:rPr>
          <w:rFonts w:ascii="Arial" w:cs="Arial" w:eastAsia="Arial" w:hAnsi="Arial"/>
          <w:sz w:val="18"/>
          <w:szCs w:val="18"/>
          <w:color w:val="auto"/>
        </w:rPr>
        <w:t>In the event that Amdocs will be storing, processing or transmitting payment card holder data for AT&amp;T</w:t>
      </w:r>
      <w:r>
        <w:rPr>
          <w:rFonts w:ascii="Arial" w:cs="Arial" w:eastAsia="Arial" w:hAnsi="Arial"/>
          <w:sz w:val="18"/>
          <w:szCs w:val="18"/>
          <w:b w:val="1"/>
          <w:bCs w:val="1"/>
          <w:color w:val="auto"/>
        </w:rPr>
        <w:t xml:space="preserve"> </w:t>
      </w:r>
      <w:r>
        <w:rPr>
          <w:rFonts w:ascii="Arial" w:cs="Arial" w:eastAsia="Arial" w:hAnsi="Arial"/>
          <w:sz w:val="18"/>
          <w:szCs w:val="18"/>
          <w:color w:val="auto"/>
        </w:rPr>
        <w:t>as part of an Amdocs’ SaaS Order, the following the terms shall apply:</w:t>
      </w:r>
    </w:p>
    <w:p>
      <w:pPr>
        <w:spacing w:after="0" w:line="57" w:lineRule="exact"/>
        <w:rPr>
          <w:rFonts w:ascii="Arial" w:cs="Arial" w:eastAsia="Arial" w:hAnsi="Arial"/>
          <w:sz w:val="18"/>
          <w:szCs w:val="18"/>
          <w:color w:val="auto"/>
        </w:rPr>
      </w:pPr>
    </w:p>
    <w:p>
      <w:pPr>
        <w:ind w:left="984" w:right="140"/>
        <w:spacing w:after="0" w:line="270" w:lineRule="auto"/>
        <w:rPr>
          <w:rFonts w:ascii="Arial" w:cs="Arial" w:eastAsia="Arial" w:hAnsi="Arial"/>
          <w:sz w:val="18"/>
          <w:szCs w:val="18"/>
          <w:color w:val="auto"/>
        </w:rPr>
      </w:pPr>
      <w:r>
        <w:rPr>
          <w:rFonts w:ascii="Arial" w:cs="Arial" w:eastAsia="Arial" w:hAnsi="Arial"/>
          <w:sz w:val="17"/>
          <w:szCs w:val="17"/>
          <w:color w:val="auto"/>
        </w:rPr>
        <w:t>Notwithstanding anything to the contrary in Section 4.11 of the Agreement, Supplier shall be compliant with the PCI Data Security Standards (hereinafter, “PCI Standards”), which are defined as the Payment Card Industry Data Security Standards promulgated by the PCI Security Standards Council located at https://www.pcisecuritystandards.org/security_standards/index.php) (as they may be amended) prior to storing, processing, and/or transmitting cardholder data for AT&amp;T. Supplier shall have a plan in place to ensure continued compliance in the event of any change or update to such PCI Standards, and shall promptly submit a copy of Supplier’s most recent executed Attestation of Compliance (AOC) and a copy of Supplier’s most updated Responsibility Matrix documentation to g18906@att.com &lt;mailto:g18906@att.com&gt;. Supplier shall also submit AOCs and Responsibility Matrix documentation on an annual basis and promptly following any modification or update to the PCI Standards in order to continue to provide payment card related services for AT&amp;T.</w:t>
      </w:r>
    </w:p>
    <w:p>
      <w:pPr>
        <w:spacing w:after="0" w:line="82" w:lineRule="exact"/>
        <w:rPr>
          <w:rFonts w:ascii="Arial" w:cs="Arial" w:eastAsia="Arial" w:hAnsi="Arial"/>
          <w:sz w:val="18"/>
          <w:szCs w:val="18"/>
          <w:color w:val="auto"/>
        </w:rPr>
      </w:pPr>
    </w:p>
    <w:p>
      <w:pPr>
        <w:ind w:left="964" w:right="80" w:hanging="532"/>
        <w:spacing w:after="0" w:line="272" w:lineRule="auto"/>
        <w:tabs>
          <w:tab w:leader="none" w:pos="964" w:val="left"/>
        </w:tabs>
        <w:numPr>
          <w:ilvl w:val="1"/>
          <w:numId w:val="427"/>
        </w:numPr>
        <w:rPr>
          <w:rFonts w:ascii="Arial" w:cs="Arial" w:eastAsia="Arial" w:hAnsi="Arial"/>
          <w:sz w:val="17"/>
          <w:szCs w:val="17"/>
          <w:color w:val="auto"/>
        </w:rPr>
      </w:pPr>
      <w:r>
        <w:rPr>
          <w:rFonts w:ascii="Arial" w:cs="Arial" w:eastAsia="Arial" w:hAnsi="Arial"/>
          <w:sz w:val="17"/>
          <w:szCs w:val="17"/>
          <w:b w:val="1"/>
          <w:bCs w:val="1"/>
          <w:color w:val="auto"/>
        </w:rPr>
        <w:t xml:space="preserve">Amdocs SaaS Performance. </w:t>
      </w:r>
      <w:r>
        <w:rPr>
          <w:rFonts w:ascii="Arial" w:cs="Arial" w:eastAsia="Arial" w:hAnsi="Arial"/>
          <w:sz w:val="17"/>
          <w:szCs w:val="17"/>
          <w:color w:val="auto"/>
        </w:rPr>
        <w:t>AT&amp;T agrees and acknowledges that Amdocs’ ability to deliver Amdocs SaaS under the SaaS Orders shall</w:t>
      </w:r>
      <w:r>
        <w:rPr>
          <w:rFonts w:ascii="Arial" w:cs="Arial" w:eastAsia="Arial" w:hAnsi="Arial"/>
          <w:sz w:val="17"/>
          <w:szCs w:val="17"/>
          <w:b w:val="1"/>
          <w:bCs w:val="1"/>
          <w:color w:val="auto"/>
        </w:rPr>
        <w:t xml:space="preserve"> </w:t>
      </w:r>
      <w:r>
        <w:rPr>
          <w:rFonts w:ascii="Arial" w:cs="Arial" w:eastAsia="Arial" w:hAnsi="Arial"/>
          <w:sz w:val="17"/>
          <w:szCs w:val="17"/>
          <w:color w:val="auto"/>
        </w:rPr>
        <w:t>depend on AT&amp;T’s performance of its roles and responsibilities specified in the Agreement and applicable SaaS Orders and the accuracy and completeness of any information from AT&amp;T needed to deliver Amdocs SaaS. AT&amp;T shall provide Amdocs with all reasonable assistance at no charge, including, as required, reasonable access to AT&amp;T’s personnel and premises, and reasonable use of all information and system facilities in accordance with AT&amp;T’s normal security requirements. AT&amp;T shall be responsible for: (i) its use of the Amdocs SaaS and any deliverables; (ii) ensuring that any information and data provided by AT&amp;T to Amdocs is accurate and complete to the best of its knowledge and provided in a timely manner; (iii) issuing all approvals and sign-offs in a timely manner; and (iv) ensuring cooperation by AT&amp;T’s third party vendors.</w:t>
      </w:r>
    </w:p>
    <w:p>
      <w:pPr>
        <w:spacing w:after="0" w:line="77" w:lineRule="exact"/>
        <w:rPr>
          <w:rFonts w:ascii="Arial" w:cs="Arial" w:eastAsia="Arial" w:hAnsi="Arial"/>
          <w:sz w:val="17"/>
          <w:szCs w:val="17"/>
          <w:color w:val="auto"/>
        </w:rPr>
      </w:pPr>
    </w:p>
    <w:p>
      <w:pPr>
        <w:ind w:left="964" w:right="20" w:hanging="532"/>
        <w:spacing w:after="0" w:line="272" w:lineRule="auto"/>
        <w:tabs>
          <w:tab w:leader="none" w:pos="964" w:val="left"/>
        </w:tabs>
        <w:numPr>
          <w:ilvl w:val="1"/>
          <w:numId w:val="427"/>
        </w:numPr>
        <w:rPr>
          <w:rFonts w:ascii="Arial" w:cs="Arial" w:eastAsia="Arial" w:hAnsi="Arial"/>
          <w:sz w:val="17"/>
          <w:szCs w:val="17"/>
          <w:color w:val="auto"/>
        </w:rPr>
      </w:pPr>
      <w:r>
        <w:rPr>
          <w:rFonts w:ascii="Arial" w:cs="Arial" w:eastAsia="Arial" w:hAnsi="Arial"/>
          <w:sz w:val="17"/>
          <w:szCs w:val="17"/>
          <w:b w:val="1"/>
          <w:bCs w:val="1"/>
          <w:color w:val="auto"/>
        </w:rPr>
        <w:t xml:space="preserve">Amdocs SaaS Operations. </w:t>
      </w:r>
      <w:r>
        <w:rPr>
          <w:rFonts w:ascii="Arial" w:cs="Arial" w:eastAsia="Arial" w:hAnsi="Arial"/>
          <w:sz w:val="17"/>
          <w:szCs w:val="17"/>
          <w:color w:val="auto"/>
        </w:rPr>
        <w:t>Provided that Amdocs does not materially degrade the functionality, performance, or pricing, as described in</w:t>
      </w:r>
      <w:r>
        <w:rPr>
          <w:rFonts w:ascii="Arial" w:cs="Arial" w:eastAsia="Arial" w:hAnsi="Arial"/>
          <w:sz w:val="17"/>
          <w:szCs w:val="17"/>
          <w:b w:val="1"/>
          <w:bCs w:val="1"/>
          <w:color w:val="auto"/>
        </w:rPr>
        <w:t xml:space="preserve"> </w:t>
      </w:r>
      <w:r>
        <w:rPr>
          <w:rFonts w:ascii="Arial" w:cs="Arial" w:eastAsia="Arial" w:hAnsi="Arial"/>
          <w:sz w:val="17"/>
          <w:szCs w:val="17"/>
          <w:color w:val="auto"/>
        </w:rPr>
        <w:t>the SaaS Documentation, of the Amdocs SaaS: (i) Amdocs may modify the Amdocs and third party systems and environment used to provide Amdocs SaaS; and (ii) Amdocs reserves the right to make any changes to Amdocs SaaS that it deems necessary or useful to maintain or enhance the quality or delivery of Amdocs’ services to its customers, the competitive strength of or market for Amdocs’ services, or Amdocs SaaS’ cost efficiency or performance, or to satisfy legal requirements, provided that no such modification or change shall (i) materially increase AT&amp;T’s total cost of receiving the Services; (ii) require material changes to AT&amp;T facilities, systems, software, utilities, tools, or equipment; or (iii) have a material adverse impact on the functionality, interoperability, performance, accuracy, speed, responsiveness, quality, or resource efficiency of the Services or the Amdocs SaaS.</w:t>
      </w:r>
    </w:p>
    <w:p>
      <w:pPr>
        <w:spacing w:after="0" w:line="77" w:lineRule="exact"/>
        <w:rPr>
          <w:rFonts w:ascii="Arial" w:cs="Arial" w:eastAsia="Arial" w:hAnsi="Arial"/>
          <w:sz w:val="17"/>
          <w:szCs w:val="17"/>
          <w:color w:val="auto"/>
        </w:rPr>
      </w:pPr>
    </w:p>
    <w:p>
      <w:pPr>
        <w:ind w:left="964" w:right="300" w:hanging="532"/>
        <w:spacing w:after="0" w:line="282" w:lineRule="auto"/>
        <w:tabs>
          <w:tab w:leader="none" w:pos="964" w:val="left"/>
        </w:tabs>
        <w:numPr>
          <w:ilvl w:val="1"/>
          <w:numId w:val="427"/>
        </w:numPr>
        <w:rPr>
          <w:rFonts w:ascii="Arial" w:cs="Arial" w:eastAsia="Arial" w:hAnsi="Arial"/>
          <w:sz w:val="18"/>
          <w:szCs w:val="18"/>
          <w:color w:val="auto"/>
        </w:rPr>
      </w:pPr>
      <w:r>
        <w:rPr>
          <w:rFonts w:ascii="Arial" w:cs="Arial" w:eastAsia="Arial" w:hAnsi="Arial"/>
          <w:sz w:val="18"/>
          <w:szCs w:val="18"/>
          <w:b w:val="1"/>
          <w:bCs w:val="1"/>
          <w:color w:val="auto"/>
        </w:rPr>
        <w:t xml:space="preserve">For non-Amdocs branded Software-as-a-Service, </w:t>
      </w:r>
      <w:r>
        <w:rPr>
          <w:rFonts w:ascii="Arial" w:cs="Arial" w:eastAsia="Arial" w:hAnsi="Arial"/>
          <w:sz w:val="18"/>
          <w:szCs w:val="18"/>
          <w:color w:val="auto"/>
        </w:rPr>
        <w:t>Amdocs will ensure that the Third Party’s applicable terms do not conflict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this Appendix P.</w:t>
      </w:r>
    </w:p>
    <w:p>
      <w:pPr>
        <w:spacing w:after="0" w:line="94" w:lineRule="exact"/>
        <w:rPr>
          <w:sz w:val="20"/>
          <w:szCs w:val="20"/>
          <w:color w:val="auto"/>
        </w:rPr>
      </w:pPr>
    </w:p>
    <w:p>
      <w:pPr>
        <w:ind w:left="4384"/>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04"/>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4"/>
          </w:cols>
          <w:pgMar w:left="436" w:top="274" w:right="439" w:bottom="1440" w:gutter="0" w:footer="0" w:header="0"/>
        </w:sectPr>
      </w:pPr>
    </w:p>
    <w:bookmarkStart w:id="356" w:name="page357"/>
    <w:bookmarkEnd w:id="3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53258.A.010</w:t>
      </w:r>
    </w:p>
    <w:p>
      <w:pPr>
        <w:spacing w:after="0" w:line="154" w:lineRule="exact"/>
        <w:rPr>
          <w:sz w:val="20"/>
          <w:szCs w:val="20"/>
          <w:color w:val="auto"/>
        </w:rPr>
      </w:pPr>
    </w:p>
    <w:p>
      <w:pPr>
        <w:ind w:left="760" w:right="60" w:hanging="532"/>
        <w:spacing w:after="0" w:line="285" w:lineRule="auto"/>
        <w:tabs>
          <w:tab w:leader="none" w:pos="760" w:val="left"/>
        </w:tabs>
        <w:numPr>
          <w:ilvl w:val="0"/>
          <w:numId w:val="428"/>
        </w:numPr>
        <w:rPr>
          <w:rFonts w:ascii="Arial" w:cs="Arial" w:eastAsia="Arial" w:hAnsi="Arial"/>
          <w:sz w:val="16"/>
          <w:szCs w:val="16"/>
          <w:color w:val="auto"/>
        </w:rPr>
      </w:pPr>
      <w:r>
        <w:rPr>
          <w:rFonts w:ascii="Arial" w:cs="Arial" w:eastAsia="Arial" w:hAnsi="Arial"/>
          <w:sz w:val="16"/>
          <w:szCs w:val="16"/>
          <w:b w:val="1"/>
          <w:bCs w:val="1"/>
          <w:color w:val="auto"/>
        </w:rPr>
        <w:t xml:space="preserve">Right to Use License Grant to Amdocs Branded Software in connection with Amdocs SaaS. </w:t>
      </w:r>
      <w:r>
        <w:rPr>
          <w:rFonts w:ascii="Arial" w:cs="Arial" w:eastAsia="Arial" w:hAnsi="Arial"/>
          <w:sz w:val="16"/>
          <w:szCs w:val="16"/>
          <w:color w:val="auto"/>
        </w:rPr>
        <w:t>To the extent that Amdocs provides</w:t>
      </w:r>
      <w:r>
        <w:rPr>
          <w:rFonts w:ascii="Arial" w:cs="Arial" w:eastAsia="Arial" w:hAnsi="Arial"/>
          <w:sz w:val="16"/>
          <w:szCs w:val="16"/>
          <w:b w:val="1"/>
          <w:bCs w:val="1"/>
          <w:color w:val="auto"/>
        </w:rPr>
        <w:t xml:space="preserve"> </w:t>
      </w:r>
      <w:r>
        <w:rPr>
          <w:rFonts w:ascii="Arial" w:cs="Arial" w:eastAsia="Arial" w:hAnsi="Arial"/>
          <w:sz w:val="16"/>
          <w:szCs w:val="16"/>
          <w:color w:val="auto"/>
        </w:rPr>
        <w:t>Amdocs branded software in connection with the Amdocs SaaS, Amdocs hereby grants AT&amp;T a non-exclusive and non-transferable right to use the Amdocs-branded software listed in the applicable SaaS Order or the applicable SaaS Documentation, including, without limitation, enhancements thereof (“Core Enhancements”), as upgraded in accordance with the Agreement (the “Software”) during the term of the applicable SaaS Order. AT&amp;T may only use the Software for its and its Affiliates’ internal business purposes and not for commercialization and strictly in connection with the Amdocs SaaS. AT&amp;T may not, directly or indirectly: (i) distribute, transfer, resell, rent, lease, sublicense, or loan the Software to any other party; (ii) use the Software in a service bureau or outsourcing arrangement;</w:t>
      </w:r>
    </w:p>
    <w:p>
      <w:pPr>
        <w:ind w:left="760" w:right="40"/>
        <w:spacing w:after="0" w:line="269" w:lineRule="auto"/>
        <w:rPr>
          <w:rFonts w:ascii="Arial" w:cs="Arial" w:eastAsia="Arial" w:hAnsi="Arial"/>
          <w:sz w:val="16"/>
          <w:szCs w:val="16"/>
          <w:color w:val="auto"/>
        </w:rPr>
      </w:pPr>
      <w:r>
        <w:rPr>
          <w:rFonts w:ascii="Arial" w:cs="Arial" w:eastAsia="Arial" w:hAnsi="Arial"/>
          <w:sz w:val="17"/>
          <w:szCs w:val="17"/>
          <w:color w:val="auto"/>
        </w:rPr>
        <w:t xml:space="preserve">(iii) disassemble, reverse engineer, translate, decompile, decode, or modify the Software or in any other manner attempt to extract the source code of the Software or create derivative works or make any enhancements, adaptations, or translations of the Software, except to the extent that applicable Law specifically prohibits any such restriction; or (iv) remove any designation or sign enabling to distinguish the Software, such as a copyright notice, Amdocs’ logo or trademarks, or any other form of designation. For non-Amdocs branded Software-as-a-Service, the Third Party’s terms applicable will govern AT&amp;T’s access and use in accordance with Section 4.d of this </w:t>
      </w:r>
      <w:r>
        <w:rPr>
          <w:rFonts w:ascii="Arial" w:cs="Arial" w:eastAsia="Arial" w:hAnsi="Arial"/>
          <w:sz w:val="17"/>
          <w:szCs w:val="17"/>
          <w:b w:val="1"/>
          <w:bCs w:val="1"/>
          <w:color w:val="auto"/>
        </w:rPr>
        <w:t>Appendix P</w:t>
      </w:r>
      <w:r>
        <w:rPr>
          <w:rFonts w:ascii="Arial" w:cs="Arial" w:eastAsia="Arial" w:hAnsi="Arial"/>
          <w:sz w:val="17"/>
          <w:szCs w:val="17"/>
          <w:color w:val="auto"/>
        </w:rPr>
        <w:t>. Notwithstanding anything to the contrary in the foregoing, AT&amp;T and its Affiliates shall have the right under this rights grant</w:t>
      </w:r>
      <w:r>
        <w:rPr>
          <w:rFonts w:ascii="Arial" w:cs="Arial" w:eastAsia="Arial" w:hAnsi="Arial"/>
          <w:sz w:val="17"/>
          <w:szCs w:val="17"/>
          <w:b w:val="1"/>
          <w:bCs w:val="1"/>
          <w:color w:val="auto"/>
        </w:rPr>
        <w:t xml:space="preserve"> </w:t>
      </w:r>
      <w:r>
        <w:rPr>
          <w:rFonts w:ascii="Arial" w:cs="Arial" w:eastAsia="Arial" w:hAnsi="Arial"/>
          <w:sz w:val="17"/>
          <w:szCs w:val="17"/>
          <w:color w:val="auto"/>
        </w:rPr>
        <w:t>to sell or provide services or products of third parties through their use of the SaaS.</w:t>
      </w:r>
    </w:p>
    <w:p>
      <w:pPr>
        <w:spacing w:after="0" w:line="81" w:lineRule="exact"/>
        <w:rPr>
          <w:rFonts w:ascii="Arial" w:cs="Arial" w:eastAsia="Arial" w:hAnsi="Arial"/>
          <w:sz w:val="16"/>
          <w:szCs w:val="16"/>
          <w:color w:val="auto"/>
        </w:rPr>
      </w:pPr>
    </w:p>
    <w:p>
      <w:pPr>
        <w:ind w:left="760" w:right="200" w:hanging="532"/>
        <w:spacing w:after="0" w:line="294" w:lineRule="auto"/>
        <w:tabs>
          <w:tab w:leader="none" w:pos="760" w:val="left"/>
        </w:tabs>
        <w:numPr>
          <w:ilvl w:val="0"/>
          <w:numId w:val="428"/>
        </w:numPr>
        <w:rPr>
          <w:rFonts w:ascii="Arial" w:cs="Arial" w:eastAsia="Arial" w:hAnsi="Arial"/>
          <w:sz w:val="16"/>
          <w:szCs w:val="16"/>
          <w:color w:val="auto"/>
        </w:rPr>
      </w:pPr>
      <w:r>
        <w:rPr>
          <w:rFonts w:ascii="Arial" w:cs="Arial" w:eastAsia="Arial" w:hAnsi="Arial"/>
          <w:sz w:val="16"/>
          <w:szCs w:val="16"/>
          <w:b w:val="1"/>
          <w:bCs w:val="1"/>
          <w:color w:val="auto"/>
        </w:rPr>
        <w:t xml:space="preserve">Right to Use License to API Materials. </w:t>
      </w:r>
      <w:r>
        <w:rPr>
          <w:rFonts w:ascii="Arial" w:cs="Arial" w:eastAsia="Arial" w:hAnsi="Arial"/>
          <w:sz w:val="16"/>
          <w:szCs w:val="16"/>
          <w:color w:val="auto"/>
        </w:rPr>
        <w:t>Amdocs hereby grants to AT&amp;T and its Affiliates a non-exclusive, non-transferrable, revocable</w:t>
      </w:r>
      <w:r>
        <w:rPr>
          <w:rFonts w:ascii="Arial" w:cs="Arial" w:eastAsia="Arial" w:hAnsi="Arial"/>
          <w:sz w:val="16"/>
          <w:szCs w:val="16"/>
          <w:b w:val="1"/>
          <w:bCs w:val="1"/>
          <w:color w:val="auto"/>
        </w:rPr>
        <w:t xml:space="preserve"> </w:t>
      </w:r>
      <w:r>
        <w:rPr>
          <w:rFonts w:ascii="Arial" w:cs="Arial" w:eastAsia="Arial" w:hAnsi="Arial"/>
          <w:sz w:val="16"/>
          <w:szCs w:val="16"/>
          <w:color w:val="auto"/>
        </w:rPr>
        <w:t>for cause, license during the term of the applicable SaaS Order to use and reproduce the “API Materials” (defined herein as the documentation and sample code for Amdocs’ application programming interface and Core Enhancements that constitute API Material provided by Amdocs to AT&amp;T hereunder, that enables interoperability between the Amdocs SaaS and the AT&amp;T applications) solely for AT&amp;T’s and its Affiliates’ internal use. Notwithstanding anything to the contrary in the foregoing, AT&amp;T and its Affiliates shall have the right under this license grant to sell or provide services or products of third parties through their use of the SaaS.</w:t>
      </w:r>
    </w:p>
    <w:p>
      <w:pPr>
        <w:spacing w:after="0" w:line="65" w:lineRule="exact"/>
        <w:rPr>
          <w:rFonts w:ascii="Arial" w:cs="Arial" w:eastAsia="Arial" w:hAnsi="Arial"/>
          <w:sz w:val="16"/>
          <w:szCs w:val="16"/>
          <w:color w:val="auto"/>
        </w:rPr>
      </w:pPr>
    </w:p>
    <w:p>
      <w:pPr>
        <w:ind w:left="760" w:hanging="532"/>
        <w:spacing w:after="0"/>
        <w:tabs>
          <w:tab w:leader="none" w:pos="760" w:val="left"/>
        </w:tabs>
        <w:numPr>
          <w:ilvl w:val="0"/>
          <w:numId w:val="428"/>
        </w:numPr>
        <w:rPr>
          <w:rFonts w:ascii="Arial" w:cs="Arial" w:eastAsia="Arial" w:hAnsi="Arial"/>
          <w:sz w:val="18"/>
          <w:szCs w:val="18"/>
          <w:color w:val="auto"/>
        </w:rPr>
      </w:pPr>
      <w:r>
        <w:rPr>
          <w:rFonts w:ascii="Arial" w:cs="Arial" w:eastAsia="Arial" w:hAnsi="Arial"/>
          <w:sz w:val="18"/>
          <w:szCs w:val="18"/>
          <w:b w:val="1"/>
          <w:bCs w:val="1"/>
          <w:color w:val="auto"/>
        </w:rPr>
        <w:t>Third Party Cloud Systems.</w:t>
      </w:r>
    </w:p>
    <w:p>
      <w:pPr>
        <w:spacing w:after="0" w:line="135" w:lineRule="exact"/>
        <w:rPr>
          <w:sz w:val="20"/>
          <w:szCs w:val="20"/>
          <w:color w:val="auto"/>
        </w:rPr>
      </w:pPr>
    </w:p>
    <w:p>
      <w:pPr>
        <w:ind w:left="1220" w:right="60" w:hanging="439"/>
        <w:spacing w:after="0" w:line="283" w:lineRule="auto"/>
        <w:tabs>
          <w:tab w:leader="none" w:pos="122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AT&amp;T acknowledges that Amdocs uses third-party (including, without limitation, [***] and [***] cloud-based computing systems located worldwide both for its internal operations and for the purpose of providing services to its customers (including without limitation, the Amdocs SaaS), and that AT&amp;T’s Information may be processed, accessed or stored using such systems. Amdocs shall not use any other cloud-based computing system for the Amdocs SaaS without AT&amp;T’s express permission. Notwithstanding any other provisions contained in these SaaS Terms (including, without limitation, any Attachments), Amdocs’ use of the third party cloud-based computing systems (collectively the “Cloud Services”) shall not be deemed a breach of any of Amdocs’ obligations under the SaaS Order or the Agreement provided that (1) Amdocs uses best efforts to use the administrative controls provided by the applicable third-party cloud service provider, if possible, (a) to limit the storage and processing of any AT&amp;T-provided SaaS Data on the Cloud Services to locations in the United States, (b) to use the highest level of security available on the Cloud Services in connection with the provision of the SaaS to AT&amp;T hereunder, and (c) to maintain the privacy of the AT&amp;T-provided SaaS Data and</w:t>
      </w:r>
    </w:p>
    <w:p>
      <w:pPr>
        <w:spacing w:after="0" w:line="4" w:lineRule="exact"/>
        <w:rPr>
          <w:rFonts w:ascii="Arial" w:cs="Arial" w:eastAsia="Arial" w:hAnsi="Arial"/>
          <w:sz w:val="16"/>
          <w:szCs w:val="16"/>
          <w:color w:val="auto"/>
        </w:rPr>
      </w:pPr>
    </w:p>
    <w:p>
      <w:pPr>
        <w:ind w:left="1220" w:right="100"/>
        <w:spacing w:after="0" w:line="255" w:lineRule="auto"/>
        <w:rPr>
          <w:rFonts w:ascii="Arial" w:cs="Arial" w:eastAsia="Arial" w:hAnsi="Arial"/>
          <w:sz w:val="16"/>
          <w:szCs w:val="16"/>
          <w:color w:val="auto"/>
        </w:rPr>
      </w:pPr>
      <w:r>
        <w:rPr>
          <w:rFonts w:ascii="Arial" w:cs="Arial" w:eastAsia="Arial" w:hAnsi="Arial"/>
          <w:sz w:val="18"/>
          <w:szCs w:val="18"/>
          <w:color w:val="auto"/>
        </w:rPr>
        <w:t>(2) Amdocs notifies AT&amp;T if it becomes aware that the applicable third-party cloud service provider has made any material changes to its security protocols or systems in connection with the Cloud Services. All other SISR and other security controls found in the Agreement shall still apply to Amdocs’ provision of the Amdocs SaaS.</w:t>
      </w:r>
    </w:p>
    <w:p>
      <w:pPr>
        <w:spacing w:after="0" w:line="118"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20"/>
          </w:cols>
          <w:pgMar w:left="640" w:top="274" w:right="439"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53258.A.010</w:t>
      </w:r>
    </w:p>
    <w:p>
      <w:pPr>
        <w:spacing w:after="0" w:line="158" w:lineRule="exact"/>
        <w:rPr>
          <w:sz w:val="20"/>
          <w:szCs w:val="20"/>
          <w:color w:val="auto"/>
        </w:rPr>
      </w:pPr>
    </w:p>
    <w:p>
      <w:pPr>
        <w:ind w:left="1220" w:right="240" w:hanging="439"/>
        <w:spacing w:after="0" w:line="257" w:lineRule="auto"/>
        <w:tabs>
          <w:tab w:leader="none" w:pos="12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The availability and performance of the Cloud Services is under the control and responsibility of the Cloud Services Provider and, therefore, Amdocs will not be liable for delays or outages and/or for any other damage resulting from factors that are under the Cloud Services Provider’s responsibility and control. Notwithstanding the above, Amdocs agrees to pass through to AT&amp;T the amount of service level credits and/or any other monetary remedy which Amdocs was able to recover from the Cloud Services Provider in connection with any fault in the services that affected AT&amp;T.</w:t>
      </w:r>
    </w:p>
    <w:p>
      <w:pPr>
        <w:spacing w:after="0" w:line="93" w:lineRule="exact"/>
        <w:rPr>
          <w:rFonts w:ascii="Arial" w:cs="Arial" w:eastAsia="Arial" w:hAnsi="Arial"/>
          <w:sz w:val="18"/>
          <w:szCs w:val="18"/>
          <w:color w:val="auto"/>
        </w:rPr>
      </w:pPr>
    </w:p>
    <w:p>
      <w:pPr>
        <w:ind w:left="1220" w:right="300" w:hanging="439"/>
        <w:spacing w:after="0" w:line="263" w:lineRule="auto"/>
        <w:tabs>
          <w:tab w:leader="none" w:pos="122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AT&amp;T will comply with appropriate and relevant use policies of the Cloud Services Provider that may be provided by Amdocs to AT&amp;T in writing. AT&amp;T will indemnify Amdocs from any direct damages incurred by Amdocs, including claims by the Cloud Services Provider against Amdocs, directly resulting from AT&amp;T’s violation of such use policies.</w:t>
      </w:r>
    </w:p>
    <w:p>
      <w:pPr>
        <w:spacing w:after="0" w:line="89" w:lineRule="exact"/>
        <w:rPr>
          <w:rFonts w:ascii="Arial" w:cs="Arial" w:eastAsia="Arial" w:hAnsi="Arial"/>
          <w:sz w:val="18"/>
          <w:szCs w:val="18"/>
          <w:color w:val="auto"/>
        </w:rPr>
      </w:pPr>
    </w:p>
    <w:p>
      <w:pPr>
        <w:ind w:left="1220" w:right="20" w:hanging="439"/>
        <w:spacing w:after="0" w:line="290" w:lineRule="auto"/>
        <w:tabs>
          <w:tab w:leader="none" w:pos="122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In the event that the Cloud Services Provider decides to reduce or eliminate certain services, which adversely affects Amdocs’ ability to meet certain commitments under the Agreement or the applicable SaaS Order, Amdocs and AT&amp;T will negotiate in good faith to obtain such services from an alternative source (e.g., from a different Cloud Services Provider) or to adjust the Agreement or the applicable SaaS Order accordingly. Until AT&amp;T and Amdocs agree on a resolution of such matter, Amdocs will use all reasonable commercial efforts to meet all of its commitments but will not be liable for service level credits or damages that are due to such reduction or elimination of services by the Cloud Services Provider. Notwithstanding the above, Amdocs agrees to pass through to AT&amp;T the amount of service level credits and/or any other monetary remedy which Amdocs was able to recover from the Cloud Services Provider in connection with any such reduction or elimination of services by the Cloud Services Provider.</w:t>
      </w:r>
    </w:p>
    <w:p>
      <w:pPr>
        <w:spacing w:after="0" w:line="70" w:lineRule="exact"/>
        <w:rPr>
          <w:rFonts w:ascii="Arial" w:cs="Arial" w:eastAsia="Arial" w:hAnsi="Arial"/>
          <w:sz w:val="16"/>
          <w:szCs w:val="16"/>
          <w:color w:val="auto"/>
        </w:rPr>
      </w:pPr>
    </w:p>
    <w:p>
      <w:pPr>
        <w:ind w:left="1220" w:right="140" w:hanging="439"/>
        <w:spacing w:after="0" w:line="271" w:lineRule="auto"/>
        <w:tabs>
          <w:tab w:leader="none" w:pos="1220" w:val="left"/>
        </w:tabs>
        <w:numPr>
          <w:ilvl w:val="0"/>
          <w:numId w:val="430"/>
        </w:numPr>
        <w:rPr>
          <w:rFonts w:ascii="Arial" w:cs="Arial" w:eastAsia="Arial" w:hAnsi="Arial"/>
          <w:sz w:val="17"/>
          <w:szCs w:val="17"/>
          <w:color w:val="auto"/>
        </w:rPr>
      </w:pPr>
      <w:r>
        <w:rPr>
          <w:rFonts w:ascii="Arial" w:cs="Arial" w:eastAsia="Arial" w:hAnsi="Arial"/>
          <w:sz w:val="17"/>
          <w:szCs w:val="17"/>
          <w:color w:val="auto"/>
        </w:rPr>
        <w:t>In the event that a force majeure event adversely affects the Cloud Services Provider’s ability to provide certain services and, as a result, Amdocs is unable to meet certain commitments under the Agreement and/or the applicable SaaS Order, Amdocs and AT&amp;T will negotiate in good faith to obtain such services from an alternative source (e.g., from a different Cloud Services Provider) or to adjust the Agreement or the applicable SaaS Order accordingly. Until AT&amp;T and Amdocs agree on a resolution of such matter, Amdocs will use all reasonable commercial efforts to meet all of its commitments but will not be liable for service level credits or damages that are due to such force majeure event. Notwithstanding the above, Amdocs agrees to pass through to AT&amp;T the amount of service level credits and/or any other monetary remedy which Amdocs was able to recover from the AT&amp;T-Approved Cloud Services Provider in connection with any such force majeure event.</w:t>
      </w:r>
    </w:p>
    <w:p>
      <w:pPr>
        <w:spacing w:after="0" w:line="107"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820"/>
          </w:cols>
          <w:pgMar w:left="640" w:top="274" w:right="439" w:bottom="1440" w:gutter="0" w:footer="0" w:header="0"/>
        </w:sectPr>
      </w:pPr>
    </w:p>
    <w:bookmarkStart w:id="358" w:name="page359"/>
    <w:bookmarkEnd w:id="3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53258.A.010</w:t>
      </w:r>
    </w:p>
    <w:p>
      <w:pPr>
        <w:spacing w:after="0" w:line="158" w:lineRule="exact"/>
        <w:rPr>
          <w:sz w:val="20"/>
          <w:szCs w:val="20"/>
          <w:color w:val="auto"/>
        </w:rPr>
      </w:pPr>
    </w:p>
    <w:p>
      <w:pPr>
        <w:ind w:left="1424" w:right="160" w:hanging="439"/>
        <w:spacing w:after="0" w:line="286" w:lineRule="auto"/>
        <w:tabs>
          <w:tab w:leader="none" w:pos="1424" w:val="left"/>
        </w:tabs>
        <w:numPr>
          <w:ilvl w:val="0"/>
          <w:numId w:val="431"/>
        </w:numPr>
        <w:rPr>
          <w:rFonts w:ascii="Arial" w:cs="Arial" w:eastAsia="Arial" w:hAnsi="Arial"/>
          <w:sz w:val="17"/>
          <w:szCs w:val="17"/>
          <w:color w:val="auto"/>
        </w:rPr>
      </w:pPr>
      <w:r>
        <w:rPr>
          <w:rFonts w:ascii="Arial" w:cs="Arial" w:eastAsia="Arial" w:hAnsi="Arial"/>
          <w:sz w:val="17"/>
          <w:szCs w:val="17"/>
          <w:color w:val="auto"/>
        </w:rPr>
        <w:t>All charges for non-Amdocs branded software and software-as-a-service which constitute a part of the Amdocs SaaS as charged by the Third Party [***] set forth in the applicable SaaS Order, and AT&amp;T shall [***] to any such Third Party for such non-Amdocs branded software and software-as-a-service unless agreed differently under the applicable SaaS Order.</w:t>
      </w:r>
    </w:p>
    <w:p>
      <w:pPr>
        <w:spacing w:after="0" w:line="67" w:lineRule="exact"/>
        <w:rPr>
          <w:sz w:val="20"/>
          <w:szCs w:val="20"/>
          <w:color w:val="auto"/>
        </w:rPr>
      </w:pPr>
    </w:p>
    <w:p>
      <w:pPr>
        <w:ind w:left="1424" w:hanging="439"/>
        <w:spacing w:after="0"/>
        <w:tabs>
          <w:tab w:leader="none" w:pos="1424" w:val="left"/>
        </w:tabs>
        <w:numPr>
          <w:ilvl w:val="2"/>
          <w:numId w:val="432"/>
        </w:numPr>
        <w:rPr>
          <w:rFonts w:ascii="Arial" w:cs="Arial" w:eastAsia="Arial" w:hAnsi="Arial"/>
          <w:sz w:val="18"/>
          <w:szCs w:val="18"/>
          <w:color w:val="auto"/>
        </w:rPr>
      </w:pPr>
      <w:r>
        <w:rPr>
          <w:rFonts w:ascii="Arial" w:cs="Arial" w:eastAsia="Arial" w:hAnsi="Arial"/>
          <w:sz w:val="18"/>
          <w:szCs w:val="18"/>
          <w:b w:val="1"/>
          <w:bCs w:val="1"/>
          <w:color w:val="auto"/>
        </w:rPr>
        <w:t>Cloud Service Provider Facilities</w:t>
      </w:r>
    </w:p>
    <w:p>
      <w:pPr>
        <w:spacing w:after="0" w:line="121" w:lineRule="exact"/>
        <w:rPr>
          <w:rFonts w:ascii="Arial" w:cs="Arial" w:eastAsia="Arial" w:hAnsi="Arial"/>
          <w:sz w:val="18"/>
          <w:szCs w:val="18"/>
          <w:color w:val="auto"/>
        </w:rPr>
      </w:pPr>
    </w:p>
    <w:p>
      <w:pPr>
        <w:ind w:left="1424" w:right="380"/>
        <w:spacing w:after="0" w:line="263" w:lineRule="auto"/>
        <w:rPr>
          <w:rFonts w:ascii="Arial" w:cs="Arial" w:eastAsia="Arial" w:hAnsi="Arial"/>
          <w:sz w:val="18"/>
          <w:szCs w:val="18"/>
          <w:color w:val="auto"/>
        </w:rPr>
      </w:pPr>
      <w:r>
        <w:rPr>
          <w:rFonts w:ascii="Arial" w:cs="Arial" w:eastAsia="Arial" w:hAnsi="Arial"/>
          <w:sz w:val="18"/>
          <w:szCs w:val="18"/>
          <w:color w:val="auto"/>
        </w:rPr>
        <w:t>As part of a SaaS order AT&amp;T may direct Supplier as to where Supplier’s CSP (or Authorized CSP) may geographically host or store AT&amp;T Data, subject to such CSP’s available hosting and storage regions. Supplier will not move AT&amp;T Data outside the specified geographic region without AT&amp;T’s written consent.</w:t>
      </w:r>
    </w:p>
    <w:p>
      <w:pPr>
        <w:spacing w:after="0" w:line="85" w:lineRule="exact"/>
        <w:rPr>
          <w:rFonts w:ascii="Arial" w:cs="Arial" w:eastAsia="Arial" w:hAnsi="Arial"/>
          <w:sz w:val="18"/>
          <w:szCs w:val="18"/>
          <w:color w:val="auto"/>
        </w:rPr>
      </w:pPr>
    </w:p>
    <w:p>
      <w:pPr>
        <w:ind w:left="424" w:hanging="424"/>
        <w:spacing w:after="0"/>
        <w:tabs>
          <w:tab w:leader="none" w:pos="424" w:val="left"/>
        </w:tabs>
        <w:numPr>
          <w:ilvl w:val="0"/>
          <w:numId w:val="433"/>
        </w:numPr>
        <w:rPr>
          <w:rFonts w:ascii="Arial" w:cs="Arial" w:eastAsia="Arial" w:hAnsi="Arial"/>
          <w:sz w:val="18"/>
          <w:szCs w:val="18"/>
          <w:color w:val="auto"/>
        </w:rPr>
      </w:pPr>
      <w:r>
        <w:rPr>
          <w:rFonts w:ascii="Arial" w:cs="Arial" w:eastAsia="Arial" w:hAnsi="Arial"/>
          <w:sz w:val="18"/>
          <w:szCs w:val="18"/>
          <w:b w:val="1"/>
          <w:bCs w:val="1"/>
          <w:color w:val="auto"/>
        </w:rPr>
        <w:t>CLOUD SERVICE PROVIDER</w:t>
      </w:r>
    </w:p>
    <w:p>
      <w:pPr>
        <w:spacing w:after="0" w:line="130" w:lineRule="exact"/>
        <w:rPr>
          <w:rFonts w:ascii="Arial" w:cs="Arial" w:eastAsia="Arial" w:hAnsi="Arial"/>
          <w:sz w:val="18"/>
          <w:szCs w:val="18"/>
          <w:color w:val="auto"/>
        </w:rPr>
      </w:pPr>
    </w:p>
    <w:p>
      <w:pPr>
        <w:ind w:left="424"/>
        <w:spacing w:after="0"/>
        <w:rPr>
          <w:rFonts w:ascii="Arial" w:cs="Arial" w:eastAsia="Arial" w:hAnsi="Arial"/>
          <w:sz w:val="18"/>
          <w:szCs w:val="18"/>
          <w:color w:val="auto"/>
        </w:rPr>
      </w:pPr>
      <w:r>
        <w:rPr>
          <w:rFonts w:ascii="Arial" w:cs="Arial" w:eastAsia="Arial" w:hAnsi="Arial"/>
          <w:sz w:val="18"/>
          <w:szCs w:val="18"/>
          <w:b w:val="1"/>
          <w:bCs w:val="1"/>
          <w:color w:val="auto"/>
        </w:rPr>
        <w:t>a.</w:t>
      </w:r>
      <w:r>
        <w:rPr>
          <w:rFonts w:ascii="Arial" w:cs="Arial" w:eastAsia="Arial" w:hAnsi="Arial"/>
          <w:sz w:val="16"/>
          <w:szCs w:val="16"/>
          <w:b w:val="1"/>
          <w:bCs w:val="1"/>
          <w:color w:val="auto"/>
        </w:rPr>
        <w:t>Cloud Rights - SaaS</w:t>
      </w:r>
    </w:p>
    <w:p>
      <w:pPr>
        <w:spacing w:after="0" w:line="130" w:lineRule="exact"/>
        <w:rPr>
          <w:rFonts w:ascii="Arial" w:cs="Arial" w:eastAsia="Arial" w:hAnsi="Arial"/>
          <w:sz w:val="18"/>
          <w:szCs w:val="18"/>
          <w:color w:val="auto"/>
        </w:rPr>
      </w:pPr>
    </w:p>
    <w:p>
      <w:pPr>
        <w:ind w:left="1424" w:right="220" w:hanging="439"/>
        <w:spacing w:after="0" w:line="282" w:lineRule="auto"/>
        <w:tabs>
          <w:tab w:leader="none" w:pos="1424" w:val="left"/>
        </w:tabs>
        <w:numPr>
          <w:ilvl w:val="2"/>
          <w:numId w:val="433"/>
        </w:numPr>
        <w:rPr>
          <w:rFonts w:ascii="Arial" w:cs="Arial" w:eastAsia="Arial" w:hAnsi="Arial"/>
          <w:sz w:val="18"/>
          <w:szCs w:val="18"/>
          <w:color w:val="auto"/>
        </w:rPr>
      </w:pPr>
      <w:r>
        <w:rPr>
          <w:rFonts w:ascii="Arial" w:cs="Arial" w:eastAsia="Arial" w:hAnsi="Arial"/>
          <w:sz w:val="18"/>
          <w:szCs w:val="18"/>
          <w:b w:val="1"/>
          <w:bCs w:val="1"/>
          <w:color w:val="auto"/>
        </w:rPr>
        <w:t xml:space="preserve">Permitted Change Right. </w:t>
      </w:r>
      <w:r>
        <w:rPr>
          <w:rFonts w:ascii="Arial" w:cs="Arial" w:eastAsia="Arial" w:hAnsi="Arial"/>
          <w:sz w:val="18"/>
          <w:szCs w:val="18"/>
          <w:color w:val="auto"/>
        </w:rPr>
        <w:t>AT&amp;T may request to make the following changes to Supplier’s public CSP infrastructure or migration</w:t>
      </w:r>
      <w:r>
        <w:rPr>
          <w:rFonts w:ascii="Arial" w:cs="Arial" w:eastAsia="Arial" w:hAnsi="Arial"/>
          <w:sz w:val="18"/>
          <w:szCs w:val="18"/>
          <w:b w:val="1"/>
          <w:bCs w:val="1"/>
          <w:color w:val="auto"/>
        </w:rPr>
        <w:t xml:space="preserve"> </w:t>
      </w:r>
      <w:r>
        <w:rPr>
          <w:rFonts w:ascii="Arial" w:cs="Arial" w:eastAsia="Arial" w:hAnsi="Arial"/>
          <w:sz w:val="18"/>
          <w:szCs w:val="18"/>
          <w:color w:val="auto"/>
        </w:rPr>
        <w:t>plan as they relate to AT&amp;T’s use of Amdocs SaaS (“Permitted Changes”):</w:t>
      </w:r>
    </w:p>
    <w:p>
      <w:pPr>
        <w:spacing w:after="0" w:line="67" w:lineRule="exact"/>
        <w:rPr>
          <w:rFonts w:ascii="Arial" w:cs="Arial" w:eastAsia="Arial" w:hAnsi="Arial"/>
          <w:sz w:val="18"/>
          <w:szCs w:val="18"/>
          <w:color w:val="auto"/>
        </w:rPr>
      </w:pPr>
    </w:p>
    <w:p>
      <w:pPr>
        <w:ind w:left="1964" w:right="340" w:hanging="533"/>
        <w:spacing w:after="0" w:line="266" w:lineRule="auto"/>
        <w:tabs>
          <w:tab w:leader="none" w:pos="1964" w:val="left"/>
        </w:tabs>
        <w:numPr>
          <w:ilvl w:val="3"/>
          <w:numId w:val="433"/>
        </w:numPr>
        <w:rPr>
          <w:rFonts w:ascii="Arial" w:cs="Arial" w:eastAsia="Arial" w:hAnsi="Arial"/>
          <w:sz w:val="18"/>
          <w:szCs w:val="18"/>
          <w:color w:val="auto"/>
        </w:rPr>
      </w:pPr>
      <w:r>
        <w:rPr>
          <w:rFonts w:ascii="Arial" w:cs="Arial" w:eastAsia="Arial" w:hAnsi="Arial"/>
          <w:sz w:val="18"/>
          <w:szCs w:val="18"/>
          <w:b w:val="1"/>
          <w:bCs w:val="1"/>
          <w:color w:val="auto"/>
        </w:rPr>
        <w:t>Authorized CSP Selection</w:t>
      </w:r>
      <w:r>
        <w:rPr>
          <w:rFonts w:ascii="Arial" w:cs="Arial" w:eastAsia="Arial" w:hAnsi="Arial"/>
          <w:sz w:val="18"/>
          <w:szCs w:val="18"/>
          <w:color w:val="auto"/>
        </w:rPr>
        <w:t>. Upon AT&amp;T’s request, Amdocs will provide a proposal and associated pricing and, upon</w:t>
      </w:r>
      <w:r>
        <w:rPr>
          <w:rFonts w:ascii="Arial" w:cs="Arial" w:eastAsia="Arial" w:hAnsi="Arial"/>
          <w:sz w:val="18"/>
          <w:szCs w:val="18"/>
          <w:b w:val="1"/>
          <w:bCs w:val="1"/>
          <w:color w:val="auto"/>
        </w:rPr>
        <w:t xml:space="preserve"> </w:t>
      </w:r>
      <w:r>
        <w:rPr>
          <w:rFonts w:ascii="Arial" w:cs="Arial" w:eastAsia="Arial" w:hAnsi="Arial"/>
          <w:sz w:val="18"/>
          <w:szCs w:val="18"/>
          <w:color w:val="auto"/>
        </w:rPr>
        <w:t>AT&amp;T’s approval of the pricing, Amdocs will deploy its SaaS for AT&amp;T’s use with an AT&amp;T-authorized CSP of AT&amp;T’s choice, including but not limited to [***], [***], or [***] (“Authorized CSP”).</w:t>
      </w:r>
    </w:p>
    <w:p>
      <w:pPr>
        <w:spacing w:after="0" w:line="81" w:lineRule="exact"/>
        <w:rPr>
          <w:sz w:val="20"/>
          <w:szCs w:val="20"/>
          <w:color w:val="auto"/>
        </w:rPr>
      </w:pPr>
    </w:p>
    <w:p>
      <w:pPr>
        <w:ind w:left="1424" w:right="1040" w:hanging="439"/>
        <w:spacing w:after="0" w:line="312" w:lineRule="auto"/>
        <w:tabs>
          <w:tab w:leader="none" w:pos="1424" w:val="left"/>
        </w:tabs>
        <w:numPr>
          <w:ilvl w:val="0"/>
          <w:numId w:val="434"/>
        </w:numPr>
        <w:rPr>
          <w:rFonts w:ascii="Arial" w:cs="Arial" w:eastAsia="Arial" w:hAnsi="Arial"/>
          <w:sz w:val="17"/>
          <w:szCs w:val="17"/>
          <w:color w:val="auto"/>
        </w:rPr>
      </w:pPr>
      <w:r>
        <w:rPr>
          <w:rFonts w:ascii="Arial" w:cs="Arial" w:eastAsia="Arial" w:hAnsi="Arial"/>
          <w:sz w:val="17"/>
          <w:szCs w:val="17"/>
          <w:b w:val="1"/>
          <w:bCs w:val="1"/>
          <w:color w:val="auto"/>
        </w:rPr>
        <w:t xml:space="preserve">Permitted Change Process. </w:t>
      </w:r>
      <w:r>
        <w:rPr>
          <w:rFonts w:ascii="Arial" w:cs="Arial" w:eastAsia="Arial" w:hAnsi="Arial"/>
          <w:sz w:val="17"/>
          <w:szCs w:val="17"/>
          <w:color w:val="auto"/>
        </w:rPr>
        <w:t>Permitted Changes are at AT&amp;T’s sole discretion, subject to technical limitations, product</w:t>
      </w:r>
      <w:r>
        <w:rPr>
          <w:rFonts w:ascii="Arial" w:cs="Arial" w:eastAsia="Arial" w:hAnsi="Arial"/>
          <w:sz w:val="17"/>
          <w:szCs w:val="17"/>
          <w:b w:val="1"/>
          <w:bCs w:val="1"/>
          <w:color w:val="auto"/>
        </w:rPr>
        <w:t xml:space="preserve"> </w:t>
      </w:r>
      <w:r>
        <w:rPr>
          <w:rFonts w:ascii="Arial" w:cs="Arial" w:eastAsia="Arial" w:hAnsi="Arial"/>
          <w:sz w:val="17"/>
          <w:szCs w:val="17"/>
          <w:color w:val="auto"/>
        </w:rPr>
        <w:t>compatibility, approval of the costs associated with the change, and the following considerations:</w:t>
      </w:r>
    </w:p>
    <w:p>
      <w:pPr>
        <w:spacing w:after="0" w:line="49" w:lineRule="exact"/>
        <w:rPr>
          <w:sz w:val="20"/>
          <w:szCs w:val="20"/>
          <w:color w:val="auto"/>
        </w:rPr>
      </w:pPr>
    </w:p>
    <w:p>
      <w:pPr>
        <w:jc w:val="both"/>
        <w:ind w:left="1424" w:right="280" w:hanging="439"/>
        <w:spacing w:after="0" w:line="286" w:lineRule="auto"/>
        <w:tabs>
          <w:tab w:leader="none" w:pos="1424" w:val="left"/>
        </w:tabs>
        <w:numPr>
          <w:ilvl w:val="1"/>
          <w:numId w:val="435"/>
        </w:numPr>
        <w:rPr>
          <w:rFonts w:ascii="Arial" w:cs="Arial" w:eastAsia="Arial" w:hAnsi="Arial"/>
          <w:sz w:val="17"/>
          <w:szCs w:val="17"/>
          <w:color w:val="auto"/>
        </w:rPr>
      </w:pPr>
      <w:r>
        <w:rPr>
          <w:rFonts w:ascii="Arial" w:cs="Arial" w:eastAsia="Arial" w:hAnsi="Arial"/>
          <w:sz w:val="17"/>
          <w:szCs w:val="17"/>
          <w:color w:val="auto"/>
        </w:rPr>
        <w:t>Upon AT&amp;T’s written request to make a Permitted Change, the Parties will promptly collaborate in good faith to create a written migration plan within 30 days and to implement such plan. At AT&amp;T’s sole discretion, the required changes may be implemented utilizing scrum Services and/or an additional Order, if required for Services other than scrum Services.</w:t>
      </w:r>
    </w:p>
    <w:p>
      <w:pPr>
        <w:spacing w:after="0" w:line="70" w:lineRule="exact"/>
        <w:rPr>
          <w:rFonts w:ascii="Arial" w:cs="Arial" w:eastAsia="Arial" w:hAnsi="Arial"/>
          <w:sz w:val="17"/>
          <w:szCs w:val="17"/>
          <w:color w:val="auto"/>
        </w:rPr>
      </w:pPr>
    </w:p>
    <w:p>
      <w:pPr>
        <w:ind w:left="1424" w:right="380" w:hanging="439"/>
        <w:spacing w:after="0" w:line="342" w:lineRule="auto"/>
        <w:tabs>
          <w:tab w:leader="none" w:pos="1424" w:val="left"/>
        </w:tabs>
        <w:numPr>
          <w:ilvl w:val="1"/>
          <w:numId w:val="435"/>
        </w:numPr>
        <w:rPr>
          <w:rFonts w:ascii="Arial" w:cs="Arial" w:eastAsia="Arial" w:hAnsi="Arial"/>
          <w:sz w:val="16"/>
          <w:szCs w:val="16"/>
          <w:color w:val="auto"/>
        </w:rPr>
      </w:pPr>
      <w:r>
        <w:rPr>
          <w:rFonts w:ascii="Arial" w:cs="Arial" w:eastAsia="Arial" w:hAnsi="Arial"/>
          <w:sz w:val="16"/>
          <w:szCs w:val="16"/>
          <w:color w:val="auto"/>
        </w:rPr>
        <w:t>If Supplier is or becomes aware that an AT&amp;T request for Permitted Change may negatively impact Amdocs SaaS functionality, performance, or reliability, Supplier will advise AT&amp;T, and the Parties will work together to minimize such negative impacts.</w:t>
      </w:r>
    </w:p>
    <w:p>
      <w:pPr>
        <w:spacing w:after="0" w:line="25" w:lineRule="exact"/>
        <w:rPr>
          <w:rFonts w:ascii="Arial" w:cs="Arial" w:eastAsia="Arial" w:hAnsi="Arial"/>
          <w:sz w:val="16"/>
          <w:szCs w:val="16"/>
          <w:color w:val="auto"/>
        </w:rPr>
      </w:pPr>
    </w:p>
    <w:p>
      <w:pPr>
        <w:ind w:left="964" w:hanging="532"/>
        <w:spacing w:after="0"/>
        <w:tabs>
          <w:tab w:leader="none" w:pos="964" w:val="left"/>
        </w:tabs>
        <w:numPr>
          <w:ilvl w:val="0"/>
          <w:numId w:val="436"/>
        </w:numPr>
        <w:rPr>
          <w:rFonts w:ascii="Arial" w:cs="Arial" w:eastAsia="Arial" w:hAnsi="Arial"/>
          <w:sz w:val="18"/>
          <w:szCs w:val="18"/>
          <w:color w:val="auto"/>
        </w:rPr>
      </w:pPr>
      <w:r>
        <w:rPr>
          <w:rFonts w:ascii="Arial" w:cs="Arial" w:eastAsia="Arial" w:hAnsi="Arial"/>
          <w:sz w:val="18"/>
          <w:szCs w:val="18"/>
          <w:b w:val="1"/>
          <w:bCs w:val="1"/>
          <w:color w:val="auto"/>
        </w:rPr>
        <w:t>INTELLECTUAL PROPERTY RIGHTS.</w:t>
      </w:r>
    </w:p>
    <w:p>
      <w:pPr>
        <w:spacing w:after="0" w:line="135" w:lineRule="exact"/>
        <w:rPr>
          <w:sz w:val="20"/>
          <w:szCs w:val="20"/>
          <w:color w:val="auto"/>
        </w:rPr>
      </w:pPr>
    </w:p>
    <w:p>
      <w:pPr>
        <w:ind w:left="964" w:right="100" w:hanging="532"/>
        <w:spacing w:after="0" w:line="308" w:lineRule="auto"/>
        <w:tabs>
          <w:tab w:leader="none" w:pos="964"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Software, API Materials, SaaS Documentation and any other documentation or software provided by Amdocs to AT&amp;T in connection with the Amdocs SaaS is owned by Amdocs and licensed to AT&amp;T for use during the term of the applicable SaaS Order.</w:t>
      </w:r>
    </w:p>
    <w:p>
      <w:pPr>
        <w:spacing w:after="0" w:line="51" w:lineRule="exact"/>
        <w:rPr>
          <w:rFonts w:ascii="Arial" w:cs="Arial" w:eastAsia="Arial" w:hAnsi="Arial"/>
          <w:sz w:val="17"/>
          <w:szCs w:val="17"/>
          <w:color w:val="auto"/>
        </w:rPr>
      </w:pPr>
    </w:p>
    <w:p>
      <w:pPr>
        <w:ind w:left="964" w:right="120" w:hanging="532"/>
        <w:spacing w:after="0" w:line="301" w:lineRule="auto"/>
        <w:tabs>
          <w:tab w:leader="none" w:pos="964" w:val="left"/>
        </w:tabs>
        <w:numPr>
          <w:ilvl w:val="0"/>
          <w:numId w:val="437"/>
        </w:numPr>
        <w:rPr>
          <w:rFonts w:ascii="Arial" w:cs="Arial" w:eastAsia="Arial" w:hAnsi="Arial"/>
          <w:sz w:val="16"/>
          <w:szCs w:val="16"/>
          <w:color w:val="auto"/>
        </w:rPr>
      </w:pPr>
      <w:r>
        <w:rPr>
          <w:rFonts w:ascii="Arial" w:cs="Arial" w:eastAsia="Arial" w:hAnsi="Arial"/>
          <w:sz w:val="16"/>
          <w:szCs w:val="16"/>
          <w:color w:val="auto"/>
        </w:rPr>
        <w:t>The Parties acknowledge that, during the term of a SaaS Order, AT&amp;T may provide suggestions, enhancement requests, recommendations or other feedback to Amdocs with respect to the applicable Amdocs SaaS. With respect to any improvements or suggestions that AT&amp;T provides to the Amdocs SaaS during the term of the applicable SaaS Order (“AT&amp;T Feedback”), subject to the limitations below, AT&amp;T grants to Amdocs a perpetual, royalty-free, non-exclusive, non-transferable license under those rights, if any,</w:t>
      </w:r>
    </w:p>
    <w:p>
      <w:pPr>
        <w:spacing w:after="0" w:line="86" w:lineRule="exact"/>
        <w:rPr>
          <w:sz w:val="20"/>
          <w:szCs w:val="20"/>
          <w:color w:val="auto"/>
        </w:rPr>
      </w:pPr>
    </w:p>
    <w:p>
      <w:pPr>
        <w:ind w:left="4384"/>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ind w:left="204"/>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4"/>
          </w:cols>
          <w:pgMar w:left="436" w:top="274" w:right="439" w:bottom="1440" w:gutter="0" w:footer="0" w:header="0"/>
        </w:sectPr>
      </w:pPr>
    </w:p>
    <w:bookmarkStart w:id="359" w:name="page360"/>
    <w:bookmarkEnd w:id="359"/>
    <w:p>
      <w:pPr>
        <w:ind w:left="87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53258.A.010</w:t>
      </w:r>
    </w:p>
    <w:p>
      <w:pPr>
        <w:spacing w:after="0" w:line="181" w:lineRule="exact"/>
        <w:rPr>
          <w:sz w:val="20"/>
          <w:szCs w:val="20"/>
          <w:color w:val="auto"/>
        </w:rPr>
      </w:pPr>
    </w:p>
    <w:p>
      <w:pPr>
        <w:ind w:left="780" w:right="60"/>
        <w:spacing w:after="0" w:line="287" w:lineRule="auto"/>
        <w:rPr>
          <w:sz w:val="20"/>
          <w:szCs w:val="20"/>
          <w:color w:val="auto"/>
        </w:rPr>
      </w:pPr>
      <w:r>
        <w:rPr>
          <w:rFonts w:ascii="Arial" w:cs="Arial" w:eastAsia="Arial" w:hAnsi="Arial"/>
          <w:sz w:val="16"/>
          <w:szCs w:val="16"/>
          <w:color w:val="auto"/>
        </w:rPr>
        <w:t>AT&amp;T has in the AT&amp;T Feedback to implement that AT&amp;T Feedback to improve that Amdocs SaaS. Notwithstanding the foregoing, Amdocs shall be entitled: (a) to transfer such AT&amp;T Feedback license to any successor to the business or transfer of substantial assets of Amdocs; and (b) to sublicense a right to use the AT&amp;T Feedback embedded, as part of Amdocs SaaS, to Amdocs’ customers and their end users. AT&amp;T Feedback does not include any implementation or configuration, or information related thereto, of products, services, or their functionality regardless of whether made by AT&amp;T or on behalf of AT&amp;T. The foregoing permission, however, does not include a license under (and is subject to) any current or future patent rights held by AT&amp;T or Amdocs (as applicable), and any AT&amp;T Feedback constitutes AT&amp;T Information. Notwithstanding the foregoing, Amdocs’ use of the AT&amp;T Feedback in the Amdocs SaaS and their licensing to Amdocs’ customers a right to use the Feedback embedded in the Amdocs SaaS will not be considered a breach of AT&amp;T’s rights in the AT&amp;T Information. Notwithstanding any other provision in this Appendix P, AT&amp;T is not transferring or granting to Supplier any right, title, or interest in or to (or granting to Supplier any license or other permissions in or to) any patent rights, including, without limitation, any patent rights in or to any AT&amp;T Feedback, with respect to which patent rights the Parties’ have executed an Agreement for Licensing Patents dated January 28, 2022 and which will govern such rights as between the Parties.</w:t>
      </w:r>
    </w:p>
    <w:p>
      <w:pPr>
        <w:spacing w:after="0" w:line="69" w:lineRule="exact"/>
        <w:rPr>
          <w:sz w:val="20"/>
          <w:szCs w:val="20"/>
          <w:color w:val="auto"/>
        </w:rPr>
      </w:pPr>
    </w:p>
    <w:p>
      <w:pPr>
        <w:ind w:left="760" w:hanging="532"/>
        <w:spacing w:after="0"/>
        <w:tabs>
          <w:tab w:leader="none" w:pos="760" w:val="left"/>
        </w:tabs>
        <w:numPr>
          <w:ilvl w:val="0"/>
          <w:numId w:val="438"/>
        </w:numPr>
        <w:rPr>
          <w:rFonts w:ascii="Arial" w:cs="Arial" w:eastAsia="Arial" w:hAnsi="Arial"/>
          <w:sz w:val="18"/>
          <w:szCs w:val="18"/>
          <w:color w:val="auto"/>
        </w:rPr>
      </w:pPr>
      <w:r>
        <w:rPr>
          <w:rFonts w:ascii="Arial" w:cs="Arial" w:eastAsia="Arial" w:hAnsi="Arial"/>
          <w:sz w:val="18"/>
          <w:szCs w:val="18"/>
          <w:b w:val="1"/>
          <w:bCs w:val="1"/>
          <w:color w:val="auto"/>
        </w:rPr>
        <w:t>TERM, SUSPENSION AND TERMINATION</w:t>
      </w:r>
    </w:p>
    <w:p>
      <w:pPr>
        <w:spacing w:after="0" w:line="131" w:lineRule="exact"/>
        <w:rPr>
          <w:sz w:val="20"/>
          <w:szCs w:val="20"/>
          <w:color w:val="auto"/>
        </w:rPr>
      </w:pPr>
    </w:p>
    <w:p>
      <w:pPr>
        <w:ind w:left="760" w:right="60" w:hanging="532"/>
        <w:spacing w:after="0" w:line="294" w:lineRule="auto"/>
        <w:tabs>
          <w:tab w:leader="none" w:pos="760" w:val="left"/>
        </w:tabs>
        <w:numPr>
          <w:ilvl w:val="0"/>
          <w:numId w:val="439"/>
        </w:numPr>
        <w:rPr>
          <w:rFonts w:ascii="Arial" w:cs="Arial" w:eastAsia="Arial" w:hAnsi="Arial"/>
          <w:sz w:val="16"/>
          <w:szCs w:val="16"/>
          <w:color w:val="auto"/>
        </w:rPr>
      </w:pPr>
      <w:r>
        <w:rPr>
          <w:rFonts w:ascii="Arial" w:cs="Arial" w:eastAsia="Arial" w:hAnsi="Arial"/>
          <w:sz w:val="16"/>
          <w:szCs w:val="16"/>
          <w:b w:val="1"/>
          <w:bCs w:val="1"/>
          <w:color w:val="auto"/>
        </w:rPr>
        <w:t xml:space="preserve">SaaS Suspension. </w:t>
      </w:r>
      <w:r>
        <w:rPr>
          <w:rFonts w:ascii="Arial" w:cs="Arial" w:eastAsia="Arial" w:hAnsi="Arial"/>
          <w:sz w:val="16"/>
          <w:szCs w:val="16"/>
          <w:color w:val="auto"/>
        </w:rPr>
        <w:t>Amdocs may suspend AT&amp;T’s access and use rights to the Amdocs SaaS and Amdocs proprietary tools under an</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SaaS Order upon notice to AT&amp;T if AT&amp;T fails to make undisputed payments when due with respect to that SaaS Order, AT&amp;T breaches Sections 3.a., 3.b., or 3.c. of these SaaS Terms with respect to that SaaS Order, or AT&amp;T’s use of Amdocs SaaS with respect to that SaaS Order is in violation of Law and AT&amp;T fails or refuses to make such payments, cure such breach, or cure the violation of Law within [***] of such notice. AT&amp;T remains responsible for applicable fees as detailed in each applicable SaaS Order through the date of suspension including usage and data storage fees and AT&amp;T will not be entitled to service level credits during any suspension period.</w:t>
      </w:r>
    </w:p>
    <w:p>
      <w:pPr>
        <w:spacing w:after="0" w:line="65" w:lineRule="exact"/>
        <w:rPr>
          <w:rFonts w:ascii="Arial" w:cs="Arial" w:eastAsia="Arial" w:hAnsi="Arial"/>
          <w:sz w:val="16"/>
          <w:szCs w:val="16"/>
          <w:color w:val="auto"/>
        </w:rPr>
      </w:pPr>
    </w:p>
    <w:p>
      <w:pPr>
        <w:ind w:left="760" w:right="20" w:hanging="532"/>
        <w:spacing w:after="0" w:line="256" w:lineRule="auto"/>
        <w:tabs>
          <w:tab w:leader="none" w:pos="760" w:val="left"/>
        </w:tabs>
        <w:numPr>
          <w:ilvl w:val="0"/>
          <w:numId w:val="439"/>
        </w:numPr>
        <w:rPr>
          <w:rFonts w:ascii="Arial" w:cs="Arial" w:eastAsia="Arial" w:hAnsi="Arial"/>
          <w:sz w:val="18"/>
          <w:szCs w:val="18"/>
          <w:color w:val="auto"/>
        </w:rPr>
      </w:pPr>
      <w:r>
        <w:rPr>
          <w:rFonts w:ascii="Arial" w:cs="Arial" w:eastAsia="Arial" w:hAnsi="Arial"/>
          <w:sz w:val="18"/>
          <w:szCs w:val="18"/>
          <w:b w:val="1"/>
          <w:bCs w:val="1"/>
          <w:color w:val="auto"/>
        </w:rPr>
        <w:t xml:space="preserve">Effect of Expiration or Termination. </w:t>
      </w:r>
      <w:r>
        <w:rPr>
          <w:rFonts w:ascii="Arial" w:cs="Arial" w:eastAsia="Arial" w:hAnsi="Arial"/>
          <w:sz w:val="18"/>
          <w:szCs w:val="18"/>
          <w:color w:val="auto"/>
        </w:rPr>
        <w:t>Except for termination for cause by AT&amp;T as permitted under the Agreement, termination of a SaaS</w:t>
      </w:r>
      <w:r>
        <w:rPr>
          <w:rFonts w:ascii="Arial" w:cs="Arial" w:eastAsia="Arial" w:hAnsi="Arial"/>
          <w:sz w:val="18"/>
          <w:szCs w:val="18"/>
          <w:b w:val="1"/>
          <w:bCs w:val="1"/>
          <w:color w:val="auto"/>
        </w:rPr>
        <w:t xml:space="preserve"> </w:t>
      </w:r>
      <w:r>
        <w:rPr>
          <w:rFonts w:ascii="Arial" w:cs="Arial" w:eastAsia="Arial" w:hAnsi="Arial"/>
          <w:sz w:val="18"/>
          <w:szCs w:val="18"/>
          <w:color w:val="auto"/>
        </w:rPr>
        <w:t>Order shall not entitle AT&amp;T to any form of compensation and payment obligations are non-cancelable. Upon expiration or termination of a SaaS Order, except as otherwise provided in the SaaS Documentation: (i) Amdocs will disable all AT&amp;T access to the applicable Amdocs SaaS, and AT&amp;T shall promptly return to Amdocs (or, at Amdocs’ request, destroy) any Software or API Materials provided with Amdocs SaaS; and (ii) Amdocs will make available certain data to AT&amp;T or its agent in the format generally provided by Amdocs, subject to the terms of the applicable SaaS Documentation.</w:t>
      </w:r>
    </w:p>
    <w:p>
      <w:pPr>
        <w:spacing w:after="0" w:line="93" w:lineRule="exact"/>
        <w:rPr>
          <w:sz w:val="20"/>
          <w:szCs w:val="20"/>
          <w:color w:val="auto"/>
        </w:rPr>
      </w:pPr>
    </w:p>
    <w:p>
      <w:pPr>
        <w:ind w:left="760" w:hanging="532"/>
        <w:spacing w:after="0"/>
        <w:tabs>
          <w:tab w:leader="none" w:pos="760" w:val="left"/>
        </w:tabs>
        <w:numPr>
          <w:ilvl w:val="0"/>
          <w:numId w:val="440"/>
        </w:numPr>
        <w:rPr>
          <w:rFonts w:ascii="Arial" w:cs="Arial" w:eastAsia="Arial" w:hAnsi="Arial"/>
          <w:sz w:val="18"/>
          <w:szCs w:val="18"/>
          <w:color w:val="auto"/>
        </w:rPr>
      </w:pPr>
      <w:r>
        <w:rPr>
          <w:rFonts w:ascii="Arial" w:cs="Arial" w:eastAsia="Arial" w:hAnsi="Arial"/>
          <w:sz w:val="18"/>
          <w:szCs w:val="18"/>
          <w:b w:val="1"/>
          <w:bCs w:val="1"/>
          <w:color w:val="auto"/>
        </w:rPr>
        <w:t>WARRANTY.</w:t>
      </w:r>
    </w:p>
    <w:p>
      <w:pPr>
        <w:spacing w:after="0" w:line="135" w:lineRule="exact"/>
        <w:rPr>
          <w:sz w:val="20"/>
          <w:szCs w:val="20"/>
          <w:color w:val="auto"/>
        </w:rPr>
      </w:pPr>
    </w:p>
    <w:p>
      <w:pPr>
        <w:ind w:left="760" w:right="220" w:hanging="532"/>
        <w:spacing w:after="0" w:line="257" w:lineRule="auto"/>
        <w:tabs>
          <w:tab w:leader="none" w:pos="76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AMDOCS SHALL PROVIDE THE AMDOCS SAAS USING QUALIFIED PERSONNEL AND IN A WORKMANLIKE MANNER CONSISTENT WITH THE APPLICABLE SAAS DOCUMENTATION AND THE APPLICABLE SAAS ORDER. AMDOCS’ SOLE OBLIGATION AND AT&amp;T’S SOLE REMEDY UNDER THIS WARRANTY IS FOR AMDOCS TO USE COMMERCIALLY REASONABLE EFFORTS, AT ITS OWN EXPENSE, TO RE-PERFORM THE AMDOCS SAAS RELATING TO ANY BREACH OF WARRANTY WHICH IS TIMELY REPORTED TO AMDOCS.</w:t>
      </w:r>
    </w:p>
    <w:p>
      <w:pPr>
        <w:spacing w:after="0" w:line="116"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This Amendment is not for use or disclosure outside of AT&amp;T, its Affiliates, and its and their third-party representatives, and Supplier except under</w:t>
      </w:r>
    </w:p>
    <w:p>
      <w:pPr>
        <w:spacing w:after="0" w:line="46"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written agreement by the contracting Parties.</w:t>
      </w:r>
    </w:p>
    <w:p>
      <w:pPr>
        <w:spacing w:after="0" w:line="224"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20"/>
          </w:cols>
          <w:pgMar w:left="640" w:top="274" w:right="439" w:bottom="1440" w:gutter="0" w:footer="0" w:header="0"/>
        </w:sectPr>
      </w:pPr>
    </w:p>
    <w:bookmarkStart w:id="360" w:name="page361"/>
    <w:bookmarkEnd w:id="36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No. 53258.A.010</w:t>
      </w:r>
    </w:p>
    <w:p>
      <w:pPr>
        <w:spacing w:after="0" w:line="158" w:lineRule="exact"/>
        <w:rPr>
          <w:sz w:val="20"/>
          <w:szCs w:val="20"/>
          <w:color w:val="auto"/>
        </w:rPr>
      </w:pPr>
    </w:p>
    <w:p>
      <w:pPr>
        <w:ind w:left="960" w:right="20" w:hanging="532"/>
        <w:spacing w:after="0" w:line="259" w:lineRule="auto"/>
        <w:tabs>
          <w:tab w:leader="none" w:pos="9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AMDOCS SHALL CONDUCT REGULAR PERIODIC REVIEWS, NO LESS FREQUENTLY THAN ANNUALLY, OF THE AMDOCS SAAS PROVIDED UNDER THE APPLICABLE SAAS ORDER FOR THE PRESENCE OF VULNERABILITIES AND HARMFUL CODE, AND SHALL USE REASONABLE EFFORTS TO CORRECT THE VULNERABILITIES AND HARMFUL CODE THAT MAY BE DISCOVERED.</w:t>
      </w:r>
    </w:p>
    <w:p>
      <w:pPr>
        <w:spacing w:after="0" w:line="92" w:lineRule="exact"/>
        <w:rPr>
          <w:rFonts w:ascii="Arial" w:cs="Arial" w:eastAsia="Arial" w:hAnsi="Arial"/>
          <w:sz w:val="18"/>
          <w:szCs w:val="18"/>
          <w:color w:val="auto"/>
        </w:rPr>
      </w:pPr>
    </w:p>
    <w:p>
      <w:pPr>
        <w:ind w:left="960" w:right="100" w:hanging="532"/>
        <w:spacing w:after="0" w:line="255" w:lineRule="auto"/>
        <w:tabs>
          <w:tab w:leader="none" w:pos="9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AMDOCS HEREBY DISCLAIMS, ON BEHALF OF ITSELF AND ITS SUPPLIERS AND LICENSORS, ANY REPRESENTATIONS OR WARRANTIES NOT EXPRESSLY STATED IN THESE SAAS TERMS AND THE AGREEMENT, WHETHER WRITTEN OR ORAL, STATUTORY, EXPRESS, OR IMPLIED, INCLUDING (WITHOUT LIMITATION) IMPLIED WARRANTIES OF MERCHANTABILITY AND FITNESS FOR A PARTICULAR PURPOSE, TITLE, AND NON-INFRINGEMENT. AT&amp;T EXPRESSLY AGREES THAT AMDOCS DOES NOT REPRESENT OR WARRANT THAT AMDOCS SAAS WILL BE UNINTERRUPTED OR ERROR FREE.</w:t>
      </w:r>
    </w:p>
    <w:p>
      <w:pPr>
        <w:spacing w:after="0" w:line="97" w:lineRule="exact"/>
        <w:rPr>
          <w:rFonts w:ascii="Arial" w:cs="Arial" w:eastAsia="Arial" w:hAnsi="Arial"/>
          <w:sz w:val="18"/>
          <w:szCs w:val="18"/>
          <w:color w:val="auto"/>
        </w:rPr>
      </w:pPr>
    </w:p>
    <w:p>
      <w:pPr>
        <w:ind w:left="960" w:right="220" w:hanging="532"/>
        <w:spacing w:after="0" w:line="279" w:lineRule="auto"/>
        <w:tabs>
          <w:tab w:leader="none" w:pos="96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AMDOCS’ RESPONSIBILITIES WITH RESPECT TO THE AMDOCS SAAS ARE SPECIFIED IN THE APPLICABLE SAAS ORDER. IF AMDOCS PROVIDES AT&amp;T WITH A FREE-OF-CHARGE SAAS ORDER TERM, INCLUDING BUT NOT LIMITED TO AMDOCS SAAS PROVIDED ON AN EVALUATION, TRIAL, OR “FREEMIUM” BASIS, AMDOCS SAAS IS PROVIDED “AS IS” AND, TO THE EXTENT PERMITTED BY LAW, AMDOCS DISCLAIMS ALL WARRANTIES AND LIABILITY.</w:t>
      </w:r>
    </w:p>
    <w:p>
      <w:pPr>
        <w:spacing w:after="0" w:line="76" w:lineRule="exact"/>
        <w:rPr>
          <w:rFonts w:ascii="Arial" w:cs="Arial" w:eastAsia="Arial" w:hAnsi="Arial"/>
          <w:sz w:val="17"/>
          <w:szCs w:val="17"/>
          <w:color w:val="auto"/>
        </w:rPr>
      </w:pPr>
    </w:p>
    <w:p>
      <w:pPr>
        <w:ind w:left="960" w:hanging="532"/>
        <w:spacing w:after="0"/>
        <w:tabs>
          <w:tab w:leader="none" w:pos="96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All warranties will survive inspection, Acceptance, Actual Availability, payment, and use.</w:t>
      </w:r>
    </w:p>
    <w:p>
      <w:pPr>
        <w:spacing w:after="0" w:line="130" w:lineRule="exact"/>
        <w:rPr>
          <w:rFonts w:ascii="Arial" w:cs="Arial" w:eastAsia="Arial" w:hAnsi="Arial"/>
          <w:sz w:val="18"/>
          <w:szCs w:val="18"/>
          <w:color w:val="auto"/>
        </w:rPr>
      </w:pPr>
    </w:p>
    <w:p>
      <w:pPr>
        <w:ind w:left="960" w:right="660" w:hanging="532"/>
        <w:spacing w:after="0" w:line="291" w:lineRule="auto"/>
        <w:tabs>
          <w:tab w:leader="none" w:pos="96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If at any time during the warranty period for the Amdocs SaaS AT&amp;T believes there is a breach of any warranty, AT&amp;T will notify Supplier setting forth the nature of such claimed breach. Supplier shall promptly investigate such claimed breach and shall either</w:t>
      </w:r>
    </w:p>
    <w:p>
      <w:pPr>
        <w:ind w:left="960" w:right="120"/>
        <w:spacing w:after="0" w:line="260" w:lineRule="auto"/>
        <w:rPr>
          <w:rFonts w:ascii="Arial" w:cs="Arial" w:eastAsia="Arial" w:hAnsi="Arial"/>
          <w:sz w:val="16"/>
          <w:szCs w:val="16"/>
          <w:color w:val="auto"/>
        </w:rPr>
      </w:pPr>
      <w:r>
        <w:rPr>
          <w:rFonts w:ascii="Arial" w:cs="Arial" w:eastAsia="Arial" w:hAnsi="Arial"/>
          <w:sz w:val="18"/>
          <w:szCs w:val="18"/>
          <w:color w:val="auto"/>
        </w:rPr>
        <w:t>(i) provide information satisfactory to AT&amp;T that no breach of warranty in fact occurred or (ii) at no additional charge to AT&amp;T, promptly take such action as may be required to correct such breach as provided for herein.</w:t>
      </w:r>
    </w:p>
    <w:p>
      <w:pPr>
        <w:spacing w:after="0" w:line="87" w:lineRule="exact"/>
        <w:rPr>
          <w:sz w:val="20"/>
          <w:szCs w:val="20"/>
          <w:color w:val="auto"/>
        </w:rPr>
      </w:pPr>
    </w:p>
    <w:p>
      <w:pPr>
        <w:ind w:left="960" w:hanging="532"/>
        <w:spacing w:after="0"/>
        <w:tabs>
          <w:tab w:leader="none" w:pos="960" w:val="left"/>
        </w:tabs>
        <w:numPr>
          <w:ilvl w:val="0"/>
          <w:numId w:val="443"/>
        </w:numPr>
        <w:rPr>
          <w:rFonts w:ascii="Arial" w:cs="Arial" w:eastAsia="Arial" w:hAnsi="Arial"/>
          <w:sz w:val="18"/>
          <w:szCs w:val="18"/>
          <w:color w:val="auto"/>
        </w:rPr>
      </w:pPr>
      <w:r>
        <w:rPr>
          <w:rFonts w:ascii="Arial" w:cs="Arial" w:eastAsia="Arial" w:hAnsi="Arial"/>
          <w:sz w:val="18"/>
          <w:szCs w:val="18"/>
          <w:b w:val="1"/>
          <w:bCs w:val="1"/>
          <w:color w:val="auto"/>
        </w:rPr>
        <w:t>INFRINGEMENT.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Section 3.17 (Infringement) of the Agreement </w:t>
      </w:r>
      <w:r>
        <w:rPr>
          <w:rFonts w:ascii="Arial" w:cs="Arial" w:eastAsia="Arial" w:hAnsi="Arial"/>
          <w:sz w:val="18"/>
          <w:szCs w:val="18"/>
          <w:color w:val="auto"/>
        </w:rPr>
        <w:t>shall apply to the Amdocs SaaS.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Amendment to the Agreement to be executed as of the date the last Party signs.</w:t>
      </w:r>
    </w:p>
    <w:p>
      <w:pPr>
        <w:spacing w:after="0" w:line="158"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Proprietary and Confidential</w:t>
      </w:r>
    </w:p>
    <w:p>
      <w:pPr>
        <w:spacing w:after="0" w:line="121" w:lineRule="exact"/>
        <w:rPr>
          <w:sz w:val="20"/>
          <w:szCs w:val="20"/>
          <w:color w:val="auto"/>
        </w:rPr>
      </w:pPr>
    </w:p>
    <w:p>
      <w:pPr>
        <w:jc w:val="center"/>
        <w:ind w:right="2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20"/>
          </w:cols>
          <w:pgMar w:left="440" w:top="274" w:right="439" w:bottom="1440" w:gutter="0" w:footer="0" w:header="0"/>
        </w:sectPr>
      </w:pPr>
    </w:p>
    <w:bookmarkStart w:id="361" w:name="page362"/>
    <w:bookmarkEnd w:id="361"/>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740" w:type="dxa"/>
            <w:vAlign w:val="bottom"/>
          </w:tcPr>
          <w:p>
            <w:pPr>
              <w:ind w:left="2640"/>
              <w:spacing w:after="0"/>
              <w:rPr>
                <w:sz w:val="20"/>
                <w:szCs w:val="20"/>
                <w:color w:val="auto"/>
              </w:rPr>
            </w:pPr>
            <w:r>
              <w:rPr>
                <w:rFonts w:ascii="Arial" w:cs="Arial" w:eastAsia="Arial" w:hAnsi="Arial"/>
                <w:sz w:val="18"/>
                <w:szCs w:val="18"/>
                <w:color w:val="auto"/>
                <w:w w:val="91"/>
              </w:rPr>
              <w:t>Agreement No. 53258.A.010</w:t>
            </w:r>
          </w:p>
        </w:tc>
      </w:tr>
      <w:tr>
        <w:trPr>
          <w:trHeight w:val="364"/>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Amdocs Development Limited</w:t>
            </w:r>
          </w:p>
        </w:tc>
        <w:tc>
          <w:tcPr>
            <w:tcW w:w="166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color w:val="auto"/>
              </w:rPr>
              <w:t>By:  /s/ Jessica Rose</w:t>
            </w:r>
          </w:p>
        </w:tc>
        <w:tc>
          <w:tcPr>
            <w:tcW w:w="166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By:  /s/ Steven Wehde</w:t>
            </w:r>
          </w:p>
        </w:tc>
      </w:tr>
      <w:tr>
        <w:trPr>
          <w:trHeight w:val="20"/>
        </w:trPr>
        <w:tc>
          <w:tcPr>
            <w:tcW w:w="420" w:type="dxa"/>
            <w:vAlign w:val="bottom"/>
          </w:tcPr>
          <w:p>
            <w:pPr>
              <w:spacing w:after="0" w:line="20" w:lineRule="exact"/>
              <w:rPr>
                <w:sz w:val="1"/>
                <w:szCs w:val="1"/>
                <w:color w:val="auto"/>
              </w:rPr>
            </w:pPr>
          </w:p>
        </w:tc>
        <w:tc>
          <w:tcPr>
            <w:tcW w:w="30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740" w:type="dxa"/>
            <w:vAlign w:val="bottom"/>
            <w:shd w:val="clear" w:color="auto" w:fill="000000"/>
          </w:tcPr>
          <w:p>
            <w:pPr>
              <w:spacing w:after="0" w:line="20" w:lineRule="exact"/>
              <w:rPr>
                <w:sz w:val="1"/>
                <w:szCs w:val="1"/>
                <w:color w:val="auto"/>
              </w:rPr>
            </w:pPr>
          </w:p>
        </w:tc>
      </w:tr>
      <w:tr>
        <w:trPr>
          <w:trHeight w:val="209"/>
        </w:trPr>
        <w:tc>
          <w:tcPr>
            <w:tcW w:w="3500" w:type="dxa"/>
            <w:vAlign w:val="bottom"/>
            <w:gridSpan w:val="2"/>
          </w:tcPr>
          <w:p>
            <w:pPr>
              <w:spacing w:after="0"/>
              <w:rPr>
                <w:sz w:val="20"/>
                <w:szCs w:val="20"/>
                <w:color w:val="auto"/>
              </w:rPr>
            </w:pPr>
            <w:r>
              <w:rPr>
                <w:rFonts w:ascii="Arial" w:cs="Arial" w:eastAsia="Arial" w:hAnsi="Arial"/>
                <w:sz w:val="18"/>
                <w:szCs w:val="18"/>
                <w:color w:val="auto"/>
              </w:rPr>
              <w:t>(Authorized Signature)</w:t>
            </w:r>
          </w:p>
        </w:tc>
        <w:tc>
          <w:tcPr>
            <w:tcW w:w="1660" w:type="dxa"/>
            <w:vAlign w:val="bottom"/>
          </w:tcPr>
          <w:p>
            <w:pPr>
              <w:spacing w:after="0"/>
              <w:rPr>
                <w:sz w:val="18"/>
                <w:szCs w:val="18"/>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(Authorized Signature)</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Name: JESSICA ROSE</w:t>
            </w:r>
          </w:p>
        </w:tc>
        <w:tc>
          <w:tcPr>
            <w:tcW w:w="1660" w:type="dxa"/>
            <w:vAlign w:val="bottom"/>
          </w:tcPr>
          <w:p>
            <w:pPr>
              <w:spacing w:after="0"/>
              <w:rPr>
                <w:sz w:val="18"/>
                <w:szCs w:val="18"/>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Name: STEVE WEHDE</w:t>
            </w:r>
          </w:p>
        </w:tc>
      </w:tr>
      <w:tr>
        <w:trPr>
          <w:trHeight w:val="216"/>
        </w:trPr>
        <w:tc>
          <w:tcPr>
            <w:tcW w:w="3500" w:type="dxa"/>
            <w:vAlign w:val="bottom"/>
            <w:gridSpan w:val="2"/>
          </w:tcPr>
          <w:p>
            <w:pPr>
              <w:spacing w:after="0"/>
              <w:rPr>
                <w:sz w:val="20"/>
                <w:szCs w:val="20"/>
                <w:color w:val="auto"/>
              </w:rPr>
            </w:pPr>
            <w:r>
              <w:rPr>
                <w:rFonts w:ascii="Arial" w:cs="Arial" w:eastAsia="Arial" w:hAnsi="Arial"/>
                <w:sz w:val="18"/>
                <w:szCs w:val="18"/>
                <w:color w:val="auto"/>
              </w:rPr>
              <w:t>Title: AUTHORIZED SIGNATORY</w:t>
            </w:r>
          </w:p>
        </w:tc>
        <w:tc>
          <w:tcPr>
            <w:tcW w:w="1660" w:type="dxa"/>
            <w:vAlign w:val="bottom"/>
          </w:tcPr>
          <w:p>
            <w:pPr>
              <w:spacing w:after="0"/>
              <w:rPr>
                <w:sz w:val="18"/>
                <w:szCs w:val="18"/>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Title: LEAD TECHNICAL SOURCING MGR</w:t>
            </w:r>
          </w:p>
        </w:tc>
      </w:tr>
      <w:tr>
        <w:trPr>
          <w:trHeight w:val="230"/>
        </w:trPr>
        <w:tc>
          <w:tcPr>
            <w:tcW w:w="3500" w:type="dxa"/>
            <w:vAlign w:val="bottom"/>
            <w:gridSpan w:val="2"/>
          </w:tcPr>
          <w:p>
            <w:pPr>
              <w:spacing w:after="0"/>
              <w:rPr>
                <w:sz w:val="20"/>
                <w:szCs w:val="20"/>
                <w:color w:val="auto"/>
              </w:rPr>
            </w:pPr>
            <w:r>
              <w:rPr>
                <w:rFonts w:ascii="Arial" w:cs="Arial" w:eastAsia="Arial" w:hAnsi="Arial"/>
                <w:sz w:val="18"/>
                <w:szCs w:val="18"/>
                <w:color w:val="auto"/>
              </w:rPr>
              <w:t>Email: [***]</w:t>
            </w:r>
          </w:p>
        </w:tc>
        <w:tc>
          <w:tcPr>
            <w:tcW w:w="1660" w:type="dxa"/>
            <w:vAlign w:val="bottom"/>
          </w:tcPr>
          <w:p>
            <w:pPr>
              <w:spacing w:after="0"/>
              <w:rPr>
                <w:sz w:val="20"/>
                <w:szCs w:val="20"/>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Email: [***]</w:t>
            </w:r>
          </w:p>
        </w:tc>
      </w:tr>
      <w:tr>
        <w:trPr>
          <w:trHeight w:val="432"/>
        </w:trPr>
        <w:tc>
          <w:tcPr>
            <w:tcW w:w="3500" w:type="dxa"/>
            <w:vAlign w:val="bottom"/>
            <w:gridSpan w:val="2"/>
          </w:tcPr>
          <w:p>
            <w:pPr>
              <w:spacing w:after="0"/>
              <w:rPr>
                <w:sz w:val="20"/>
                <w:szCs w:val="20"/>
                <w:color w:val="auto"/>
              </w:rPr>
            </w:pPr>
            <w:r>
              <w:rPr>
                <w:rFonts w:ascii="Arial" w:cs="Arial" w:eastAsia="Arial" w:hAnsi="Arial"/>
                <w:sz w:val="18"/>
                <w:szCs w:val="18"/>
                <w:color w:val="auto"/>
              </w:rPr>
              <w:t>Date: Oct 13, 2022</w:t>
            </w:r>
          </w:p>
        </w:tc>
        <w:tc>
          <w:tcPr>
            <w:tcW w:w="1660" w:type="dxa"/>
            <w:vAlign w:val="bottom"/>
          </w:tcPr>
          <w:p>
            <w:pPr>
              <w:spacing w:after="0"/>
              <w:rPr>
                <w:sz w:val="24"/>
                <w:szCs w:val="24"/>
                <w:color w:val="auto"/>
              </w:rPr>
            </w:pPr>
          </w:p>
        </w:tc>
        <w:tc>
          <w:tcPr>
            <w:tcW w:w="5860" w:type="dxa"/>
            <w:vAlign w:val="bottom"/>
            <w:gridSpan w:val="2"/>
          </w:tcPr>
          <w:p>
            <w:pPr>
              <w:ind w:left="700"/>
              <w:spacing w:after="0"/>
              <w:rPr>
                <w:sz w:val="20"/>
                <w:szCs w:val="20"/>
                <w:color w:val="auto"/>
              </w:rPr>
            </w:pPr>
            <w:r>
              <w:rPr>
                <w:rFonts w:ascii="Arial" w:cs="Arial" w:eastAsia="Arial" w:hAnsi="Arial"/>
                <w:sz w:val="18"/>
                <w:szCs w:val="18"/>
                <w:color w:val="auto"/>
              </w:rPr>
              <w:t>Date: Oct 13, 2022</w:t>
            </w:r>
          </w:p>
        </w:tc>
      </w:tr>
      <w:tr>
        <w:trPr>
          <w:trHeight w:val="364"/>
        </w:trPr>
        <w:tc>
          <w:tcPr>
            <w:tcW w:w="4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7520" w:type="dxa"/>
            <w:vAlign w:val="bottom"/>
            <w:gridSpan w:val="3"/>
          </w:tcPr>
          <w:p>
            <w:pPr>
              <w:ind w:left="880"/>
              <w:spacing w:after="0"/>
              <w:rPr>
                <w:sz w:val="20"/>
                <w:szCs w:val="20"/>
                <w:color w:val="auto"/>
              </w:rPr>
            </w:pPr>
            <w:r>
              <w:rPr>
                <w:rFonts w:ascii="Arial" w:cs="Arial" w:eastAsia="Arial" w:hAnsi="Arial"/>
                <w:sz w:val="18"/>
                <w:szCs w:val="18"/>
                <w:b w:val="1"/>
                <w:bCs w:val="1"/>
                <w:color w:val="auto"/>
              </w:rPr>
              <w:t>Proprietary and Confidential</w:t>
            </w: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line="277" w:lineRule="auto"/>
        <w:rPr>
          <w:sz w:val="20"/>
          <w:szCs w:val="20"/>
          <w:color w:val="auto"/>
        </w:rPr>
      </w:pPr>
      <w:r>
        <w:rPr>
          <w:rFonts w:ascii="Arial" w:cs="Arial" w:eastAsia="Arial" w:hAnsi="Arial"/>
          <w:sz w:val="18"/>
          <w:szCs w:val="18"/>
          <w:color w:val="auto"/>
        </w:rPr>
        <w:t>This Amendment is not for use or disclosure outside of AT&amp;T, its Affiliates, and its and their third-party representatives, and Supplier except under written agreement by the contracting Parties.</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362" w:name="page363"/>
    <w:bookmarkEnd w:id="362"/>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gridSpan w:val="2"/>
          </w:tcPr>
          <w:p>
            <w:pPr>
              <w:ind w:left="2700"/>
              <w:spacing w:after="0"/>
              <w:rPr>
                <w:sz w:val="20"/>
                <w:szCs w:val="20"/>
                <w:color w:val="auto"/>
              </w:rPr>
            </w:pPr>
            <w:r>
              <w:rPr>
                <w:rFonts w:ascii="Arial" w:cs="Arial" w:eastAsia="Arial" w:hAnsi="Arial"/>
                <w:sz w:val="18"/>
                <w:szCs w:val="18"/>
                <w:b w:val="1"/>
                <w:bCs w:val="1"/>
                <w:color w:val="auto"/>
                <w:w w:val="95"/>
              </w:rPr>
              <w:t>Exhibit 8</w:t>
            </w:r>
          </w:p>
        </w:tc>
      </w:tr>
      <w:tr>
        <w:trPr>
          <w:trHeight w:val="432"/>
        </w:trPr>
        <w:tc>
          <w:tcPr>
            <w:tcW w:w="3440" w:type="dxa"/>
            <w:vAlign w:val="bottom"/>
          </w:tcPr>
          <w:p>
            <w:pPr>
              <w:spacing w:after="0"/>
              <w:rPr>
                <w:sz w:val="24"/>
                <w:szCs w:val="24"/>
                <w:color w:val="auto"/>
              </w:rPr>
            </w:pPr>
          </w:p>
        </w:tc>
        <w:tc>
          <w:tcPr>
            <w:tcW w:w="4160" w:type="dxa"/>
            <w:vAlign w:val="bottom"/>
            <w:gridSpan w:val="4"/>
          </w:tcPr>
          <w:p>
            <w:pPr>
              <w:ind w:left="400"/>
              <w:spacing w:after="0"/>
              <w:rPr>
                <w:sz w:val="20"/>
                <w:szCs w:val="20"/>
                <w:color w:val="auto"/>
              </w:rPr>
            </w:pPr>
            <w:r>
              <w:rPr>
                <w:rFonts w:ascii="Arial" w:cs="Arial" w:eastAsia="Arial" w:hAnsi="Arial"/>
                <w:sz w:val="18"/>
                <w:szCs w:val="18"/>
                <w:b w:val="1"/>
                <w:bCs w:val="1"/>
                <w:color w:val="auto"/>
              </w:rPr>
              <w:t>Significant Subsidiaries of Amdocs Limited</w:t>
            </w: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3"/>
        </w:trPr>
        <w:tc>
          <w:tcPr>
            <w:tcW w:w="3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color w:val="auto"/>
                <w:w w:val="98"/>
              </w:rPr>
              <w:t>Jurisdiction of</w:t>
            </w:r>
          </w:p>
        </w:tc>
        <w:tc>
          <w:tcPr>
            <w:tcW w:w="3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8"/>
        </w:trPr>
        <w:tc>
          <w:tcPr>
            <w:tcW w:w="3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Incorporation or</w:t>
            </w: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3440" w:type="dxa"/>
            <w:vAlign w:val="bottom"/>
          </w:tcPr>
          <w:p>
            <w:pPr>
              <w:spacing w:after="0"/>
              <w:rPr>
                <w:sz w:val="20"/>
                <w:szCs w:val="20"/>
                <w:color w:val="auto"/>
              </w:rPr>
            </w:pPr>
            <w:r>
              <w:rPr>
                <w:rFonts w:ascii="Arial" w:cs="Arial" w:eastAsia="Arial" w:hAnsi="Arial"/>
                <w:sz w:val="14"/>
                <w:szCs w:val="14"/>
                <w:color w:val="auto"/>
              </w:rPr>
              <w:t>List of the Subsidiaries*</w:t>
            </w: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Organization</w:t>
            </w:r>
          </w:p>
        </w:tc>
        <w:tc>
          <w:tcPr>
            <w:tcW w:w="3440" w:type="dxa"/>
            <w:vAlign w:val="bottom"/>
            <w:gridSpan w:val="2"/>
          </w:tcPr>
          <w:p>
            <w:pPr>
              <w:ind w:left="1260"/>
              <w:spacing w:after="0"/>
              <w:rPr>
                <w:sz w:val="20"/>
                <w:szCs w:val="20"/>
                <w:color w:val="auto"/>
              </w:rPr>
            </w:pPr>
            <w:r>
              <w:rPr>
                <w:rFonts w:ascii="Arial" w:cs="Arial" w:eastAsia="Arial" w:hAnsi="Arial"/>
                <w:sz w:val="14"/>
                <w:szCs w:val="14"/>
                <w:color w:val="auto"/>
              </w:rPr>
              <w:t>Business Name</w:t>
            </w:r>
          </w:p>
        </w:tc>
      </w:tr>
      <w:tr>
        <w:trPr>
          <w:trHeight w:val="224"/>
        </w:trPr>
        <w:tc>
          <w:tcPr>
            <w:tcW w:w="34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Amdocs Canadian Managed Services, Inc.</w:t>
            </w: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Canada</w:t>
            </w:r>
          </w:p>
        </w:tc>
        <w:tc>
          <w:tcPr>
            <w:tcW w:w="100" w:type="dxa"/>
            <w:vAlign w:val="bottom"/>
          </w:tcPr>
          <w:p>
            <w:pPr>
              <w:spacing w:after="0"/>
              <w:rPr>
                <w:sz w:val="19"/>
                <w:szCs w:val="19"/>
                <w:color w:val="auto"/>
              </w:rPr>
            </w:pPr>
          </w:p>
        </w:tc>
        <w:tc>
          <w:tcPr>
            <w:tcW w:w="34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Amdocs Canadian Managed Services, Inc.</w:t>
            </w:r>
          </w:p>
        </w:tc>
        <w:tc>
          <w:tcPr>
            <w:tcW w:w="20" w:type="dxa"/>
            <w:vAlign w:val="bottom"/>
          </w:tcPr>
          <w:p>
            <w:pPr>
              <w:spacing w:after="0"/>
              <w:rPr>
                <w:sz w:val="19"/>
                <w:szCs w:val="19"/>
                <w:color w:val="auto"/>
              </w:rPr>
            </w:pPr>
          </w:p>
        </w:tc>
      </w:tr>
      <w:tr>
        <w:trPr>
          <w:trHeight w:val="310"/>
        </w:trPr>
        <w:tc>
          <w:tcPr>
            <w:tcW w:w="3440" w:type="dxa"/>
            <w:vAlign w:val="bottom"/>
          </w:tcPr>
          <w:p>
            <w:pPr>
              <w:spacing w:after="0"/>
              <w:rPr>
                <w:sz w:val="20"/>
                <w:szCs w:val="20"/>
                <w:color w:val="auto"/>
              </w:rPr>
            </w:pPr>
            <w:r>
              <w:rPr>
                <w:rFonts w:ascii="Arial" w:cs="Arial" w:eastAsia="Arial" w:hAnsi="Arial"/>
                <w:sz w:val="18"/>
                <w:szCs w:val="18"/>
                <w:color w:val="auto"/>
              </w:rPr>
              <w:t>Amdocs Development Centre India LLP</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India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Development Centre India LLP</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Development Limited</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Republic of Cyprus</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Development Limited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Inc.</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State of Delaware, USA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Inc.</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International GmbH</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Switzerland</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International GmbH</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(Israel) Ltd</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Israel</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(Israel) Ltd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Management Ltd</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Management Ltd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Software Systems Ltd</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Ireland</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Software Systems Ltd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Amdocs (UK) Limited</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United Kingdom</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Amdocs (UK) Limited</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Opis Investment Switzerland GmbH</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Switzerland</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Opis Investment Switzerland GmbH</w:t>
            </w:r>
          </w:p>
        </w:tc>
      </w:tr>
      <w:tr>
        <w:trPr>
          <w:trHeight w:val="324"/>
        </w:trPr>
        <w:tc>
          <w:tcPr>
            <w:tcW w:w="3440" w:type="dxa"/>
            <w:vAlign w:val="bottom"/>
          </w:tcPr>
          <w:p>
            <w:pPr>
              <w:spacing w:after="0"/>
              <w:rPr>
                <w:sz w:val="20"/>
                <w:szCs w:val="20"/>
                <w:color w:val="auto"/>
              </w:rPr>
            </w:pPr>
            <w:r>
              <w:rPr>
                <w:rFonts w:ascii="Arial" w:cs="Arial" w:eastAsia="Arial" w:hAnsi="Arial"/>
                <w:sz w:val="18"/>
                <w:szCs w:val="18"/>
                <w:color w:val="auto"/>
              </w:rPr>
              <w:t>Sypress, Inc.</w:t>
            </w:r>
          </w:p>
        </w:tc>
        <w:tc>
          <w:tcPr>
            <w:tcW w:w="420" w:type="dxa"/>
            <w:vAlign w:val="bottom"/>
          </w:tcPr>
          <w:p>
            <w:pPr>
              <w:spacing w:after="0"/>
              <w:rPr>
                <w:sz w:val="24"/>
                <w:szCs w:val="24"/>
                <w:color w:val="auto"/>
              </w:rPr>
            </w:pPr>
          </w:p>
        </w:tc>
        <w:tc>
          <w:tcPr>
            <w:tcW w:w="3740" w:type="dxa"/>
            <w:vAlign w:val="bottom"/>
            <w:gridSpan w:val="3"/>
          </w:tcPr>
          <w:p>
            <w:pPr>
              <w:ind w:left="120"/>
              <w:spacing w:after="0"/>
              <w:rPr>
                <w:sz w:val="20"/>
                <w:szCs w:val="20"/>
                <w:color w:val="auto"/>
              </w:rPr>
            </w:pPr>
            <w:r>
              <w:rPr>
                <w:rFonts w:ascii="Arial" w:cs="Arial" w:eastAsia="Arial" w:hAnsi="Arial"/>
                <w:sz w:val="18"/>
                <w:szCs w:val="18"/>
                <w:color w:val="auto"/>
              </w:rPr>
              <w:t>State of Delaware, USA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Sypress,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93980</wp:posOffset>
            </wp:positionV>
            <wp:extent cx="77152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Each subsidiary listed is directly or indirectly wholly-owned by Amdocs Limited.</w:t>
      </w:r>
    </w:p>
    <w:p>
      <w:pPr>
        <w:sectPr>
          <w:pgSz w:w="11900" w:h="16838" w:orient="portrait"/>
          <w:cols w:equalWidth="0" w:num="1">
            <w:col w:w="11020"/>
          </w:cols>
          <w:pgMar w:left="440" w:top="121" w:right="439" w:bottom="1440" w:gutter="0" w:footer="0" w:header="0"/>
        </w:sectPr>
      </w:pPr>
    </w:p>
    <w:bookmarkStart w:id="363" w:name="page364"/>
    <w:bookmarkEnd w:id="363"/>
    <w:p>
      <w:pPr>
        <w:jc w:val="right"/>
        <w:spacing w:after="0"/>
        <w:rPr>
          <w:sz w:val="20"/>
          <w:szCs w:val="20"/>
          <w:color w:val="auto"/>
        </w:rPr>
      </w:pPr>
      <w:r>
        <w:rPr>
          <w:rFonts w:ascii="Arial" w:cs="Arial" w:eastAsia="Arial" w:hAnsi="Arial"/>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Shuky Sheffer, certify that:</w:t>
      </w:r>
    </w:p>
    <w:p>
      <w:pPr>
        <w:spacing w:after="0" w:line="117" w:lineRule="exact"/>
        <w:rPr>
          <w:sz w:val="20"/>
          <w:szCs w:val="20"/>
          <w:color w:val="auto"/>
        </w:rPr>
      </w:pPr>
    </w:p>
    <w:p>
      <w:pPr>
        <w:ind w:left="620" w:hanging="184"/>
        <w:spacing w:after="0"/>
        <w:tabs>
          <w:tab w:leader="none" w:pos="6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225"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4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140" w:firstLine="436"/>
        <w:spacing w:after="0" w:line="291" w:lineRule="auto"/>
        <w:tabs>
          <w:tab w:leader="none" w:pos="62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02" w:lineRule="exact"/>
        <w:rPr>
          <w:rFonts w:ascii="Arial" w:cs="Arial" w:eastAsia="Arial" w:hAnsi="Arial"/>
          <w:sz w:val="16"/>
          <w:szCs w:val="16"/>
          <w:color w:val="auto"/>
        </w:rPr>
      </w:pPr>
    </w:p>
    <w:p>
      <w:pPr>
        <w:ind w:left="440" w:right="320" w:firstLine="419"/>
        <w:spacing w:after="0" w:line="263" w:lineRule="auto"/>
        <w:tabs>
          <w:tab w:leader="none" w:pos="1108" w:val="left"/>
        </w:tabs>
        <w:numPr>
          <w:ilvl w:val="1"/>
          <w:numId w:val="4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4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240" w:firstLine="419"/>
        <w:spacing w:after="0" w:line="342" w:lineRule="auto"/>
        <w:tabs>
          <w:tab w:leader="none" w:pos="1108" w:val="left"/>
        </w:tabs>
        <w:numPr>
          <w:ilvl w:val="1"/>
          <w:numId w:val="444"/>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100" w:firstLine="419"/>
        <w:spacing w:after="0" w:line="263" w:lineRule="auto"/>
        <w:tabs>
          <w:tab w:leader="none" w:pos="1118" w:val="left"/>
        </w:tabs>
        <w:numPr>
          <w:ilvl w:val="1"/>
          <w:numId w:val="444"/>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ind w:right="100" w:firstLine="436"/>
        <w:spacing w:after="0" w:line="342" w:lineRule="auto"/>
        <w:tabs>
          <w:tab w:leader="none" w:pos="62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440" w:right="440" w:firstLine="419"/>
        <w:spacing w:after="0" w:line="308" w:lineRule="auto"/>
        <w:tabs>
          <w:tab w:leader="none" w:pos="1108" w:val="left"/>
        </w:tabs>
        <w:numPr>
          <w:ilvl w:val="1"/>
          <w:numId w:val="44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1"/>
          <w:numId w:val="4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2022</w:t>
      </w:r>
    </w:p>
    <w:p>
      <w:pPr>
        <w:sectPr>
          <w:pgSz w:w="11900" w:h="16838" w:orient="portrait"/>
          <w:cols w:equalWidth="0" w:num="1">
            <w:col w:w="11020"/>
          </w:cols>
          <w:pgMar w:left="440" w:top="121" w:right="439" w:bottom="1440" w:gutter="0" w:footer="0" w:header="0"/>
        </w:sectPr>
      </w:pPr>
    </w:p>
    <w:bookmarkStart w:id="364" w:name="page365"/>
    <w:bookmarkEnd w:id="364"/>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Tamar Rapaport-Dagim, certify that:</w:t>
      </w:r>
    </w:p>
    <w:p>
      <w:pPr>
        <w:spacing w:after="0" w:line="117" w:lineRule="exact"/>
        <w:rPr>
          <w:sz w:val="20"/>
          <w:szCs w:val="20"/>
          <w:color w:val="auto"/>
        </w:rPr>
      </w:pPr>
    </w:p>
    <w:p>
      <w:pPr>
        <w:ind w:left="620" w:hanging="184"/>
        <w:spacing w:after="0"/>
        <w:tabs>
          <w:tab w:leader="none" w:pos="6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225"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140" w:firstLine="436"/>
        <w:spacing w:after="0" w:line="291" w:lineRule="auto"/>
        <w:tabs>
          <w:tab w:leader="none" w:pos="62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02" w:lineRule="exact"/>
        <w:rPr>
          <w:rFonts w:ascii="Arial" w:cs="Arial" w:eastAsia="Arial" w:hAnsi="Arial"/>
          <w:sz w:val="16"/>
          <w:szCs w:val="16"/>
          <w:color w:val="auto"/>
        </w:rPr>
      </w:pPr>
    </w:p>
    <w:p>
      <w:pPr>
        <w:ind w:left="440" w:right="320" w:firstLine="419"/>
        <w:spacing w:after="0" w:line="263" w:lineRule="auto"/>
        <w:tabs>
          <w:tab w:leader="none" w:pos="1108" w:val="left"/>
        </w:tabs>
        <w:numPr>
          <w:ilvl w:val="1"/>
          <w:numId w:val="4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4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240" w:firstLine="419"/>
        <w:spacing w:after="0" w:line="342" w:lineRule="auto"/>
        <w:tabs>
          <w:tab w:leader="none" w:pos="1108" w:val="left"/>
        </w:tabs>
        <w:numPr>
          <w:ilvl w:val="1"/>
          <w:numId w:val="44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100" w:firstLine="419"/>
        <w:spacing w:after="0" w:line="263" w:lineRule="auto"/>
        <w:tabs>
          <w:tab w:leader="none" w:pos="1118" w:val="left"/>
        </w:tabs>
        <w:numPr>
          <w:ilvl w:val="1"/>
          <w:numId w:val="44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ind w:right="100" w:firstLine="436"/>
        <w:spacing w:after="0" w:line="342" w:lineRule="auto"/>
        <w:tabs>
          <w:tab w:leader="none" w:pos="62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440" w:right="440" w:firstLine="419"/>
        <w:spacing w:after="0" w:line="308" w:lineRule="auto"/>
        <w:tabs>
          <w:tab w:leader="none" w:pos="1108" w:val="left"/>
        </w:tabs>
        <w:numPr>
          <w:ilvl w:val="1"/>
          <w:numId w:val="44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1"/>
          <w:numId w:val="4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21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Chief Operating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13, 2022</w:t>
      </w:r>
    </w:p>
    <w:p>
      <w:pPr>
        <w:sectPr>
          <w:pgSz w:w="11900" w:h="16838" w:orient="portrait"/>
          <w:cols w:equalWidth="0" w:num="1">
            <w:col w:w="11020"/>
          </w:cols>
          <w:pgMar w:left="440" w:top="121" w:right="439" w:bottom="1440" w:gutter="0" w:footer="0" w:header="0"/>
        </w:sectPr>
      </w:pPr>
    </w:p>
    <w:bookmarkStart w:id="365" w:name="page366"/>
    <w:bookmarkEnd w:id="365"/>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In connection with the annual report on Form 20-F of Amdocs Limited (the “Company”) for the period ended September 30, 2022 as filed with the Securities and Exchange Commission on the date hereof (the “Report”), the undersigned, Shuky Sheffer, President and Chief Executive Officer of the Company, hereby certifies, pursuant to 18 U.S.C. Section 1350, that to the best of his knowledge and belief:</w:t>
      </w:r>
    </w:p>
    <w:p>
      <w:pPr>
        <w:spacing w:after="0" w:line="57" w:lineRule="exact"/>
        <w:rPr>
          <w:sz w:val="20"/>
          <w:szCs w:val="20"/>
          <w:color w:val="auto"/>
        </w:rPr>
      </w:pPr>
    </w:p>
    <w:p>
      <w:pPr>
        <w:ind w:left="700" w:hanging="264"/>
        <w:spacing w:after="0"/>
        <w:tabs>
          <w:tab w:leader="none" w:pos="7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20" w:firstLine="436"/>
        <w:spacing w:after="0" w:line="277" w:lineRule="auto"/>
        <w:tabs>
          <w:tab w:leader="none" w:pos="695" w:val="left"/>
        </w:tabs>
        <w:numPr>
          <w:ilvl w:val="0"/>
          <w:numId w:val="44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Shuky Sheffer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13, 2022</w:t>
      </w:r>
    </w:p>
    <w:p>
      <w:pPr>
        <w:sectPr>
          <w:pgSz w:w="11900" w:h="16838" w:orient="portrait"/>
          <w:cols w:equalWidth="0" w:num="1">
            <w:col w:w="11020"/>
          </w:cols>
          <w:pgMar w:left="440" w:top="121" w:right="439" w:bottom="1440" w:gutter="0" w:footer="0" w:header="0"/>
        </w:sectPr>
      </w:pPr>
    </w:p>
    <w:bookmarkStart w:id="366" w:name="page367"/>
    <w:bookmarkEnd w:id="366"/>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In connection with the annual report on Form 20-F of Amdocs Limited (the “Company”) for the period ended September 30, 2022 as filed with the Securities and Exchange Commission on the date hereof (the “Report”), the undersigned, Tamar Rapaport-Dagim, Chief Financial Officer and Chief Operating Officer of the Company, hereby certifies, pursuant to 18 U.S.C. Section 1350, that to the best of her knowledge and belief:</w:t>
      </w:r>
    </w:p>
    <w:p>
      <w:pPr>
        <w:spacing w:after="0" w:line="57" w:lineRule="exact"/>
        <w:rPr>
          <w:sz w:val="20"/>
          <w:szCs w:val="20"/>
          <w:color w:val="auto"/>
        </w:rPr>
      </w:pPr>
    </w:p>
    <w:p>
      <w:pPr>
        <w:ind w:left="1120" w:hanging="261"/>
        <w:spacing w:after="0"/>
        <w:tabs>
          <w:tab w:leader="none" w:pos="112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0"/>
          <w:numId w:val="4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Tamar Rapaport-Dagim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13, 2022</w:t>
      </w:r>
    </w:p>
    <w:p>
      <w:pPr>
        <w:sectPr>
          <w:pgSz w:w="11900" w:h="16838" w:orient="portrait"/>
          <w:cols w:equalWidth="0" w:num="1">
            <w:col w:w="11020"/>
          </w:cols>
          <w:pgMar w:left="440" w:top="121" w:right="439" w:bottom="1440" w:gutter="0" w:footer="0" w:header="0"/>
        </w:sectPr>
      </w:pPr>
    </w:p>
    <w:bookmarkStart w:id="367" w:name="page368"/>
    <w:bookmarkEnd w:id="367"/>
    <w:p>
      <w:pPr>
        <w:jc w:val="right"/>
        <w:spacing w:after="0"/>
        <w:rPr>
          <w:sz w:val="20"/>
          <w:szCs w:val="20"/>
          <w:color w:val="auto"/>
        </w:rPr>
      </w:pPr>
      <w:r>
        <w:rPr>
          <w:rFonts w:ascii="Arial" w:cs="Arial" w:eastAsia="Arial" w:hAnsi="Arial"/>
          <w:sz w:val="18"/>
          <w:szCs w:val="18"/>
          <w:b w:val="1"/>
          <w:bCs w:val="1"/>
          <w:color w:val="auto"/>
        </w:rPr>
        <w:t>EXHIBIT 14.1</w:t>
      </w:r>
    </w:p>
    <w:p>
      <w:pPr>
        <w:spacing w:after="0" w:line="229"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333-91847</w:t>
      </w:r>
    </w:p>
    <w:p>
      <w:pPr>
        <w:spacing w:after="0" w:line="23"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333-159163</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333-193659</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333-222992</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S-8, No. 333-248075</w:t>
      </w:r>
    </w:p>
    <w:p>
      <w:pPr>
        <w:spacing w:after="0" w:line="9"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Form F-3, No. 333-239163</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of our reports dated December 13, 2022, with respect to the consolidated financial statements, the related notes and the financial statement schedule of Amdocs Limited and the effectiveness of internal control over financial reporting of Amdocs Limited included in this Form 20-F of Amdocs Limited for the year ended September 30,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13, 2022</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6032BB"/>
    <w:multiLevelType w:val="hybridMultilevel"/>
    <w:lvl w:ilvl="0">
      <w:lvlJc w:val="left"/>
      <w:lvlText w:val="☐"/>
      <w:numFmt w:val="bullet"/>
      <w:start w:val="1"/>
    </w:lvl>
  </w:abstractNum>
  <w:abstractNum w:abstractNumId="1">
    <w:nsid w:val="44344C22"/>
    <w:multiLevelType w:val="hybridMultilevel"/>
    <w:lvl w:ilvl="0">
      <w:lvlJc w:val="left"/>
      <w:lvlText w:val="☒"/>
      <w:numFmt w:val="bullet"/>
      <w:start w:val="1"/>
    </w:lvl>
  </w:abstractNum>
  <w:abstractNum w:abstractNumId="2">
    <w:nsid w:val="13CDFCFC"/>
    <w:multiLevelType w:val="hybridMultilevel"/>
    <w:lvl w:ilvl="0">
      <w:lvlJc w:val="left"/>
      <w:lvlText w:val="☐"/>
      <w:numFmt w:val="bullet"/>
      <w:start w:val="1"/>
    </w:lvl>
  </w:abstractNum>
  <w:abstractNum w:abstractNumId="3">
    <w:nsid w:val="471745E4"/>
    <w:multiLevelType w:val="hybridMultilevel"/>
    <w:lvl w:ilvl="0">
      <w:lvlJc w:val="left"/>
      <w:lvlText w:val="☐"/>
      <w:numFmt w:val="bullet"/>
      <w:start w:val="1"/>
    </w:lvl>
  </w:abstractNum>
  <w:abstractNum w:abstractNumId="4">
    <w:nsid w:val="1DDBC66"/>
    <w:multiLevelType w:val="hybridMultilevel"/>
    <w:lvl w:ilvl="0">
      <w:lvlJc w:val="left"/>
      <w:lvlText w:val="(%1)"/>
      <w:numFmt w:val="decimal"/>
      <w:start w:val="1"/>
    </w:lvl>
  </w:abstractNum>
  <w:abstractNum w:abstractNumId="5">
    <w:nsid w:val="30AADFDA"/>
    <w:multiLevelType w:val="hybridMultilevel"/>
    <w:lvl w:ilvl="0">
      <w:lvlJc w:val="left"/>
      <w:lvlText w:val="•"/>
      <w:numFmt w:val="bullet"/>
      <w:start w:val="1"/>
    </w:lvl>
  </w:abstractNum>
  <w:abstractNum w:abstractNumId="6">
    <w:nsid w:val="30EADA61"/>
    <w:multiLevelType w:val="hybridMultilevel"/>
    <w:lvl w:ilvl="0">
      <w:lvlJc w:val="left"/>
      <w:lvlText w:val="•"/>
      <w:numFmt w:val="bullet"/>
      <w:start w:val="1"/>
    </w:lvl>
  </w:abstractNum>
  <w:abstractNum w:abstractNumId="7">
    <w:nsid w:val="27179C0B"/>
    <w:multiLevelType w:val="hybridMultilevel"/>
    <w:lvl w:ilvl="0">
      <w:lvlJc w:val="left"/>
      <w:lvlText w:val="•"/>
      <w:numFmt w:val="bullet"/>
      <w:start w:val="1"/>
    </w:lvl>
  </w:abstractNum>
  <w:abstractNum w:abstractNumId="8">
    <w:nsid w:val="5E636063"/>
    <w:multiLevelType w:val="hybridMultilevel"/>
    <w:lvl w:ilvl="0">
      <w:lvlJc w:val="left"/>
      <w:lvlText w:val="•"/>
      <w:numFmt w:val="bullet"/>
      <w:start w:val="1"/>
    </w:lvl>
  </w:abstractNum>
  <w:abstractNum w:abstractNumId="9">
    <w:nsid w:val="215641AF"/>
    <w:multiLevelType w:val="hybridMultilevel"/>
    <w:lvl w:ilvl="0">
      <w:lvlJc w:val="left"/>
      <w:lvlText w:val="•"/>
      <w:numFmt w:val="bullet"/>
      <w:start w:val="1"/>
    </w:lvl>
  </w:abstractNum>
  <w:abstractNum w:abstractNumId="10">
    <w:nsid w:val="53280662"/>
    <w:multiLevelType w:val="hybridMultilevel"/>
    <w:lvl w:ilvl="0">
      <w:lvlJc w:val="left"/>
      <w:lvlText w:val="•"/>
      <w:numFmt w:val="bullet"/>
      <w:start w:val="1"/>
    </w:lvl>
  </w:abstractNum>
  <w:abstractNum w:abstractNumId="11">
    <w:nsid w:val="46B24DBC"/>
    <w:multiLevelType w:val="hybridMultilevel"/>
    <w:lvl w:ilvl="0">
      <w:lvlJc w:val="left"/>
      <w:lvlText w:val="•"/>
      <w:numFmt w:val="bullet"/>
      <w:start w:val="1"/>
    </w:lvl>
  </w:abstractNum>
  <w:abstractNum w:abstractNumId="12">
    <w:nsid w:val="75B52783"/>
    <w:multiLevelType w:val="hybridMultilevel"/>
    <w:lvl w:ilvl="0">
      <w:lvlJc w:val="left"/>
      <w:lvlText w:val="•"/>
      <w:numFmt w:val="bullet"/>
      <w:start w:val="1"/>
    </w:lvl>
  </w:abstractNum>
  <w:abstractNum w:abstractNumId="13">
    <w:nsid w:val="57CE66B4"/>
    <w:multiLevelType w:val="hybridMultilevel"/>
    <w:lvl w:ilvl="0">
      <w:lvlJc w:val="left"/>
      <w:lvlText w:val="•"/>
      <w:numFmt w:val="bullet"/>
      <w:start w:val="1"/>
    </w:lvl>
  </w:abstractNum>
  <w:abstractNum w:abstractNumId="14">
    <w:nsid w:val="67A70B69"/>
    <w:multiLevelType w:val="hybridMultilevel"/>
    <w:lvl w:ilvl="0">
      <w:lvlJc w:val="left"/>
      <w:lvlText w:val="•"/>
      <w:numFmt w:val="bullet"/>
      <w:start w:val="1"/>
    </w:lvl>
  </w:abstractNum>
  <w:abstractNum w:abstractNumId="15">
    <w:nsid w:val="5953172F"/>
    <w:multiLevelType w:val="hybridMultilevel"/>
    <w:lvl w:ilvl="0">
      <w:lvlJc w:val="left"/>
      <w:lvlText w:val="•"/>
      <w:numFmt w:val="bullet"/>
      <w:start w:val="1"/>
    </w:lvl>
  </w:abstractNum>
  <w:abstractNum w:abstractNumId="16">
    <w:nsid w:val="27EDFE3A"/>
    <w:multiLevelType w:val="hybridMultilevel"/>
    <w:lvl w:ilvl="0">
      <w:lvlJc w:val="left"/>
      <w:lvlText w:val="•"/>
      <w:numFmt w:val="bullet"/>
      <w:start w:val="1"/>
    </w:lvl>
  </w:abstractNum>
  <w:abstractNum w:abstractNumId="17">
    <w:nsid w:val="52AC7DFF"/>
    <w:multiLevelType w:val="hybridMultilevel"/>
    <w:lvl w:ilvl="0">
      <w:lvlJc w:val="left"/>
      <w:lvlText w:val="•"/>
      <w:numFmt w:val="bullet"/>
      <w:start w:val="1"/>
    </w:lvl>
  </w:abstractNum>
  <w:abstractNum w:abstractNumId="18">
    <w:nsid w:val="C4C3AF"/>
    <w:multiLevelType w:val="hybridMultilevel"/>
    <w:lvl w:ilvl="0">
      <w:lvlJc w:val="left"/>
      <w:lvlText w:val="•"/>
      <w:numFmt w:val="bullet"/>
      <w:start w:val="1"/>
    </w:lvl>
  </w:abstractNum>
  <w:abstractNum w:abstractNumId="19">
    <w:nsid w:val="44380727"/>
    <w:multiLevelType w:val="hybridMultilevel"/>
    <w:lvl w:ilvl="0">
      <w:lvlJc w:val="left"/>
      <w:lvlText w:val="•"/>
      <w:numFmt w:val="bullet"/>
      <w:start w:val="1"/>
    </w:lvl>
  </w:abstractNum>
  <w:abstractNum w:abstractNumId="20">
    <w:nsid w:val="6C053B16"/>
    <w:multiLevelType w:val="hybridMultilevel"/>
    <w:lvl w:ilvl="0">
      <w:lvlJc w:val="left"/>
      <w:lvlText w:val="•"/>
      <w:numFmt w:val="bullet"/>
      <w:start w:val="1"/>
    </w:lvl>
    <w:lvl w:ilvl="1">
      <w:lvlJc w:val="left"/>
      <w:lvlText w:val="•"/>
      <w:numFmt w:val="bullet"/>
      <w:start w:val="1"/>
    </w:lvl>
  </w:abstractNum>
  <w:abstractNum w:abstractNumId="21">
    <w:nsid w:val="4F294393"/>
    <w:multiLevelType w:val="hybridMultilevel"/>
    <w:lvl w:ilvl="0">
      <w:lvlJc w:val="left"/>
      <w:lvlText w:val="•"/>
      <w:numFmt w:val="bullet"/>
      <w:start w:val="1"/>
    </w:lvl>
    <w:lvl w:ilvl="1">
      <w:lvlJc w:val="left"/>
      <w:lvlText w:val="•"/>
      <w:numFmt w:val="bullet"/>
      <w:start w:val="1"/>
    </w:lvl>
  </w:abstractNum>
  <w:abstractNum w:abstractNumId="22">
    <w:nsid w:val="5243BFAC"/>
    <w:multiLevelType w:val="hybridMultilevel"/>
    <w:lvl w:ilvl="0">
      <w:lvlJc w:val="left"/>
      <w:lvlText w:val="•"/>
      <w:numFmt w:val="bullet"/>
      <w:start w:val="1"/>
    </w:lvl>
  </w:abstractNum>
  <w:abstractNum w:abstractNumId="23">
    <w:nsid w:val="425EB207"/>
    <w:multiLevelType w:val="hybridMultilevel"/>
    <w:lvl w:ilvl="0">
      <w:lvlJc w:val="left"/>
      <w:lvlText w:val="(%1)"/>
      <w:numFmt w:val="decimal"/>
      <w:start w:val="1"/>
    </w:lvl>
  </w:abstractNum>
  <w:abstractNum w:abstractNumId="24">
    <w:nsid w:val="334A6F1F"/>
    <w:multiLevelType w:val="hybridMultilevel"/>
    <w:lvl w:ilvl="0">
      <w:lvlJc w:val="left"/>
      <w:lvlText w:val="•"/>
      <w:numFmt w:val="bullet"/>
      <w:start w:val="1"/>
    </w:lvl>
  </w:abstractNum>
  <w:abstractNum w:abstractNumId="25">
    <w:nsid w:val="2E5B12B8"/>
    <w:multiLevelType w:val="hybridMultilevel"/>
    <w:lvl w:ilvl="0">
      <w:lvlJc w:val="left"/>
      <w:lvlText w:val="•"/>
      <w:numFmt w:val="bullet"/>
      <w:start w:val="1"/>
    </w:lvl>
  </w:abstractNum>
  <w:abstractNum w:abstractNumId="26">
    <w:nsid w:val="5C03D76D"/>
    <w:multiLevelType w:val="hybridMultilevel"/>
    <w:lvl w:ilvl="0">
      <w:lvlJc w:val="left"/>
      <w:lvlText w:val="(%1)"/>
      <w:numFmt w:val="decimal"/>
      <w:start w:val="2"/>
    </w:lvl>
  </w:abstractNum>
  <w:abstractNum w:abstractNumId="27">
    <w:nsid w:val="66A48D11"/>
    <w:multiLevelType w:val="hybridMultilevel"/>
    <w:lvl w:ilvl="0">
      <w:lvlJc w:val="left"/>
      <w:lvlText w:val="•"/>
      <w:numFmt w:val="bullet"/>
      <w:start w:val="1"/>
    </w:lvl>
  </w:abstractNum>
  <w:abstractNum w:abstractNumId="28">
    <w:nsid w:val="56C28E34"/>
    <w:multiLevelType w:val="hybridMultilevel"/>
    <w:lvl w:ilvl="0">
      <w:lvlJc w:val="left"/>
      <w:lvlText w:val="•"/>
      <w:numFmt w:val="bullet"/>
      <w:start w:val="1"/>
    </w:lvl>
  </w:abstractNum>
  <w:abstractNum w:abstractNumId="29">
    <w:nsid w:val="13916F2D"/>
    <w:multiLevelType w:val="hybridMultilevel"/>
    <w:lvl w:ilvl="0">
      <w:lvlJc w:val="left"/>
      <w:lvlText w:val="(%1)"/>
      <w:numFmt w:val="lowerRoman"/>
      <w:start w:val="1"/>
    </w:lvl>
  </w:abstractNum>
  <w:abstractNum w:abstractNumId="30">
    <w:nsid w:val="435D38D"/>
    <w:multiLevelType w:val="hybridMultilevel"/>
    <w:lvl w:ilvl="0">
      <w:lvlJc w:val="left"/>
      <w:lvlText w:val="(%1)"/>
      <w:numFmt w:val="decimal"/>
      <w:start w:val="1"/>
    </w:lvl>
  </w:abstractNum>
  <w:abstractNum w:abstractNumId="31">
    <w:nsid w:val="822C0EF"/>
    <w:multiLevelType w:val="hybridMultilevel"/>
    <w:lvl w:ilvl="0">
      <w:lvlJc w:val="left"/>
      <w:lvlText w:val="•"/>
      <w:numFmt w:val="bullet"/>
      <w:start w:val="1"/>
    </w:lvl>
  </w:abstractNum>
  <w:abstractNum w:abstractNumId="32">
    <w:nsid w:val="57C5BB4F"/>
    <w:multiLevelType w:val="hybridMultilevel"/>
    <w:lvl w:ilvl="0">
      <w:lvlJc w:val="left"/>
      <w:lvlText w:val="•"/>
      <w:numFmt w:val="bullet"/>
      <w:start w:val="1"/>
    </w:lvl>
  </w:abstractNum>
  <w:abstractNum w:abstractNumId="33">
    <w:nsid w:val="1803D089"/>
    <w:multiLevelType w:val="hybridMultilevel"/>
    <w:lvl w:ilvl="0">
      <w:lvlJc w:val="left"/>
      <w:lvlText w:val="•"/>
      <w:numFmt w:val="bullet"/>
      <w:start w:val="1"/>
    </w:lvl>
  </w:abstractNum>
  <w:abstractNum w:abstractNumId="34">
    <w:nsid w:val="4F3A06D4"/>
    <w:multiLevelType w:val="hybridMultilevel"/>
    <w:lvl w:ilvl="0">
      <w:lvlJc w:val="left"/>
      <w:lvlText w:val="•"/>
      <w:numFmt w:val="bullet"/>
      <w:start w:val="1"/>
    </w:lvl>
  </w:abstractNum>
  <w:abstractNum w:abstractNumId="35">
    <w:nsid w:val="59A377B6"/>
    <w:multiLevelType w:val="hybridMultilevel"/>
    <w:lvl w:ilvl="0">
      <w:lvlJc w:val="left"/>
      <w:lvlText w:val="(%1)"/>
      <w:numFmt w:val="lowerRoman"/>
      <w:start w:val="1"/>
    </w:lvl>
  </w:abstractNum>
  <w:abstractNum w:abstractNumId="36">
    <w:nsid w:val="48AEB063"/>
    <w:multiLevelType w:val="hybridMultilevel"/>
    <w:lvl w:ilvl="0">
      <w:lvlJc w:val="left"/>
      <w:lvlText w:val="(*)"/>
      <w:numFmt w:val="bullet"/>
      <w:start w:val="1"/>
    </w:lvl>
  </w:abstractNum>
  <w:abstractNum w:abstractNumId="37">
    <w:nsid w:val="24E135"/>
    <w:multiLevelType w:val="hybridMultilevel"/>
    <w:lvl w:ilvl="0">
      <w:lvlJc w:val="left"/>
      <w:lvlText w:val="(%1)"/>
      <w:numFmt w:val="decimal"/>
      <w:start w:val="1"/>
    </w:lvl>
  </w:abstractNum>
  <w:abstractNum w:abstractNumId="38">
    <w:nsid w:val="BB13C1"/>
    <w:multiLevelType w:val="hybridMultilevel"/>
    <w:lvl w:ilvl="0">
      <w:lvlJc w:val="left"/>
      <w:lvlText w:val="2"/>
      <w:numFmt w:val="bullet"/>
      <w:start w:val="1"/>
    </w:lvl>
  </w:abstractNum>
  <w:abstractNum w:abstractNumId="39">
    <w:nsid w:val="271210C7"/>
    <w:multiLevelType w:val="hybridMultilevel"/>
    <w:lvl w:ilvl="0">
      <w:lvlJc w:val="left"/>
      <w:lvlText w:val="8"/>
      <w:numFmt w:val="bullet"/>
      <w:start w:val="1"/>
    </w:lvl>
  </w:abstractNum>
  <w:abstractNum w:abstractNumId="40">
    <w:nsid w:val="217B22E4"/>
    <w:multiLevelType w:val="hybridMultilevel"/>
    <w:lvl w:ilvl="0">
      <w:lvlJc w:val="left"/>
      <w:lvlText w:val="†"/>
      <w:numFmt w:val="bullet"/>
      <w:start w:val="1"/>
    </w:lvl>
  </w:abstractNum>
  <w:abstractNum w:abstractNumId="41">
    <w:nsid w:val="53E31A24"/>
    <w:multiLevelType w:val="hybridMultilevel"/>
    <w:lvl w:ilvl="0">
      <w:lvlJc w:val="left"/>
      <w:lvlText w:val="•"/>
      <w:numFmt w:val="bullet"/>
      <w:start w:val="1"/>
    </w:lvl>
  </w:abstractNum>
  <w:abstractNum w:abstractNumId="42">
    <w:nsid w:val="6DC45E83"/>
    <w:multiLevelType w:val="hybridMultilevel"/>
    <w:lvl w:ilvl="0">
      <w:lvlJc w:val="left"/>
      <w:lvlText w:val="(%1)"/>
      <w:numFmt w:val="decimal"/>
      <w:start w:val="2"/>
    </w:lvl>
  </w:abstractNum>
  <w:abstractNum w:abstractNumId="43">
    <w:nsid w:val="17304A67"/>
    <w:multiLevelType w:val="hybridMultilevel"/>
    <w:lvl w:ilvl="0">
      <w:lvlJc w:val="left"/>
      <w:lvlText w:val="\emdash "/>
      <w:numFmt w:val="bullet"/>
      <w:start w:val="1"/>
    </w:lvl>
  </w:abstractNum>
  <w:abstractNum w:abstractNumId="44">
    <w:nsid w:val="2BB180D8"/>
    <w:multiLevelType w:val="hybridMultilevel"/>
    <w:lvl w:ilvl="0">
      <w:lvlJc w:val="left"/>
      <w:lvlText w:val="(%1)"/>
      <w:numFmt w:val="decimal"/>
      <w:start w:val="1"/>
    </w:lvl>
  </w:abstractNum>
  <w:abstractNum w:abstractNumId="45">
    <w:nsid w:val="556B69ED"/>
    <w:multiLevelType w:val="hybridMultilevel"/>
    <w:lvl w:ilvl="0">
      <w:lvlJc w:val="left"/>
      <w:lvlText w:val="(%1)"/>
      <w:numFmt w:val="decimal"/>
      <w:start w:val="1"/>
    </w:lvl>
  </w:abstractNum>
  <w:abstractNum w:abstractNumId="46">
    <w:nsid w:val="70836196"/>
    <w:multiLevelType w:val="hybridMultilevel"/>
    <w:lvl w:ilvl="0">
      <w:lvlJc w:val="left"/>
      <w:lvlText w:val="(%1)"/>
      <w:numFmt w:val="decimal"/>
      <w:start w:val="1"/>
    </w:lvl>
  </w:abstractNum>
  <w:abstractNum w:abstractNumId="47">
    <w:nsid w:val="539F7F12"/>
    <w:multiLevelType w:val="hybridMultilevel"/>
    <w:lvl w:ilvl="0">
      <w:lvlJc w:val="left"/>
      <w:lvlText w:val="(%1)"/>
      <w:numFmt w:val="lowerRoman"/>
      <w:start w:val="1"/>
    </w:lvl>
  </w:abstractNum>
  <w:abstractNum w:abstractNumId="48">
    <w:nsid w:val="2817E7EC"/>
    <w:multiLevelType w:val="hybridMultilevel"/>
    <w:lvl w:ilvl="0">
      <w:lvlJc w:val="left"/>
      <w:lvlText w:val="\emdash "/>
      <w:numFmt w:val="bullet"/>
      <w:start w:val="1"/>
    </w:lvl>
  </w:abstractNum>
  <w:abstractNum w:abstractNumId="49">
    <w:nsid w:val="71482545"/>
    <w:multiLevelType w:val="hybridMultilevel"/>
    <w:lvl w:ilvl="0">
      <w:lvlJc w:val="left"/>
      <w:lvlText w:val="(%1)"/>
      <w:numFmt w:val="decimal"/>
      <w:start w:val="1"/>
    </w:lvl>
  </w:abstractNum>
  <w:abstractNum w:abstractNumId="50">
    <w:nsid w:val="17D78639"/>
    <w:multiLevelType w:val="hybridMultilevel"/>
    <w:lvl w:ilvl="0">
      <w:lvlJc w:val="left"/>
      <w:lvlText w:val="(%1)"/>
      <w:numFmt w:val="decimal"/>
      <w:start w:val="1"/>
    </w:lvl>
  </w:abstractNum>
  <w:abstractNum w:abstractNumId="51">
    <w:nsid w:val="141D2302"/>
    <w:multiLevelType w:val="hybridMultilevel"/>
    <w:lvl w:ilvl="0">
      <w:lvlJc w:val="left"/>
      <w:lvlText w:val="(*)"/>
      <w:numFmt w:val="bullet"/>
      <w:start w:val="1"/>
    </w:lvl>
  </w:abstractNum>
  <w:abstractNum w:abstractNumId="52">
    <w:nsid w:val="407168D8"/>
    <w:multiLevelType w:val="hybridMultilevel"/>
    <w:lvl w:ilvl="0">
      <w:lvlJc w:val="left"/>
      <w:lvlText w:val="(%1)"/>
      <w:numFmt w:val="decimal"/>
      <w:start w:val="1"/>
    </w:lvl>
  </w:abstractNum>
  <w:abstractNum w:abstractNumId="53">
    <w:nsid w:val="6A1B45E5"/>
    <w:multiLevelType w:val="hybridMultilevel"/>
    <w:lvl w:ilvl="0">
      <w:lvlJc w:val="left"/>
      <w:lvlText w:val="(%1)"/>
      <w:numFmt w:val="decimal"/>
      <w:start w:val="1"/>
    </w:lvl>
  </w:abstractNum>
  <w:abstractNum w:abstractNumId="54">
    <w:nsid w:val="567BD50A"/>
    <w:multiLevelType w:val="hybridMultilevel"/>
    <w:lvl w:ilvl="0">
      <w:lvlJc w:val="left"/>
      <w:lvlText w:val="(%1)"/>
      <w:numFmt w:val="decimal"/>
      <w:start w:val="1"/>
    </w:lvl>
  </w:abstractNum>
  <w:abstractNum w:abstractNumId="55">
    <w:nsid w:val="73BBD7F8"/>
    <w:multiLevelType w:val="hybridMultilevel"/>
    <w:lvl w:ilvl="0">
      <w:lvlJc w:val="left"/>
      <w:lvlText w:val="(%1)"/>
      <w:numFmt w:val="decimal"/>
      <w:start w:val="2"/>
    </w:lvl>
  </w:abstractNum>
  <w:abstractNum w:abstractNumId="56">
    <w:nsid w:val="1876589D"/>
    <w:multiLevelType w:val="hybridMultilevel"/>
    <w:lvl w:ilvl="0">
      <w:lvlJc w:val="left"/>
      <w:lvlText w:val="(%1)"/>
      <w:numFmt w:val="decimal"/>
      <w:start w:val="1"/>
    </w:lvl>
  </w:abstractNum>
  <w:abstractNum w:abstractNumId="57">
    <w:nsid w:val="327FAC77"/>
    <w:multiLevelType w:val="hybridMultilevel"/>
    <w:lvl w:ilvl="0">
      <w:lvlJc w:val="left"/>
      <w:lvlText w:val="(%1)"/>
      <w:numFmt w:val="decimal"/>
      <w:start w:val="1"/>
    </w:lvl>
  </w:abstractNum>
  <w:abstractNum w:abstractNumId="58">
    <w:nsid w:val="5A606509"/>
    <w:multiLevelType w:val="hybridMultilevel"/>
    <w:lvl w:ilvl="0">
      <w:lvlJc w:val="left"/>
      <w:lvlText w:val="(%1)"/>
      <w:numFmt w:val="decimal"/>
      <w:start w:val="1"/>
    </w:lvl>
  </w:abstractNum>
  <w:abstractNum w:abstractNumId="59">
    <w:nsid w:val="6F38E6D1"/>
    <w:multiLevelType w:val="hybridMultilevel"/>
    <w:lvl w:ilvl="0">
      <w:lvlJc w:val="left"/>
      <w:lvlText w:val="*"/>
      <w:numFmt w:val="bullet"/>
      <w:start w:val="1"/>
    </w:lvl>
  </w:abstractNum>
  <w:abstractNum w:abstractNumId="60">
    <w:nsid w:val="46111BA5"/>
    <w:multiLevelType w:val="hybridMultilevel"/>
    <w:lvl w:ilvl="0">
      <w:lvlJc w:val="left"/>
      <w:lvlText w:val="(%1)"/>
      <w:numFmt w:val="decimal"/>
      <w:start w:val="1"/>
    </w:lvl>
  </w:abstractNum>
  <w:abstractNum w:abstractNumId="61">
    <w:nsid w:val="5E963896"/>
    <w:multiLevelType w:val="hybridMultilevel"/>
    <w:lvl w:ilvl="0">
      <w:lvlJc w:val="left"/>
      <w:lvlText w:val="(%1)"/>
      <w:numFmt w:val="decimal"/>
      <w:start w:val="1"/>
    </w:lvl>
  </w:abstractNum>
  <w:abstractNum w:abstractNumId="62">
    <w:nsid w:val="775BA7C1"/>
    <w:multiLevelType w:val="hybridMultilevel"/>
    <w:lvl w:ilvl="0">
      <w:lvlJc w:val="left"/>
      <w:lvlText w:val="(%1)"/>
      <w:numFmt w:val="decimal"/>
      <w:start w:val="1"/>
    </w:lvl>
  </w:abstractNum>
  <w:abstractNum w:abstractNumId="63">
    <w:nsid w:val="1DD6D6F4"/>
    <w:multiLevelType w:val="hybridMultilevel"/>
    <w:lvl w:ilvl="0">
      <w:lvlJc w:val="left"/>
      <w:lvlText w:val="(%1)"/>
      <w:numFmt w:val="lowerRoman"/>
      <w:start w:val="2"/>
    </w:lvl>
  </w:abstractNum>
  <w:abstractNum w:abstractNumId="64">
    <w:nsid w:val="769A091F"/>
    <w:multiLevelType w:val="hybridMultilevel"/>
    <w:lvl w:ilvl="0">
      <w:lvlJc w:val="left"/>
      <w:lvlText w:val="(%1)"/>
      <w:numFmt w:val="lowerRoman"/>
      <w:start w:val="2"/>
    </w:lvl>
  </w:abstractNum>
  <w:abstractNum w:abstractNumId="65">
    <w:nsid w:val="4695AE95"/>
    <w:multiLevelType w:val="hybridMultilevel"/>
    <w:lvl w:ilvl="0">
      <w:lvlJc w:val="left"/>
      <w:lvlText w:val="•"/>
      <w:numFmt w:val="bullet"/>
      <w:start w:val="1"/>
    </w:lvl>
    <w:lvl w:ilvl="1">
      <w:lvlJc w:val="left"/>
      <w:lvlText w:val="•"/>
      <w:numFmt w:val="bullet"/>
      <w:start w:val="1"/>
    </w:lvl>
  </w:abstractNum>
  <w:abstractNum w:abstractNumId="66">
    <w:nsid w:val="777A4EAA"/>
    <w:multiLevelType w:val="hybridMultilevel"/>
    <w:lvl w:ilvl="0">
      <w:lvlJc w:val="left"/>
      <w:lvlText w:val="%1."/>
      <w:numFmt w:val="lowerLetter"/>
      <w:start w:val="1"/>
    </w:lvl>
  </w:abstractNum>
  <w:abstractNum w:abstractNumId="67">
    <w:nsid w:val="3F48B982"/>
    <w:multiLevelType w:val="hybridMultilevel"/>
    <w:lvl w:ilvl="0">
      <w:lvlJc w:val="left"/>
      <w:lvlText w:val="%1."/>
      <w:numFmt w:val="lowerLetter"/>
      <w:start w:val="2"/>
    </w:lvl>
    <w:lvl w:ilvl="1">
      <w:lvlJc w:val="left"/>
      <w:lvlText w:val="%2."/>
      <w:numFmt w:val="lowerRoman"/>
      <w:start w:val="1"/>
    </w:lvl>
  </w:abstractNum>
  <w:abstractNum w:abstractNumId="68">
    <w:nsid w:val="46BA8FCA"/>
    <w:multiLevelType w:val="hybridMultilevel"/>
    <w:lvl w:ilvl="0">
      <w:lvlJc w:val="left"/>
      <w:lvlText w:val="%1."/>
      <w:numFmt w:val="lowerLetter"/>
      <w:start w:val="1"/>
    </w:lvl>
  </w:abstractNum>
  <w:abstractNum w:abstractNumId="69">
    <w:nsid w:val="7835626C"/>
    <w:multiLevelType w:val="hybridMultilevel"/>
    <w:lvl w:ilvl="0">
      <w:lvlJc w:val="left"/>
      <w:lvlText w:val="%1."/>
      <w:numFmt w:val="lowerLetter"/>
      <w:start w:val="1"/>
    </w:lvl>
  </w:abstractNum>
  <w:abstractNum w:abstractNumId="70">
    <w:nsid w:val="665ACA49"/>
    <w:multiLevelType w:val="hybridMultilevel"/>
    <w:lvl w:ilvl="0">
      <w:lvlJc w:val="left"/>
      <w:lvlText w:val="%1."/>
      <w:numFmt w:val="lowerLetter"/>
      <w:start w:val="1"/>
    </w:lvl>
  </w:abstractNum>
  <w:abstractNum w:abstractNumId="71">
    <w:nsid w:val="6835B2AE"/>
    <w:multiLevelType w:val="hybridMultilevel"/>
    <w:lvl w:ilvl="0">
      <w:lvlJc w:val="left"/>
      <w:lvlText w:val="%1"/>
      <w:numFmt w:val="lowerLetter"/>
      <w:start w:val="1"/>
    </w:lvl>
    <w:lvl w:ilvl="1">
      <w:lvlJc w:val="left"/>
      <w:lvlText w:val="%2."/>
      <w:numFmt w:val="lowerLetter"/>
      <w:start w:val="3"/>
    </w:lvl>
  </w:abstractNum>
  <w:abstractNum w:abstractNumId="72">
    <w:nsid w:val="4C187C90"/>
    <w:multiLevelType w:val="hybridMultilevel"/>
    <w:lvl w:ilvl="0">
      <w:lvlJc w:val="left"/>
      <w:lvlText w:val="%1."/>
      <w:numFmt w:val="lowerLetter"/>
      <w:start w:val="4"/>
    </w:lvl>
    <w:lvl w:ilvl="1">
      <w:lvlJc w:val="left"/>
      <w:lvlText w:val="%2."/>
      <w:numFmt w:val="lowerLetter"/>
      <w:start w:val="9"/>
    </w:lvl>
  </w:abstractNum>
  <w:abstractNum w:abstractNumId="73">
    <w:nsid w:val="541F28CD"/>
    <w:multiLevelType w:val="hybridMultilevel"/>
    <w:lvl w:ilvl="0">
      <w:lvlJc w:val="left"/>
      <w:lvlText w:val="%1."/>
      <w:numFmt w:val="lowerRoman"/>
      <w:start w:val="2"/>
    </w:lvl>
  </w:abstractNum>
  <w:abstractNum w:abstractNumId="74">
    <w:nsid w:val="7F65FD16"/>
    <w:multiLevelType w:val="hybridMultilevel"/>
    <w:lvl w:ilvl="0">
      <w:lvlJc w:val="left"/>
      <w:lvlText w:val="%1"/>
      <w:numFmt w:val="lowerLetter"/>
      <w:start w:val="1"/>
    </w:lvl>
    <w:lvl w:ilvl="1">
      <w:lvlJc w:val="left"/>
      <w:lvlText w:val="%2."/>
      <w:numFmt w:val="lowerRoman"/>
      <w:start w:val="4"/>
    </w:lvl>
  </w:abstractNum>
  <w:abstractNum w:abstractNumId="75">
    <w:nsid w:val="77C9FD68"/>
    <w:multiLevelType w:val="hybridMultilevel"/>
    <w:lvl w:ilvl="0">
      <w:lvlJc w:val="left"/>
      <w:lvlText w:val="%1."/>
      <w:numFmt w:val="lowerLetter"/>
      <w:start w:val="5"/>
    </w:lvl>
    <w:lvl w:ilvl="1">
      <w:lvlJc w:val="left"/>
      <w:lvlText w:val="%2."/>
      <w:numFmt w:val="lowerRoman"/>
      <w:start w:val="1"/>
    </w:lvl>
  </w:abstractNum>
  <w:abstractNum w:abstractNumId="76">
    <w:nsid w:val="298A92BA"/>
    <w:multiLevelType w:val="hybridMultilevel"/>
    <w:lvl w:ilvl="0">
      <w:lvlJc w:val="left"/>
      <w:lvlText w:val="%1."/>
      <w:numFmt w:val="lowerLetter"/>
      <w:start w:val="1"/>
    </w:lvl>
  </w:abstractNum>
  <w:abstractNum w:abstractNumId="77">
    <w:nsid w:val="6FE95EAC"/>
    <w:multiLevelType w:val="hybridMultilevel"/>
    <w:lvl w:ilvl="0">
      <w:lvlJc w:val="left"/>
      <w:lvlText w:val="%1."/>
      <w:numFmt w:val="lowerLetter"/>
      <w:start w:val="1"/>
    </w:lvl>
    <w:lvl w:ilvl="1">
      <w:lvlJc w:val="left"/>
      <w:lvlText w:val="%2."/>
      <w:numFmt w:val="lowerRoman"/>
      <w:start w:val="1"/>
    </w:lvl>
  </w:abstractNum>
  <w:abstractNum w:abstractNumId="78">
    <w:nsid w:val="4B697C7A"/>
    <w:multiLevelType w:val="hybridMultilevel"/>
    <w:lvl w:ilvl="0">
      <w:lvlJc w:val="left"/>
      <w:lvlText w:val="%1."/>
      <w:numFmt w:val="lowerRoman"/>
      <w:start w:val="4"/>
    </w:lvl>
    <w:lvl w:ilvl="1">
      <w:lvlJc w:val="left"/>
      <w:lvlText w:val="%2."/>
      <w:numFmt w:val="decimal"/>
      <w:start w:val="1"/>
    </w:lvl>
  </w:abstractNum>
  <w:abstractNum w:abstractNumId="79">
    <w:nsid w:val="51A27AA6"/>
    <w:multiLevelType w:val="hybridMultilevel"/>
    <w:lvl w:ilvl="0">
      <w:lvlJc w:val="left"/>
      <w:lvlText w:val="%1."/>
      <w:numFmt w:val="lowerRoman"/>
      <w:start w:val="6"/>
    </w:lvl>
  </w:abstractNum>
  <w:abstractNum w:abstractNumId="80">
    <w:nsid w:val="613183F2"/>
    <w:multiLevelType w:val="hybridMultilevel"/>
    <w:lvl w:ilvl="0">
      <w:lvlJc w:val="left"/>
      <w:lvlText w:val="%1."/>
      <w:numFmt w:val="lowerLetter"/>
      <w:start w:val="1"/>
    </w:lvl>
  </w:abstractNum>
  <w:abstractNum w:abstractNumId="81">
    <w:nsid w:val="634102B4"/>
    <w:multiLevelType w:val="hybridMultilevel"/>
    <w:lvl w:ilvl="0">
      <w:lvlJc w:val="left"/>
      <w:lvlText w:val="%1."/>
      <w:numFmt w:val="lowerLetter"/>
      <w:start w:val="1"/>
    </w:lvl>
  </w:abstractNum>
  <w:abstractNum w:abstractNumId="82">
    <w:nsid w:val="65BF9DA8"/>
    <w:multiLevelType w:val="hybridMultilevel"/>
    <w:lvl w:ilvl="0">
      <w:lvlJc w:val="left"/>
      <w:lvlText w:val="%1."/>
      <w:numFmt w:val="lowerLetter"/>
      <w:start w:val="2"/>
    </w:lvl>
    <w:lvl w:ilvl="1">
      <w:lvlJc w:val="left"/>
      <w:lvlText w:val="%2."/>
      <w:numFmt w:val="lowerRoman"/>
      <w:start w:val="1"/>
    </w:lvl>
  </w:abstractNum>
  <w:abstractNum w:abstractNumId="83">
    <w:nsid w:val="21A2ECCA"/>
    <w:multiLevelType w:val="hybridMultilevel"/>
    <w:lvl w:ilvl="0">
      <w:lvlJc w:val="left"/>
      <w:lvlText w:val="%1"/>
      <w:numFmt w:val="lowerLetter"/>
      <w:start w:val="1"/>
    </w:lvl>
    <w:lvl w:ilvl="1">
      <w:lvlJc w:val="left"/>
      <w:lvlText w:val="%2."/>
      <w:numFmt w:val="lowerRoman"/>
      <w:start w:val="2"/>
    </w:lvl>
  </w:abstractNum>
  <w:abstractNum w:abstractNumId="84">
    <w:nsid w:val="4D5C4899"/>
    <w:multiLevelType w:val="hybridMultilevel"/>
    <w:lvl w:ilvl="0">
      <w:lvlJc w:val="left"/>
      <w:lvlText w:val="%1."/>
      <w:numFmt w:val="lowerLetter"/>
      <w:start w:val="6"/>
    </w:lvl>
    <w:lvl w:ilvl="1">
      <w:lvlJc w:val="left"/>
      <w:lvlText w:val="%2."/>
      <w:numFmt w:val="lowerRoman"/>
      <w:start w:val="1"/>
    </w:lvl>
  </w:abstractNum>
  <w:abstractNum w:abstractNumId="85">
    <w:nsid w:val="3C3B72B2"/>
    <w:multiLevelType w:val="hybridMultilevel"/>
    <w:lvl w:ilvl="0">
      <w:lvlJc w:val="left"/>
      <w:lvlText w:val="%1."/>
      <w:numFmt w:val="lowerLetter"/>
      <w:start w:val="7"/>
    </w:lvl>
    <w:lvl w:ilvl="1">
      <w:lvlJc w:val="left"/>
      <w:lvlText w:val="%2."/>
      <w:numFmt w:val="lowerRoman"/>
      <w:start w:val="1"/>
    </w:lvl>
  </w:abstractNum>
  <w:abstractNum w:abstractNumId="86">
    <w:nsid w:val="155EC4C2"/>
    <w:multiLevelType w:val="hybridMultilevel"/>
    <w:lvl w:ilvl="0">
      <w:lvlJc w:val="left"/>
      <w:lvlText w:val="%1."/>
      <w:numFmt w:val="lowerLetter"/>
      <w:start w:val="1"/>
    </w:lvl>
    <w:lvl w:ilvl="1">
      <w:lvlJc w:val="left"/>
      <w:lvlText w:val="%2."/>
      <w:numFmt w:val="lowerRoman"/>
      <w:start w:val="1"/>
    </w:lvl>
  </w:abstractNum>
  <w:abstractNum w:abstractNumId="87">
    <w:nsid w:val="65D2A137"/>
    <w:multiLevelType w:val="hybridMultilevel"/>
    <w:lvl w:ilvl="0">
      <w:lvlJc w:val="left"/>
      <w:lvlText w:val="%1"/>
      <w:numFmt w:val="lowerLetter"/>
      <w:start w:val="1"/>
    </w:lvl>
    <w:lvl w:ilvl="1">
      <w:lvlJc w:val="left"/>
      <w:lvlText w:val="%2."/>
      <w:numFmt w:val="lowerLetter"/>
      <w:start w:val="35"/>
    </w:lvl>
  </w:abstractNum>
  <w:abstractNum w:abstractNumId="88">
    <w:nsid w:val="6EBB1F2A"/>
    <w:multiLevelType w:val="hybridMultilevel"/>
    <w:lvl w:ilvl="0">
      <w:lvlJc w:val="left"/>
      <w:lvlText w:val="%1."/>
      <w:numFmt w:val="lowerLetter"/>
      <w:start w:val="2"/>
    </w:lvl>
    <w:lvl w:ilvl="1">
      <w:lvlJc w:val="left"/>
      <w:lvlText w:val="%2."/>
      <w:numFmt w:val="lowerLetter"/>
      <w:start w:val="9"/>
    </w:lvl>
  </w:abstractNum>
  <w:abstractNum w:abstractNumId="89">
    <w:nsid w:val="6FBF29CB"/>
    <w:multiLevelType w:val="hybridMultilevel"/>
    <w:lvl w:ilvl="0">
      <w:lvlJc w:val="left"/>
      <w:lvlText w:val="%1."/>
      <w:numFmt w:val="lowerRoman"/>
      <w:start w:val="2"/>
    </w:lvl>
  </w:abstractNum>
  <w:abstractNum w:abstractNumId="90">
    <w:nsid w:val="550B880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91">
    <w:nsid w:val="34CC3ACF"/>
    <w:multiLevelType w:val="hybridMultilevel"/>
    <w:lvl w:ilvl="0">
      <w:lvlJc w:val="left"/>
      <w:lvlText w:val="%1."/>
      <w:numFmt w:val="lowerLetter"/>
      <w:start w:val="2"/>
    </w:lvl>
    <w:lvl w:ilvl="1">
      <w:lvlJc w:val="left"/>
      <w:lvlText w:val="%2."/>
      <w:numFmt w:val="lowerRoman"/>
      <w:start w:val="1"/>
    </w:lvl>
  </w:abstractNum>
  <w:abstractNum w:abstractNumId="92">
    <w:nsid w:val="4E556261"/>
    <w:multiLevelType w:val="hybridMultilevel"/>
    <w:lvl w:ilvl="0">
      <w:lvlJc w:val="left"/>
      <w:lvlText w:val="%1."/>
      <w:numFmt w:val="lowerLetter"/>
      <w:start w:val="1"/>
    </w:lvl>
  </w:abstractNum>
  <w:abstractNum w:abstractNumId="93">
    <w:nsid w:val="4C672FC9"/>
    <w:multiLevelType w:val="hybridMultilevel"/>
    <w:lvl w:ilvl="0">
      <w:lvlJc w:val="left"/>
      <w:lvlText w:val="%1."/>
      <w:numFmt w:val="lowerLetter"/>
      <w:start w:val="4"/>
    </w:lvl>
  </w:abstractNum>
  <w:abstractNum w:abstractNumId="94">
    <w:nsid w:val="52A311C3"/>
    <w:multiLevelType w:val="hybridMultilevel"/>
    <w:lvl w:ilvl="0">
      <w:lvlJc w:val="left"/>
      <w:lvlText w:val="%1."/>
      <w:numFmt w:val="lowerLetter"/>
      <w:start w:val="6"/>
    </w:lvl>
  </w:abstractNum>
  <w:abstractNum w:abstractNumId="95">
    <w:nsid w:val="44EF6B80"/>
    <w:multiLevelType w:val="hybridMultilevel"/>
    <w:lvl w:ilvl="0">
      <w:lvlJc w:val="left"/>
      <w:lvlText w:val="%1."/>
      <w:numFmt w:val="lowerLetter"/>
      <w:start w:val="1"/>
    </w:lvl>
    <w:lvl w:ilvl="1">
      <w:lvlJc w:val="left"/>
      <w:lvlText w:val="%2."/>
      <w:numFmt w:val="lowerRoman"/>
      <w:start w:val="1"/>
    </w:lvl>
  </w:abstractNum>
  <w:abstractNum w:abstractNumId="96">
    <w:nsid w:val="12FCDE5E"/>
    <w:multiLevelType w:val="hybridMultilevel"/>
    <w:lvl w:ilvl="0">
      <w:lvlJc w:val="left"/>
      <w:lvlText w:val="%1"/>
      <w:numFmt w:val="lowerLetter"/>
      <w:start w:val="1"/>
    </w:lvl>
    <w:lvl w:ilvl="1">
      <w:lvlJc w:val="left"/>
      <w:lvlText w:val="%2."/>
      <w:numFmt w:val="lowerRoman"/>
      <w:start w:val="4"/>
    </w:lvl>
  </w:abstractNum>
  <w:abstractNum w:abstractNumId="97">
    <w:nsid w:val="4A1D606E"/>
    <w:multiLevelType w:val="hybridMultilevel"/>
    <w:lvl w:ilvl="0">
      <w:lvlJc w:val="left"/>
      <w:lvlText w:val="%1."/>
      <w:numFmt w:val="lowerLetter"/>
      <w:start w:val="3"/>
    </w:lvl>
    <w:lvl w:ilvl="1">
      <w:lvlJc w:val="left"/>
      <w:lvlText w:val="%2."/>
      <w:numFmt w:val="lowerRoman"/>
      <w:start w:val="1"/>
    </w:lvl>
  </w:abstractNum>
  <w:abstractNum w:abstractNumId="98">
    <w:nsid w:val="4382503"/>
    <w:multiLevelType w:val="hybridMultilevel"/>
    <w:lvl w:ilvl="0">
      <w:lvlJc w:val="left"/>
      <w:lvlText w:val="%1."/>
      <w:numFmt w:val="lowerLetter"/>
      <w:start w:val="6"/>
    </w:lvl>
  </w:abstractNum>
  <w:abstractNum w:abstractNumId="99">
    <w:nsid w:val="59B76E28"/>
    <w:multiLevelType w:val="hybridMultilevel"/>
    <w:lvl w:ilvl="0">
      <w:lvlJc w:val="left"/>
      <w:lvlText w:val="%1."/>
      <w:numFmt w:val="lowerLetter"/>
      <w:start w:val="1"/>
    </w:lvl>
    <w:lvl w:ilvl="1">
      <w:lvlJc w:val="left"/>
      <w:lvlText w:val="%2."/>
      <w:numFmt w:val="lowerRoman"/>
      <w:start w:val="1"/>
    </w:lvl>
  </w:abstractNum>
  <w:abstractNum w:abstractNumId="100">
    <w:nsid w:val="4252C2DA"/>
    <w:multiLevelType w:val="hybridMultilevel"/>
    <w:lvl w:ilvl="0">
      <w:lvlJc w:val="left"/>
      <w:lvlText w:val="%1."/>
      <w:numFmt w:val="decimal"/>
      <w:start w:val="1"/>
    </w:lvl>
    <w:lvl w:ilvl="1">
      <w:lvlJc w:val="left"/>
      <w:lvlText w:val="%2)"/>
      <w:numFmt w:val="upperLetter"/>
      <w:start w:val="1"/>
    </w:lvl>
  </w:abstractNum>
  <w:abstractNum w:abstractNumId="101">
    <w:nsid w:val="6A92EF4C"/>
    <w:multiLevelType w:val="hybridMultilevel"/>
    <w:lvl w:ilvl="0">
      <w:lvlJc w:val="left"/>
      <w:lvlText w:val="%1"/>
      <w:numFmt w:val="lowerRoman"/>
      <w:start w:val="1"/>
    </w:lvl>
    <w:lvl w:ilvl="1">
      <w:lvlJc w:val="left"/>
      <w:lvlText w:val="%2."/>
      <w:numFmt w:val="decimal"/>
      <w:start w:val="2"/>
    </w:lvl>
  </w:abstractNum>
  <w:abstractNum w:abstractNumId="102">
    <w:nsid w:val="41ED20D7"/>
    <w:multiLevelType w:val="hybridMultilevel"/>
    <w:lvl w:ilvl="0">
      <w:lvlJc w:val="left"/>
      <w:lvlText w:val="%1."/>
      <w:numFmt w:val="lowerRoman"/>
      <w:start w:val="2"/>
    </w:lvl>
    <w:lvl w:ilvl="1">
      <w:lvlJc w:val="left"/>
      <w:lvlText w:val="%2"/>
      <w:numFmt w:val="decimal"/>
      <w:start w:val="1"/>
    </w:lvl>
  </w:abstractNum>
  <w:abstractNum w:abstractNumId="103">
    <w:nsid w:val="E6B3F6A"/>
    <w:multiLevelType w:val="hybridMultilevel"/>
    <w:lvl w:ilvl="0">
      <w:lvlJc w:val="left"/>
      <w:lvlText w:val="%1"/>
      <w:numFmt w:val="lowerLetter"/>
      <w:start w:val="1"/>
    </w:lvl>
    <w:lvl w:ilvl="1">
      <w:lvlJc w:val="left"/>
      <w:lvlText w:val="%2."/>
      <w:numFmt w:val="lowerRoman"/>
      <w:start w:val="5"/>
    </w:lvl>
  </w:abstractNum>
  <w:abstractNum w:abstractNumId="104">
    <w:nsid w:val="3EB21819"/>
    <w:multiLevelType w:val="hybridMultilevel"/>
    <w:lvl w:ilvl="0">
      <w:lvlJc w:val="left"/>
      <w:lvlText w:val="%1."/>
      <w:numFmt w:val="lowerLetter"/>
      <w:start w:val="3"/>
    </w:lvl>
    <w:lvl w:ilvl="1">
      <w:lvlJc w:val="left"/>
      <w:lvlText w:val="%2"/>
      <w:numFmt w:val="lowerRoman"/>
      <w:start w:val="1"/>
    </w:lvl>
  </w:abstractNum>
  <w:abstractNum w:abstractNumId="105">
    <w:nsid w:val="41531DED"/>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lvl w:ilvl="3">
      <w:lvlJc w:val="left"/>
      <w:lvlText w:val="%4."/>
      <w:numFmt w:val="decimal"/>
      <w:start w:val="1"/>
    </w:lvl>
  </w:abstractNum>
  <w:abstractNum w:abstractNumId="106">
    <w:nsid w:val="6353CD2"/>
    <w:multiLevelType w:val="hybridMultilevel"/>
    <w:lvl w:ilvl="0">
      <w:lvlJc w:val="left"/>
      <w:lvlText w:val="%1."/>
      <w:numFmt w:val="lowerLetter"/>
      <w:start w:val="6"/>
    </w:lvl>
  </w:abstractNum>
  <w:abstractNum w:abstractNumId="107">
    <w:nsid w:val="683CAAD3"/>
    <w:multiLevelType w:val="hybridMultilevel"/>
    <w:lvl w:ilvl="0">
      <w:lvlJc w:val="left"/>
      <w:lvlText w:val="%1."/>
      <w:numFmt w:val="lowerLetter"/>
      <w:start w:val="1"/>
    </w:lvl>
    <w:lvl w:ilvl="1">
      <w:lvlJc w:val="left"/>
      <w:lvlText w:val="%2."/>
      <w:numFmt w:val="lowerRoman"/>
      <w:start w:val="1"/>
    </w:lvl>
  </w:abstractNum>
  <w:abstractNum w:abstractNumId="108">
    <w:nsid w:val="313C7C99"/>
    <w:multiLevelType w:val="hybridMultilevel"/>
    <w:lvl w:ilvl="0">
      <w:lvlJc w:val="left"/>
      <w:lvlText w:val="%1"/>
      <w:numFmt w:val="lowerLetter"/>
      <w:start w:val="1"/>
    </w:lvl>
    <w:lvl w:ilvl="1">
      <w:lvlJc w:val="left"/>
      <w:lvlText w:val="%2."/>
      <w:numFmt w:val="lowerLetter"/>
      <w:start w:val="61"/>
    </w:lvl>
  </w:abstractNum>
  <w:abstractNum w:abstractNumId="109">
    <w:nsid w:val="519EB94C"/>
    <w:multiLevelType w:val="hybridMultilevel"/>
    <w:lvl w:ilvl="0">
      <w:lvlJc w:val="left"/>
      <w:lvlText w:val="%1."/>
      <w:numFmt w:val="lowerLetter"/>
      <w:start w:val="5"/>
    </w:lvl>
    <w:lvl w:ilvl="1">
      <w:lvlJc w:val="left"/>
      <w:lvlText w:val="%2."/>
      <w:numFmt w:val="lowerLetter"/>
      <w:start w:val="9"/>
    </w:lvl>
  </w:abstractNum>
  <w:abstractNum w:abstractNumId="110">
    <w:nsid w:val="39DF2579"/>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11">
    <w:nsid w:val="126E008B"/>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12">
    <w:nsid w:val="34DFBC00"/>
    <w:multiLevelType w:val="hybridMultilevel"/>
    <w:lvl w:ilvl="0">
      <w:lvlJc w:val="left"/>
      <w:lvlText w:val="%1"/>
      <w:numFmt w:val="lowerRoman"/>
      <w:start w:val="1"/>
    </w:lvl>
    <w:lvl w:ilvl="1">
      <w:lvlJc w:val="left"/>
      <w:lvlText w:val="%2."/>
      <w:numFmt w:val="decimal"/>
      <w:start w:val="3"/>
    </w:lvl>
  </w:abstractNum>
  <w:abstractNum w:abstractNumId="113">
    <w:nsid w:val="1F9EC322"/>
    <w:multiLevelType w:val="hybridMultilevel"/>
    <w:lvl w:ilvl="0">
      <w:lvlJc w:val="left"/>
      <w:lvlText w:val="%1."/>
      <w:numFmt w:val="lowerRoman"/>
      <w:start w:val="3"/>
    </w:lvl>
    <w:lvl w:ilvl="1">
      <w:lvlJc w:val="left"/>
      <w:lvlText w:val="%2."/>
      <w:numFmt w:val="decimal"/>
      <w:start w:val="1"/>
    </w:lvl>
  </w:abstractNum>
  <w:abstractNum w:abstractNumId="114">
    <w:nsid w:val="3410ED56"/>
    <w:multiLevelType w:val="hybridMultilevel"/>
    <w:lvl w:ilvl="0">
      <w:lvlJc w:val="left"/>
      <w:lvlText w:val="%1."/>
      <w:numFmt w:val="lowerLetter"/>
      <w:start w:val="7"/>
    </w:lvl>
  </w:abstractNum>
  <w:abstractNum w:abstractNumId="115">
    <w:nsid w:val="23C049A"/>
    <w:multiLevelType w:val="hybridMultilevel"/>
    <w:lvl w:ilvl="0">
      <w:lvlJc w:val="left"/>
      <w:lvlText w:val="%1."/>
      <w:numFmt w:val="lowerLetter"/>
      <w:start w:val="1"/>
    </w:lvl>
  </w:abstractNum>
  <w:abstractNum w:abstractNumId="116">
    <w:nsid w:val="5BDA35D4"/>
    <w:multiLevelType w:val="hybridMultilevel"/>
    <w:lvl w:ilvl="0">
      <w:lvlJc w:val="left"/>
      <w:lvlText w:val="%1."/>
      <w:numFmt w:val="lowerLetter"/>
      <w:start w:val="6"/>
    </w:lvl>
  </w:abstractNum>
  <w:abstractNum w:abstractNumId="117">
    <w:nsid w:val="496FB218"/>
    <w:multiLevelType w:val="hybridMultilevel"/>
    <w:lvl w:ilvl="0">
      <w:lvlJc w:val="left"/>
      <w:lvlText w:val="%1."/>
      <w:numFmt w:val="lowerLetter"/>
      <w:start w:val="1"/>
    </w:lvl>
  </w:abstractNum>
  <w:abstractNum w:abstractNumId="118">
    <w:nsid w:val="680EA5D1"/>
    <w:multiLevelType w:val="hybridMultilevel"/>
    <w:lvl w:ilvl="0">
      <w:lvlJc w:val="left"/>
      <w:lvlText w:val="%1."/>
      <w:numFmt w:val="lowerLetter"/>
      <w:start w:val="1"/>
    </w:lvl>
    <w:lvl w:ilvl="1">
      <w:lvlJc w:val="left"/>
      <w:lvlText w:val="%2."/>
      <w:numFmt w:val="lowerRoman"/>
      <w:start w:val="1"/>
    </w:lvl>
  </w:abstractNum>
  <w:abstractNum w:abstractNumId="119">
    <w:nsid w:val="4A9554FE"/>
    <w:multiLevelType w:val="hybridMultilevel"/>
    <w:lvl w:ilvl="0">
      <w:lvlJc w:val="left"/>
      <w:lvlText w:val="%1"/>
      <w:numFmt w:val="lowerLetter"/>
      <w:start w:val="1"/>
    </w:lvl>
    <w:lvl w:ilvl="1">
      <w:lvlJc w:val="left"/>
      <w:lvlText w:val="%2."/>
      <w:numFmt w:val="lowerRoman"/>
      <w:start w:val="2"/>
    </w:lvl>
  </w:abstractNum>
  <w:abstractNum w:abstractNumId="120">
    <w:nsid w:val="392EDBE4"/>
    <w:multiLevelType w:val="hybridMultilevel"/>
    <w:lvl w:ilvl="0">
      <w:lvlJc w:val="left"/>
      <w:lvlText w:val="%1."/>
      <w:numFmt w:val="lowerLetter"/>
      <w:start w:val="2"/>
    </w:lvl>
    <w:lvl w:ilvl="1">
      <w:lvlJc w:val="left"/>
      <w:lvlText w:val="%2."/>
      <w:numFmt w:val="lowerRoman"/>
      <w:start w:val="1"/>
    </w:lvl>
  </w:abstractNum>
  <w:abstractNum w:abstractNumId="121">
    <w:nsid w:val="3D1A2DD9"/>
    <w:multiLevelType w:val="hybridMultilevel"/>
    <w:lvl w:ilvl="0">
      <w:lvlJc w:val="left"/>
      <w:lvlText w:val="%1."/>
      <w:numFmt w:val="lowerRoman"/>
      <w:start w:val="5"/>
    </w:lvl>
  </w:abstractNum>
  <w:abstractNum w:abstractNumId="122">
    <w:nsid w:val="7F618FCD"/>
    <w:multiLevelType w:val="hybridMultilevel"/>
    <w:lvl w:ilvl="0">
      <w:lvlJc w:val="left"/>
      <w:lvlText w:val="%1."/>
      <w:numFmt w:val="lowerLetter"/>
      <w:start w:val="1"/>
    </w:lvl>
  </w:abstractNum>
  <w:abstractNum w:abstractNumId="123">
    <w:nsid w:val="7843E45"/>
    <w:multiLevelType w:val="hybridMultilevel"/>
    <w:lvl w:ilvl="0">
      <w:lvlJc w:val="left"/>
      <w:lvlText w:val="%1."/>
      <w:numFmt w:val="lowerLetter"/>
      <w:start w:val="2"/>
    </w:lvl>
    <w:lvl w:ilvl="1">
      <w:lvlJc w:val="left"/>
      <w:lvlText w:val="%2."/>
      <w:numFmt w:val="lowerRoman"/>
      <w:start w:val="1"/>
    </w:lvl>
  </w:abstractNum>
  <w:abstractNum w:abstractNumId="124">
    <w:nsid w:val="9815DA3"/>
    <w:multiLevelType w:val="hybridMultilevel"/>
    <w:lvl w:ilvl="0">
      <w:lvlJc w:val="left"/>
      <w:lvlText w:val="%1."/>
      <w:numFmt w:val="lowerLetter"/>
      <w:start w:val="1"/>
    </w:lvl>
  </w:abstractNum>
  <w:abstractNum w:abstractNumId="125">
    <w:nsid w:val="5204A191"/>
    <w:multiLevelType w:val="hybridMultilevel"/>
    <w:lvl w:ilvl="0">
      <w:lvlJc w:val="left"/>
      <w:lvlText w:val="%1."/>
      <w:numFmt w:val="lowerLetter"/>
      <w:start w:val="4"/>
    </w:lvl>
  </w:abstractNum>
  <w:abstractNum w:abstractNumId="126">
    <w:nsid w:val="4C73A9C6"/>
    <w:multiLevelType w:val="hybridMultilevel"/>
    <w:lvl w:ilvl="0">
      <w:lvlJc w:val="left"/>
      <w:lvlText w:val="%1."/>
      <w:numFmt w:val="lowerLetter"/>
      <w:start w:val="1"/>
    </w:lvl>
    <w:lvl w:ilvl="1">
      <w:lvlJc w:val="left"/>
      <w:lvlText w:val="%2."/>
      <w:numFmt w:val="lowerRoman"/>
      <w:start w:val="1"/>
    </w:lvl>
  </w:abstractNum>
  <w:abstractNum w:abstractNumId="127">
    <w:nsid w:val="1C7E3C01"/>
    <w:multiLevelType w:val="hybridMultilevel"/>
    <w:lvl w:ilvl="0">
      <w:lvlJc w:val="left"/>
      <w:lvlText w:val="%1"/>
      <w:numFmt w:val="lowerLetter"/>
      <w:start w:val="1"/>
    </w:lvl>
    <w:lvl w:ilvl="1">
      <w:lvlJc w:val="left"/>
      <w:lvlText w:val="%2."/>
      <w:numFmt w:val="lowerRoman"/>
      <w:start w:val="8"/>
    </w:lvl>
    <w:lvl w:ilvl="2">
      <w:lvlJc w:val="left"/>
      <w:lvlText w:val="%3"/>
      <w:numFmt w:val="decimal"/>
      <w:start w:val="1"/>
    </w:lvl>
  </w:abstractNum>
  <w:abstractNum w:abstractNumId="128">
    <w:nsid w:val="1C2201FF"/>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29">
    <w:nsid w:val="50ABCEC9"/>
    <w:multiLevelType w:val="hybridMultilevel"/>
    <w:lvl w:ilvl="0">
      <w:lvlJc w:val="left"/>
      <w:lvlText w:val="%1"/>
      <w:numFmt w:val="lowerRoman"/>
      <w:start w:val="1"/>
    </w:lvl>
    <w:lvl w:ilvl="1">
      <w:lvlJc w:val="left"/>
      <w:lvlText w:val="%2."/>
      <w:numFmt w:val="decimal"/>
      <w:start w:val="3"/>
    </w:lvl>
  </w:abstractNum>
  <w:abstractNum w:abstractNumId="130">
    <w:nsid w:val="7635AA2A"/>
    <w:multiLevelType w:val="hybridMultilevel"/>
    <w:lvl w:ilvl="0">
      <w:lvlJc w:val="left"/>
      <w:lvlText w:val="%1."/>
      <w:numFmt w:val="lowerRoman"/>
      <w:start w:val="2"/>
    </w:lvl>
    <w:lvl w:ilvl="1">
      <w:lvlJc w:val="left"/>
      <w:lvlText w:val="%2."/>
      <w:numFmt w:val="decimal"/>
      <w:start w:val="1"/>
    </w:lvl>
  </w:abstractNum>
  <w:abstractNum w:abstractNumId="131">
    <w:nsid w:val="5E74C4D9"/>
    <w:multiLevelType w:val="hybridMultilevel"/>
    <w:lvl w:ilvl="0">
      <w:lvlJc w:val="left"/>
      <w:lvlText w:val="%1."/>
      <w:numFmt w:val="lowerLetter"/>
      <w:start w:val="1"/>
    </w:lvl>
  </w:abstractNum>
  <w:abstractNum w:abstractNumId="132">
    <w:nsid w:val="3B3EBE15"/>
    <w:multiLevelType w:val="hybridMultilevel"/>
    <w:lvl w:ilvl="0">
      <w:lvlJc w:val="left"/>
      <w:lvlText w:val="%1."/>
      <w:numFmt w:val="lowerLetter"/>
      <w:start w:val="1"/>
    </w:lvl>
  </w:abstractNum>
  <w:abstractNum w:abstractNumId="133">
    <w:nsid w:val="3822CB01"/>
    <w:multiLevelType w:val="hybridMultilevel"/>
    <w:lvl w:ilvl="0">
      <w:lvlJc w:val="left"/>
      <w:lvlText w:val="%1."/>
      <w:numFmt w:val="lowerLetter"/>
      <w:start w:val="1"/>
    </w:lvl>
    <w:lvl w:ilvl="1">
      <w:lvlJc w:val="left"/>
      <w:lvlText w:val="%2"/>
      <w:numFmt w:val="lowerLetter"/>
      <w:start w:val="1"/>
    </w:lvl>
  </w:abstractNum>
  <w:abstractNum w:abstractNumId="134">
    <w:nsid w:val="6CE00443"/>
    <w:multiLevelType w:val="hybridMultilevel"/>
    <w:lvl w:ilvl="0">
      <w:lvlJc w:val="left"/>
      <w:lvlText w:val="%1"/>
      <w:numFmt w:val="lowerLetter"/>
      <w:start w:val="1"/>
    </w:lvl>
    <w:lvl w:ilvl="1">
      <w:lvlJc w:val="left"/>
      <w:lvlText w:val="%2."/>
      <w:numFmt w:val="lowerLetter"/>
      <w:start w:val="35"/>
    </w:lvl>
  </w:abstractNum>
  <w:abstractNum w:abstractNumId="135">
    <w:nsid w:val="79F0D62F"/>
    <w:multiLevelType w:val="hybridMultilevel"/>
    <w:lvl w:ilvl="0">
      <w:lvlJc w:val="left"/>
      <w:lvlText w:val="%1."/>
      <w:numFmt w:val="lowerLetter"/>
      <w:start w:val="2"/>
    </w:lvl>
    <w:lvl w:ilvl="1">
      <w:lvlJc w:val="left"/>
      <w:lvlText w:val="%2."/>
      <w:numFmt w:val="lowerLetter"/>
      <w:start w:val="9"/>
    </w:lvl>
  </w:abstractNum>
  <w:abstractNum w:abstractNumId="136">
    <w:nsid w:val="7975E8EE"/>
    <w:multiLevelType w:val="hybridMultilevel"/>
    <w:lvl w:ilvl="0">
      <w:lvlJc w:val="left"/>
      <w:lvlText w:val="%1"/>
      <w:numFmt w:val="lowerLetter"/>
      <w:start w:val="1"/>
    </w:lvl>
    <w:lvl w:ilvl="1">
      <w:lvlJc w:val="left"/>
      <w:lvlText w:val="%2."/>
      <w:numFmt w:val="lowerRoman"/>
      <w:start w:val="2"/>
    </w:lvl>
  </w:abstractNum>
  <w:abstractNum w:abstractNumId="137">
    <w:nsid w:val="73154115"/>
    <w:multiLevelType w:val="hybridMultilevel"/>
    <w:lvl w:ilvl="0">
      <w:lvlJc w:val="left"/>
      <w:lvlText w:val="%1."/>
      <w:numFmt w:val="lowerLetter"/>
      <w:start w:val="3"/>
    </w:lvl>
    <w:lvl w:ilvl="1">
      <w:lvlJc w:val="left"/>
      <w:lvlText w:val="%2."/>
      <w:numFmt w:val="lowerRoman"/>
      <w:start w:val="1"/>
    </w:lvl>
  </w:abstractNum>
  <w:abstractNum w:abstractNumId="138">
    <w:nsid w:val="622D8102"/>
    <w:multiLevelType w:val="hybridMultilevel"/>
    <w:lvl w:ilvl="0">
      <w:lvlJc w:val="left"/>
      <w:lvlText w:val="%1."/>
      <w:numFmt w:val="lowerRoman"/>
      <w:start w:val="1"/>
    </w:lvl>
  </w:abstractNum>
  <w:abstractNum w:abstractNumId="139">
    <w:nsid w:val="2AB26587"/>
    <w:multiLevelType w:val="hybridMultilevel"/>
    <w:lvl w:ilvl="0">
      <w:lvlJc w:val="left"/>
      <w:lvlText w:val="%1."/>
      <w:numFmt w:val="lowerLetter"/>
      <w:start w:val="1"/>
    </w:lvl>
  </w:abstractNum>
  <w:abstractNum w:abstractNumId="140">
    <w:nsid w:val="44B3FA61"/>
    <w:multiLevelType w:val="hybridMultilevel"/>
    <w:lvl w:ilvl="0">
      <w:lvlJc w:val="left"/>
      <w:lvlText w:val="%1"/>
      <w:numFmt w:val="lowerLetter"/>
      <w:start w:val="1"/>
    </w:lvl>
    <w:lvl w:ilvl="1">
      <w:lvlJc w:val="left"/>
      <w:lvlText w:val="%2."/>
      <w:numFmt w:val="lowerRoman"/>
      <w:start w:val="1"/>
    </w:lvl>
  </w:abstractNum>
  <w:abstractNum w:abstractNumId="141">
    <w:nsid w:val="1C0CA67C"/>
    <w:multiLevelType w:val="hybridMultilevel"/>
    <w:lvl w:ilvl="0">
      <w:lvlJc w:val="left"/>
      <w:lvlText w:val="%1."/>
      <w:numFmt w:val="lowerLetter"/>
      <w:start w:val="2"/>
    </w:lvl>
    <w:lvl w:ilvl="1">
      <w:lvlJc w:val="left"/>
      <w:lvlText w:val="%2."/>
      <w:numFmt w:val="lowerRoman"/>
      <w:start w:val="1"/>
    </w:lvl>
  </w:abstractNum>
  <w:abstractNum w:abstractNumId="142">
    <w:nsid w:val="3D206613"/>
    <w:multiLevelType w:val="hybridMultilevel"/>
    <w:lvl w:ilvl="0">
      <w:lvlJc w:val="left"/>
      <w:lvlText w:val="%1."/>
      <w:numFmt w:val="lowerLetter"/>
      <w:start w:val="3"/>
    </w:lvl>
  </w:abstractNum>
  <w:abstractNum w:abstractNumId="143">
    <w:nsid w:val="7993B662"/>
    <w:multiLevelType w:val="hybridMultilevel"/>
    <w:lvl w:ilvl="0">
      <w:lvlJc w:val="left"/>
      <w:lvlText w:val="%1."/>
      <w:numFmt w:val="lowerLetter"/>
      <w:start w:val="4"/>
    </w:lvl>
    <w:lvl w:ilvl="1">
      <w:lvlJc w:val="left"/>
      <w:lvlText w:val="%2."/>
      <w:numFmt w:val="lowerRoman"/>
      <w:start w:val="1"/>
    </w:lvl>
  </w:abstractNum>
  <w:abstractNum w:abstractNumId="144">
    <w:nsid w:val="3BAB699E"/>
    <w:multiLevelType w:val="hybridMultilevel"/>
    <w:lvl w:ilvl="0">
      <w:lvlJc w:val="left"/>
      <w:lvlText w:val="%1."/>
      <w:numFmt w:val="lowerLetter"/>
      <w:start w:val="8"/>
    </w:lvl>
    <w:lvl w:ilvl="1">
      <w:lvlJc w:val="left"/>
      <w:lvlText w:val="%2."/>
      <w:numFmt w:val="lowerRoman"/>
      <w:start w:val="1"/>
    </w:lvl>
  </w:abstractNum>
  <w:abstractNum w:abstractNumId="145">
    <w:nsid w:val="71315369"/>
    <w:multiLevelType w:val="hybridMultilevel"/>
    <w:lvl w:ilvl="0">
      <w:lvlJc w:val="left"/>
      <w:lvlText w:val="%1."/>
      <w:numFmt w:val="lowerLetter"/>
      <w:start w:val="1"/>
    </w:lvl>
  </w:abstractNum>
  <w:abstractNum w:abstractNumId="146">
    <w:nsid w:val="7BCFBAFC"/>
    <w:multiLevelType w:val="hybridMultilevel"/>
    <w:lvl w:ilvl="0">
      <w:lvlJc w:val="left"/>
      <w:lvlText w:val="%1."/>
      <w:numFmt w:val="lowerLetter"/>
      <w:start w:val="5"/>
    </w:lvl>
  </w:abstractNum>
  <w:abstractNum w:abstractNumId="147">
    <w:nsid w:val="17859F72"/>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148">
    <w:nsid w:val="3AA10581"/>
    <w:multiLevelType w:val="hybridMultilevel"/>
    <w:lvl w:ilvl="0">
      <w:lvlJc w:val="left"/>
      <w:lvlText w:val="%1"/>
      <w:numFmt w:val="lowerLetter"/>
      <w:start w:val="1"/>
    </w:lvl>
    <w:lvl w:ilvl="1">
      <w:lvlJc w:val="left"/>
      <w:lvlText w:val="%2."/>
      <w:numFmt w:val="lowerLetter"/>
      <w:start w:val="22"/>
    </w:lvl>
  </w:abstractNum>
  <w:abstractNum w:abstractNumId="149">
    <w:nsid w:val="63DE60CD"/>
    <w:multiLevelType w:val="hybridMultilevel"/>
    <w:lvl w:ilvl="0">
      <w:lvlJc w:val="left"/>
      <w:lvlText w:val="%1."/>
      <w:numFmt w:val="lowerLetter"/>
      <w:start w:val="3"/>
    </w:lvl>
    <w:lvl w:ilvl="1">
      <w:lvlJc w:val="left"/>
      <w:lvlText w:val="%2"/>
      <w:numFmt w:val="lowerLetter"/>
      <w:start w:val="1"/>
    </w:lvl>
  </w:abstractNum>
  <w:abstractNum w:abstractNumId="150">
    <w:nsid w:val="621AF471"/>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151">
    <w:nsid w:val="73CFE165"/>
    <w:multiLevelType w:val="hybridMultilevel"/>
    <w:lvl w:ilvl="0">
      <w:lvlJc w:val="left"/>
      <w:lvlText w:val="%1."/>
      <w:numFmt w:val="lowerRoman"/>
      <w:start w:val="1"/>
    </w:lvl>
  </w:abstractNum>
  <w:abstractNum w:abstractNumId="152">
    <w:nsid w:val="20F88EA6"/>
    <w:multiLevelType w:val="hybridMultilevel"/>
    <w:lvl w:ilvl="0">
      <w:lvlJc w:val="left"/>
      <w:lvlText w:val="%1"/>
      <w:numFmt w:val="lowerLetter"/>
      <w:start w:val="1"/>
    </w:lvl>
    <w:lvl w:ilvl="1">
      <w:lvlJc w:val="left"/>
      <w:lvlText w:val="%2."/>
      <w:numFmt w:val="lowerRoman"/>
      <w:start w:val="3"/>
    </w:lvl>
  </w:abstractNum>
  <w:abstractNum w:abstractNumId="153">
    <w:nsid w:val="617C843E"/>
    <w:multiLevelType w:val="hybridMultilevel"/>
    <w:lvl w:ilvl="0">
      <w:lvlJc w:val="left"/>
      <w:lvlText w:val="%1."/>
      <w:numFmt w:val="lowerLetter"/>
      <w:start w:val="8"/>
    </w:lvl>
    <w:lvl w:ilvl="1">
      <w:lvlJc w:val="left"/>
      <w:lvlText w:val="%2."/>
      <w:numFmt w:val="lowerRoman"/>
      <w:start w:val="1"/>
    </w:lvl>
  </w:abstractNum>
  <w:abstractNum w:abstractNumId="154">
    <w:nsid w:val="7B541FAB"/>
    <w:multiLevelType w:val="hybridMultilevel"/>
    <w:lvl w:ilvl="0">
      <w:lvlJc w:val="left"/>
      <w:lvlText w:val="%1"/>
      <w:numFmt w:val="lowerRoman"/>
      <w:start w:val="1"/>
    </w:lvl>
    <w:lvl w:ilvl="1">
      <w:lvlJc w:val="left"/>
      <w:lvlText w:val="%2."/>
      <w:numFmt w:val="lowerRoman"/>
      <w:start w:val="2"/>
    </w:lvl>
  </w:abstractNum>
  <w:abstractNum w:abstractNumId="155">
    <w:nsid w:val="2A79EC49"/>
    <w:multiLevelType w:val="hybridMultilevel"/>
    <w:lvl w:ilvl="0">
      <w:lvlJc w:val="left"/>
      <w:lvlText w:val="%1."/>
      <w:numFmt w:val="lowerRoman"/>
      <w:start w:val="1"/>
    </w:lvl>
    <w:lvl w:ilvl="1">
      <w:lvlJc w:val="left"/>
      <w:lvlText w:val="%2."/>
      <w:numFmt w:val="lowerRoman"/>
      <w:start w:val="1"/>
    </w:lvl>
  </w:abstractNum>
  <w:abstractNum w:abstractNumId="156">
    <w:nsid w:val="338125CF"/>
    <w:multiLevelType w:val="hybridMultilevel"/>
    <w:lvl w:ilvl="0">
      <w:lvlJc w:val="left"/>
      <w:lvlText w:val="%1."/>
      <w:numFmt w:val="lowerLetter"/>
      <w:start w:val="10"/>
    </w:lvl>
    <w:lvl w:ilvl="1">
      <w:lvlJc w:val="left"/>
      <w:lvlText w:val="%2."/>
      <w:numFmt w:val="lowerRoman"/>
      <w:start w:val="1"/>
    </w:lvl>
  </w:abstractNum>
  <w:abstractNum w:abstractNumId="157">
    <w:nsid w:val="47C7C971"/>
    <w:multiLevelType w:val="hybridMultilevel"/>
    <w:lvl w:ilvl="0">
      <w:lvlJc w:val="left"/>
      <w:lvlText w:val="%1."/>
      <w:numFmt w:val="lowerRoman"/>
      <w:start w:val="2"/>
    </w:lvl>
  </w:abstractNum>
  <w:abstractNum w:abstractNumId="158">
    <w:nsid w:val="46F8284B"/>
    <w:multiLevelType w:val="hybridMultilevel"/>
    <w:lvl w:ilvl="0">
      <w:lvlJc w:val="left"/>
      <w:lvlText w:val="%1."/>
      <w:numFmt w:val="lowerLetter"/>
      <w:start w:val="1"/>
    </w:lvl>
    <w:lvl w:ilvl="1">
      <w:lvlJc w:val="left"/>
      <w:lvlText w:val="%2."/>
      <w:numFmt w:val="lowerRoman"/>
      <w:start w:val="1"/>
    </w:lvl>
  </w:abstractNum>
  <w:abstractNum w:abstractNumId="159">
    <w:nsid w:val="4FA327CE"/>
    <w:multiLevelType w:val="hybridMultilevel"/>
    <w:lvl w:ilvl="0">
      <w:lvlJc w:val="left"/>
      <w:lvlText w:val="%1."/>
      <w:numFmt w:val="lowerLetter"/>
      <w:start w:val="1"/>
    </w:lvl>
  </w:abstractNum>
  <w:abstractNum w:abstractNumId="160">
    <w:nsid w:val="1873983A"/>
    <w:multiLevelType w:val="hybridMultilevel"/>
    <w:lvl w:ilvl="0">
      <w:lvlJc w:val="left"/>
      <w:lvlText w:val="%1."/>
      <w:numFmt w:val="lowerLetter"/>
      <w:start w:val="2"/>
    </w:lvl>
  </w:abstractNum>
  <w:abstractNum w:abstractNumId="161">
    <w:nsid w:val="3D2DD275"/>
    <w:multiLevelType w:val="hybridMultilevel"/>
    <w:lvl w:ilvl="0">
      <w:lvlJc w:val="left"/>
      <w:lvlText w:val="%1."/>
      <w:numFmt w:val="lowerLetter"/>
      <w:start w:val="1"/>
    </w:lvl>
  </w:abstractNum>
  <w:abstractNum w:abstractNumId="162">
    <w:nsid w:val="2E17ECA7"/>
    <w:multiLevelType w:val="hybridMultilevel"/>
    <w:lvl w:ilvl="0">
      <w:lvlJc w:val="left"/>
      <w:lvlText w:val="%1."/>
      <w:numFmt w:val="lowerLetter"/>
      <w:start w:val="4"/>
    </w:lvl>
  </w:abstractNum>
  <w:abstractNum w:abstractNumId="163">
    <w:nsid w:val="53B2564F"/>
    <w:multiLevelType w:val="hybridMultilevel"/>
    <w:lvl w:ilvl="0">
      <w:lvlJc w:val="left"/>
      <w:lvlText w:val="%1."/>
      <w:numFmt w:val="lowerLetter"/>
      <w:start w:val="5"/>
    </w:lvl>
    <w:lvl w:ilvl="1">
      <w:lvlJc w:val="left"/>
      <w:lvlText w:val="%2."/>
      <w:numFmt w:val="lowerRoman"/>
      <w:start w:val="1"/>
    </w:lvl>
  </w:abstractNum>
  <w:abstractNum w:abstractNumId="164">
    <w:nsid w:val="75509D76"/>
    <w:multiLevelType w:val="hybridMultilevel"/>
    <w:lvl w:ilvl="0">
      <w:lvlJc w:val="left"/>
      <w:lvlText w:val="5"/>
      <w:numFmt w:val="bullet"/>
      <w:start w:val="1"/>
    </w:lvl>
  </w:abstractNum>
  <w:abstractNum w:abstractNumId="165">
    <w:nsid w:val="1AF7F0EA"/>
    <w:multiLevelType w:val="hybridMultilevel"/>
    <w:lvl w:ilvl="0">
      <w:lvlJc w:val="left"/>
      <w:lvlText w:val="%1."/>
      <w:numFmt w:val="lowerRoman"/>
      <w:start w:val="6"/>
    </w:lvl>
    <w:lvl w:ilvl="1">
      <w:lvlJc w:val="left"/>
      <w:lvlText w:val="(%2)"/>
      <w:numFmt w:val="lowerRoman"/>
      <w:start w:val="2"/>
    </w:lvl>
  </w:abstractNum>
  <w:abstractNum w:abstractNumId="166">
    <w:nsid w:val="4DA32C7E"/>
    <w:multiLevelType w:val="hybridMultilevel"/>
    <w:lvl w:ilvl="0">
      <w:lvlJc w:val="left"/>
      <w:lvlText w:val="%1."/>
      <w:numFmt w:val="lowerLetter"/>
      <w:start w:val="1"/>
    </w:lvl>
    <w:lvl w:ilvl="1">
      <w:lvlJc w:val="left"/>
      <w:lvlText w:val="%2."/>
      <w:numFmt w:val="lowerRoman"/>
      <w:start w:val="1"/>
    </w:lvl>
  </w:abstractNum>
  <w:abstractNum w:abstractNumId="167">
    <w:nsid w:val="6EC6866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68">
    <w:nsid w:val="E0D31FF"/>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69">
    <w:nsid w:val="2FD0AD81"/>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170">
    <w:nsid w:val="1978EBEB"/>
    <w:multiLevelType w:val="hybridMultilevel"/>
    <w:lvl w:ilvl="0">
      <w:lvlJc w:val="left"/>
      <w:lvlText w:val="%1."/>
      <w:numFmt w:val="lowerRoman"/>
      <w:start w:val="2"/>
    </w:lvl>
  </w:abstractNum>
  <w:abstractNum w:abstractNumId="171">
    <w:nsid w:val="52C12C61"/>
    <w:multiLevelType w:val="hybridMultilevel"/>
    <w:lvl w:ilvl="0">
      <w:lvlJc w:val="left"/>
      <w:lvlText w:val="%1."/>
      <w:numFmt w:val="lowerLetter"/>
      <w:start w:val="4"/>
    </w:lvl>
    <w:lvl w:ilvl="1">
      <w:lvlJc w:val="left"/>
      <w:lvlText w:val="7"/>
      <w:numFmt w:val="bullet"/>
      <w:start w:val="1"/>
    </w:lvl>
  </w:abstractNum>
  <w:abstractNum w:abstractNumId="172">
    <w:nsid w:val="4BDD53FD"/>
    <w:multiLevelType w:val="hybridMultilevel"/>
    <w:lvl w:ilvl="0">
      <w:lvlJc w:val="left"/>
      <w:lvlText w:val="%1."/>
      <w:numFmt w:val="lowerRoman"/>
      <w:start w:val="1"/>
    </w:lvl>
  </w:abstractNum>
  <w:abstractNum w:abstractNumId="173">
    <w:nsid w:val="569951FE"/>
    <w:multiLevelType w:val="hybridMultilevel"/>
    <w:lvl w:ilvl="0">
      <w:lvlJc w:val="left"/>
      <w:lvlText w:val="%1"/>
      <w:numFmt w:val="lowerLetter"/>
      <w:start w:val="1"/>
    </w:lvl>
    <w:lvl w:ilvl="1">
      <w:lvlJc w:val="left"/>
      <w:lvlText w:val="%2."/>
      <w:numFmt w:val="lowerRoman"/>
      <w:start w:val="4"/>
    </w:lvl>
  </w:abstractNum>
  <w:abstractNum w:abstractNumId="174">
    <w:nsid w:val="4C54E2C3"/>
    <w:multiLevelType w:val="hybridMultilevel"/>
    <w:lvl w:ilvl="0">
      <w:lvlJc w:val="left"/>
      <w:lvlText w:val="%1."/>
      <w:numFmt w:val="lowerLetter"/>
      <w:start w:val="6"/>
    </w:lvl>
    <w:lvl w:ilvl="1">
      <w:lvlJc w:val="left"/>
      <w:lvlText w:val="%2."/>
      <w:numFmt w:val="lowerRoman"/>
      <w:start w:val="1"/>
    </w:lvl>
  </w:abstractNum>
  <w:abstractNum w:abstractNumId="175">
    <w:nsid w:val="788BD9B"/>
    <w:multiLevelType w:val="hybridMultilevel"/>
    <w:lvl w:ilvl="0">
      <w:lvlJc w:val="left"/>
      <w:lvlText w:val="%1."/>
      <w:numFmt w:val="lowerRoman"/>
      <w:start w:val="3"/>
    </w:lvl>
  </w:abstractNum>
  <w:abstractNum w:abstractNumId="176">
    <w:nsid w:val="47CAA567"/>
    <w:multiLevelType w:val="hybridMultilevel"/>
    <w:lvl w:ilvl="0">
      <w:lvlJc w:val="left"/>
      <w:lvlText w:val="%1."/>
      <w:numFmt w:val="lowerLetter"/>
      <w:start w:val="1"/>
    </w:lvl>
  </w:abstractNum>
  <w:abstractNum w:abstractNumId="177">
    <w:nsid w:val="48249DBF"/>
    <w:multiLevelType w:val="hybridMultilevel"/>
    <w:lvl w:ilvl="0">
      <w:lvlJc w:val="left"/>
      <w:lvlText w:val="%1."/>
      <w:numFmt w:val="lowerLetter"/>
      <w:start w:val="3"/>
    </w:lvl>
  </w:abstractNum>
  <w:abstractNum w:abstractNumId="178">
    <w:nsid w:val="1F0E5D0D"/>
    <w:multiLevelType w:val="hybridMultilevel"/>
    <w:lvl w:ilvl="0">
      <w:lvlJc w:val="left"/>
      <w:lvlText w:val="%1."/>
      <w:numFmt w:val="lowerLetter"/>
      <w:start w:val="1"/>
    </w:lvl>
  </w:abstractNum>
  <w:abstractNum w:abstractNumId="179">
    <w:nsid w:val="26BAAE9"/>
    <w:multiLevelType w:val="hybridMultilevel"/>
    <w:lvl w:ilvl="0">
      <w:lvlJc w:val="left"/>
      <w:lvlText w:val="%1."/>
      <w:numFmt w:val="lowerLetter"/>
      <w:start w:val="3"/>
    </w:lvl>
  </w:abstractNum>
  <w:abstractNum w:abstractNumId="180">
    <w:nsid w:val="2C02FE8C"/>
    <w:multiLevelType w:val="hybridMultilevel"/>
    <w:lvl w:ilvl="0">
      <w:lvlJc w:val="left"/>
      <w:lvlText w:val="%1."/>
      <w:numFmt w:val="lowerLetter"/>
      <w:start w:val="1"/>
    </w:lvl>
    <w:lvl w:ilvl="1">
      <w:lvlJc w:val="left"/>
      <w:lvlText w:val="%2."/>
      <w:numFmt w:val="lowerRoman"/>
      <w:start w:val="1"/>
    </w:lvl>
  </w:abstractNum>
  <w:abstractNum w:abstractNumId="181">
    <w:nsid w:val="129517E"/>
    <w:multiLevelType w:val="hybridMultilevel"/>
    <w:lvl w:ilvl="0">
      <w:lvlJc w:val="left"/>
      <w:lvlText w:val="%1."/>
      <w:numFmt w:val="lowerRoman"/>
      <w:start w:val="8"/>
    </w:lvl>
  </w:abstractNum>
  <w:abstractNum w:abstractNumId="182">
    <w:nsid w:val="763B8C4E"/>
    <w:multiLevelType w:val="hybridMultilevel"/>
    <w:lvl w:ilvl="0">
      <w:lvlJc w:val="left"/>
      <w:lvlText w:val="%1."/>
      <w:numFmt w:val="lowerLetter"/>
      <w:start w:val="1"/>
    </w:lvl>
    <w:lvl w:ilvl="1">
      <w:lvlJc w:val="left"/>
      <w:lvlText w:val="%2."/>
      <w:numFmt w:val="lowerRoman"/>
      <w:start w:val="1"/>
    </w:lvl>
  </w:abstractNum>
  <w:abstractNum w:abstractNumId="183">
    <w:nsid w:val="4CFB8D32"/>
    <w:multiLevelType w:val="hybridMultilevel"/>
    <w:lvl w:ilvl="0">
      <w:lvlJc w:val="left"/>
      <w:lvlText w:val="%1"/>
      <w:numFmt w:val="lowerLetter"/>
      <w:start w:val="1"/>
    </w:lvl>
    <w:lvl w:ilvl="1">
      <w:lvlJc w:val="left"/>
      <w:lvlText w:val="%2."/>
      <w:numFmt w:val="lowerRoman"/>
      <w:start w:val="3"/>
    </w:lvl>
  </w:abstractNum>
  <w:abstractNum w:abstractNumId="184">
    <w:nsid w:val="62A5D5BD"/>
    <w:multiLevelType w:val="hybridMultilevel"/>
    <w:lvl w:ilvl="0">
      <w:lvlJc w:val="left"/>
      <w:lvlText w:val="%1."/>
      <w:numFmt w:val="lowerLetter"/>
      <w:start w:val="2"/>
    </w:lvl>
    <w:lvl w:ilvl="1">
      <w:lvlJc w:val="left"/>
      <w:lvlText w:val="%2."/>
      <w:numFmt w:val="lowerRoman"/>
      <w:start w:val="1"/>
    </w:lvl>
  </w:abstractNum>
  <w:abstractNum w:abstractNumId="185">
    <w:nsid w:val="718FABF9"/>
    <w:multiLevelType w:val="hybridMultilevel"/>
    <w:lvl w:ilvl="0">
      <w:lvlJc w:val="left"/>
      <w:lvlText w:val="%1."/>
      <w:numFmt w:val="lowerRoman"/>
      <w:start w:val="3"/>
    </w:lvl>
  </w:abstractNum>
  <w:abstractNum w:abstractNumId="186">
    <w:nsid w:val="7775797C"/>
    <w:multiLevelType w:val="hybridMultilevel"/>
    <w:lvl w:ilvl="0">
      <w:lvlJc w:val="left"/>
      <w:lvlText w:val="%1."/>
      <w:numFmt w:val="lowerLetter"/>
      <w:start w:val="1"/>
    </w:lvl>
  </w:abstractNum>
  <w:abstractNum w:abstractNumId="187">
    <w:nsid w:val="1626FB8C"/>
    <w:multiLevelType w:val="hybridMultilevel"/>
    <w:lvl w:ilvl="0">
      <w:lvlJc w:val="left"/>
      <w:lvlText w:val="%1."/>
      <w:numFmt w:val="lowerLetter"/>
      <w:start w:val="2"/>
    </w:lvl>
    <w:lvl w:ilvl="1">
      <w:lvlJc w:val="left"/>
      <w:lvlText w:val="%2."/>
      <w:numFmt w:val="lowerRoman"/>
      <w:start w:val="1"/>
    </w:lvl>
  </w:abstractNum>
  <w:abstractNum w:abstractNumId="188">
    <w:nsid w:val="3957756A"/>
    <w:multiLevelType w:val="hybridMultilevel"/>
    <w:lvl w:ilvl="0">
      <w:lvlJc w:val="left"/>
      <w:lvlText w:val="%1."/>
      <w:numFmt w:val="lowerLetter"/>
      <w:start w:val="1"/>
    </w:lvl>
  </w:abstractNum>
  <w:abstractNum w:abstractNumId="189">
    <w:nsid w:val="3E6DA1C7"/>
    <w:multiLevelType w:val="hybridMultilevel"/>
    <w:lvl w:ilvl="0">
      <w:lvlJc w:val="left"/>
      <w:lvlText w:val="%1"/>
      <w:numFmt w:val="lowerLetter"/>
      <w:start w:val="1"/>
    </w:lvl>
    <w:lvl w:ilvl="1">
      <w:lvlJc w:val="left"/>
      <w:lvlText w:val="%2."/>
      <w:numFmt w:val="lowerRoman"/>
      <w:start w:val="1"/>
    </w:lvl>
  </w:abstractNum>
  <w:abstractNum w:abstractNumId="190">
    <w:nsid w:val="65CA235B"/>
    <w:multiLevelType w:val="hybridMultilevel"/>
    <w:lvl w:ilvl="0">
      <w:lvlJc w:val="left"/>
      <w:lvlText w:val="%1."/>
      <w:numFmt w:val="lowerLetter"/>
      <w:start w:val="5"/>
    </w:lvl>
    <w:lvl w:ilvl="1">
      <w:lvlJc w:val="left"/>
      <w:lvlText w:val="%2."/>
      <w:numFmt w:val="lowerRoman"/>
      <w:start w:val="1"/>
    </w:lvl>
  </w:abstractNum>
  <w:abstractNum w:abstractNumId="191">
    <w:nsid w:val="51CB0DA4"/>
    <w:multiLevelType w:val="hybridMultilevel"/>
    <w:lvl w:ilvl="0">
      <w:lvlJc w:val="left"/>
      <w:lvlText w:val="%1."/>
      <w:numFmt w:val="lowerLetter"/>
      <w:start w:val="1"/>
    </w:lvl>
  </w:abstractNum>
  <w:abstractNum w:abstractNumId="192">
    <w:nsid w:val="7B9B743C"/>
    <w:multiLevelType w:val="hybridMultilevel"/>
    <w:lvl w:ilvl="0">
      <w:lvlJc w:val="left"/>
      <w:lvlText w:val="%1."/>
      <w:numFmt w:val="lowerLetter"/>
      <w:start w:val="2"/>
    </w:lvl>
    <w:lvl w:ilvl="1">
      <w:lvlJc w:val="left"/>
      <w:lvlText w:val="%2."/>
      <w:numFmt w:val="lowerRoman"/>
      <w:start w:val="1"/>
    </w:lvl>
  </w:abstractNum>
  <w:abstractNum w:abstractNumId="193">
    <w:nsid w:val="13E21002"/>
    <w:multiLevelType w:val="hybridMultilevel"/>
    <w:lvl w:ilvl="0">
      <w:lvlJc w:val="left"/>
      <w:lvlText w:val="%1."/>
      <w:numFmt w:val="lowerLetter"/>
      <w:start w:val="7"/>
    </w:lvl>
  </w:abstractNum>
  <w:abstractNum w:abstractNumId="194">
    <w:nsid w:val="257D63F4"/>
    <w:multiLevelType w:val="hybridMultilevel"/>
    <w:lvl w:ilvl="0">
      <w:lvlJc w:val="left"/>
      <w:lvlText w:val="%1."/>
      <w:numFmt w:val="lowerLetter"/>
      <w:start w:val="1"/>
    </w:lvl>
  </w:abstractNum>
  <w:abstractNum w:abstractNumId="195">
    <w:nsid w:val="70EC11B2"/>
    <w:multiLevelType w:val="hybridMultilevel"/>
    <w:lvl w:ilvl="0">
      <w:lvlJc w:val="left"/>
      <w:lvlText w:val="%1."/>
      <w:numFmt w:val="lowerLetter"/>
      <w:start w:val="1"/>
    </w:lvl>
  </w:abstractNum>
  <w:abstractNum w:abstractNumId="196">
    <w:nsid w:val="2EDA00ED"/>
    <w:multiLevelType w:val="hybridMultilevel"/>
    <w:lvl w:ilvl="0">
      <w:lvlJc w:val="left"/>
      <w:lvlText w:val="%1."/>
      <w:numFmt w:val="lowerLetter"/>
      <w:start w:val="1"/>
    </w:lvl>
  </w:abstractNum>
  <w:abstractNum w:abstractNumId="197">
    <w:nsid w:val="73209072"/>
    <w:multiLevelType w:val="hybridMultilevel"/>
    <w:lvl w:ilvl="0">
      <w:lvlJc w:val="left"/>
      <w:lvlText w:val="%1."/>
      <w:numFmt w:val="lowerLetter"/>
      <w:start w:val="1"/>
    </w:lvl>
    <w:lvl w:ilvl="1">
      <w:lvlJc w:val="left"/>
      <w:lvlText w:val="%2."/>
      <w:numFmt w:val="lowerRoman"/>
      <w:start w:val="1"/>
    </w:lvl>
  </w:abstractNum>
  <w:abstractNum w:abstractNumId="198">
    <w:nsid w:val="5FB29816"/>
    <w:multiLevelType w:val="hybridMultilevel"/>
    <w:lvl w:ilvl="0">
      <w:lvlJc w:val="left"/>
      <w:lvlText w:val="%1."/>
      <w:numFmt w:val="lowerLetter"/>
      <w:start w:val="1"/>
    </w:lvl>
  </w:abstractNum>
  <w:abstractNum w:abstractNumId="199">
    <w:nsid w:val="3CE732EC"/>
    <w:multiLevelType w:val="hybridMultilevel"/>
    <w:lvl w:ilvl="0">
      <w:lvlJc w:val="left"/>
      <w:lvlText w:val="%1."/>
      <w:numFmt w:val="lowerLetter"/>
      <w:start w:val="2"/>
    </w:lvl>
  </w:abstractNum>
  <w:abstractNum w:abstractNumId="200">
    <w:nsid w:val="22F13DF3"/>
    <w:multiLevelType w:val="hybridMultilevel"/>
    <w:lvl w:ilvl="0">
      <w:lvlJc w:val="left"/>
      <w:lvlText w:val="%1."/>
      <w:numFmt w:val="lowerLetter"/>
      <w:start w:val="1"/>
    </w:lvl>
    <w:lvl w:ilvl="1">
      <w:lvlJc w:val="left"/>
      <w:lvlText w:val="%2."/>
      <w:numFmt w:val="lowerRoman"/>
      <w:start w:val="1"/>
    </w:lvl>
  </w:abstractNum>
  <w:abstractNum w:abstractNumId="201">
    <w:nsid w:val="792B8401"/>
    <w:multiLevelType w:val="hybridMultilevel"/>
    <w:lvl w:ilvl="0">
      <w:lvlJc w:val="left"/>
      <w:lvlText w:val="%1."/>
      <w:numFmt w:val="lowerLetter"/>
      <w:start w:val="1"/>
    </w:lvl>
  </w:abstractNum>
  <w:abstractNum w:abstractNumId="202">
    <w:nsid w:val="FA85F4D"/>
    <w:multiLevelType w:val="hybridMultilevel"/>
    <w:lvl w:ilvl="0">
      <w:lvlJc w:val="left"/>
      <w:lvlText w:val="%1."/>
      <w:numFmt w:val="lowerRoman"/>
      <w:start w:val="1"/>
    </w:lvl>
  </w:abstractNum>
  <w:abstractNum w:abstractNumId="203">
    <w:nsid w:val="6ECE91F0"/>
    <w:multiLevelType w:val="hybridMultilevel"/>
    <w:lvl w:ilvl="0">
      <w:lvlJc w:val="left"/>
      <w:lvlText w:val="%1."/>
      <w:numFmt w:val="lowerRoman"/>
      <w:start w:val="1"/>
    </w:lvl>
  </w:abstractNum>
  <w:abstractNum w:abstractNumId="204">
    <w:nsid w:val="4FC4D600"/>
    <w:multiLevelType w:val="hybridMultilevel"/>
    <w:lvl w:ilvl="0">
      <w:lvlJc w:val="left"/>
      <w:lvlText w:val="%1."/>
      <w:numFmt w:val="lowerLetter"/>
      <w:start w:val="2"/>
    </w:lvl>
    <w:lvl w:ilvl="1">
      <w:lvlJc w:val="left"/>
      <w:lvlText w:val="%2."/>
      <w:numFmt w:val="lowerRoman"/>
      <w:start w:val="1"/>
    </w:lvl>
  </w:abstractNum>
  <w:abstractNum w:abstractNumId="205">
    <w:nsid w:val="5BFD4210"/>
    <w:multiLevelType w:val="hybridMultilevel"/>
    <w:lvl w:ilvl="0">
      <w:lvlJc w:val="left"/>
      <w:lvlText w:val="%1."/>
      <w:numFmt w:val="decimal"/>
      <w:start w:val="1"/>
    </w:lvl>
    <w:lvl w:ilvl="1">
      <w:lvlJc w:val="left"/>
      <w:lvlText w:val="%2)"/>
      <w:numFmt w:val="upperLetter"/>
      <w:start w:val="1"/>
    </w:lvl>
  </w:abstractNum>
  <w:abstractNum w:abstractNumId="206">
    <w:nsid w:val="76574F8B"/>
    <w:multiLevelType w:val="hybridMultilevel"/>
    <w:lvl w:ilvl="0">
      <w:lvlJc w:val="left"/>
      <w:lvlText w:val="%1."/>
      <w:numFmt w:val="lowerRoman"/>
      <w:start w:val="2"/>
    </w:lvl>
  </w:abstractNum>
  <w:abstractNum w:abstractNumId="207">
    <w:nsid w:val="178F7B67"/>
    <w:multiLevelType w:val="hybridMultilevel"/>
    <w:lvl w:ilvl="0">
      <w:lvlJc w:val="left"/>
      <w:lvlText w:val="%1."/>
      <w:numFmt w:val="lowerLetter"/>
      <w:start w:val="1"/>
    </w:lvl>
  </w:abstractNum>
  <w:abstractNum w:abstractNumId="208">
    <w:nsid w:val="2421DFCF"/>
    <w:multiLevelType w:val="hybridMultilevel"/>
    <w:lvl w:ilvl="0">
      <w:lvlJc w:val="left"/>
      <w:lvlText w:val="%1."/>
      <w:numFmt w:val="lowerLetter"/>
      <w:start w:val="1"/>
    </w:lvl>
    <w:lvl w:ilvl="1">
      <w:lvlJc w:val="left"/>
      <w:lvlText w:val="%2."/>
      <w:numFmt w:val="lowerRoman"/>
      <w:start w:val="1"/>
    </w:lvl>
  </w:abstractNum>
  <w:abstractNum w:abstractNumId="209">
    <w:nsid w:val="1565AC99"/>
    <w:multiLevelType w:val="hybridMultilevel"/>
    <w:lvl w:ilvl="0">
      <w:lvlJc w:val="left"/>
      <w:lvlText w:val="%1."/>
      <w:numFmt w:val="lowerLetter"/>
      <w:start w:val="7"/>
    </w:lvl>
  </w:abstractNum>
  <w:abstractNum w:abstractNumId="210">
    <w:nsid w:val="19FB2650"/>
    <w:multiLevelType w:val="hybridMultilevel"/>
    <w:lvl w:ilvl="0">
      <w:lvlJc w:val="left"/>
      <w:lvlText w:val="%1."/>
      <w:numFmt w:val="lowerLetter"/>
      <w:start w:val="1"/>
    </w:lvl>
  </w:abstractNum>
  <w:abstractNum w:abstractNumId="211">
    <w:nsid w:val="5024DE5B"/>
    <w:multiLevelType w:val="hybridMultilevel"/>
    <w:lvl w:ilvl="0">
      <w:lvlJc w:val="left"/>
      <w:lvlText w:val="%1."/>
      <w:numFmt w:val="lowerLetter"/>
      <w:start w:val="7"/>
    </w:lvl>
  </w:abstractNum>
  <w:abstractNum w:abstractNumId="212">
    <w:nsid w:val="168EFE17"/>
    <w:multiLevelType w:val="hybridMultilevel"/>
    <w:lvl w:ilvl="0">
      <w:lvlJc w:val="left"/>
      <w:lvlText w:val="%1."/>
      <w:numFmt w:val="lowerLetter"/>
      <w:start w:val="1"/>
    </w:lvl>
  </w:abstractNum>
  <w:abstractNum w:abstractNumId="213">
    <w:nsid w:val="1036B29F"/>
    <w:multiLevelType w:val="hybridMultilevel"/>
    <w:lvl w:ilvl="0">
      <w:lvlJc w:val="left"/>
      <w:lvlText w:val="%1."/>
      <w:numFmt w:val="lowerLetter"/>
      <w:start w:val="3"/>
    </w:lvl>
  </w:abstractNum>
  <w:abstractNum w:abstractNumId="214">
    <w:nsid w:val="1D206B8E"/>
    <w:multiLevelType w:val="hybridMultilevel"/>
    <w:lvl w:ilvl="0">
      <w:lvlJc w:val="left"/>
      <w:lvlText w:val="%1."/>
      <w:numFmt w:val="lowerLetter"/>
      <w:start w:val="1"/>
    </w:lvl>
  </w:abstractNum>
  <w:abstractNum w:abstractNumId="215">
    <w:nsid w:val="7934D3D4"/>
    <w:multiLevelType w:val="hybridMultilevel"/>
    <w:lvl w:ilvl="0">
      <w:lvlJc w:val="left"/>
      <w:lvlText w:val="%1."/>
      <w:numFmt w:val="lowerLetter"/>
      <w:start w:val="1"/>
    </w:lvl>
  </w:abstractNum>
  <w:abstractNum w:abstractNumId="216">
    <w:nsid w:val="1C65E98"/>
    <w:multiLevelType w:val="hybridMultilevel"/>
    <w:lvl w:ilvl="0">
      <w:lvlJc w:val="left"/>
      <w:lvlText w:val="%1."/>
      <w:numFmt w:val="lowerLetter"/>
      <w:start w:val="4"/>
    </w:lvl>
  </w:abstractNum>
  <w:abstractNum w:abstractNumId="217">
    <w:nsid w:val="1495E50A"/>
    <w:multiLevelType w:val="hybridMultilevel"/>
    <w:lvl w:ilvl="0">
      <w:lvlJc w:val="left"/>
      <w:lvlText w:val="%1."/>
      <w:numFmt w:val="lowerLetter"/>
      <w:start w:val="1"/>
    </w:lvl>
  </w:abstractNum>
  <w:abstractNum w:abstractNumId="218">
    <w:nsid w:val="F5BCF61"/>
    <w:multiLevelType w:val="hybridMultilevel"/>
    <w:lvl w:ilvl="0">
      <w:lvlJc w:val="left"/>
      <w:lvlText w:val="%1."/>
      <w:numFmt w:val="lowerLetter"/>
      <w:start w:val="2"/>
    </w:lvl>
  </w:abstractNum>
  <w:abstractNum w:abstractNumId="219">
    <w:nsid w:val="3B1DD403"/>
    <w:multiLevelType w:val="hybridMultilevel"/>
    <w:lvl w:ilvl="0">
      <w:lvlJc w:val="left"/>
      <w:lvlText w:val="%1."/>
      <w:numFmt w:val="lowerLetter"/>
      <w:start w:val="1"/>
    </w:lvl>
  </w:abstractNum>
  <w:abstractNum w:abstractNumId="220">
    <w:nsid w:val="530386D1"/>
    <w:multiLevelType w:val="hybridMultilevel"/>
    <w:lvl w:ilvl="0">
      <w:lvlJc w:val="left"/>
      <w:lvlText w:val="%1."/>
      <w:numFmt w:val="upperLetter"/>
      <w:start w:val="1"/>
    </w:lvl>
  </w:abstractNum>
  <w:abstractNum w:abstractNumId="221">
    <w:nsid w:val="7525F2BC"/>
    <w:multiLevelType w:val="hybridMultilevel"/>
    <w:lvl w:ilvl="0">
      <w:lvlJc w:val="left"/>
      <w:lvlText w:val="%1."/>
      <w:numFmt w:val="upperLetter"/>
      <w:start w:val="2"/>
    </w:lvl>
    <w:lvl w:ilvl="1">
      <w:lvlJc w:val="left"/>
      <w:lvlText w:val="%2."/>
      <w:numFmt w:val="lowerRoman"/>
      <w:start w:val="1"/>
    </w:lvl>
  </w:abstractNum>
  <w:abstractNum w:abstractNumId="222">
    <w:nsid w:val="CE8E1A7"/>
    <w:multiLevelType w:val="hybridMultilevel"/>
    <w:lvl w:ilvl="0">
      <w:lvlJc w:val="left"/>
      <w:lvlText w:val="%1."/>
      <w:numFmt w:val="upperLetter"/>
      <w:start w:val="3"/>
    </w:lvl>
  </w:abstractNum>
  <w:abstractNum w:abstractNumId="223">
    <w:nsid w:val="4E9EFB0D"/>
    <w:multiLevelType w:val="hybridMultilevel"/>
    <w:lvl w:ilvl="0">
      <w:lvlJc w:val="left"/>
      <w:lvlText w:val="%1."/>
      <w:numFmt w:val="decimal"/>
      <w:start w:val="1"/>
    </w:lvl>
    <w:lvl w:ilvl="1">
      <w:lvlJc w:val="left"/>
      <w:lvlText w:val="%2"/>
      <w:numFmt w:val="lowerLetter"/>
      <w:start w:val="1"/>
    </w:lvl>
  </w:abstractNum>
  <w:abstractNum w:abstractNumId="224">
    <w:nsid w:val="90802BE"/>
    <w:multiLevelType w:val="hybridMultilevel"/>
    <w:lvl w:ilvl="0">
      <w:lvlJc w:val="left"/>
      <w:lvlText w:val="%1."/>
      <w:numFmt w:val="lowerLetter"/>
      <w:start w:val="2"/>
    </w:lvl>
  </w:abstractNum>
  <w:abstractNum w:abstractNumId="225">
    <w:nsid w:val="3266459B"/>
    <w:multiLevelType w:val="hybridMultilevel"/>
    <w:lvl w:ilvl="0">
      <w:lvlJc w:val="left"/>
      <w:lvlText w:val="%1."/>
      <w:numFmt w:val="lowerLetter"/>
      <w:start w:val="3"/>
    </w:lvl>
  </w:abstractNum>
  <w:abstractNum w:abstractNumId="226">
    <w:nsid w:val="3F8B0CBF"/>
    <w:multiLevelType w:val="hybridMultilevel"/>
    <w:lvl w:ilvl="0">
      <w:lvlJc w:val="left"/>
      <w:lvlText w:val="%1."/>
      <w:numFmt w:val="decimal"/>
      <w:start w:val="8"/>
    </w:lvl>
  </w:abstractNum>
  <w:abstractNum w:abstractNumId="227">
    <w:nsid w:val="37E203AB"/>
    <w:multiLevelType w:val="hybridMultilevel"/>
    <w:lvl w:ilvl="0">
      <w:lvlJc w:val="left"/>
      <w:lvlText w:val="%1."/>
      <w:numFmt w:val="decimal"/>
      <w:start w:val="9"/>
    </w:lvl>
  </w:abstractNum>
  <w:abstractNum w:abstractNumId="228">
    <w:nsid w:val="2586D60E"/>
    <w:multiLevelType w:val="hybridMultilevel"/>
    <w:lvl w:ilvl="0">
      <w:lvlJc w:val="left"/>
      <w:lvlText w:val="%1."/>
      <w:numFmt w:val="decimal"/>
      <w:start w:val="10"/>
    </w:lvl>
    <w:lvl w:ilvl="1">
      <w:lvlJc w:val="left"/>
      <w:lvlText w:val="•"/>
      <w:numFmt w:val="bullet"/>
      <w:start w:val="1"/>
    </w:lvl>
  </w:abstractNum>
  <w:abstractNum w:abstractNumId="229">
    <w:nsid w:val="1F3DA4D5"/>
    <w:multiLevelType w:val="hybridMultilevel"/>
    <w:lvl w:ilvl="0">
      <w:lvlJc w:val="left"/>
      <w:lvlText w:val="%1."/>
      <w:numFmt w:val="decimal"/>
      <w:start w:val="12"/>
    </w:lvl>
  </w:abstractNum>
  <w:abstractNum w:abstractNumId="230">
    <w:nsid w:val="74C93698"/>
    <w:multiLevelType w:val="hybridMultilevel"/>
    <w:lvl w:ilvl="0">
      <w:lvlJc w:val="left"/>
      <w:lvlText w:val="%1."/>
      <w:numFmt w:val="decimal"/>
      <w:start w:val="13"/>
    </w:lvl>
  </w:abstractNum>
  <w:abstractNum w:abstractNumId="231">
    <w:nsid w:val="48781401"/>
    <w:multiLevelType w:val="hybridMultilevel"/>
    <w:lvl w:ilvl="0">
      <w:lvlJc w:val="left"/>
      <w:lvlText w:val="%1."/>
      <w:numFmt w:val="decimal"/>
      <w:start w:val="14"/>
    </w:lvl>
    <w:lvl w:ilvl="1">
      <w:lvlJc w:val="left"/>
      <w:lvlText w:val="%2"/>
      <w:numFmt w:val="lowerLetter"/>
      <w:start w:val="1"/>
    </w:lvl>
  </w:abstractNum>
  <w:abstractNum w:abstractNumId="232">
    <w:nsid w:val="186928D6"/>
    <w:multiLevelType w:val="hybridMultilevel"/>
    <w:lvl w:ilvl="0">
      <w:lvlJc w:val="left"/>
      <w:lvlText w:val="%1."/>
      <w:numFmt w:val="lowerLetter"/>
      <w:start w:val="2"/>
    </w:lvl>
  </w:abstractNum>
  <w:abstractNum w:abstractNumId="233">
    <w:nsid w:val="47195E5"/>
    <w:multiLevelType w:val="hybridMultilevel"/>
    <w:lvl w:ilvl="0">
      <w:lvlJc w:val="left"/>
      <w:lvlText w:val="%1."/>
      <w:numFmt w:val="lowerRoman"/>
      <w:start w:val="1"/>
    </w:lvl>
  </w:abstractNum>
  <w:abstractNum w:abstractNumId="234">
    <w:nsid w:val="3746A5F2"/>
    <w:multiLevelType w:val="hybridMultilevel"/>
    <w:lvl w:ilvl="0">
      <w:lvlJc w:val="left"/>
      <w:lvlText w:val="%1."/>
      <w:numFmt w:val="lowerRoman"/>
      <w:start w:val="2"/>
    </w:lvl>
  </w:abstractNum>
  <w:abstractNum w:abstractNumId="235">
    <w:nsid w:val="682DFED6"/>
    <w:multiLevelType w:val="hybridMultilevel"/>
    <w:lvl w:ilvl="0">
      <w:lvlJc w:val="left"/>
      <w:lvlText w:val="%1"/>
      <w:numFmt w:val="decimal"/>
      <w:start w:val="1"/>
    </w:lvl>
    <w:lvl w:ilvl="1">
      <w:lvlJc w:val="left"/>
      <w:lvlText w:val="%2."/>
      <w:numFmt w:val="lowerRoman"/>
      <w:start w:val="7"/>
    </w:lvl>
  </w:abstractNum>
  <w:abstractNum w:abstractNumId="236">
    <w:nsid w:val="606ED7F6"/>
    <w:multiLevelType w:val="hybridMultilevel"/>
    <w:lvl w:ilvl="0">
      <w:lvlJc w:val="left"/>
      <w:lvlText w:val="%1."/>
      <w:numFmt w:val="decimal"/>
      <w:start w:val="15"/>
    </w:lvl>
    <w:lvl w:ilvl="1">
      <w:lvlJc w:val="left"/>
      <w:lvlText w:val="%2"/>
      <w:numFmt w:val="lowerRoman"/>
      <w:start w:val="1"/>
    </w:lvl>
  </w:abstractNum>
  <w:abstractNum w:abstractNumId="237">
    <w:nsid w:val="2D9DF57D"/>
    <w:multiLevelType w:val="hybridMultilevel"/>
    <w:lvl w:ilvl="0">
      <w:lvlJc w:val="left"/>
      <w:lvlText w:val="%1."/>
      <w:numFmt w:val="decimal"/>
      <w:start w:val="1"/>
    </w:lvl>
    <w:lvl w:ilvl="1">
      <w:lvlJc w:val="left"/>
      <w:lvlText w:val="%2"/>
      <w:numFmt w:val="lowerLetter"/>
      <w:start w:val="1"/>
    </w:lvl>
  </w:abstractNum>
  <w:abstractNum w:abstractNumId="238">
    <w:nsid w:val="7FBD7A3E"/>
    <w:multiLevelType w:val="hybridMultilevel"/>
    <w:lvl w:ilvl="0">
      <w:lvlJc w:val="left"/>
      <w:lvlText w:val="%1."/>
      <w:numFmt w:val="lowerLetter"/>
      <w:start w:val="2"/>
    </w:lvl>
  </w:abstractNum>
  <w:abstractNum w:abstractNumId="239">
    <w:nsid w:val="490B7C5"/>
    <w:multiLevelType w:val="hybridMultilevel"/>
    <w:lvl w:ilvl="0">
      <w:lvlJc w:val="left"/>
      <w:lvlText w:val="%1."/>
      <w:numFmt w:val="lowerLetter"/>
      <w:start w:val="3"/>
    </w:lvl>
  </w:abstractNum>
  <w:abstractNum w:abstractNumId="240">
    <w:nsid w:val="4303A216"/>
    <w:multiLevelType w:val="hybridMultilevel"/>
    <w:lvl w:ilvl="0">
      <w:lvlJc w:val="left"/>
      <w:lvlText w:val="%1."/>
      <w:numFmt w:val="decimal"/>
      <w:start w:val="8"/>
    </w:lvl>
  </w:abstractNum>
  <w:abstractNum w:abstractNumId="241">
    <w:nsid w:val="19B8A08E"/>
    <w:multiLevelType w:val="hybridMultilevel"/>
    <w:lvl w:ilvl="0">
      <w:lvlJc w:val="left"/>
      <w:lvlText w:val="%1."/>
      <w:numFmt w:val="decimal"/>
      <w:start w:val="9"/>
    </w:lvl>
  </w:abstractNum>
  <w:abstractNum w:abstractNumId="242">
    <w:nsid w:val="54B59621"/>
    <w:multiLevelType w:val="hybridMultilevel"/>
    <w:lvl w:ilvl="0">
      <w:lvlJc w:val="left"/>
      <w:lvlText w:val="%1."/>
      <w:numFmt w:val="decimal"/>
      <w:start w:val="10"/>
    </w:lvl>
    <w:lvl w:ilvl="1">
      <w:lvlJc w:val="left"/>
      <w:lvlText w:val="•"/>
      <w:numFmt w:val="bullet"/>
      <w:start w:val="1"/>
    </w:lvl>
  </w:abstractNum>
  <w:abstractNum w:abstractNumId="243">
    <w:nsid w:val="5992A02E"/>
    <w:multiLevelType w:val="hybridMultilevel"/>
    <w:lvl w:ilvl="0">
      <w:lvlJc w:val="left"/>
      <w:lvlText w:val="%1."/>
      <w:numFmt w:val="decimal"/>
      <w:start w:val="11"/>
    </w:lvl>
    <w:lvl w:ilvl="1">
      <w:lvlJc w:val="left"/>
      <w:lvlText w:val="•"/>
      <w:numFmt w:val="bullet"/>
      <w:start w:val="1"/>
    </w:lvl>
  </w:abstractNum>
  <w:abstractNum w:abstractNumId="244">
    <w:nsid w:val="29EF532D"/>
    <w:multiLevelType w:val="hybridMultilevel"/>
    <w:lvl w:ilvl="0">
      <w:lvlJc w:val="left"/>
      <w:lvlText w:val="%1."/>
      <w:numFmt w:val="decimal"/>
      <w:start w:val="13"/>
    </w:lvl>
  </w:abstractNum>
  <w:abstractNum w:abstractNumId="245">
    <w:nsid w:val="71D601AF"/>
    <w:multiLevelType w:val="hybridMultilevel"/>
    <w:lvl w:ilvl="0">
      <w:lvlJc w:val="left"/>
      <w:lvlText w:val="%1."/>
      <w:numFmt w:val="decimal"/>
      <w:start w:val="14"/>
    </w:lvl>
  </w:abstractNum>
  <w:abstractNum w:abstractNumId="246">
    <w:nsid w:val="52C77402"/>
    <w:multiLevelType w:val="hybridMultilevel"/>
    <w:lvl w:ilvl="0">
      <w:lvlJc w:val="left"/>
      <w:lvlText w:val="%1."/>
      <w:numFmt w:val="lowerLetter"/>
      <w:start w:val="3"/>
    </w:lvl>
  </w:abstractNum>
  <w:abstractNum w:abstractNumId="247">
    <w:nsid w:val="2BB5B1C6"/>
    <w:multiLevelType w:val="hybridMultilevel"/>
    <w:lvl w:ilvl="0">
      <w:lvlJc w:val="left"/>
      <w:lvlText w:val="%1."/>
      <w:numFmt w:val="lowerRoman"/>
      <w:start w:val="1"/>
    </w:lvl>
  </w:abstractNum>
  <w:abstractNum w:abstractNumId="248">
    <w:nsid w:val="66BE6B9"/>
    <w:multiLevelType w:val="hybridMultilevel"/>
    <w:lvl w:ilvl="0">
      <w:lvlJc w:val="left"/>
      <w:lvlText w:val="%1."/>
      <w:numFmt w:val="lowerRoman"/>
      <w:start w:val="2"/>
    </w:lvl>
  </w:abstractNum>
  <w:abstractNum w:abstractNumId="249">
    <w:nsid w:val="62234363"/>
    <w:multiLevelType w:val="hybridMultilevel"/>
    <w:lvl w:ilvl="0">
      <w:lvlJc w:val="left"/>
      <w:lvlText w:val="%1"/>
      <w:numFmt w:val="decimal"/>
      <w:start w:val="1"/>
    </w:lvl>
    <w:lvl w:ilvl="1">
      <w:lvlJc w:val="left"/>
      <w:lvlText w:val="%2."/>
      <w:numFmt w:val="lowerRoman"/>
      <w:start w:val="8"/>
    </w:lvl>
  </w:abstractNum>
  <w:abstractNum w:abstractNumId="250">
    <w:nsid w:val="66D385C9"/>
    <w:multiLevelType w:val="hybridMultilevel"/>
    <w:lvl w:ilvl="0">
      <w:lvlJc w:val="left"/>
      <w:lvlText w:val="%1."/>
      <w:numFmt w:val="decimal"/>
      <w:start w:val="15"/>
    </w:lvl>
    <w:lvl w:ilvl="1">
      <w:lvlJc w:val="left"/>
      <w:lvlText w:val="%2"/>
      <w:numFmt w:val="lowerRoman"/>
      <w:start w:val="1"/>
    </w:lvl>
  </w:abstractNum>
  <w:abstractNum w:abstractNumId="251">
    <w:nsid w:val="596F6D8A"/>
    <w:multiLevelType w:val="hybridMultilevel"/>
    <w:lvl w:ilvl="0">
      <w:lvlJc w:val="left"/>
      <w:lvlText w:val="☐"/>
      <w:numFmt w:val="bullet"/>
      <w:start w:val="1"/>
    </w:lvl>
  </w:abstractNum>
  <w:abstractNum w:abstractNumId="252">
    <w:nsid w:val="5749361F"/>
    <w:multiLevelType w:val="hybridMultilevel"/>
    <w:lvl w:ilvl="0">
      <w:lvlJc w:val="left"/>
      <w:lvlText w:val="☐"/>
      <w:numFmt w:val="bullet"/>
      <w:start w:val="1"/>
    </w:lvl>
  </w:abstractNum>
  <w:abstractNum w:abstractNumId="253">
    <w:nsid w:val="73BC6770"/>
    <w:multiLevelType w:val="hybridMultilevel"/>
    <w:lvl w:ilvl="0">
      <w:lvlJc w:val="left"/>
      <w:lvlText w:val="☐"/>
      <w:numFmt w:val="bullet"/>
      <w:start w:val="1"/>
    </w:lvl>
  </w:abstractNum>
  <w:abstractNum w:abstractNumId="254">
    <w:nsid w:val="280E6897"/>
    <w:multiLevelType w:val="hybridMultilevel"/>
    <w:lvl w:ilvl="0">
      <w:lvlJc w:val="left"/>
      <w:lvlText w:val="☐"/>
      <w:numFmt w:val="bullet"/>
      <w:start w:val="1"/>
    </w:lvl>
  </w:abstractNum>
  <w:abstractNum w:abstractNumId="255">
    <w:nsid w:val="605138DE"/>
    <w:multiLevelType w:val="hybridMultilevel"/>
    <w:lvl w:ilvl="0">
      <w:lvlJc w:val="left"/>
      <w:lvlText w:val="%1."/>
      <w:numFmt w:val="decimal"/>
      <w:start w:val="1"/>
    </w:lvl>
  </w:abstractNum>
  <w:abstractNum w:abstractNumId="256">
    <w:nsid w:val="2622AD0C"/>
    <w:multiLevelType w:val="hybridMultilevel"/>
    <w:lvl w:ilvl="0">
      <w:lvlJc w:val="left"/>
      <w:lvlText w:val="•"/>
      <w:numFmt w:val="bullet"/>
      <w:start w:val="1"/>
    </w:lvl>
  </w:abstractNum>
  <w:abstractNum w:abstractNumId="257">
    <w:nsid w:val="67997556"/>
    <w:multiLevelType w:val="hybridMultilevel"/>
    <w:lvl w:ilvl="0">
      <w:lvlJc w:val="left"/>
      <w:lvlText w:val="%1."/>
      <w:numFmt w:val="decimal"/>
      <w:start w:val="1"/>
    </w:lvl>
    <w:lvl w:ilvl="1">
      <w:lvlJc w:val="left"/>
      <w:lvlText w:val="%2."/>
      <w:numFmt w:val="lowerLetter"/>
      <w:start w:val="1"/>
    </w:lvl>
  </w:abstractNum>
  <w:abstractNum w:abstractNumId="258">
    <w:nsid w:val="18333C8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259">
    <w:nsid w:val="4BA9831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60">
    <w:nsid w:val="6D71A2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261">
    <w:nsid w:val="CFC7321"/>
    <w:multiLevelType w:val="hybridMultilevel"/>
    <w:lvl w:ilvl="0">
      <w:lvlJc w:val="left"/>
      <w:lvlText w:val="%1."/>
      <w:numFmt w:val="decimal"/>
      <w:start w:val="6"/>
    </w:lvl>
  </w:abstractNum>
  <w:abstractNum w:abstractNumId="262">
    <w:nsid w:val="1421971B"/>
    <w:multiLevelType w:val="hybridMultilevel"/>
    <w:lvl w:ilvl="0">
      <w:lvlJc w:val="left"/>
      <w:lvlText w:val="%1."/>
      <w:numFmt w:val="decimal"/>
      <w:start w:val="8"/>
    </w:lvl>
    <w:lvl w:ilvl="1">
      <w:lvlJc w:val="left"/>
      <w:lvlText w:val="%2."/>
      <w:numFmt w:val="lowerLetter"/>
      <w:start w:val="1"/>
    </w:lvl>
  </w:abstractNum>
  <w:abstractNum w:abstractNumId="263">
    <w:nsid w:val="1F404301"/>
    <w:multiLevelType w:val="hybridMultilevel"/>
    <w:lvl w:ilvl="0">
      <w:lvlJc w:val="left"/>
      <w:lvlText w:val="%1."/>
      <w:numFmt w:val="lowerLetter"/>
      <w:start w:val="3"/>
    </w:lvl>
  </w:abstractNum>
  <w:abstractNum w:abstractNumId="264">
    <w:nsid w:val="116E0907"/>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265">
    <w:nsid w:val="4B683D0D"/>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66">
    <w:nsid w:val="76E41D8"/>
    <w:multiLevelType w:val="hybridMultilevel"/>
    <w:lvl w:ilvl="0">
      <w:lvlJc w:val="left"/>
      <w:lvlText w:val="%1."/>
      <w:numFmt w:val="decimal"/>
      <w:start w:val="23"/>
    </w:lvl>
    <w:lvl w:ilvl="1">
      <w:lvlJc w:val="left"/>
      <w:lvlText w:val="%2."/>
      <w:numFmt w:val="lowerLetter"/>
      <w:start w:val="1"/>
    </w:lvl>
  </w:abstractNum>
  <w:abstractNum w:abstractNumId="267">
    <w:nsid w:val="71DCE0F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68">
    <w:nsid w:val="7906328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9">
    <w:nsid w:val="72BBC16"/>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270">
    <w:nsid w:val="766D98C2"/>
    <w:multiLevelType w:val="hybridMultilevel"/>
    <w:lvl w:ilvl="0">
      <w:lvlJc w:val="left"/>
      <w:lvlText w:val="%1."/>
      <w:numFmt w:val="lowerLetter"/>
      <w:start w:val="2"/>
    </w:lvl>
  </w:abstractNum>
  <w:abstractNum w:abstractNumId="271">
    <w:nsid w:val="3C09D4A1"/>
    <w:multiLevelType w:val="hybridMultilevel"/>
    <w:lvl w:ilvl="0">
      <w:lvlJc w:val="left"/>
      <w:lvlText w:val="%1."/>
      <w:numFmt w:val="decimal"/>
      <w:start w:val="31"/>
    </w:lvl>
    <w:lvl w:ilvl="1">
      <w:lvlJc w:val="left"/>
      <w:lvlText w:val="%2."/>
      <w:numFmt w:val="lowerLetter"/>
      <w:start w:val="2"/>
    </w:lvl>
  </w:abstractNum>
  <w:abstractNum w:abstractNumId="272">
    <w:nsid w:val="20E45CA4"/>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273">
    <w:nsid w:val="4B232EE3"/>
    <w:multiLevelType w:val="hybridMultilevel"/>
    <w:lvl w:ilvl="0">
      <w:lvlJc w:val="left"/>
      <w:lvlText w:val="%1."/>
      <w:numFmt w:val="decimal"/>
      <w:start w:val="36"/>
    </w:lvl>
    <w:lvl w:ilvl="1">
      <w:lvlJc w:val="left"/>
      <w:lvlText w:val="%2."/>
      <w:numFmt w:val="lowerLetter"/>
      <w:start w:val="1"/>
    </w:lvl>
  </w:abstractNum>
  <w:abstractNum w:abstractNumId="274">
    <w:nsid w:val="159C74CF"/>
    <w:multiLevelType w:val="hybridMultilevel"/>
    <w:lvl w:ilvl="0">
      <w:lvlJc w:val="left"/>
      <w:lvlText w:val="%1."/>
      <w:numFmt w:val="decimal"/>
      <w:start w:val="40"/>
    </w:lvl>
  </w:abstractNum>
  <w:abstractNum w:abstractNumId="275">
    <w:nsid w:val="4AD3AFD2"/>
    <w:multiLevelType w:val="hybridMultilevel"/>
    <w:lvl w:ilvl="0">
      <w:lvlJc w:val="left"/>
      <w:lvlText w:val="%1."/>
      <w:numFmt w:val="decimal"/>
      <w:start w:val="45"/>
    </w:lvl>
    <w:lvl w:ilvl="1">
      <w:lvlJc w:val="left"/>
      <w:lvlText w:val="%2."/>
      <w:numFmt w:val="lowerLetter"/>
      <w:start w:val="1"/>
    </w:lvl>
  </w:abstractNum>
  <w:abstractNum w:abstractNumId="276">
    <w:nsid w:val="3CF93092"/>
    <w:multiLevelType w:val="hybridMultilevel"/>
    <w:lvl w:ilvl="0">
      <w:lvlJc w:val="left"/>
      <w:lvlText w:val="%1."/>
      <w:numFmt w:val="decimal"/>
      <w:start w:val="46"/>
    </w:lvl>
    <w:lvl w:ilvl="1">
      <w:lvlJc w:val="left"/>
      <w:lvlText w:val="%2."/>
      <w:numFmt w:val="lowerLetter"/>
      <w:start w:val="1"/>
    </w:lvl>
  </w:abstractNum>
  <w:abstractNum w:abstractNumId="277">
    <w:nsid w:val="6863E8D2"/>
    <w:multiLevelType w:val="hybridMultilevel"/>
    <w:lvl w:ilvl="0">
      <w:lvlJc w:val="left"/>
      <w:lvlText w:val="%1."/>
      <w:numFmt w:val="decimal"/>
      <w:start w:val="47"/>
    </w:lvl>
  </w:abstractNum>
  <w:abstractNum w:abstractNumId="278">
    <w:nsid w:val="76896198"/>
    <w:multiLevelType w:val="hybridMultilevel"/>
    <w:lvl w:ilvl="0">
      <w:lvlJc w:val="left"/>
      <w:lvlText w:val="%1."/>
      <w:numFmt w:val="decimal"/>
      <w:start w:val="50"/>
    </w:lvl>
    <w:lvl w:ilvl="1">
      <w:lvlJc w:val="left"/>
      <w:lvlText w:val="%2."/>
      <w:numFmt w:val="lowerLetter"/>
      <w:start w:val="1"/>
    </w:lvl>
  </w:abstractNum>
  <w:abstractNum w:abstractNumId="279">
    <w:nsid w:val="4365174B"/>
    <w:multiLevelType w:val="hybridMultilevel"/>
    <w:lvl w:ilvl="0">
      <w:lvlJc w:val="left"/>
      <w:lvlText w:val="%1."/>
      <w:numFmt w:val="decimal"/>
      <w:start w:val="2"/>
    </w:lvl>
  </w:abstractNum>
  <w:abstractNum w:abstractNumId="280">
    <w:nsid w:val="4A872C35"/>
    <w:multiLevelType w:val="hybridMultilevel"/>
    <w:lvl w:ilvl="0">
      <w:lvlJc w:val="left"/>
      <w:lvlText w:val="1"/>
      <w:numFmt w:val="bullet"/>
      <w:start w:val="1"/>
    </w:lvl>
  </w:abstractNum>
  <w:abstractNum w:abstractNumId="281">
    <w:nsid w:val="5D5CE761"/>
    <w:multiLevelType w:val="hybridMultilevel"/>
    <w:lvl w:ilvl="0">
      <w:lvlJc w:val="left"/>
      <w:lvlText w:val="2"/>
      <w:numFmt w:val="bullet"/>
      <w:start w:val="1"/>
    </w:lvl>
    <w:lvl w:ilvl="1">
      <w:lvlJc w:val="left"/>
      <w:lvlText w:val="%2."/>
      <w:numFmt w:val="lowerLetter"/>
      <w:start w:val="1"/>
    </w:lvl>
  </w:abstractNum>
  <w:abstractNum w:abstractNumId="282">
    <w:nsid w:val="1CD484D5"/>
    <w:multiLevelType w:val="hybridMultilevel"/>
    <w:lvl w:ilvl="0">
      <w:lvlJc w:val="left"/>
      <w:lvlText w:val="3"/>
      <w:numFmt w:val="bullet"/>
      <w:start w:val="1"/>
    </w:lvl>
  </w:abstractNum>
  <w:abstractNum w:abstractNumId="283">
    <w:nsid w:val="21D06255"/>
    <w:multiLevelType w:val="hybridMultilevel"/>
    <w:lvl w:ilvl="0">
      <w:lvlJc w:val="left"/>
      <w:lvlText w:val="4"/>
      <w:numFmt w:val="bullet"/>
      <w:start w:val="1"/>
    </w:lvl>
  </w:abstractNum>
  <w:abstractNum w:abstractNumId="284">
    <w:nsid w:val="51194ED1"/>
    <w:multiLevelType w:val="hybridMultilevel"/>
    <w:lvl w:ilvl="0">
      <w:lvlJc w:val="left"/>
      <w:lvlText w:val="5"/>
      <w:numFmt w:val="bullet"/>
      <w:start w:val="1"/>
    </w:lvl>
  </w:abstractNum>
  <w:abstractNum w:abstractNumId="285">
    <w:nsid w:val="44E2ED6C"/>
    <w:multiLevelType w:val="hybridMultilevel"/>
    <w:lvl w:ilvl="0">
      <w:lvlJc w:val="left"/>
      <w:lvlText w:val="6"/>
      <w:numFmt w:val="bullet"/>
      <w:start w:val="1"/>
    </w:lvl>
  </w:abstractNum>
  <w:abstractNum w:abstractNumId="286">
    <w:nsid w:val="2219B33"/>
    <w:multiLevelType w:val="hybridMultilevel"/>
    <w:lvl w:ilvl="0">
      <w:lvlJc w:val="left"/>
      <w:lvlText w:val="7"/>
      <w:numFmt w:val="bullet"/>
      <w:start w:val="1"/>
    </w:lvl>
  </w:abstractNum>
  <w:abstractNum w:abstractNumId="287">
    <w:nsid w:val="773BFBDD"/>
    <w:multiLevelType w:val="hybridMultilevel"/>
    <w:lvl w:ilvl="0">
      <w:lvlJc w:val="left"/>
      <w:lvlText w:val="(%1)"/>
      <w:numFmt w:val="lowerRoman"/>
      <w:start w:val="1"/>
    </w:lvl>
  </w:abstractNum>
  <w:abstractNum w:abstractNumId="288">
    <w:nsid w:val="2C7C62C2"/>
    <w:multiLevelType w:val="hybridMultilevel"/>
    <w:lvl w:ilvl="0">
      <w:lvlJc w:val="left"/>
      <w:lvlText w:val="%1"/>
      <w:numFmt w:val="decimal"/>
      <w:start w:val="10"/>
    </w:lvl>
  </w:abstractNum>
  <w:abstractNum w:abstractNumId="289">
    <w:nsid w:val="1A54D7BC"/>
    <w:multiLevelType w:val="hybridMultilevel"/>
    <w:lvl w:ilvl="0">
      <w:lvlJc w:val="left"/>
      <w:lvlText w:val="%1"/>
      <w:numFmt w:val="decimal"/>
      <w:start w:val="12"/>
    </w:lvl>
    <w:lvl w:ilvl="1">
      <w:lvlJc w:val="left"/>
      <w:lvlText w:val="•"/>
      <w:numFmt w:val="bullet"/>
      <w:start w:val="1"/>
    </w:lvl>
  </w:abstractNum>
  <w:abstractNum w:abstractNumId="290">
    <w:nsid w:val="42E57EF7"/>
    <w:multiLevelType w:val="hybridMultilevel"/>
    <w:lvl w:ilvl="0">
      <w:lvlJc w:val="left"/>
      <w:lvlText w:val="%1"/>
      <w:numFmt w:val="decimal"/>
      <w:start w:val="16"/>
    </w:lvl>
  </w:abstractNum>
  <w:abstractNum w:abstractNumId="291">
    <w:nsid w:val="33537CED"/>
    <w:multiLevelType w:val="hybridMultilevel"/>
    <w:lvl w:ilvl="0">
      <w:lvlJc w:val="left"/>
      <w:lvlText w:val="%1"/>
      <w:numFmt w:val="decimal"/>
      <w:start w:val="17"/>
    </w:lvl>
  </w:abstractNum>
  <w:abstractNum w:abstractNumId="292">
    <w:nsid w:val="27514ADE"/>
    <w:multiLevelType w:val="hybridMultilevel"/>
    <w:lvl w:ilvl="0">
      <w:lvlJc w:val="left"/>
      <w:lvlText w:val="%1"/>
      <w:numFmt w:val="decimal"/>
      <w:start w:val="24"/>
    </w:lvl>
    <w:lvl w:ilvl="1">
      <w:lvlJc w:val="left"/>
      <w:lvlText w:val="•"/>
      <w:numFmt w:val="bullet"/>
      <w:start w:val="1"/>
    </w:lvl>
  </w:abstractNum>
  <w:abstractNum w:abstractNumId="293">
    <w:nsid w:val="57071613"/>
    <w:multiLevelType w:val="hybridMultilevel"/>
    <w:lvl w:ilvl="0">
      <w:lvlJc w:val="left"/>
      <w:lvlText w:val="%1."/>
      <w:numFmt w:val="decimal"/>
      <w:start w:val="3"/>
    </w:lvl>
  </w:abstractNum>
  <w:abstractNum w:abstractNumId="294">
    <w:nsid w:val="5293BFEF"/>
    <w:multiLevelType w:val="hybridMultilevel"/>
    <w:lvl w:ilvl="0">
      <w:lvlJc w:val="left"/>
      <w:lvlText w:val="1"/>
      <w:numFmt w:val="bullet"/>
      <w:start w:val="1"/>
    </w:lvl>
  </w:abstractNum>
  <w:abstractNum w:abstractNumId="295">
    <w:nsid w:val="38BF53E5"/>
    <w:multiLevelType w:val="hybridMultilevel"/>
    <w:lvl w:ilvl="0">
      <w:lvlJc w:val="left"/>
      <w:lvlText w:val="2"/>
      <w:numFmt w:val="bullet"/>
      <w:start w:val="1"/>
    </w:lvl>
    <w:lvl w:ilvl="1">
      <w:lvlJc w:val="left"/>
      <w:lvlText w:val="%2."/>
      <w:numFmt w:val="lowerLetter"/>
      <w:start w:val="1"/>
    </w:lvl>
  </w:abstractNum>
  <w:abstractNum w:abstractNumId="296">
    <w:nsid w:val="226F5320"/>
    <w:multiLevelType w:val="hybridMultilevel"/>
    <w:lvl w:ilvl="0">
      <w:lvlJc w:val="left"/>
      <w:lvlText w:val="3"/>
      <w:numFmt w:val="bullet"/>
      <w:start w:val="1"/>
    </w:lvl>
    <w:lvl w:ilvl="1">
      <w:lvlJc w:val="left"/>
      <w:lvlText w:val="•"/>
      <w:numFmt w:val="bullet"/>
      <w:start w:val="1"/>
    </w:lvl>
  </w:abstractNum>
  <w:abstractNum w:abstractNumId="297">
    <w:nsid w:val="5A0201C7"/>
    <w:multiLevelType w:val="hybridMultilevel"/>
    <w:lvl w:ilvl="0">
      <w:lvlJc w:val="left"/>
      <w:lvlText w:val="4"/>
      <w:numFmt w:val="bullet"/>
      <w:start w:val="1"/>
    </w:lvl>
  </w:abstractNum>
  <w:abstractNum w:abstractNumId="298">
    <w:nsid w:val="2A9C34E2"/>
    <w:multiLevelType w:val="hybridMultilevel"/>
    <w:lvl w:ilvl="0">
      <w:lvlJc w:val="left"/>
      <w:lvlText w:val="%1."/>
      <w:numFmt w:val="decimal"/>
      <w:start w:val="4"/>
    </w:lvl>
  </w:abstractNum>
  <w:abstractNum w:abstractNumId="299">
    <w:nsid w:val="1B7585AB"/>
    <w:multiLevelType w:val="hybridMultilevel"/>
    <w:lvl w:ilvl="0">
      <w:lvlJc w:val="left"/>
      <w:lvlText w:val="%1."/>
      <w:numFmt w:val="upperLetter"/>
      <w:start w:val="9"/>
    </w:lvl>
  </w:abstractNum>
  <w:abstractNum w:abstractNumId="300">
    <w:nsid w:val="612DBDDD"/>
    <w:multiLevelType w:val="hybridMultilevel"/>
    <w:lvl w:ilvl="0">
      <w:lvlJc w:val="left"/>
      <w:lvlText w:val="-"/>
      <w:numFmt w:val="bullet"/>
      <w:start w:val="1"/>
    </w:lvl>
  </w:abstractNum>
  <w:abstractNum w:abstractNumId="301">
    <w:nsid w:val="2109CDA4"/>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302">
    <w:nsid w:val="577F5A4D"/>
    <w:multiLevelType w:val="hybridMultilevel"/>
    <w:lvl w:ilvl="0">
      <w:lvlJc w:val="left"/>
      <w:lvlText w:val="%1"/>
      <w:numFmt w:val="decimal"/>
      <w:start w:val="1"/>
    </w:lvl>
    <w:lvl w:ilvl="1">
      <w:lvlJc w:val="left"/>
      <w:lvlText w:val="%2."/>
      <w:numFmt w:val="lowerLetter"/>
      <w:start w:val="4"/>
    </w:lvl>
  </w:abstractNum>
  <w:abstractNum w:abstractNumId="303">
    <w:nsid w:val="2121A81"/>
    <w:multiLevelType w:val="hybridMultilevel"/>
    <w:lvl w:ilvl="0">
      <w:lvlJc w:val="left"/>
      <w:lvlText w:val="%1."/>
      <w:numFmt w:val="decimal"/>
      <w:start w:val="2"/>
    </w:lvl>
    <w:lvl w:ilvl="1">
      <w:lvlJc w:val="left"/>
      <w:lvlText w:val="%2."/>
      <w:numFmt w:val="lowerLetter"/>
      <w:start w:val="1"/>
    </w:lvl>
  </w:abstractNum>
  <w:abstractNum w:abstractNumId="304">
    <w:nsid w:val="6C2CFC88"/>
    <w:multiLevelType w:val="hybridMultilevel"/>
    <w:lvl w:ilvl="0">
      <w:lvlJc w:val="left"/>
      <w:lvlText w:val="%1."/>
      <w:numFmt w:val="lowerLetter"/>
      <w:start w:val="1"/>
    </w:lvl>
  </w:abstractNum>
  <w:abstractNum w:abstractNumId="305">
    <w:nsid w:val="6D1BCF1C"/>
    <w:multiLevelType w:val="hybridMultilevel"/>
    <w:lvl w:ilvl="0">
      <w:lvlJc w:val="left"/>
      <w:lvlText w:val="%1."/>
      <w:numFmt w:val="lowerLetter"/>
      <w:start w:val="2"/>
    </w:lvl>
  </w:abstractNum>
  <w:abstractNum w:abstractNumId="306">
    <w:nsid w:val="4CE5CA53"/>
    <w:multiLevelType w:val="hybridMultilevel"/>
    <w:lvl w:ilvl="0">
      <w:lvlJc w:val="left"/>
      <w:lvlText w:val="%1"/>
      <w:numFmt w:val="decimal"/>
      <w:start w:val="1"/>
    </w:lvl>
    <w:lvl w:ilvl="1">
      <w:lvlJc w:val="left"/>
      <w:lvlText w:val="%2."/>
      <w:numFmt w:val="lowerLetter"/>
      <w:start w:val="12"/>
    </w:lvl>
  </w:abstractNum>
  <w:abstractNum w:abstractNumId="307">
    <w:nsid w:val="29262D1A"/>
    <w:multiLevelType w:val="hybridMultilevel"/>
    <w:lvl w:ilvl="0">
      <w:lvlJc w:val="left"/>
      <w:lvlText w:val="%1."/>
      <w:numFmt w:val="decimal"/>
      <w:start w:val="4"/>
    </w:lvl>
    <w:lvl w:ilvl="1">
      <w:lvlJc w:val="left"/>
      <w:lvlText w:val="%2."/>
      <w:numFmt w:val="lowerLetter"/>
      <w:start w:val="1"/>
    </w:lvl>
  </w:abstractNum>
  <w:abstractNum w:abstractNumId="308">
    <w:nsid w:val="557FB7EE"/>
    <w:multiLevelType w:val="hybridMultilevel"/>
    <w:lvl w:ilvl="0">
      <w:lvlJc w:val="left"/>
      <w:lvlText w:val="%1."/>
      <w:numFmt w:val="decimal"/>
      <w:start w:val="1"/>
    </w:lvl>
  </w:abstractNum>
  <w:abstractNum w:abstractNumId="309">
    <w:nsid w:val="436F2BEB"/>
    <w:multiLevelType w:val="hybridMultilevel"/>
    <w:lvl w:ilvl="0">
      <w:lvlJc w:val="left"/>
      <w:lvlText w:val="%1."/>
      <w:numFmt w:val="upperLetter"/>
      <w:start w:val="2"/>
    </w:lvl>
  </w:abstractNum>
  <w:abstractNum w:abstractNumId="310">
    <w:nsid w:val="6C8B4466"/>
    <w:multiLevelType w:val="hybridMultilevel"/>
    <w:lvl w:ilvl="0">
      <w:lvlJc w:val="left"/>
      <w:lvlText w:val="%1."/>
      <w:numFmt w:val="decimal"/>
      <w:start w:val="2"/>
    </w:lvl>
  </w:abstractNum>
  <w:abstractNum w:abstractNumId="311">
    <w:nsid w:val="2006E424"/>
    <w:multiLevelType w:val="hybridMultilevel"/>
    <w:lvl w:ilvl="0">
      <w:lvlJc w:val="left"/>
      <w:lvlText w:val="%1."/>
      <w:numFmt w:val="lowerLetter"/>
      <w:start w:val="1"/>
    </w:lvl>
  </w:abstractNum>
  <w:abstractNum w:abstractNumId="312">
    <w:nsid w:val="20CC134C"/>
    <w:multiLevelType w:val="hybridMultilevel"/>
    <w:lvl w:ilvl="0">
      <w:lvlJc w:val="left"/>
      <w:lvlText w:val="%1."/>
      <w:numFmt w:val="lowerLetter"/>
      <w:start w:val="2"/>
    </w:lvl>
    <w:lvl w:ilvl="1">
      <w:lvlJc w:val="left"/>
      <w:lvlText w:val="%2."/>
      <w:numFmt w:val="lowerRoman"/>
      <w:start w:val="1"/>
    </w:lvl>
  </w:abstractNum>
  <w:abstractNum w:abstractNumId="313">
    <w:nsid w:val="95FC93B"/>
    <w:multiLevelType w:val="hybridMultilevel"/>
    <w:lvl w:ilvl="0">
      <w:lvlJc w:val="left"/>
      <w:lvlText w:val="%1."/>
      <w:numFmt w:val="lowerLetter"/>
      <w:start w:val="3"/>
    </w:lvl>
    <w:lvl w:ilvl="1">
      <w:lvlJc w:val="left"/>
      <w:lvlText w:val="%2."/>
      <w:numFmt w:val="lowerRoman"/>
      <w:start w:val="1"/>
    </w:lvl>
  </w:abstractNum>
  <w:abstractNum w:abstractNumId="314">
    <w:nsid w:val="41D74679"/>
    <w:multiLevelType w:val="hybridMultilevel"/>
    <w:lvl w:ilvl="0">
      <w:lvlJc w:val="left"/>
      <w:lvlText w:val="•"/>
      <w:numFmt w:val="bullet"/>
      <w:start w:val="1"/>
    </w:lvl>
  </w:abstractNum>
  <w:abstractNum w:abstractNumId="315">
    <w:nsid w:val="71E5621E"/>
    <w:multiLevelType w:val="hybridMultilevel"/>
    <w:lvl w:ilvl="0">
      <w:lvlJc w:val="left"/>
      <w:lvlText w:val="•"/>
      <w:numFmt w:val="bullet"/>
      <w:start w:val="1"/>
    </w:lvl>
  </w:abstractNum>
  <w:abstractNum w:abstractNumId="316">
    <w:nsid w:val="4E42B6A8"/>
    <w:multiLevelType w:val="hybridMultilevel"/>
    <w:lvl w:ilvl="0">
      <w:lvlJc w:val="left"/>
      <w:lvlText w:val="•"/>
      <w:numFmt w:val="bullet"/>
      <w:start w:val="1"/>
    </w:lvl>
  </w:abstractNum>
  <w:abstractNum w:abstractNumId="317">
    <w:nsid w:val="43F8E1AC"/>
    <w:multiLevelType w:val="hybridMultilevel"/>
    <w:lvl w:ilvl="0">
      <w:lvlJc w:val="left"/>
      <w:lvlText w:val="•"/>
      <w:numFmt w:val="bullet"/>
      <w:start w:val="1"/>
    </w:lvl>
  </w:abstractNum>
  <w:abstractNum w:abstractNumId="318">
    <w:nsid w:val="69215DFB"/>
    <w:multiLevelType w:val="hybridMultilevel"/>
    <w:lvl w:ilvl="0">
      <w:lvlJc w:val="left"/>
      <w:lvlText w:val="•"/>
      <w:numFmt w:val="bullet"/>
      <w:start w:val="1"/>
    </w:lvl>
  </w:abstractNum>
  <w:abstractNum w:abstractNumId="319">
    <w:nsid w:val="7ABF196A"/>
    <w:multiLevelType w:val="hybridMultilevel"/>
    <w:lvl w:ilvl="0">
      <w:lvlJc w:val="left"/>
      <w:lvlText w:val="%1."/>
      <w:numFmt w:val="decimal"/>
      <w:start w:val="1"/>
    </w:lvl>
  </w:abstractNum>
  <w:abstractNum w:abstractNumId="320">
    <w:nsid w:val="5E4DB968"/>
    <w:multiLevelType w:val="hybridMultilevel"/>
    <w:lvl w:ilvl="0">
      <w:lvlJc w:val="left"/>
      <w:lvlText w:val="%1."/>
      <w:numFmt w:val="decimal"/>
      <w:start w:val="2"/>
    </w:lvl>
  </w:abstractNum>
  <w:abstractNum w:abstractNumId="321">
    <w:nsid w:val="2C06DCF3"/>
    <w:multiLevelType w:val="hybridMultilevel"/>
    <w:lvl w:ilvl="0">
      <w:lvlJc w:val="left"/>
      <w:lvlText w:val="%1."/>
      <w:numFmt w:val="decimal"/>
      <w:start w:val="4"/>
    </w:lvl>
    <w:lvl w:ilvl="1">
      <w:lvlJc w:val="left"/>
      <w:lvlText w:val="(%2)"/>
      <w:numFmt w:val="lowerLetter"/>
      <w:start w:val="1"/>
    </w:lvl>
  </w:abstractNum>
  <w:abstractNum w:abstractNumId="322">
    <w:nsid w:val="2E129658"/>
    <w:multiLevelType w:val="hybridMultilevel"/>
    <w:lvl w:ilvl="0">
      <w:lvlJc w:val="left"/>
      <w:lvlText w:val="%1."/>
      <w:numFmt w:val="decimal"/>
      <w:start w:val="10"/>
    </w:lvl>
  </w:abstractNum>
  <w:abstractNum w:abstractNumId="323">
    <w:nsid w:val="59F0446"/>
    <w:multiLevelType w:val="hybridMultilevel"/>
    <w:lvl w:ilvl="0">
      <w:lvlJc w:val="left"/>
      <w:lvlText w:val="%1."/>
      <w:numFmt w:val="decimal"/>
      <w:start w:val="1"/>
    </w:lvl>
    <w:lvl w:ilvl="1">
      <w:lvlJc w:val="left"/>
      <w:lvlText w:val="%2."/>
      <w:numFmt w:val="lowerLetter"/>
      <w:start w:val="1"/>
    </w:lvl>
  </w:abstractNum>
  <w:abstractNum w:abstractNumId="324">
    <w:nsid w:val="30DF306"/>
    <w:multiLevelType w:val="hybridMultilevel"/>
    <w:lvl w:ilvl="0">
      <w:lvlJc w:val="left"/>
      <w:lvlText w:val="%1."/>
      <w:numFmt w:val="decimal"/>
      <w:start w:val="4"/>
    </w:lvl>
    <w:lvl w:ilvl="1">
      <w:lvlJc w:val="left"/>
      <w:lvlText w:val="%2."/>
      <w:numFmt w:val="lowerLetter"/>
      <w:start w:val="1"/>
    </w:lvl>
  </w:abstractNum>
  <w:abstractNum w:abstractNumId="325">
    <w:nsid w:val="A65647"/>
    <w:multiLevelType w:val="hybridMultilevel"/>
    <w:lvl w:ilvl="0">
      <w:lvlJc w:val="left"/>
      <w:lvlText w:val="%1."/>
      <w:numFmt w:val="decimal"/>
      <w:start w:val="11"/>
    </w:lvl>
  </w:abstractNum>
  <w:abstractNum w:abstractNumId="326">
    <w:nsid w:val="3E5E582B"/>
    <w:multiLevelType w:val="hybridMultilevel"/>
    <w:lvl w:ilvl="0">
      <w:lvlJc w:val="left"/>
      <w:lvlText w:val="%1."/>
      <w:numFmt w:val="decimal"/>
      <w:start w:val="1"/>
    </w:lvl>
  </w:abstractNum>
  <w:abstractNum w:abstractNumId="327">
    <w:nsid w:val="257D4626"/>
    <w:multiLevelType w:val="hybridMultilevel"/>
    <w:lvl w:ilvl="0">
      <w:lvlJc w:val="left"/>
      <w:lvlText w:val="%1."/>
      <w:numFmt w:val="decimal"/>
      <w:start w:val="2"/>
    </w:lvl>
  </w:abstractNum>
  <w:abstractNum w:abstractNumId="328">
    <w:nsid w:val="5AA8580E"/>
    <w:multiLevelType w:val="hybridMultilevel"/>
    <w:lvl w:ilvl="0">
      <w:lvlJc w:val="left"/>
      <w:lvlText w:val="•"/>
      <w:numFmt w:val="bullet"/>
      <w:start w:val="1"/>
    </w:lvl>
  </w:abstractNum>
  <w:abstractNum w:abstractNumId="329">
    <w:nsid w:val="68FA8D0D"/>
    <w:multiLevelType w:val="hybridMultilevel"/>
    <w:lvl w:ilvl="0">
      <w:lvlJc w:val="left"/>
      <w:lvlText w:val="(%1)"/>
      <w:numFmt w:val="lowerLetter"/>
      <w:start w:val="1"/>
    </w:lvl>
  </w:abstractNum>
  <w:abstractNum w:abstractNumId="330">
    <w:nsid w:val="40F2CBD2"/>
    <w:multiLevelType w:val="hybridMultilevel"/>
    <w:lvl w:ilvl="0">
      <w:lvlJc w:val="left"/>
      <w:lvlText w:val="(%1)"/>
      <w:numFmt w:val="lowerLetter"/>
      <w:start w:val="2"/>
    </w:lvl>
    <w:lvl w:ilvl="1">
      <w:lvlJc w:val="left"/>
      <w:lvlText w:val="•"/>
      <w:numFmt w:val="bullet"/>
      <w:start w:val="1"/>
    </w:lvl>
  </w:abstractNum>
  <w:abstractNum w:abstractNumId="331">
    <w:nsid w:val="3BD615EB"/>
    <w:multiLevelType w:val="hybridMultilevel"/>
    <w:lvl w:ilvl="0">
      <w:lvlJc w:val="left"/>
      <w:lvlText w:val="•"/>
      <w:numFmt w:val="bullet"/>
      <w:start w:val="1"/>
    </w:lvl>
    <w:lvl w:ilvl="1">
      <w:lvlJc w:val="left"/>
      <w:lvlText w:val="•"/>
      <w:numFmt w:val="bullet"/>
      <w:start w:val="1"/>
    </w:lvl>
  </w:abstractNum>
  <w:abstractNum w:abstractNumId="332">
    <w:nsid w:val="A045AB2"/>
    <w:multiLevelType w:val="hybridMultilevel"/>
    <w:lvl w:ilvl="0">
      <w:lvlJc w:val="left"/>
      <w:lvlText w:val="(%1)"/>
      <w:numFmt w:val="lowerLetter"/>
      <w:start w:val="8"/>
    </w:lvl>
    <w:lvl w:ilvl="1">
      <w:lvlJc w:val="left"/>
      <w:lvlText w:val="•"/>
      <w:numFmt w:val="bullet"/>
      <w:start w:val="1"/>
    </w:lvl>
  </w:abstractNum>
  <w:abstractNum w:abstractNumId="333">
    <w:nsid w:val="1872261F"/>
    <w:multiLevelType w:val="hybridMultilevel"/>
    <w:lvl w:ilvl="0">
      <w:lvlJc w:val="left"/>
      <w:lvlText w:val="[%1]"/>
      <w:numFmt w:val="upperLetter"/>
      <w:start w:val="25"/>
    </w:lvl>
  </w:abstractNum>
  <w:abstractNum w:abstractNumId="334">
    <w:nsid w:val="3DE8306C"/>
    <w:multiLevelType w:val="hybridMultilevel"/>
    <w:lvl w:ilvl="0">
      <w:lvlJc w:val="left"/>
      <w:lvlText w:val="[%1]"/>
      <w:numFmt w:val="upperLetter"/>
      <w:start w:val="25"/>
    </w:lvl>
  </w:abstractNum>
  <w:abstractNum w:abstractNumId="335">
    <w:nsid w:val="7631573A"/>
    <w:multiLevelType w:val="hybridMultilevel"/>
    <w:lvl w:ilvl="0">
      <w:lvlJc w:val="left"/>
      <w:lvlText w:val="[%1]"/>
      <w:numFmt w:val="upperLetter"/>
      <w:start w:val="14"/>
    </w:lvl>
  </w:abstractNum>
  <w:abstractNum w:abstractNumId="336">
    <w:nsid w:val="58DF53B"/>
    <w:multiLevelType w:val="hybridMultilevel"/>
    <w:lvl w:ilvl="0">
      <w:lvlJc w:val="left"/>
      <w:lvlText w:val="[%1]"/>
      <w:numFmt w:val="upperLetter"/>
      <w:start w:val="25"/>
    </w:lvl>
  </w:abstractNum>
  <w:abstractNum w:abstractNumId="337">
    <w:nsid w:val="ACDFAC0"/>
    <w:multiLevelType w:val="hybridMultilevel"/>
    <w:lvl w:ilvl="0">
      <w:lvlJc w:val="left"/>
      <w:lvlText w:val="[%1]"/>
      <w:numFmt w:val="upperLetter"/>
      <w:start w:val="25"/>
    </w:lvl>
  </w:abstractNum>
  <w:abstractNum w:abstractNumId="338">
    <w:nsid w:val="1F578454"/>
    <w:multiLevelType w:val="hybridMultilevel"/>
    <w:lvl w:ilvl="0">
      <w:lvlJc w:val="left"/>
      <w:lvlText w:val="[%1]"/>
      <w:numFmt w:val="upperLetter"/>
      <w:start w:val="25"/>
    </w:lvl>
  </w:abstractNum>
  <w:abstractNum w:abstractNumId="339">
    <w:nsid w:val="5B0DAD2A"/>
    <w:multiLevelType w:val="hybridMultilevel"/>
    <w:lvl w:ilvl="0">
      <w:lvlJc w:val="left"/>
      <w:lvlText w:val="[%1]"/>
      <w:numFmt w:val="upperLetter"/>
      <w:start w:val="25"/>
    </w:lvl>
  </w:abstractNum>
  <w:abstractNum w:abstractNumId="340">
    <w:nsid w:val="4E3D26AB"/>
    <w:multiLevelType w:val="hybridMultilevel"/>
    <w:lvl w:ilvl="0">
      <w:lvlJc w:val="left"/>
      <w:lvlText w:val="[%1]"/>
      <w:numFmt w:val="upperLetter"/>
      <w:start w:val="25"/>
    </w:lvl>
  </w:abstractNum>
  <w:abstractNum w:abstractNumId="341">
    <w:nsid w:val="BE2C8BA"/>
    <w:multiLevelType w:val="hybridMultilevel"/>
    <w:lvl w:ilvl="0">
      <w:lvlJc w:val="left"/>
      <w:lvlText w:val="[%1]"/>
      <w:numFmt w:val="upperLetter"/>
      <w:start w:val="14"/>
    </w:lvl>
  </w:abstractNum>
  <w:abstractNum w:abstractNumId="342">
    <w:nsid w:val="7B14914E"/>
    <w:multiLevelType w:val="hybridMultilevel"/>
    <w:lvl w:ilvl="0">
      <w:lvlJc w:val="left"/>
      <w:lvlText w:val="[%1]"/>
      <w:numFmt w:val="upperLetter"/>
      <w:start w:val="25"/>
    </w:lvl>
  </w:abstractNum>
  <w:abstractNum w:abstractNumId="343">
    <w:nsid w:val="6F0939F8"/>
    <w:multiLevelType w:val="hybridMultilevel"/>
    <w:lvl w:ilvl="0">
      <w:lvlJc w:val="left"/>
      <w:lvlText w:val="[%1]"/>
      <w:numFmt w:val="upperLetter"/>
      <w:start w:val="25"/>
    </w:lvl>
  </w:abstractNum>
  <w:abstractNum w:abstractNumId="344">
    <w:nsid w:val="154291F6"/>
    <w:multiLevelType w:val="hybridMultilevel"/>
    <w:lvl w:ilvl="0">
      <w:lvlJc w:val="left"/>
      <w:lvlText w:val="[%1]"/>
      <w:numFmt w:val="upperLetter"/>
      <w:start w:val="25"/>
    </w:lvl>
  </w:abstractNum>
  <w:abstractNum w:abstractNumId="345">
    <w:nsid w:val="3CEBD7C7"/>
    <w:multiLevelType w:val="hybridMultilevel"/>
    <w:lvl w:ilvl="0">
      <w:lvlJc w:val="left"/>
      <w:lvlText w:val="[%1]"/>
      <w:numFmt w:val="upperLetter"/>
      <w:start w:val="25"/>
    </w:lvl>
  </w:abstractNum>
  <w:abstractNum w:abstractNumId="346">
    <w:nsid w:val="60EE9C16"/>
    <w:multiLevelType w:val="hybridMultilevel"/>
    <w:lvl w:ilvl="0">
      <w:lvlJc w:val="left"/>
      <w:lvlText w:val="[%1]"/>
      <w:numFmt w:val="upperLetter"/>
      <w:start w:val="25"/>
    </w:lvl>
  </w:abstractNum>
  <w:abstractNum w:abstractNumId="347">
    <w:nsid w:val="6385489E"/>
    <w:multiLevelType w:val="hybridMultilevel"/>
    <w:lvl w:ilvl="0">
      <w:lvlJc w:val="left"/>
      <w:lvlText w:val="[%1]"/>
      <w:numFmt w:val="upperLetter"/>
      <w:start w:val="25"/>
    </w:lvl>
  </w:abstractNum>
  <w:abstractNum w:abstractNumId="348">
    <w:nsid w:val="E4B973"/>
    <w:multiLevelType w:val="hybridMultilevel"/>
    <w:lvl w:ilvl="0">
      <w:lvlJc w:val="left"/>
      <w:lvlText w:val="[%1]"/>
      <w:numFmt w:val="upperLetter"/>
      <w:start w:val="25"/>
    </w:lvl>
  </w:abstractNum>
  <w:abstractNum w:abstractNumId="349">
    <w:nsid w:val="4A0FFA11"/>
    <w:multiLevelType w:val="hybridMultilevel"/>
    <w:lvl w:ilvl="0">
      <w:lvlJc w:val="left"/>
      <w:lvlText w:val="[%1]"/>
      <w:numFmt w:val="upperLetter"/>
      <w:start w:val="25"/>
    </w:lvl>
  </w:abstractNum>
  <w:abstractNum w:abstractNumId="350">
    <w:nsid w:val="5E446208"/>
    <w:multiLevelType w:val="hybridMultilevel"/>
    <w:lvl w:ilvl="0">
      <w:lvlJc w:val="left"/>
      <w:lvlText w:val="[%1]"/>
      <w:numFmt w:val="upperLetter"/>
      <w:start w:val="25"/>
    </w:lvl>
  </w:abstractNum>
  <w:abstractNum w:abstractNumId="351">
    <w:nsid w:val="5F3272DB"/>
    <w:multiLevelType w:val="hybridMultilevel"/>
    <w:lvl w:ilvl="0">
      <w:lvlJc w:val="left"/>
      <w:lvlText w:val="[%1]"/>
      <w:numFmt w:val="upperLetter"/>
      <w:start w:val="25"/>
    </w:lvl>
  </w:abstractNum>
  <w:abstractNum w:abstractNumId="352">
    <w:nsid w:val="7616D704"/>
    <w:multiLevelType w:val="hybridMultilevel"/>
    <w:lvl w:ilvl="0">
      <w:lvlJc w:val="left"/>
      <w:lvlText w:val="[%1]"/>
      <w:numFmt w:val="upperLetter"/>
      <w:start w:val="25"/>
    </w:lvl>
  </w:abstractNum>
  <w:abstractNum w:abstractNumId="353">
    <w:nsid w:val="C56F860"/>
    <w:multiLevelType w:val="hybridMultilevel"/>
    <w:lvl w:ilvl="0">
      <w:lvlJc w:val="left"/>
      <w:lvlText w:val="[%1]"/>
      <w:numFmt w:val="upperLetter"/>
      <w:start w:val="25"/>
    </w:lvl>
  </w:abstractNum>
  <w:abstractNum w:abstractNumId="354">
    <w:nsid w:val="64D17722"/>
    <w:multiLevelType w:val="hybridMultilevel"/>
    <w:lvl w:ilvl="0">
      <w:lvlJc w:val="left"/>
      <w:lvlText w:val="[%1]"/>
      <w:numFmt w:val="upperLetter"/>
      <w:start w:val="25"/>
    </w:lvl>
  </w:abstractNum>
  <w:abstractNum w:abstractNumId="355">
    <w:nsid w:val="7924CA0A"/>
    <w:multiLevelType w:val="hybridMultilevel"/>
    <w:lvl w:ilvl="0">
      <w:lvlJc w:val="left"/>
      <w:lvlText w:val="[%1]"/>
      <w:numFmt w:val="upperLetter"/>
      <w:start w:val="25"/>
    </w:lvl>
  </w:abstractNum>
  <w:abstractNum w:abstractNumId="356">
    <w:nsid w:val="CFD4EA7"/>
    <w:multiLevelType w:val="hybridMultilevel"/>
    <w:lvl w:ilvl="0">
      <w:lvlJc w:val="left"/>
      <w:lvlText w:val="[%1]"/>
      <w:numFmt w:val="upperLetter"/>
      <w:start w:val="14"/>
    </w:lvl>
  </w:abstractNum>
  <w:abstractNum w:abstractNumId="357">
    <w:nsid w:val="232FCF4D"/>
    <w:multiLevelType w:val="hybridMultilevel"/>
    <w:lvl w:ilvl="0">
      <w:lvlJc w:val="left"/>
      <w:lvlText w:val="[%1]"/>
      <w:numFmt w:val="upperLetter"/>
      <w:start w:val="14"/>
    </w:lvl>
  </w:abstractNum>
  <w:abstractNum w:abstractNumId="358">
    <w:nsid w:val="1EA21031"/>
    <w:multiLevelType w:val="hybridMultilevel"/>
    <w:lvl w:ilvl="0">
      <w:lvlJc w:val="left"/>
      <w:lvlText w:val="[%1]"/>
      <w:numFmt w:val="upperLetter"/>
      <w:start w:val="14"/>
    </w:lvl>
  </w:abstractNum>
  <w:abstractNum w:abstractNumId="359">
    <w:nsid w:val="67A5A6B5"/>
    <w:multiLevelType w:val="hybridMultilevel"/>
    <w:lvl w:ilvl="0">
      <w:lvlJc w:val="left"/>
      <w:lvlText w:val="[%1]"/>
      <w:numFmt w:val="upperLetter"/>
      <w:start w:val="14"/>
    </w:lvl>
  </w:abstractNum>
  <w:abstractNum w:abstractNumId="360">
    <w:nsid w:val="C2A5C5B"/>
    <w:multiLevelType w:val="hybridMultilevel"/>
    <w:lvl w:ilvl="0">
      <w:lvlJc w:val="left"/>
      <w:lvlText w:val="[%1]"/>
      <w:numFmt w:val="upperLetter"/>
      <w:start w:val="14"/>
    </w:lvl>
  </w:abstractNum>
  <w:abstractNum w:abstractNumId="361">
    <w:nsid w:val="5F94DC03"/>
    <w:multiLevelType w:val="hybridMultilevel"/>
    <w:lvl w:ilvl="0">
      <w:lvlJc w:val="left"/>
      <w:lvlText w:val="[%1]"/>
      <w:numFmt w:val="upperLetter"/>
      <w:start w:val="14"/>
    </w:lvl>
  </w:abstractNum>
  <w:abstractNum w:abstractNumId="362">
    <w:nsid w:val="237BBCA0"/>
    <w:multiLevelType w:val="hybridMultilevel"/>
    <w:lvl w:ilvl="0">
      <w:lvlJc w:val="left"/>
      <w:lvlText w:val="[%1]"/>
      <w:numFmt w:val="upperLetter"/>
      <w:start w:val="25"/>
    </w:lvl>
  </w:abstractNum>
  <w:abstractNum w:abstractNumId="363">
    <w:nsid w:val="162EB70D"/>
    <w:multiLevelType w:val="hybridMultilevel"/>
    <w:lvl w:ilvl="0">
      <w:lvlJc w:val="left"/>
      <w:lvlText w:val="[%1]"/>
      <w:numFmt w:val="upperLetter"/>
      <w:start w:val="14"/>
    </w:lvl>
  </w:abstractNum>
  <w:abstractNum w:abstractNumId="364">
    <w:nsid w:val="78070222"/>
    <w:multiLevelType w:val="hybridMultilevel"/>
    <w:lvl w:ilvl="0">
      <w:lvlJc w:val="left"/>
      <w:lvlText w:val="[%1]"/>
      <w:numFmt w:val="upperLetter"/>
      <w:start w:val="25"/>
    </w:lvl>
  </w:abstractNum>
  <w:abstractNum w:abstractNumId="365">
    <w:nsid w:val="6163ED0D"/>
    <w:multiLevelType w:val="hybridMultilevel"/>
    <w:lvl w:ilvl="0">
      <w:lvlJc w:val="left"/>
      <w:lvlText w:val="[%1]"/>
      <w:numFmt w:val="upperLetter"/>
      <w:start w:val="25"/>
    </w:lvl>
  </w:abstractNum>
  <w:abstractNum w:abstractNumId="366">
    <w:nsid w:val="C600E47"/>
    <w:multiLevelType w:val="hybridMultilevel"/>
    <w:lvl w:ilvl="0">
      <w:lvlJc w:val="left"/>
      <w:lvlText w:val="[%1]"/>
      <w:numFmt w:val="upperLetter"/>
      <w:start w:val="14"/>
    </w:lvl>
  </w:abstractNum>
  <w:abstractNum w:abstractNumId="367">
    <w:nsid w:val="7D94F75D"/>
    <w:multiLevelType w:val="hybridMultilevel"/>
    <w:lvl w:ilvl="0">
      <w:lvlJc w:val="left"/>
      <w:lvlText w:val="[%1]"/>
      <w:numFmt w:val="upperLetter"/>
      <w:start w:val="25"/>
    </w:lvl>
  </w:abstractNum>
  <w:abstractNum w:abstractNumId="368">
    <w:nsid w:val="6C31E7CD"/>
    <w:multiLevelType w:val="hybridMultilevel"/>
    <w:lvl w:ilvl="0">
      <w:lvlJc w:val="left"/>
      <w:lvlText w:val="*"/>
      <w:numFmt w:val="bullet"/>
      <w:start w:val="1"/>
    </w:lvl>
  </w:abstractNum>
  <w:abstractNum w:abstractNumId="369">
    <w:nsid w:val="2BB7929B"/>
    <w:multiLevelType w:val="hybridMultilevel"/>
    <w:lvl w:ilvl="0">
      <w:lvlJc w:val="left"/>
      <w:lvlText w:val="*"/>
      <w:numFmt w:val="bullet"/>
      <w:start w:val="1"/>
    </w:lvl>
  </w:abstractNum>
  <w:abstractNum w:abstractNumId="370">
    <w:nsid w:val="58A2A487"/>
    <w:multiLevelType w:val="hybridMultilevel"/>
    <w:lvl w:ilvl="0">
      <w:lvlJc w:val="left"/>
      <w:lvlText w:val="(%1)"/>
      <w:numFmt w:val="lowerLetter"/>
      <w:start w:val="1"/>
    </w:lvl>
  </w:abstractNum>
  <w:abstractNum w:abstractNumId="371">
    <w:nsid w:val="3A6F0E78"/>
    <w:multiLevelType w:val="hybridMultilevel"/>
    <w:lvl w:ilvl="0">
      <w:lvlJc w:val="left"/>
      <w:lvlText w:val="1"/>
      <w:numFmt w:val="bullet"/>
      <w:start w:val="1"/>
    </w:lvl>
  </w:abstractNum>
  <w:abstractNum w:abstractNumId="372">
    <w:nsid w:val="379A5B56"/>
    <w:multiLevelType w:val="hybridMultilevel"/>
    <w:lvl w:ilvl="0">
      <w:lvlJc w:val="left"/>
      <w:lvlText w:val="%1."/>
      <w:numFmt w:val="decimal"/>
      <w:start w:val="1"/>
    </w:lvl>
  </w:abstractNum>
  <w:abstractNum w:abstractNumId="373">
    <w:nsid w:val="53B735D5"/>
    <w:multiLevelType w:val="hybridMultilevel"/>
    <w:lvl w:ilvl="0">
      <w:lvlJc w:val="left"/>
      <w:lvlText w:val="(%1)"/>
      <w:numFmt w:val="lowerLetter"/>
      <w:start w:val="1"/>
    </w:lvl>
  </w:abstractNum>
  <w:abstractNum w:abstractNumId="374">
    <w:nsid w:val="29784870"/>
    <w:multiLevelType w:val="hybridMultilevel"/>
    <w:lvl w:ilvl="0">
      <w:lvlJc w:val="left"/>
      <w:lvlText w:val="(%1)"/>
      <w:numFmt w:val="lowerLetter"/>
      <w:start w:val="5"/>
    </w:lvl>
  </w:abstractNum>
  <w:abstractNum w:abstractNumId="375">
    <w:nsid w:val="4CDCED4C"/>
    <w:multiLevelType w:val="hybridMultilevel"/>
    <w:lvl w:ilvl="0">
      <w:lvlJc w:val="left"/>
      <w:lvlText w:val="(%1)"/>
      <w:numFmt w:val="lowerLetter"/>
      <w:start w:val="1"/>
    </w:lvl>
  </w:abstractNum>
  <w:abstractNum w:abstractNumId="376">
    <w:nsid w:val="10A30D9C"/>
    <w:multiLevelType w:val="hybridMultilevel"/>
    <w:lvl w:ilvl="0">
      <w:lvlJc w:val="left"/>
      <w:lvlText w:val="2"/>
      <w:numFmt w:val="bullet"/>
      <w:start w:val="1"/>
    </w:lvl>
  </w:abstractNum>
  <w:abstractNum w:abstractNumId="377">
    <w:nsid w:val="A66E486"/>
    <w:multiLevelType w:val="hybridMultilevel"/>
    <w:lvl w:ilvl="0">
      <w:lvlJc w:val="left"/>
      <w:lvlText w:val="(%1)"/>
      <w:numFmt w:val="lowerLetter"/>
      <w:start w:val="3"/>
    </w:lvl>
    <w:lvl w:ilvl="1">
      <w:lvlJc w:val="left"/>
      <w:lvlText w:val="(%2)"/>
      <w:numFmt w:val="lowerRoman"/>
      <w:start w:val="1"/>
    </w:lvl>
  </w:abstractNum>
  <w:abstractNum w:abstractNumId="378">
    <w:nsid w:val="306235EA"/>
    <w:multiLevelType w:val="hybridMultilevel"/>
    <w:lvl w:ilvl="0">
      <w:lvlJc w:val="left"/>
      <w:lvlText w:val="%1."/>
      <w:numFmt w:val="decimal"/>
      <w:start w:val="1"/>
    </w:lvl>
  </w:abstractNum>
  <w:abstractNum w:abstractNumId="379">
    <w:nsid w:val="1187C70F"/>
    <w:multiLevelType w:val="hybridMultilevel"/>
    <w:lvl w:ilvl="0">
      <w:lvlJc w:val="left"/>
      <w:lvlText w:val="%1."/>
      <w:numFmt w:val="decimal"/>
      <w:start w:val="2"/>
    </w:lvl>
  </w:abstractNum>
  <w:abstractNum w:abstractNumId="380">
    <w:nsid w:val="5476DE98"/>
    <w:multiLevelType w:val="hybridMultilevel"/>
    <w:lvl w:ilvl="0">
      <w:lvlJc w:val="left"/>
      <w:lvlText w:val="%1."/>
      <w:numFmt w:val="decimal"/>
      <w:start w:val="1"/>
    </w:lvl>
    <w:lvl w:ilvl="1">
      <w:lvlJc w:val="left"/>
      <w:lvlText w:val="(%2)"/>
      <w:numFmt w:val="lowerLetter"/>
      <w:start w:val="1"/>
    </w:lvl>
  </w:abstractNum>
  <w:abstractNum w:abstractNumId="381">
    <w:nsid w:val="EA697F2"/>
    <w:multiLevelType w:val="hybridMultilevel"/>
    <w:lvl w:ilvl="0">
      <w:lvlJc w:val="left"/>
      <w:lvlText w:val="%1."/>
      <w:numFmt w:val="decimal"/>
      <w:start w:val="1"/>
    </w:lvl>
  </w:abstractNum>
  <w:abstractNum w:abstractNumId="382">
    <w:nsid w:val="70BA39EB"/>
    <w:multiLevelType w:val="hybridMultilevel"/>
    <w:lvl w:ilvl="0">
      <w:lvlJc w:val="left"/>
      <w:lvlText w:val="%1."/>
      <w:numFmt w:val="decimal"/>
      <w:start w:val="3"/>
    </w:lvl>
  </w:abstractNum>
  <w:abstractNum w:abstractNumId="383">
    <w:nsid w:val="4A8DB59C"/>
    <w:multiLevelType w:val="hybridMultilevel"/>
    <w:lvl w:ilvl="0">
      <w:lvlJc w:val="left"/>
      <w:lvlText w:val="%1."/>
      <w:numFmt w:val="decimal"/>
      <w:start w:val="1"/>
    </w:lvl>
  </w:abstractNum>
  <w:abstractNum w:abstractNumId="384">
    <w:nsid w:val="1AFD9053"/>
    <w:multiLevelType w:val="hybridMultilevel"/>
    <w:lvl w:ilvl="0">
      <w:lvlJc w:val="left"/>
      <w:lvlText w:val="3"/>
      <w:numFmt w:val="bullet"/>
      <w:start w:val="1"/>
    </w:lvl>
  </w:abstractNum>
  <w:abstractNum w:abstractNumId="385">
    <w:nsid w:val="558BB10D"/>
    <w:multiLevelType w:val="hybridMultilevel"/>
    <w:lvl w:ilvl="0">
      <w:lvlJc w:val="left"/>
      <w:lvlText w:val="%1."/>
      <w:numFmt w:val="decimal"/>
      <w:start w:val="4"/>
    </w:lvl>
  </w:abstractNum>
  <w:abstractNum w:abstractNumId="386">
    <w:nsid w:val="43B27FA7"/>
    <w:multiLevelType w:val="hybridMultilevel"/>
    <w:lvl w:ilvl="0">
      <w:lvlJc w:val="left"/>
      <w:lvlText w:val="%1."/>
      <w:numFmt w:val="decimal"/>
      <w:start w:val="1"/>
    </w:lvl>
  </w:abstractNum>
  <w:abstractNum w:abstractNumId="387">
    <w:nsid w:val="27FADEFA"/>
    <w:multiLevelType w:val="hybridMultilevel"/>
    <w:lvl w:ilvl="0">
      <w:lvlJc w:val="left"/>
      <w:lvlText w:val="(%1)"/>
      <w:numFmt w:val="lowerLetter"/>
      <w:start w:val="1"/>
    </w:lvl>
  </w:abstractNum>
  <w:abstractNum w:abstractNumId="388">
    <w:nsid w:val="78BB805A"/>
    <w:multiLevelType w:val="hybridMultilevel"/>
    <w:lvl w:ilvl="0">
      <w:lvlJc w:val="left"/>
      <w:lvlText w:val="4"/>
      <w:numFmt w:val="bullet"/>
      <w:start w:val="1"/>
    </w:lvl>
  </w:abstractNum>
  <w:abstractNum w:abstractNumId="389">
    <w:nsid w:val="62548FD8"/>
    <w:multiLevelType w:val="hybridMultilevel"/>
    <w:lvl w:ilvl="0">
      <w:lvlJc w:val="left"/>
      <w:lvlText w:val="%1."/>
      <w:numFmt w:val="decimal"/>
      <w:start w:val="1"/>
    </w:lvl>
    <w:lvl w:ilvl="1">
      <w:lvlJc w:val="left"/>
      <w:lvlText w:val="%2."/>
      <w:numFmt w:val="lowerLetter"/>
      <w:start w:val="1"/>
    </w:lvl>
  </w:abstractNum>
  <w:abstractNum w:abstractNumId="390">
    <w:nsid w:val="FA085B0"/>
    <w:multiLevelType w:val="hybridMultilevel"/>
    <w:lvl w:ilvl="0">
      <w:lvlJc w:val="left"/>
      <w:lvlText w:val="%1."/>
      <w:numFmt w:val="decimal"/>
      <w:start w:val="2"/>
    </w:lvl>
  </w:abstractNum>
  <w:abstractNum w:abstractNumId="391">
    <w:nsid w:val="4E5DCB5"/>
    <w:multiLevelType w:val="hybridMultilevel"/>
    <w:lvl w:ilvl="0">
      <w:lvlJc w:val="left"/>
      <w:lvlText w:val="[***]"/>
      <w:numFmt w:val="bullet"/>
      <w:start w:val="1"/>
    </w:lvl>
  </w:abstractNum>
  <w:abstractNum w:abstractNumId="392">
    <w:nsid w:val="41E96BDB"/>
    <w:multiLevelType w:val="hybridMultilevel"/>
    <w:lvl w:ilvl="0">
      <w:lvlJc w:val="left"/>
      <w:lvlText w:val="(%1)"/>
      <w:numFmt w:val="lowerRoman"/>
      <w:start w:val="3"/>
    </w:lvl>
  </w:abstractNum>
  <w:abstractNum w:abstractNumId="393">
    <w:nsid w:val="331C4250"/>
    <w:multiLevelType w:val="hybridMultilevel"/>
    <w:lvl w:ilvl="0">
      <w:lvlJc w:val="left"/>
      <w:lvlText w:val="%1."/>
      <w:numFmt w:val="decimal"/>
      <w:start w:val="3"/>
    </w:lvl>
  </w:abstractNum>
  <w:abstractNum w:abstractNumId="394">
    <w:nsid w:val="1B1493C2"/>
    <w:multiLevelType w:val="hybridMultilevel"/>
    <w:lvl w:ilvl="0">
      <w:lvlJc w:val="left"/>
      <w:lvlText w:val="%1."/>
      <w:numFmt w:val="decimal"/>
      <w:start w:val="4"/>
    </w:lvl>
  </w:abstractNum>
  <w:abstractNum w:abstractNumId="395">
    <w:nsid w:val="39F06DFD"/>
    <w:multiLevelType w:val="hybridMultilevel"/>
    <w:lvl w:ilvl="0">
      <w:lvlJc w:val="left"/>
      <w:lvlText w:val="%1."/>
      <w:numFmt w:val="decimal"/>
      <w:start w:val="5"/>
    </w:lvl>
    <w:lvl w:ilvl="1">
      <w:lvlJc w:val="left"/>
      <w:lvlText w:val="%2."/>
      <w:numFmt w:val="lowerLetter"/>
      <w:start w:val="1"/>
    </w:lvl>
  </w:abstractNum>
  <w:abstractNum w:abstractNumId="396">
    <w:nsid w:val="14802F5D"/>
    <w:multiLevelType w:val="hybridMultilevel"/>
    <w:lvl w:ilvl="0">
      <w:lvlJc w:val="left"/>
      <w:lvlText w:val="%1"/>
      <w:numFmt w:val="lowerLetter"/>
      <w:start w:val="1"/>
    </w:lvl>
    <w:lvl w:ilvl="1">
      <w:lvlJc w:val="left"/>
      <w:lvlText w:val="%2."/>
      <w:numFmt w:val="decimal"/>
      <w:start w:val="1"/>
    </w:lvl>
  </w:abstractNum>
  <w:abstractNum w:abstractNumId="397">
    <w:nsid w:val="2774A209"/>
    <w:multiLevelType w:val="hybridMultilevel"/>
    <w:lvl w:ilvl="0">
      <w:lvlJc w:val="left"/>
      <w:lvlText w:val="%1."/>
      <w:numFmt w:val="lowerLetter"/>
      <w:start w:val="4"/>
    </w:lvl>
    <w:lvl w:ilvl="1">
      <w:lvlJc w:val="left"/>
      <w:lvlText w:val="%2"/>
      <w:numFmt w:val="decimal"/>
      <w:start w:val="1"/>
    </w:lvl>
  </w:abstractNum>
  <w:abstractNum w:abstractNumId="398">
    <w:nsid w:val="3785655A"/>
    <w:multiLevelType w:val="hybridMultilevel"/>
    <w:lvl w:ilvl="0">
      <w:lvlJc w:val="left"/>
      <w:lvlText w:val="%1."/>
      <w:numFmt w:val="decimal"/>
      <w:start w:val="6"/>
    </w:lvl>
    <w:lvl w:ilvl="1">
      <w:lvlJc w:val="left"/>
      <w:lvlText w:val="%2."/>
      <w:numFmt w:val="lowerLetter"/>
      <w:start w:val="1"/>
    </w:lvl>
  </w:abstractNum>
  <w:abstractNum w:abstractNumId="399">
    <w:nsid w:val="B2172A"/>
    <w:multiLevelType w:val="hybridMultilevel"/>
    <w:lvl w:ilvl="0">
      <w:lvlJc w:val="left"/>
      <w:lvlText w:val="%1"/>
      <w:numFmt w:val="decimal"/>
      <w:start w:val="1"/>
    </w:lvl>
    <w:lvl w:ilvl="1">
      <w:lvlJc w:val="left"/>
      <w:lvlText w:val="%2."/>
      <w:numFmt w:val="decimal"/>
      <w:start w:val="1"/>
    </w:lvl>
  </w:abstractNum>
  <w:abstractNum w:abstractNumId="400">
    <w:nsid w:val="532C34A5"/>
    <w:multiLevelType w:val="hybridMultilevel"/>
    <w:lvl w:ilvl="0">
      <w:lvlJc w:val="left"/>
      <w:lvlText w:val="%1."/>
      <w:numFmt w:val="decimal"/>
      <w:start w:val="7"/>
    </w:lvl>
    <w:lvl w:ilvl="1">
      <w:lvlJc w:val="left"/>
      <w:lvlText w:val="%2"/>
      <w:numFmt w:val="decimal"/>
      <w:start w:val="1"/>
    </w:lvl>
  </w:abstractNum>
  <w:abstractNum w:abstractNumId="401">
    <w:nsid w:val="102809E2"/>
    <w:multiLevelType w:val="hybridMultilevel"/>
    <w:lvl w:ilvl="0">
      <w:lvlJc w:val="left"/>
      <w:lvlText w:val="%1."/>
      <w:numFmt w:val="decimal"/>
      <w:start w:val="1"/>
    </w:lvl>
    <w:lvl w:ilvl="1">
      <w:lvlJc w:val="left"/>
      <w:lvlText w:val="%2"/>
      <w:numFmt w:val="lowerLetter"/>
      <w:start w:val="1"/>
    </w:lvl>
  </w:abstractNum>
  <w:abstractNum w:abstractNumId="402">
    <w:nsid w:val="3B2125A3"/>
    <w:multiLevelType w:val="hybridMultilevel"/>
    <w:lvl w:ilvl="0">
      <w:lvlJc w:val="left"/>
      <w:lvlText w:val="%1."/>
      <w:numFmt w:val="decimal"/>
      <w:start w:val="2"/>
    </w:lvl>
  </w:abstractNum>
  <w:abstractNum w:abstractNumId="403">
    <w:nsid w:val="AC68FFB"/>
    <w:multiLevelType w:val="hybridMultilevel"/>
    <w:lvl w:ilvl="0">
      <w:lvlJc w:val="left"/>
      <w:lvlText w:val="%1."/>
      <w:numFmt w:val="decimal"/>
      <w:start w:val="1"/>
    </w:lvl>
    <w:lvl w:ilvl="1">
      <w:lvlJc w:val="left"/>
      <w:lvlText w:val="%2."/>
      <w:numFmt w:val="lowerLetter"/>
      <w:start w:val="3"/>
    </w:lvl>
  </w:abstractNum>
  <w:abstractNum w:abstractNumId="404">
    <w:nsid w:val="63DF3FB7"/>
    <w:multiLevelType w:val="hybridMultilevel"/>
    <w:lvl w:ilvl="0">
      <w:lvlJc w:val="left"/>
      <w:lvlText w:val="%1."/>
      <w:numFmt w:val="lowerLetter"/>
      <w:start w:val="4"/>
    </w:lvl>
  </w:abstractNum>
  <w:abstractNum w:abstractNumId="405">
    <w:nsid w:val="64996E13"/>
    <w:multiLevelType w:val="hybridMultilevel"/>
    <w:lvl w:ilvl="0">
      <w:lvlJc w:val="left"/>
      <w:lvlText w:val="%1."/>
      <w:numFmt w:val="lowerLetter"/>
      <w:start w:val="5"/>
    </w:lvl>
    <w:lvl w:ilvl="1">
      <w:lvlJc w:val="left"/>
      <w:lvlText w:val="%2."/>
      <w:numFmt w:val="lowerRoman"/>
      <w:start w:val="1"/>
    </w:lvl>
  </w:abstractNum>
  <w:abstractNum w:abstractNumId="406">
    <w:nsid w:val="57A37D47"/>
    <w:multiLevelType w:val="hybridMultilevel"/>
    <w:lvl w:ilvl="0">
      <w:lvlJc w:val="left"/>
      <w:lvlText w:val="%1."/>
      <w:numFmt w:val="decimal"/>
      <w:start w:val="1"/>
    </w:lvl>
  </w:abstractNum>
  <w:abstractNum w:abstractNumId="407">
    <w:nsid w:val="74824D54"/>
    <w:multiLevelType w:val="hybridMultilevel"/>
    <w:lvl w:ilvl="0">
      <w:lvlJc w:val="left"/>
      <w:lvlText w:val="(%1)"/>
      <w:numFmt w:val="decimal"/>
      <w:start w:val="2"/>
    </w:lvl>
    <w:lvl w:ilvl="1">
      <w:lvlJc w:val="left"/>
      <w:lvlText w:val="(%2)"/>
      <w:numFmt w:val="lowerRoman"/>
      <w:start w:val="1"/>
    </w:lvl>
  </w:abstractNum>
  <w:abstractNum w:abstractNumId="408">
    <w:nsid w:val="6F00529A"/>
    <w:multiLevelType w:val="hybridMultilevel"/>
    <w:lvl w:ilvl="0">
      <w:lvlJc w:val="left"/>
      <w:lvlText w:val="1"/>
      <w:numFmt w:val="bullet"/>
      <w:start w:val="1"/>
    </w:lvl>
  </w:abstractNum>
  <w:abstractNum w:abstractNumId="409">
    <w:nsid w:val="805B331"/>
    <w:multiLevelType w:val="hybridMultilevel"/>
    <w:lvl w:ilvl="0">
      <w:lvlJc w:val="left"/>
      <w:lvlText w:val="2"/>
      <w:numFmt w:val="bullet"/>
      <w:start w:val="1"/>
    </w:lvl>
  </w:abstractNum>
  <w:abstractNum w:abstractNumId="410">
    <w:nsid w:val="60A1463"/>
    <w:multiLevelType w:val="hybridMultilevel"/>
    <w:lvl w:ilvl="0">
      <w:lvlJc w:val="left"/>
      <w:lvlText w:val="(%1)"/>
      <w:numFmt w:val="lowerLetter"/>
      <w:start w:val="1"/>
    </w:lvl>
  </w:abstractNum>
  <w:abstractNum w:abstractNumId="411">
    <w:nsid w:val="43773132"/>
    <w:multiLevelType w:val="hybridMultilevel"/>
    <w:lvl w:ilvl="0">
      <w:lvlJc w:val="left"/>
      <w:lvlText w:val="(%1)"/>
      <w:numFmt w:val="lowerRoman"/>
      <w:start w:val="1"/>
    </w:lvl>
  </w:abstractNum>
  <w:abstractNum w:abstractNumId="412">
    <w:nsid w:val="16AC4B23"/>
    <w:multiLevelType w:val="hybridMultilevel"/>
    <w:lvl w:ilvl="0">
      <w:lvlJc w:val="left"/>
      <w:lvlText w:val="(%1)"/>
      <w:numFmt w:val="lowerLetter"/>
      <w:start w:val="1"/>
    </w:lvl>
  </w:abstractNum>
  <w:abstractNum w:abstractNumId="413">
    <w:nsid w:val="76C44E4E"/>
    <w:multiLevelType w:val="hybridMultilevel"/>
    <w:lvl w:ilvl="0">
      <w:lvlJc w:val="left"/>
      <w:lvlText w:val="(%1)"/>
      <w:numFmt w:val="lowerLetter"/>
      <w:start w:val="1"/>
    </w:lvl>
  </w:abstractNum>
  <w:abstractNum w:abstractNumId="414">
    <w:nsid w:val="E04E6CE"/>
    <w:multiLevelType w:val="hybridMultilevel"/>
    <w:lvl w:ilvl="0">
      <w:lvlJc w:val="left"/>
      <w:lvlText w:val="(%1)"/>
      <w:numFmt w:val="lowerLetter"/>
      <w:start w:val="1"/>
    </w:lvl>
  </w:abstractNum>
  <w:abstractNum w:abstractNumId="415">
    <w:nsid w:val="31A9DB76"/>
    <w:multiLevelType w:val="hybridMultilevel"/>
    <w:lvl w:ilvl="0">
      <w:lvlJc w:val="left"/>
      <w:lvlText w:val="3"/>
      <w:numFmt w:val="bullet"/>
      <w:start w:val="1"/>
    </w:lvl>
  </w:abstractNum>
  <w:abstractNum w:abstractNumId="416">
    <w:nsid w:val="4C4FFF5B"/>
    <w:multiLevelType w:val="hybridMultilevel"/>
    <w:lvl w:ilvl="0">
      <w:lvlJc w:val="left"/>
      <w:lvlText w:val="(%1)"/>
      <w:numFmt w:val="lowerLetter"/>
      <w:start w:val="1"/>
    </w:lvl>
  </w:abstractNum>
  <w:abstractNum w:abstractNumId="417">
    <w:nsid w:val="51B76675"/>
    <w:multiLevelType w:val="hybridMultilevel"/>
    <w:lvl w:ilvl="0">
      <w:lvlJc w:val="left"/>
      <w:lvlText w:val="(%1)"/>
      <w:numFmt w:val="lowerLetter"/>
      <w:start w:val="2"/>
    </w:lvl>
    <w:lvl w:ilvl="1">
      <w:lvlJc w:val="left"/>
      <w:lvlText w:val="(%2)"/>
      <w:numFmt w:val="lowerRoman"/>
      <w:start w:val="1"/>
    </w:lvl>
  </w:abstractNum>
  <w:abstractNum w:abstractNumId="418">
    <w:nsid w:val="59A4BA71"/>
    <w:multiLevelType w:val="hybridMultilevel"/>
    <w:lvl w:ilvl="0">
      <w:lvlJc w:val="left"/>
      <w:lvlText w:val="(%1)"/>
      <w:numFmt w:val="lowerLetter"/>
      <w:start w:val="1"/>
    </w:lvl>
  </w:abstractNum>
  <w:abstractNum w:abstractNumId="419">
    <w:nsid w:val="450B7FB6"/>
    <w:multiLevelType w:val="hybridMultilevel"/>
    <w:lvl w:ilvl="0">
      <w:lvlJc w:val="left"/>
      <w:lvlText w:val="(%1)"/>
      <w:numFmt w:val="lowerLetter"/>
      <w:start w:val="7"/>
    </w:lvl>
  </w:abstractNum>
  <w:abstractNum w:abstractNumId="420">
    <w:nsid w:val="340BF64D"/>
    <w:multiLevelType w:val="hybridMultilevel"/>
    <w:lvl w:ilvl="0">
      <w:lvlJc w:val="left"/>
      <w:lvlText w:val="4"/>
      <w:numFmt w:val="bullet"/>
      <w:start w:val="1"/>
    </w:lvl>
  </w:abstractNum>
  <w:abstractNum w:abstractNumId="421">
    <w:nsid w:val="69454021"/>
    <w:multiLevelType w:val="hybridMultilevel"/>
    <w:lvl w:ilvl="0">
      <w:lvlJc w:val="left"/>
      <w:lvlText w:val="%1."/>
      <w:numFmt w:val="decimal"/>
      <w:start w:val="1"/>
    </w:lvl>
  </w:abstractNum>
  <w:abstractNum w:abstractNumId="422">
    <w:nsid w:val="49F15C6B"/>
    <w:multiLevelType w:val="hybridMultilevel"/>
    <w:lvl w:ilvl="0">
      <w:lvlJc w:val="left"/>
      <w:lvlText w:val="%1."/>
      <w:numFmt w:val="decimal"/>
      <w:start w:val="1"/>
    </w:lvl>
  </w:abstractNum>
  <w:abstractNum w:abstractNumId="423">
    <w:nsid w:val="75F56228"/>
    <w:multiLevelType w:val="hybridMultilevel"/>
    <w:lvl w:ilvl="0">
      <w:lvlJc w:val="left"/>
      <w:lvlText w:val="%1."/>
      <w:numFmt w:val="decimal"/>
      <w:start w:val="1"/>
    </w:lvl>
    <w:lvl w:ilvl="1">
      <w:lvlJc w:val="left"/>
      <w:lvlText w:val="%2."/>
      <w:numFmt w:val="lowerLetter"/>
      <w:start w:val="1"/>
    </w:lvl>
  </w:abstractNum>
  <w:abstractNum w:abstractNumId="424">
    <w:nsid w:val="1C618271"/>
    <w:multiLevelType w:val="hybridMultilevel"/>
    <w:lvl w:ilvl="0">
      <w:lvlJc w:val="left"/>
      <w:lvlText w:val="%1."/>
      <w:numFmt w:val="decimal"/>
      <w:start w:val="1"/>
    </w:lvl>
    <w:lvl w:ilvl="1">
      <w:lvlJc w:val="left"/>
      <w:lvlText w:val="%2."/>
      <w:numFmt w:val="lowerLetter"/>
      <w:start w:val="1"/>
    </w:lvl>
  </w:abstractNum>
  <w:abstractNum w:abstractNumId="425">
    <w:nsid w:val="6505F02E"/>
    <w:multiLevelType w:val="hybridMultilevel"/>
    <w:lvl w:ilvl="0">
      <w:lvlJc w:val="left"/>
      <w:lvlText w:val="%1."/>
      <w:numFmt w:val="lowerLetter"/>
      <w:start w:val="3"/>
    </w:lvl>
  </w:abstractNum>
  <w:abstractNum w:abstractNumId="426">
    <w:nsid w:val="2FE5D025"/>
    <w:multiLevelType w:val="hybridMultilevel"/>
    <w:lvl w:ilvl="0">
      <w:lvlJc w:val="left"/>
      <w:lvlText w:val="%1."/>
      <w:numFmt w:val="decimal"/>
      <w:start w:val="5"/>
    </w:lvl>
    <w:lvl w:ilvl="1">
      <w:lvlJc w:val="left"/>
      <w:lvlText w:val="%2."/>
      <w:numFmt w:val="lowerLetter"/>
      <w:start w:val="1"/>
    </w:lvl>
  </w:abstractNum>
  <w:abstractNum w:abstractNumId="427">
    <w:nsid w:val="30E1B1CF"/>
    <w:multiLevelType w:val="hybridMultilevel"/>
    <w:lvl w:ilvl="0">
      <w:lvlJc w:val="left"/>
      <w:lvlText w:val="%1."/>
      <w:numFmt w:val="lowerLetter"/>
      <w:start w:val="5"/>
    </w:lvl>
  </w:abstractNum>
  <w:abstractNum w:abstractNumId="428">
    <w:nsid w:val="C7A9237"/>
    <w:multiLevelType w:val="hybridMultilevel"/>
    <w:lvl w:ilvl="0">
      <w:lvlJc w:val="left"/>
      <w:lvlText w:val="%1."/>
      <w:numFmt w:val="lowerRoman"/>
      <w:start w:val="1"/>
    </w:lvl>
  </w:abstractNum>
  <w:abstractNum w:abstractNumId="429">
    <w:nsid w:val="676B3580"/>
    <w:multiLevelType w:val="hybridMultilevel"/>
    <w:lvl w:ilvl="0">
      <w:lvlJc w:val="left"/>
      <w:lvlText w:val="%1."/>
      <w:numFmt w:val="lowerRoman"/>
      <w:start w:val="2"/>
    </w:lvl>
  </w:abstractNum>
  <w:abstractNum w:abstractNumId="430">
    <w:nsid w:val="3193C8F9"/>
    <w:multiLevelType w:val="hybridMultilevel"/>
    <w:lvl w:ilvl="0">
      <w:lvlJc w:val="left"/>
      <w:lvlText w:val="%1."/>
      <w:numFmt w:val="lowerRoman"/>
      <w:start w:val="6"/>
    </w:lvl>
  </w:abstractNum>
  <w:abstractNum w:abstractNumId="431">
    <w:nsid w:val="5FA6C6D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8"/>
    </w:lvl>
    <w:lvl w:ilvl="3">
      <w:lvlJc w:val="left"/>
      <w:lvlText w:val="%4"/>
      <w:numFmt w:val="lowerLetter"/>
      <w:start w:val="1"/>
    </w:lvl>
  </w:abstractNum>
  <w:abstractNum w:abstractNumId="432">
    <w:nsid w:val="77933F62"/>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9"/>
    </w:lvl>
    <w:lvl w:ilvl="3">
      <w:lvlJc w:val="left"/>
      <w:lvlText w:val="%4)"/>
      <w:numFmt w:val="lowerLetter"/>
      <w:start w:val="1"/>
    </w:lvl>
  </w:abstractNum>
  <w:abstractNum w:abstractNumId="433">
    <w:nsid w:val="6CB4EE9C"/>
    <w:multiLevelType w:val="hybridMultilevel"/>
    <w:lvl w:ilvl="0">
      <w:lvlJc w:val="left"/>
      <w:lvlText w:val="%1."/>
      <w:numFmt w:val="lowerRoman"/>
      <w:start w:val="2"/>
    </w:lvl>
  </w:abstractNum>
  <w:abstractNum w:abstractNumId="434">
    <w:nsid w:val="6A6D56D7"/>
    <w:multiLevelType w:val="hybridMultilevel"/>
    <w:lvl w:ilvl="0">
      <w:lvlJc w:val="left"/>
      <w:lvlText w:val="%1"/>
      <w:numFmt w:val="decimal"/>
      <w:start w:val="1"/>
    </w:lvl>
    <w:lvl w:ilvl="1">
      <w:lvlJc w:val="left"/>
      <w:lvlText w:val="%2)"/>
      <w:numFmt w:val="lowerLetter"/>
      <w:start w:val="1"/>
    </w:lvl>
  </w:abstractNum>
  <w:abstractNum w:abstractNumId="435">
    <w:nsid w:val="5B727F19"/>
    <w:multiLevelType w:val="hybridMultilevel"/>
    <w:lvl w:ilvl="0">
      <w:lvlJc w:val="left"/>
      <w:lvlText w:val="%1."/>
      <w:numFmt w:val="decimal"/>
      <w:start w:val="7"/>
    </w:lvl>
    <w:lvl w:ilvl="1">
      <w:lvlJc w:val="left"/>
      <w:lvlText w:val="%2"/>
      <w:numFmt w:val="lowerLetter"/>
      <w:start w:val="1"/>
    </w:lvl>
  </w:abstractNum>
  <w:abstractNum w:abstractNumId="436">
    <w:nsid w:val="514E5CB0"/>
    <w:multiLevelType w:val="hybridMultilevel"/>
    <w:lvl w:ilvl="0">
      <w:lvlJc w:val="left"/>
      <w:lvlText w:val="%1."/>
      <w:numFmt w:val="lowerLetter"/>
      <w:start w:val="1"/>
    </w:lvl>
  </w:abstractNum>
  <w:abstractNum w:abstractNumId="437">
    <w:nsid w:val="4210D41E"/>
    <w:multiLevelType w:val="hybridMultilevel"/>
    <w:lvl w:ilvl="0">
      <w:lvlJc w:val="left"/>
      <w:lvlText w:val="%1."/>
      <w:numFmt w:val="decimal"/>
      <w:start w:val="8"/>
    </w:lvl>
  </w:abstractNum>
  <w:abstractNum w:abstractNumId="438">
    <w:nsid w:val="4FF4CC6D"/>
    <w:multiLevelType w:val="hybridMultilevel"/>
    <w:lvl w:ilvl="0">
      <w:lvlJc w:val="left"/>
      <w:lvlText w:val="%1."/>
      <w:numFmt w:val="lowerLetter"/>
      <w:start w:val="1"/>
    </w:lvl>
  </w:abstractNum>
  <w:abstractNum w:abstractNumId="439">
    <w:nsid w:val="404EAF4A"/>
    <w:multiLevelType w:val="hybridMultilevel"/>
    <w:lvl w:ilvl="0">
      <w:lvlJc w:val="left"/>
      <w:lvlText w:val="%1."/>
      <w:numFmt w:val="decimal"/>
      <w:start w:val="9"/>
    </w:lvl>
  </w:abstractNum>
  <w:abstractNum w:abstractNumId="440">
    <w:nsid w:val="4A16874F"/>
    <w:multiLevelType w:val="hybridMultilevel"/>
    <w:lvl w:ilvl="0">
      <w:lvlJc w:val="left"/>
      <w:lvlText w:val="%1."/>
      <w:numFmt w:val="lowerLetter"/>
      <w:start w:val="1"/>
    </w:lvl>
  </w:abstractNum>
  <w:abstractNum w:abstractNumId="441">
    <w:nsid w:val="55FEE0D1"/>
    <w:multiLevelType w:val="hybridMultilevel"/>
    <w:lvl w:ilvl="0">
      <w:lvlJc w:val="left"/>
      <w:lvlText w:val="%1."/>
      <w:numFmt w:val="lowerLetter"/>
      <w:start w:val="2"/>
    </w:lvl>
  </w:abstractNum>
  <w:abstractNum w:abstractNumId="442">
    <w:nsid w:val="3C5E07C"/>
    <w:multiLevelType w:val="hybridMultilevel"/>
    <w:lvl w:ilvl="0">
      <w:lvlJc w:val="left"/>
      <w:lvlText w:val="%1."/>
      <w:numFmt w:val="decimal"/>
      <w:start w:val="10"/>
    </w:lvl>
  </w:abstractNum>
  <w:abstractNum w:abstractNumId="443">
    <w:nsid w:val="60C2D273"/>
    <w:multiLevelType w:val="hybridMultilevel"/>
    <w:lvl w:ilvl="0">
      <w:lvlJc w:val="left"/>
      <w:lvlText w:val="%1."/>
      <w:numFmt w:val="decimal"/>
      <w:start w:val="1"/>
    </w:lvl>
    <w:lvl w:ilvl="1">
      <w:lvlJc w:val="left"/>
      <w:lvlText w:val="(%2)"/>
      <w:numFmt w:val="lowerLetter"/>
      <w:start w:val="1"/>
    </w:lvl>
  </w:abstractNum>
  <w:abstractNum w:abstractNumId="444">
    <w:nsid w:val="4CC32F1F"/>
    <w:multiLevelType w:val="hybridMultilevel"/>
    <w:lvl w:ilvl="0">
      <w:lvlJc w:val="left"/>
      <w:lvlText w:val="%1."/>
      <w:numFmt w:val="decimal"/>
      <w:start w:val="1"/>
    </w:lvl>
    <w:lvl w:ilvl="1">
      <w:lvlJc w:val="left"/>
      <w:lvlText w:val="(%2)"/>
      <w:numFmt w:val="lowerLetter"/>
      <w:start w:val="1"/>
    </w:lvl>
  </w:abstractNum>
  <w:abstractNum w:abstractNumId="445">
    <w:nsid w:val="11CAC74A"/>
    <w:multiLevelType w:val="hybridMultilevel"/>
    <w:lvl w:ilvl="0">
      <w:lvlJc w:val="left"/>
      <w:lvlText w:val="(%1)"/>
      <w:numFmt w:val="decimal"/>
      <w:start w:val="1"/>
    </w:lvl>
  </w:abstractNum>
  <w:abstractNum w:abstractNumId="446">
    <w:nsid w:val="126CA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9"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jpe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97" Type="http://schemas.openxmlformats.org/officeDocument/2006/relationships/hyperlink" Target="http://www.sec.gov/Archives/edgar/data/1062579/000095012309001258/y74186exv99w1.htm" TargetMode="External"/><Relationship Id="rId98" Type="http://schemas.openxmlformats.org/officeDocument/2006/relationships/hyperlink" Target="http://www.sec.gov/Archives/edgar/data/1062579/000095012310111454/y86844exv1w2.htm" TargetMode="External"/><Relationship Id="rId100" Type="http://schemas.openxmlformats.org/officeDocument/2006/relationships/hyperlink" Target="http://www.sec.gov/Archives/edgar/data/1062579/000119312520177631/d941398dex41.htm" TargetMode="External"/><Relationship Id="rId101" Type="http://schemas.openxmlformats.org/officeDocument/2006/relationships/hyperlink" Target="http://www.sec.gov/Archives/edgar/data/1062579/000119312520177631/d941398dex42.htm" TargetMode="External"/><Relationship Id="rId102" Type="http://schemas.openxmlformats.org/officeDocument/2006/relationships/hyperlink" Target="http://www.sec.gov/Archives/edgar/data/1062579/000095010320015946/dp134364_ex9901.htm" TargetMode="External"/><Relationship Id="rId103" Type="http://schemas.openxmlformats.org/officeDocument/2006/relationships/hyperlink" Target="http://www.sec.gov/Archives/edgar/data/1062579/000119312521352655/d180832dex4c.htm" TargetMode="External"/><Relationship Id="rId104" Type="http://schemas.openxmlformats.org/officeDocument/2006/relationships/hyperlink" Target="http://www.sec.gov/Archives/edgar/data/1062579/000119312521352655/d180832dex4c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2022-12-13T15:28:49Z</dcterms:created>
  <dcterms:modified xsi:type="dcterms:W3CDTF">2022-12-13T15:28:49Z</dcterms:modified>
</cp:coreProperties>
</file>