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8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For the month of November, 2015</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280"/>
        <w:spacing w:after="0" w:line="207" w:lineRule="exact"/>
        <w:tabs>
          <w:tab w:leader="none" w:pos="59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60"/>
        <w:spacing w:after="0" w:line="207" w:lineRule="exact"/>
        <w:tabs>
          <w:tab w:leader="none" w:pos="60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-10160</wp:posOffset>
            </wp:positionV>
            <wp:extent cx="457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0580"/>
          </w:cols>
          <w:pgMar w:left="240" w:top="368" w:right="1079" w:bottom="1440" w:gutter="0" w:footer="0" w:header="0"/>
        </w:sectPr>
      </w:pPr>
    </w:p>
    <w:bookmarkStart w:id="1" w:name="page2"/>
    <w:bookmarkEnd w:id="1"/>
    <w:p>
      <w:pPr>
        <w:ind w:right="40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November 10, 2015, Amdocs Limited (“Amdocs”) issued a press release announcing financial results for the quarter and fiscal year ended September 30, 2015. A copy of the press release is furnished as Exhibit 99.1 to this Report of Foreign Private Issuer on Form 6-K.</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100"/>
          </w:cols>
          <w:pgMar w:left="240" w:top="274" w:right="55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Matthew E. Smith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2015</w:t>
      </w:r>
    </w:p>
    <w:p>
      <w:pPr>
        <w:sectPr>
          <w:pgSz w:w="11900" w:h="16838" w:orient="portrait"/>
          <w:cols w:equalWidth="0" w:num="1">
            <w:col w:w="11260"/>
          </w:cols>
          <w:pgMar w:left="240" w:top="270" w:right="39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80"/>
        <w:spacing w:after="0"/>
        <w:tabs>
          <w:tab w:leader="none" w:pos="124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689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8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Amdocs Limited Press Release dated November 10, 2015.</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608965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1363345" cy="111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63345" cy="111760"/>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172085</wp:posOffset>
            </wp:positionV>
            <wp:extent cx="128651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651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Record Quarterly Revenue of $927M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Expects Fiscal 2016 Revenue Growth of 2.0-6.0% YoY in Constant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Currency and 1.0-5.0% YoY as Reported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Quarterly Cash Dividend to be Raised From $0.17 to $0.195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Subject to Shareholder Approval at Annual Meeting, February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31" w:lineRule="exact"/>
        <w:rPr>
          <w:sz w:val="20"/>
          <w:szCs w:val="20"/>
          <w:color w:val="auto"/>
        </w:rPr>
      </w:pPr>
    </w:p>
    <w:p>
      <w:pPr>
        <w:ind w:left="900" w:right="380" w:hanging="446"/>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Fourth fiscal quarter revenue of $927 million, within the $915-$955 million guidance range. Revenue was slightly above the midpoint of expectations, excluding foreign currency movements. Foreign currency movements negatively affected revenue by approximately $9 million relative to the third quarter of fiscal 2015</w:t>
      </w:r>
    </w:p>
    <w:p>
      <w:pPr>
        <w:spacing w:after="0" w:line="86" w:lineRule="exact"/>
        <w:rPr>
          <w:rFonts w:ascii="Arial" w:cs="Arial" w:eastAsia="Arial" w:hAnsi="Arial"/>
          <w:sz w:val="18"/>
          <w:szCs w:val="18"/>
          <w:color w:val="auto"/>
        </w:rPr>
      </w:pPr>
    </w:p>
    <w:p>
      <w:pPr>
        <w:ind w:left="900" w:right="320" w:hanging="446"/>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Fourth fiscal quarter diluted non-GAAP EPS of $0.84, in line with the high-end of the $0.79-$0.85 guidance range, excluding amortization of purchased intangible assets and other acquisition-related costs, nonrecurring restructuring charges associated with the acquisition of the Comverse BSS assets, and equity-based compensation expense, net of related tax effects</w:t>
      </w:r>
    </w:p>
    <w:p>
      <w:pPr>
        <w:spacing w:after="0" w:line="86"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Fourth fiscal quarter non-GAAP operating income of $157 million; non-GAAP operating margin of 16.9%; GAAP operating income of $110 million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GAAP EPS of $0.59 for the fourth fiscal quarter, in line with the high-end of the $0.49-$0.59 guidance range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Strong free cash flow of $180 million for the fourth fiscal quarter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Repurchased $182 million of ordinary shares during the fourth fiscal quarter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Twelve-month backlog of $3.08 billion at the end of the fourth fiscal quarter, up $70 million from the end of the third quarter of fiscal 2015</w:t>
      </w:r>
    </w:p>
    <w:p>
      <w:pPr>
        <w:spacing w:after="0" w:line="142" w:lineRule="exact"/>
        <w:rPr>
          <w:rFonts w:ascii="Arial" w:cs="Arial" w:eastAsia="Arial" w:hAnsi="Arial"/>
          <w:sz w:val="17"/>
          <w:szCs w:val="17"/>
          <w:color w:val="auto"/>
        </w:rPr>
      </w:pPr>
    </w:p>
    <w:p>
      <w:pPr>
        <w:ind w:left="900" w:right="20" w:hanging="446"/>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of directors approved a $0.17 per share quarterly cash dividend to be paid on January 15, 2016, and, subject to shareholders’ approval at the February 2016 annual general meeting of shareholders, an increase in the quarterly cash dividend to $0.195 per share, anticipated to be paid in April 2016</w:t>
      </w:r>
    </w:p>
    <w:p>
      <w:pPr>
        <w:sectPr>
          <w:pgSz w:w="11900" w:h="16838" w:orient="portrait"/>
          <w:cols w:equalWidth="0" w:num="1">
            <w:col w:w="11420"/>
          </w:cols>
          <w:pgMar w:left="240" w:top="121" w:right="239" w:bottom="1440" w:gutter="0" w:footer="0" w:header="0"/>
        </w:sectPr>
      </w:pPr>
    </w:p>
    <w:bookmarkStart w:id="5" w:name="page6"/>
    <w:bookmarkEnd w:id="5"/>
    <w:p>
      <w:pPr>
        <w:ind w:left="900" w:right="100" w:hanging="446"/>
        <w:spacing w:after="0" w:line="31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quarter fiscal 2016 guidance: Expected revenue of approximately $905-$945 million. Expected diluted non-GAAP EPS of approximately $0.82-$0.88, excluding amortization of purchased intangible assets and other acquisition-related costs, and approximately $0.09-$0.10 per share of equity-based compensation expense, net of related tax effects. Expected diluted GAAP EPS of approximately $0.59-$0.67</w:t>
      </w:r>
    </w:p>
    <w:p>
      <w:pPr>
        <w:spacing w:after="0" w:line="52" w:lineRule="exact"/>
        <w:rPr>
          <w:rFonts w:ascii="Arial" w:cs="Arial" w:eastAsia="Arial" w:hAnsi="Arial"/>
          <w:sz w:val="16"/>
          <w:szCs w:val="16"/>
          <w:color w:val="auto"/>
        </w:rPr>
      </w:pPr>
    </w:p>
    <w:p>
      <w:pPr>
        <w:ind w:left="900" w:right="10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Fiscal 2016 guidance: Expected revenue growth of 2.0-6.0% in constant currency and 1.0-5.0% as reported, including a negative impact from foreign currency movements of approximately 1%, and non-GAAP diluted earnings per share growth of roughly 3.5-7.5%, including the impact of anticipated share repurchase activity over the course of the fiscal year</w:t>
      </w:r>
    </w:p>
    <w:p>
      <w:pPr>
        <w:spacing w:after="0" w:line="17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 xml:space="preserve">ST. LOUIS – November 10, 2015 </w:t>
      </w:r>
      <w:r>
        <w:rPr>
          <w:rFonts w:ascii="Arial" w:cs="Arial" w:eastAsia="Arial" w:hAnsi="Arial"/>
          <w:sz w:val="17"/>
          <w:szCs w:val="17"/>
          <w:color w:val="auto"/>
        </w:rPr>
        <w:t>– Amdocs Limited (NASDAQ: DOX) today reported that for its fourth fiscal quarter ended September 30, 2015, revenue</w:t>
      </w:r>
      <w:r>
        <w:rPr>
          <w:rFonts w:ascii="Arial" w:cs="Arial" w:eastAsia="Arial" w:hAnsi="Arial"/>
          <w:sz w:val="17"/>
          <w:szCs w:val="17"/>
          <w:b w:val="1"/>
          <w:bCs w:val="1"/>
          <w:color w:val="auto"/>
        </w:rPr>
        <w:t xml:space="preserve"> </w:t>
      </w:r>
      <w:r>
        <w:rPr>
          <w:rFonts w:ascii="Arial" w:cs="Arial" w:eastAsia="Arial" w:hAnsi="Arial"/>
          <w:sz w:val="17"/>
          <w:szCs w:val="17"/>
          <w:color w:val="auto"/>
        </w:rPr>
        <w:t>was $926.8 million, up 2.1% sequentially from the third fiscal quarter of 2015 and up 2.9% as compared to last year’s fourth fiscal quarter. Fourth fiscal quarter revenue includes a negative impact from foreign currency movements of approximately $9 million relative to the third quarter of fiscal 2015. Net income on a non-GAAP basis was $130.4 million, or $0.84 per diluted share, compared to non-GAAP net income of $124.3 million, or $0.78 per diluted share, in the fourth quarter of fiscal 2014. Non-GAAP net income excludes amortization of purchased intangible assets and other acquisition-related costs, nonrecurring restructuring charges associated with the acquisition of the Comverse BSS assets and equity-based compensation expenses of $39.2 million, net of related tax effects, in the fourth quarter of fiscal 2015 and excludes such amortization and other acquisition-related costs, changes in fair value of certain acquisition-related liabilities and equity-based compensation expenses of $23.8 million, net of related tax effects, in the fourth quarter of fiscal 2014. The Company’s GAAP net income for the fourth quarter of fiscal 2015 was $91.1 million, or $0.59 per diluted share, compared to GAAP net income of $100.5 million, or $0.63 per diluted share, in the prior fiscal year’s fourth quarter.</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concluded fiscal 2015 with another solid quarter. Revenue was slightly above the mid-point of our expectations after adjusting for the negative impact of foreign currencies, and the quarter included another record contribution in our Rest-of-World markets where we</w:t>
      </w:r>
    </w:p>
    <w:p>
      <w:pPr>
        <w:sectPr>
          <w:pgSz w:w="11900" w:h="16838" w:orient="portrait"/>
          <w:cols w:equalWidth="0" w:num="1">
            <w:col w:w="11380"/>
          </w:cols>
          <w:pgMar w:left="240" w:top="274" w:right="279" w:bottom="1440" w:gutter="0" w:footer="0" w:header="0"/>
        </w:sectPr>
      </w:pPr>
    </w:p>
    <w:bookmarkStart w:id="6" w:name="page7"/>
    <w:bookmarkEnd w:id="6"/>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delivered growth of 27% for the full year. As we previously anticipated, uncertainty resulting from customer consolidation activity continued to impact our performance in North America but we remained focused on providing value to our customers while maintaining strict operational execution across the various dimensions of our business. Additionally, our free cash flow was robust and we delivered on our commitment to accelerate our share repurchase activity in the fourth fiscal quarter. Overall, we grew non-GAAP diluted earnings per share by 7% in fiscal 2015, which is consistent with the high-end of our guidance issued at the start of the year,” said Eli Gelman, president and chief executive officer of Amdocs Management Limited.</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Gelman continued, “Our win rate was strong across all regions in fiscal 2015 and included several significant new awards in the fourth quarter. We are delighted to announce today that Vodafone UK has selected Amdocs for a major four-year managed BSS/OSS transformation project in support of its enterprise business. Additionally, KT Corporation in Korea has selected Amdocs under a multi-year services agreement for a strategic charging transformation project to consolidate and modernize charging operations across its quad-play lines of business, and Singtel has selected Amdocs for a digital transformation project targeted to deliver a new online care and commerce platform in its key markets of Singapore and Australia. Finally, in North America, we extended our existing managed services arrangement with Bell Canada for five years through 2022 and signed a new agreement with Rogers Communications to service multiple lines of business for three years through 2018.”</w:t>
      </w:r>
    </w:p>
    <w:p>
      <w:pPr>
        <w:spacing w:after="0" w:line="18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Gelman concluded, “Looking into fiscal 2016, we expect to deliver non-GAAP earnings per share growth of 3.5% to 7.5%. This outlook takes into consideration many macro and industry specific risks and unknowns, including uncertainties related to AT&amp;T’s discretionary spending plans, although we cannot predict all possible outcomes. Additionally, we are pleased to announce that our Board has approved an increase in the quarterly cash dividend for the third consecutive year to a new rate of $0.195 per share. The decision reaffirms our commitment to enhance long-term shareholder value, and will represent an improvement of nearly 15% over the current dividend rate if approved by shareholders at the annual meeting in February 2016.”</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Discussion of Fourth Fiscal Quarter Results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Free cash flow was $180 million for the quarter, comprised of cash flow from operations of $207 million less $27 million in net capital expenditures and other.</w:t>
      </w:r>
    </w:p>
    <w:p>
      <w:pPr>
        <w:spacing w:after="0" w:line="170"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Twelve-month backlog, which includes anticipated revenue related to contracts, estimated revenue from managed services contracts, letters of intent, maintenance and estimated on-going support activities, was $3.08 billion at the end of the fourth quarter of fiscal 2015, up $70 million sequentially.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2015 Results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the fiscal year ended September 30, 2015, revenue increased by 2.2% to $3.6 billion. Fiscal 2015 net income on a non-GAAP basis was $529.7 million, or $3.38 per diluted share (excluding amortization of purchased intangible assets and other acquisition-related costs, nonrecurring restructuring charges associated with the acquisition of the Comverse BSS assets, changes in fair value of certain acquisition-related liabilities and equity-based compensation expenses of $83.5 million, net of related tax effects), compared to non-GAAP net income of $509.6 million, or $3.16 per diluted share, in fiscal 2014 (excluding amortization of purchased intangible assets and other acquisition-related costs, changes in fair value of certain acquisition-related liabilities and equity-based compensation expenses of $87.5 million, net of related tax effects). The Company’s GAAP net income in fiscal 2015 was $446.2 million, or $2.85 per diluted share, compared to GAAP net income of $422.1 million, or $2.62 per diluted share, in fiscal 2014.</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Amdocs expects that revenue for the first quarter of fiscal 2016 will be approximately $905-$945 million. This outlook takes into consideration our expectations regarding macro and industry specific risks and various uncertainties resulting from current and potential customer consolidation activity in North America. However, we remind you that we cannot predict all possible outcomes.</w:t>
      </w:r>
    </w:p>
    <w:p>
      <w:pPr>
        <w:sectPr>
          <w:pgSz w:w="11900" w:h="16838" w:orient="portrait"/>
          <w:cols w:equalWidth="0" w:num="1">
            <w:col w:w="11220"/>
          </w:cols>
          <w:pgMar w:left="240" w:top="270" w:right="439" w:bottom="1440" w:gutter="0" w:footer="0" w:header="0"/>
        </w:sectPr>
      </w:pPr>
    </w:p>
    <w:bookmarkStart w:id="8" w:name="page9"/>
    <w:bookmarkEnd w:id="8"/>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Diluted earnings per share on a non-GAAP basis for the first fiscal quarter is expected to be $0.82-$0.88, excluding amortization of purchased intangible assets and other acquisition-related costs, and approximately $0.09-$0.10 per share of equity-based compensation expense, net of related tax effects. Amdocs estimates GAAP diluted earnings per share for the first fiscal quarter will be $0.59-$0.67.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Cash Dividend Program</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10, 2015, the Board approved the Company’s next quarterly cash dividend payment of $0.17 per share and set December 31, 2015 as the record date for determining the shareholders entitled to receive the dividend, which will be payable on January 15, 2016. The Board also approved an increase in the Company’s quarterly cash dividend payment to $0.195 per share, which is anticipated to be paid in April 2016, provided that the increase is approved by shareholders at the February 2016 annual general meeting of shareholders.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Amdocs will host a conference call on November 10, 2015 at 5:00 p.m. Eastern Time to discuss the Company’s fourth fiscal quarter and fiscal year-end results. To participate, please dial +1 (330) 863-3318, or +1 (855) 870-4313 outside the United States, approximately 15 minutes before the call and enter passcode 48248949. The call will also be carried live on the Internet via the Amdocs website, www.amdocs.com.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revenue, non-GAAP research and development, non-GAAP selling, general and administrative, non-GAAP operating income, non-GAAP operating margin, non-GAAP interest and other expense, net, non-GAAP income taxes, non-GAAP net income and non-GAAP diluted earnings per share growth. These non-GAAP measures exclude the following items:</w:t>
      </w:r>
    </w:p>
    <w:p>
      <w:pPr>
        <w:spacing w:after="0" w:line="92"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acquisition-related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fair value of certain acquisition-related liabilities;</w:t>
      </w:r>
    </w:p>
    <w:p>
      <w:pPr>
        <w:sectPr>
          <w:pgSz w:w="11900" w:h="16838" w:orient="portrait"/>
          <w:cols w:equalWidth="0" w:num="1">
            <w:col w:w="11420"/>
          </w:cols>
          <w:pgMar w:left="240" w:top="274" w:right="239" w:bottom="1440" w:gutter="0" w:footer="0" w:header="0"/>
        </w:sectPr>
      </w:pPr>
    </w:p>
    <w:bookmarkStart w:id="9" w:name="page10"/>
    <w:bookmarkEnd w:id="9"/>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nonrecurring restructuring charges associated with the Comverse acquisition;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Amdocs believes that the presentation of non-GAAP diluted earnings per share and other financial measures, including free cash flow, non-GAAP cost of revenue, non-GAAP research and development, non-GAAP selling, general and administrative, non-GAAP operating income, non-GAAP operating margin, non-GAAP interest and other expense, net, non-GAAP income taxes,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7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For its internal budgeting process and in monitoring the results of the business, Amdocs’ management uses financial statements that do not include amortization of purchased intangible assets and other acquisition-related costs, nonrecurring restructuring charges associated with the acquisition of the Comverse BSS assets, changes in fair value of certain acquisition-related liabilities, equity-based compensation expense and related tax effects. Amdocs’ management also uses the foregoing non-GAAP financial measures, in addition to the corresponding GAAP measures, in reviewing the financial results of</w:t>
      </w:r>
    </w:p>
    <w:p>
      <w:pPr>
        <w:sectPr>
          <w:pgSz w:w="11900" w:h="16838" w:orient="portrait"/>
          <w:cols w:equalWidth="0" w:num="1">
            <w:col w:w="11280"/>
          </w:cols>
          <w:pgMar w:left="240" w:top="274" w:right="379" w:bottom="1440" w:gutter="0" w:footer="0" w:header="0"/>
        </w:sectPr>
      </w:pPr>
    </w:p>
    <w:bookmarkStart w:id="10" w:name="page11"/>
    <w:bookmarkEnd w:id="10"/>
    <w:p>
      <w:pPr>
        <w:jc w:val="both"/>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Amdocs is the market-leader in customer experience software solutions and services for the world’s largest communications, entertainment and media service providers. Our portfolio powers The New World of Customer Experience™, where a wide array of innovative and personalized services are delivered seamlessly to end users, regardless of device or network.</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more than 30 years, Amdocs solutions, which include BSS, OSS, network control and optimization, coupled with our professional and managed services, have accelerated business value for our customers by streamlining complex operating environments, reducing costs and speeding time to market for new products and services.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Amdocs and our more than 24,000 employees serve customers in over 90 countries. Listed on the NASDAQ Global Select Market, Amdocs had revenue of $3.6 billion in fiscal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Amdocs: Embrace Challenge, Experience Success.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Amdocs at www.amdocs.com.</w:t>
      </w:r>
    </w:p>
    <w:p>
      <w:pPr>
        <w:sectPr>
          <w:pgSz w:w="11900" w:h="16838" w:orient="portrait"/>
          <w:cols w:equalWidth="0" w:num="1">
            <w:col w:w="11380"/>
          </w:cols>
          <w:pgMar w:left="240" w:top="274" w:right="279" w:bottom="1440" w:gutter="0" w:footer="0" w:header="0"/>
        </w:sectPr>
      </w:pPr>
    </w:p>
    <w:bookmarkStart w:id="11" w:name="page12"/>
    <w:bookmarkEnd w:id="1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2014 filed on December 8, 2014 and our Forms 6-K furnished for the first quarter of fiscal 2015 on February 9, 2015, for the second quarter of fiscal 2015 on May 11, 2015 and for the third quarter of fiscal 2015 on August 10, 2015.</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1400"/>
          </w:cols>
          <w:pgMar w:left="240" w:top="274"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9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926,776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900,261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3,643,538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3,563,637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3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603,105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581,601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2,349,488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2,306,892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65,900</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67,604</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254,944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9"/>
              </w:rPr>
              <w:t>111,191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110,056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440,085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23,880</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14,893</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70,073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58,067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817,076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774,154</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3,127,590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3,067,989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109,700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126,107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515,948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360" w:type="dxa"/>
            <w:vAlign w:val="bottom"/>
            <w:gridSpan w:val="2"/>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108,325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124,069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513,404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3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17,195</w:t>
            </w:r>
          </w:p>
        </w:tc>
        <w:tc>
          <w:tcPr>
            <w:tcW w:w="3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23,566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67,241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91,130</w:t>
            </w:r>
          </w:p>
        </w:tc>
        <w:tc>
          <w:tcPr>
            <w:tcW w:w="300" w:type="dxa"/>
            <w:vAlign w:val="bottom"/>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100,503</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446,163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3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152,601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157,346</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155,201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159,667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0.170</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0.155</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9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926,776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900,261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3,643,538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3,563,637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36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1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156,917</w:t>
            </w:r>
          </w:p>
        </w:tc>
        <w:tc>
          <w:tcPr>
            <w:tcW w:w="1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151,558</w:t>
            </w:r>
          </w:p>
        </w:tc>
        <w:tc>
          <w:tcPr>
            <w:tcW w:w="1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618,675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598,293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130,353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124,269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529,700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360" w:type="dxa"/>
            <w:vAlign w:val="bottom"/>
            <w:gridSpan w:val="2"/>
          </w:tcPr>
          <w:p>
            <w:pPr>
              <w:spacing w:after="0"/>
              <w:rPr>
                <w:sz w:val="20"/>
                <w:szCs w:val="20"/>
                <w:color w:val="auto"/>
              </w:rPr>
            </w:pPr>
            <w:r>
              <w:rPr>
                <w:rFonts w:ascii="Arial" w:cs="Arial" w:eastAsia="Arial" w:hAnsi="Arial"/>
                <w:sz w:val="18"/>
                <w:szCs w:val="18"/>
                <w:color w:val="auto"/>
              </w:rPr>
              <w:t>Non-GAAP 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155,201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159,667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156,809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8"/>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September 30, 2015</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8"/>
          </w:tcPr>
          <w:p>
            <w:pPr>
              <w:ind w:left="20"/>
              <w:spacing w:after="0" w:line="142" w:lineRule="exact"/>
              <w:rPr>
                <w:sz w:val="20"/>
                <w:szCs w:val="20"/>
                <w:color w:val="auto"/>
              </w:rPr>
            </w:pPr>
            <w:r>
              <w:rPr>
                <w:rFonts w:ascii="Arial" w:cs="Arial" w:eastAsia="Arial" w:hAnsi="Arial"/>
                <w:sz w:val="14"/>
                <w:szCs w:val="14"/>
                <w:b w:val="1"/>
                <w:bCs w:val="1"/>
                <w:color w:val="auto"/>
              </w:rPr>
              <w:t>Reconciliation items</w:t>
            </w: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Amortization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of purchased</w:t>
            </w:r>
          </w:p>
        </w:tc>
        <w:tc>
          <w:tcPr>
            <w:tcW w:w="11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Equity based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5"/>
          </w:tcPr>
          <w:p>
            <w:pPr>
              <w:ind w:left="100"/>
              <w:spacing w:after="0" w:line="149" w:lineRule="exact"/>
              <w:rPr>
                <w:sz w:val="20"/>
                <w:szCs w:val="20"/>
                <w:color w:val="auto"/>
              </w:rPr>
            </w:pPr>
            <w:r>
              <w:rPr>
                <w:rFonts w:ascii="Arial" w:cs="Arial" w:eastAsia="Arial" w:hAnsi="Arial"/>
                <w:sz w:val="14"/>
                <w:szCs w:val="14"/>
                <w:b w:val="1"/>
                <w:bCs w:val="1"/>
                <w:color w:val="auto"/>
              </w:rPr>
              <w:t>intangible</w:t>
            </w:r>
          </w:p>
        </w:tc>
        <w:tc>
          <w:tcPr>
            <w:tcW w:w="110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Restructuring</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Tax</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GAAP</w:t>
            </w:r>
          </w:p>
        </w:tc>
        <w:tc>
          <w:tcPr>
            <w:tcW w:w="1140" w:type="dxa"/>
            <w:vAlign w:val="bottom"/>
            <w:gridSpan w:val="5"/>
          </w:tcPr>
          <w:p>
            <w:pPr>
              <w:ind w:left="100"/>
              <w:spacing w:after="0" w:line="149" w:lineRule="exact"/>
              <w:rPr>
                <w:sz w:val="20"/>
                <w:szCs w:val="20"/>
                <w:color w:val="auto"/>
              </w:rPr>
            </w:pPr>
            <w:r>
              <w:rPr>
                <w:rFonts w:ascii="Arial" w:cs="Arial" w:eastAsia="Arial" w:hAnsi="Arial"/>
                <w:sz w:val="14"/>
                <w:szCs w:val="14"/>
                <w:b w:val="1"/>
                <w:bCs w:val="1"/>
                <w:color w:val="auto"/>
              </w:rPr>
              <w:t>assets and</w:t>
            </w:r>
          </w:p>
        </w:tc>
        <w:tc>
          <w:tcPr>
            <w:tcW w:w="11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6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4"/>
                <w:szCs w:val="14"/>
                <w:color w:val="auto"/>
              </w:rPr>
            </w:pPr>
          </w:p>
        </w:tc>
        <w:tc>
          <w:tcPr>
            <w:tcW w:w="9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2"/>
              </w:rPr>
              <w:t>expense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charges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effect</w:t>
            </w:r>
          </w:p>
        </w:tc>
        <w:tc>
          <w:tcPr>
            <w:tcW w:w="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320" w:type="dxa"/>
            <w:vAlign w:val="bottom"/>
            <w:gridSpan w:val="5"/>
          </w:tcPr>
          <w:p>
            <w:pPr>
              <w:jc w:val="right"/>
              <w:ind w:right="120"/>
              <w:spacing w:after="0"/>
              <w:rPr>
                <w:sz w:val="20"/>
                <w:szCs w:val="20"/>
                <w:color w:val="auto"/>
              </w:rPr>
            </w:pPr>
            <w:r>
              <w:rPr>
                <w:rFonts w:ascii="Arial" w:cs="Arial" w:eastAsia="Arial" w:hAnsi="Arial"/>
                <w:sz w:val="18"/>
                <w:szCs w:val="18"/>
                <w:color w:val="auto"/>
              </w:rPr>
              <w:t>$603,105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(3,854)</w:t>
            </w:r>
          </w:p>
        </w:tc>
        <w:tc>
          <w:tcPr>
            <w:tcW w:w="14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$ 599,251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65,900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gridSpan w:val="5"/>
          </w:tcPr>
          <w:p>
            <w:pPr>
              <w:jc w:val="right"/>
              <w:ind w:right="120"/>
              <w:spacing w:after="0"/>
              <w:rPr>
                <w:sz w:val="20"/>
                <w:szCs w:val="20"/>
                <w:color w:val="auto"/>
              </w:rPr>
            </w:pPr>
            <w:r>
              <w:rPr>
                <w:rFonts w:ascii="Arial" w:cs="Arial" w:eastAsia="Arial" w:hAnsi="Arial"/>
                <w:sz w:val="18"/>
                <w:szCs w:val="18"/>
                <w:color w:val="auto"/>
              </w:rPr>
              <w:t>111,191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(5,653)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105,538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23,880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(23,880)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Restructuring charges</w:t>
            </w:r>
          </w:p>
        </w:tc>
        <w:tc>
          <w:tcPr>
            <w:tcW w:w="520" w:type="dxa"/>
            <w:vAlign w:val="bottom"/>
          </w:tcPr>
          <w:p>
            <w:pPr>
              <w:spacing w:after="0"/>
              <w:rPr>
                <w:sz w:val="18"/>
                <w:szCs w:val="18"/>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13,000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(13,000)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817,076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(23,880)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(10,337)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(13,000)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769,859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20" w:type="dxa"/>
            <w:vAlign w:val="bottom"/>
          </w:tcPr>
          <w:p>
            <w:pPr>
              <w:spacing w:after="0"/>
              <w:rPr>
                <w:sz w:val="20"/>
                <w:szCs w:val="20"/>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109,700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center"/>
              <w:ind w:left="31"/>
              <w:spacing w:after="0"/>
              <w:rPr>
                <w:sz w:val="20"/>
                <w:szCs w:val="20"/>
                <w:color w:val="auto"/>
              </w:rPr>
            </w:pPr>
            <w:r>
              <w:rPr>
                <w:rFonts w:ascii="Arial" w:cs="Arial" w:eastAsia="Arial" w:hAnsi="Arial"/>
                <w:sz w:val="18"/>
                <w:szCs w:val="18"/>
                <w:color w:val="auto"/>
                <w:w w:val="90"/>
              </w:rPr>
              <w:t>13,000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17,195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7,994</w:t>
            </w: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25,189</w:t>
            </w: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$ 91,130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center"/>
              <w:ind w:left="31"/>
              <w:spacing w:after="0"/>
              <w:rPr>
                <w:sz w:val="20"/>
                <w:szCs w:val="20"/>
                <w:color w:val="auto"/>
              </w:rPr>
            </w:pPr>
            <w:r>
              <w:rPr>
                <w:rFonts w:ascii="Arial" w:cs="Arial" w:eastAsia="Arial" w:hAnsi="Arial"/>
                <w:sz w:val="18"/>
                <w:szCs w:val="18"/>
                <w:color w:val="auto"/>
                <w:w w:val="90"/>
              </w:rPr>
              <w:t>13,000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(7,994</w:t>
            </w:r>
          </w:p>
        </w:tc>
        <w:tc>
          <w:tcPr>
            <w:tcW w:w="30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$ 130,353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8"/>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rPr>
              <w:t>September 30, 2014</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8"/>
          </w:tcPr>
          <w:p>
            <w:pPr>
              <w:ind w:left="80"/>
              <w:spacing w:after="0" w:line="142" w:lineRule="exact"/>
              <w:rPr>
                <w:sz w:val="20"/>
                <w:szCs w:val="20"/>
                <w:color w:val="auto"/>
              </w:rPr>
            </w:pPr>
            <w:r>
              <w:rPr>
                <w:rFonts w:ascii="Arial" w:cs="Arial" w:eastAsia="Arial" w:hAnsi="Arial"/>
                <w:sz w:val="14"/>
                <w:szCs w:val="14"/>
                <w:b w:val="1"/>
                <w:bCs w:val="1"/>
                <w:color w:val="auto"/>
              </w:rPr>
              <w:t>Reconciliation items</w:t>
            </w: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Changes in</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fair value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 purchased</w:t>
            </w:r>
          </w:p>
        </w:tc>
        <w:tc>
          <w:tcPr>
            <w:tcW w:w="120" w:type="dxa"/>
            <w:vAlign w:val="bottom"/>
          </w:tcPr>
          <w:p>
            <w:pPr>
              <w:spacing w:after="0"/>
              <w:rPr>
                <w:sz w:val="12"/>
                <w:szCs w:val="12"/>
                <w:color w:val="auto"/>
              </w:rPr>
            </w:pPr>
          </w:p>
        </w:tc>
        <w:tc>
          <w:tcPr>
            <w:tcW w:w="9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Equity based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of certain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2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Tax</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20" w:type="dxa"/>
            <w:vAlign w:val="bottom"/>
          </w:tcPr>
          <w:p>
            <w:pPr>
              <w:spacing w:after="0"/>
              <w:rPr>
                <w:sz w:val="12"/>
                <w:szCs w:val="12"/>
                <w:color w:val="auto"/>
              </w:rPr>
            </w:pPr>
          </w:p>
        </w:tc>
        <w:tc>
          <w:tcPr>
            <w:tcW w:w="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related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expense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liabilities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effect</w:t>
            </w: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340" w:type="dxa"/>
            <w:vAlign w:val="bottom"/>
            <w:gridSpan w:val="6"/>
          </w:tcPr>
          <w:p>
            <w:pPr>
              <w:jc w:val="right"/>
              <w:ind w:right="20"/>
              <w:spacing w:after="0"/>
              <w:rPr>
                <w:sz w:val="20"/>
                <w:szCs w:val="20"/>
                <w:color w:val="auto"/>
              </w:rPr>
            </w:pPr>
            <w:r>
              <w:rPr>
                <w:rFonts w:ascii="Arial" w:cs="Arial" w:eastAsia="Arial" w:hAnsi="Arial"/>
                <w:sz w:val="18"/>
                <w:szCs w:val="18"/>
                <w:color w:val="auto"/>
              </w:rPr>
              <w:t>$581,601</w:t>
            </w:r>
          </w:p>
        </w:tc>
        <w:tc>
          <w:tcPr>
            <w:tcW w:w="16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(4,276)</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$ 577,325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500" w:type="dxa"/>
            <w:vAlign w:val="bottom"/>
            <w:gridSpan w:val="7"/>
            <w:shd w:val="clear" w:color="auto" w:fill="CCEEFF"/>
          </w:tcPr>
          <w:p>
            <w:pPr>
              <w:jc w:val="right"/>
              <w:ind w:right="180"/>
              <w:spacing w:after="0"/>
              <w:rPr>
                <w:sz w:val="20"/>
                <w:szCs w:val="20"/>
                <w:color w:val="auto"/>
              </w:rPr>
            </w:pPr>
            <w:r>
              <w:rPr>
                <w:rFonts w:ascii="Arial" w:cs="Arial" w:eastAsia="Arial" w:hAnsi="Arial"/>
                <w:sz w:val="18"/>
                <w:szCs w:val="18"/>
                <w:color w:val="auto"/>
              </w:rPr>
              <w:t>67,604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66,690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500" w:type="dxa"/>
            <w:vAlign w:val="bottom"/>
            <w:gridSpan w:val="7"/>
          </w:tcPr>
          <w:p>
            <w:pPr>
              <w:jc w:val="right"/>
              <w:ind w:right="180"/>
              <w:spacing w:after="0"/>
              <w:rPr>
                <w:sz w:val="20"/>
                <w:szCs w:val="20"/>
                <w:color w:val="auto"/>
              </w:rPr>
            </w:pPr>
            <w:r>
              <w:rPr>
                <w:rFonts w:ascii="Arial" w:cs="Arial" w:eastAsia="Arial" w:hAnsi="Arial"/>
                <w:sz w:val="18"/>
                <w:szCs w:val="18"/>
                <w:color w:val="auto"/>
              </w:rPr>
              <w:t>110,056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(5,368)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104,688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500" w:type="dxa"/>
            <w:vAlign w:val="bottom"/>
            <w:gridSpan w:val="7"/>
            <w:shd w:val="clear" w:color="auto" w:fill="CCEEFF"/>
          </w:tcPr>
          <w:p>
            <w:pPr>
              <w:jc w:val="right"/>
              <w:ind w:right="180"/>
              <w:spacing w:after="0"/>
              <w:rPr>
                <w:sz w:val="20"/>
                <w:szCs w:val="20"/>
                <w:color w:val="auto"/>
              </w:rPr>
            </w:pPr>
            <w:r>
              <w:rPr>
                <w:rFonts w:ascii="Arial" w:cs="Arial" w:eastAsia="Arial" w:hAnsi="Arial"/>
                <w:sz w:val="18"/>
                <w:szCs w:val="18"/>
                <w:color w:val="auto"/>
              </w:rPr>
              <w:t>14,893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(14,893)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6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774,154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(14,893)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(10,558)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748,703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126,107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14,893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10,558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151,558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Interest and other expense, net</w:t>
            </w:r>
          </w:p>
        </w:tc>
        <w:tc>
          <w:tcPr>
            <w:tcW w:w="6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2,038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center"/>
              <w:ind w:left="31"/>
              <w:spacing w:after="0"/>
              <w:rPr>
                <w:sz w:val="20"/>
                <w:szCs w:val="20"/>
                <w:color w:val="auto"/>
              </w:rPr>
            </w:pPr>
            <w:r>
              <w:rPr>
                <w:rFonts w:ascii="Arial" w:cs="Arial" w:eastAsia="Arial" w:hAnsi="Arial"/>
                <w:sz w:val="18"/>
                <w:szCs w:val="18"/>
                <w:color w:val="auto"/>
                <w:w w:val="80"/>
              </w:rPr>
              <w:t>(3,921)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500" w:type="dxa"/>
            <w:vAlign w:val="bottom"/>
            <w:gridSpan w:val="7"/>
            <w:shd w:val="clear" w:color="auto" w:fill="CCEEFF"/>
          </w:tcPr>
          <w:p>
            <w:pPr>
              <w:jc w:val="right"/>
              <w:ind w:right="180"/>
              <w:spacing w:after="0"/>
              <w:rPr>
                <w:sz w:val="20"/>
                <w:szCs w:val="20"/>
                <w:color w:val="auto"/>
              </w:rPr>
            </w:pPr>
            <w:r>
              <w:rPr>
                <w:rFonts w:ascii="Arial" w:cs="Arial" w:eastAsia="Arial" w:hAnsi="Arial"/>
                <w:sz w:val="18"/>
                <w:szCs w:val="18"/>
                <w:color w:val="auto"/>
              </w:rPr>
              <w:t>23,566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5,606</w:t>
            </w: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29,172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100,503</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14,893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10,558</w:t>
            </w:r>
          </w:p>
        </w:tc>
        <w:tc>
          <w:tcPr>
            <w:tcW w:w="14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4"/>
              </w:rPr>
              <w:t>3,921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(5,606</w:t>
            </w:r>
          </w:p>
        </w:tc>
        <w:tc>
          <w:tcPr>
            <w:tcW w:w="300" w:type="dxa"/>
            <w:vAlign w:val="bottom"/>
          </w:tcPr>
          <w:p>
            <w:pPr>
              <w:jc w:val="right"/>
              <w:ind w:right="200"/>
              <w:spacing w:after="0"/>
              <w:rPr>
                <w:sz w:val="20"/>
                <w:szCs w:val="20"/>
                <w:color w:val="auto"/>
              </w:rPr>
            </w:pPr>
            <w:r>
              <w:rPr>
                <w:rFonts w:ascii="Arial" w:cs="Arial" w:eastAsia="Arial" w:hAnsi="Arial"/>
                <w:sz w:val="8"/>
                <w:szCs w:val="8"/>
                <w:color w:val="auto"/>
                <w:w w:val="73"/>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$ 124,269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346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3460"/>
        <w:spacing w:after="0"/>
        <w:rPr>
          <w:sz w:val="20"/>
          <w:szCs w:val="20"/>
          <w:color w:val="auto"/>
        </w:rPr>
      </w:pPr>
      <w:r>
        <w:rPr>
          <w:rFonts w:ascii="Arial" w:cs="Arial" w:eastAsia="Arial" w:hAnsi="Arial"/>
          <w:sz w:val="14"/>
          <w:szCs w:val="14"/>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-3175</wp:posOffset>
            </wp:positionV>
            <wp:extent cx="49314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ind w:left="6820"/>
        <w:spacing w:after="0" w:line="233" w:lineRule="auto"/>
        <w:rPr>
          <w:sz w:val="20"/>
          <w:szCs w:val="20"/>
          <w:color w:val="auto"/>
        </w:rPr>
      </w:pPr>
      <w:r>
        <w:rPr>
          <w:rFonts w:ascii="Arial" w:cs="Arial" w:eastAsia="Arial" w:hAnsi="Arial"/>
          <w:sz w:val="14"/>
          <w:szCs w:val="14"/>
          <w:b w:val="1"/>
          <w:bCs w:val="1"/>
          <w:color w:val="auto"/>
        </w:rPr>
        <w:t>Reconciliation items</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Amortization of</w:t>
            </w: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4"/>
              </w:rPr>
              <w:t>Equity based</w:t>
            </w: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Changes in fair</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tcPr>
          <w:p>
            <w:pPr>
              <w:jc w:val="right"/>
              <w:ind w:right="260"/>
              <w:spacing w:after="0" w:line="149" w:lineRule="exact"/>
              <w:rPr>
                <w:sz w:val="20"/>
                <w:szCs w:val="20"/>
                <w:color w:val="auto"/>
              </w:rPr>
            </w:pPr>
            <w:r>
              <w:rPr>
                <w:rFonts w:ascii="Arial" w:cs="Arial" w:eastAsia="Arial" w:hAnsi="Arial"/>
                <w:sz w:val="14"/>
                <w:szCs w:val="14"/>
                <w:b w:val="1"/>
                <w:bCs w:val="1"/>
                <w:color w:val="auto"/>
                <w:w w:val="98"/>
              </w:rPr>
              <w:t>purchased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Restructuring</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value of certain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GAAP</w:t>
            </w:r>
          </w:p>
        </w:tc>
        <w:tc>
          <w:tcPr>
            <w:tcW w:w="10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93"/>
              </w:rPr>
              <w:t>intangible assets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2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Tax effect</w:t>
            </w:r>
          </w:p>
        </w:tc>
        <w:tc>
          <w:tcPr>
            <w:tcW w:w="12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expense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charges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related liabilities</w:t>
            </w:r>
          </w:p>
        </w:tc>
        <w:tc>
          <w:tcPr>
            <w:tcW w:w="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2,349,488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(15,621)</w:t>
            </w: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24,906</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$2,358,773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254,944</w:t>
            </w: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440,085</w:t>
            </w:r>
          </w:p>
        </w:tc>
        <w:tc>
          <w:tcPr>
            <w:tcW w:w="100" w:type="dxa"/>
            <w:vAlign w:val="bottom"/>
          </w:tcPr>
          <w:p>
            <w:pPr>
              <w:spacing w:after="0"/>
              <w:rPr>
                <w:sz w:val="18"/>
                <w:szCs w:val="18"/>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(25,539)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414,546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Amortization of purchased intangible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assets and other</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70,073</w:t>
            </w:r>
          </w:p>
        </w:tc>
        <w:tc>
          <w:tcPr>
            <w:tcW w:w="10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(70,073)</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18"/>
                <w:szCs w:val="18"/>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3,127,590</w:t>
            </w: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(70,073)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(44,560)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3,024,863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515,948</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70,073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44,560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(24,906)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618,675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67,241</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3"/>
              </w:rPr>
              <w:t>15,269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446,163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70,073</w:t>
            </w:r>
          </w:p>
        </w:tc>
        <w:tc>
          <w:tcPr>
            <w:tcW w:w="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44,560</w:t>
            </w: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13,000</w:t>
            </w:r>
          </w:p>
        </w:tc>
        <w:tc>
          <w:tcPr>
            <w:tcW w:w="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(28,827)</w:t>
            </w:r>
          </w:p>
        </w:tc>
        <w:tc>
          <w:tcPr>
            <w:tcW w:w="840" w:type="dxa"/>
            <w:vAlign w:val="bottom"/>
            <w:gridSpan w:val="4"/>
            <w:shd w:val="clear" w:color="auto" w:fill="CCEEFF"/>
          </w:tcPr>
          <w:p>
            <w:pPr>
              <w:ind w:lef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5"/>
          </w:tcPr>
          <w:p>
            <w:pPr>
              <w:jc w:val="center"/>
              <w:ind w:left="34"/>
              <w:spacing w:after="0"/>
              <w:rPr>
                <w:sz w:val="20"/>
                <w:szCs w:val="20"/>
                <w:color w:val="auto"/>
              </w:rPr>
            </w:pPr>
            <w:r>
              <w:rPr>
                <w:rFonts w:ascii="Arial" w:cs="Arial" w:eastAsia="Arial" w:hAnsi="Arial"/>
                <w:sz w:val="14"/>
                <w:szCs w:val="14"/>
                <w:b w:val="1"/>
                <w:bCs w:val="1"/>
                <w:color w:val="auto"/>
                <w:w w:val="91"/>
              </w:rPr>
              <w:t>Fiscal year ended</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center"/>
              <w:ind w:left="34"/>
              <w:spacing w:after="0"/>
              <w:rPr>
                <w:sz w:val="20"/>
                <w:szCs w:val="20"/>
                <w:color w:val="auto"/>
              </w:rPr>
            </w:pPr>
            <w:r>
              <w:rPr>
                <w:rFonts w:ascii="Arial" w:cs="Arial" w:eastAsia="Arial" w:hAnsi="Arial"/>
                <w:sz w:val="14"/>
                <w:szCs w:val="14"/>
                <w:b w:val="1"/>
                <w:bCs w:val="1"/>
                <w:color w:val="auto"/>
                <w:w w:val="91"/>
              </w:rPr>
              <w:t>September 30, 2014</w:t>
            </w: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5"/>
          </w:tcPr>
          <w:p>
            <w:pPr>
              <w:jc w:val="center"/>
              <w:ind w:left="34"/>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6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100" w:type="dxa"/>
            <w:vAlign w:val="bottom"/>
          </w:tcPr>
          <w:p>
            <w:pPr>
              <w:spacing w:after="0"/>
              <w:rPr>
                <w:sz w:val="10"/>
                <w:szCs w:val="10"/>
                <w:color w:val="auto"/>
              </w:rPr>
            </w:pPr>
          </w:p>
        </w:tc>
        <w:tc>
          <w:tcPr>
            <w:tcW w:w="10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Equity based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Changes in fair</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value of certain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GAAP</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intangible</w:t>
            </w:r>
          </w:p>
        </w:tc>
        <w:tc>
          <w:tcPr>
            <w:tcW w:w="10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acquisition-</w:t>
            </w:r>
          </w:p>
        </w:tc>
        <w:tc>
          <w:tcPr>
            <w:tcW w:w="2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Tax effect</w:t>
            </w:r>
          </w:p>
        </w:tc>
        <w:tc>
          <w:tcPr>
            <w:tcW w:w="12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assets and other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expense</w:t>
            </w:r>
          </w:p>
        </w:tc>
        <w:tc>
          <w:tcPr>
            <w:tcW w:w="10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related liabilities</w:t>
            </w:r>
          </w:p>
        </w:tc>
        <w:tc>
          <w:tcPr>
            <w:tcW w:w="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2,306,892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(17,496)</w:t>
            </w:r>
          </w:p>
        </w:tc>
        <w:tc>
          <w:tcPr>
            <w:tcW w:w="5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$2,289,396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257,896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445,134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(23,483)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421,651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right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w w:val="99"/>
              </w:rPr>
              <w:t>Amortization of purchased intangible assets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(58,067)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3,067,989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(58,067)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(44,578)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2,965,344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495,648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(3,921)</w:t>
            </w:r>
          </w:p>
        </w:tc>
        <w:tc>
          <w:tcPr>
            <w:tcW w:w="26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19,086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86,514</w:t>
            </w: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422,122</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3,921</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(19,086</w:t>
            </w:r>
          </w:p>
        </w:tc>
        <w:tc>
          <w:tcPr>
            <w:tcW w:w="160" w:type="dxa"/>
            <w:vAlign w:val="bottom"/>
          </w:tcPr>
          <w:p>
            <w:pPr>
              <w:jc w:val="right"/>
              <w:ind w:right="80"/>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12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0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9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1,354,012</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1,424,465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Accounts receivable, net, including unbilled of $80,197 and $134,523, respectively</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714,784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715,837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receivable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193,207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116,159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2,378,162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2,423,974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14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309,320</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288,956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2,301,610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2,106,452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335,560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5,324,652</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5,185,277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871,555</w:t>
            </w:r>
          </w:p>
        </w:tc>
        <w:tc>
          <w:tcPr>
            <w:tcW w:w="20" w:type="dxa"/>
            <w:vAlign w:val="bottom"/>
          </w:tcPr>
          <w:p>
            <w:pPr>
              <w:spacing w:after="0"/>
              <w:rPr>
                <w:sz w:val="18"/>
                <w:szCs w:val="18"/>
                <w:color w:val="auto"/>
              </w:rPr>
            </w:pP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785,548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198,470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73,478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1,363,503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1,200,747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554,307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3,406,842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3,395,836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5,324,652</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5,185,277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1"/>
              </w:rPr>
              <w:t>Fiscal 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446,163</w:t>
            </w:r>
          </w:p>
        </w:tc>
        <w:tc>
          <w:tcPr>
            <w:tcW w:w="2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174,795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162,772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(26,887)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(5,949)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39,829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7,406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(20,263)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772,622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(120,503)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252,818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379,484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(250,184)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12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(263,193)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(180,540)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30"/>
        </w:trPr>
        <w:tc>
          <w:tcPr>
            <w:tcW w:w="90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(379,654)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(298,553)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Borrowings under financing arrangements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Repurchase of shares</w:t>
            </w:r>
          </w:p>
        </w:tc>
        <w:tc>
          <w:tcPr>
            <w:tcW w:w="12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(454,020)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(372,014)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Payments of dividends</w:t>
            </w:r>
          </w:p>
        </w:tc>
        <w:tc>
          <w:tcPr>
            <w:tcW w:w="12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(100,790)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(90,939)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equity-based compensation</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(460,664)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(321,628)</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(67,696)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1,103,269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1,014,192</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1,035,573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1,103,269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ind w:right="108"/>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740" w:type="dxa"/>
            <w:vAlign w:val="bottom"/>
          </w:tcPr>
          <w:p>
            <w:pPr>
              <w:spacing w:after="0"/>
              <w:rPr>
                <w:sz w:val="10"/>
                <w:szCs w:val="10"/>
                <w:color w:val="auto"/>
              </w:rPr>
            </w:pPr>
          </w:p>
        </w:tc>
        <w:tc>
          <w:tcPr>
            <w:tcW w:w="1340" w:type="dxa"/>
            <w:vAlign w:val="bottom"/>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30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8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4"/>
              </w:rPr>
              <w:t>December 31,</w:t>
            </w:r>
          </w:p>
        </w:tc>
        <w:tc>
          <w:tcPr>
            <w:tcW w:w="460" w:type="dxa"/>
            <w:vAlign w:val="bottom"/>
          </w:tcPr>
          <w:p>
            <w:pPr>
              <w:spacing w:after="0"/>
              <w:rPr>
                <w:sz w:val="10"/>
                <w:szCs w:val="10"/>
                <w:color w:val="auto"/>
              </w:rPr>
            </w:pPr>
          </w:p>
        </w:tc>
        <w:tc>
          <w:tcPr>
            <w:tcW w:w="8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57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$623.1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115.3</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102.3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97.6</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158.3</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00" w:type="dxa"/>
            <w:vAlign w:val="bottom"/>
            <w:shd w:val="clear" w:color="auto" w:fill="CCEEFF"/>
          </w:tcPr>
          <w:p>
            <w:pPr>
              <w:spacing w:after="0"/>
              <w:rPr>
                <w:sz w:val="18"/>
                <w:szCs w:val="18"/>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926.8</w:t>
            </w:r>
          </w:p>
        </w:tc>
        <w:tc>
          <w:tcPr>
            <w:tcW w:w="4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907.9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902.6</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906.3</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900.3</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Managed Services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Customer Experience Solutions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12-Month Backlog</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tbl>
      <w:tblPr>
        <w:tblLayout w:type="fixed"/>
        <w:tblInd w:w="200" w:type="dxa"/>
        <w:tblCellMar>
          <w:top w:w="0" w:type="dxa"/>
          <w:left w:w="0" w:type="dxa"/>
          <w:bottom w:w="0" w:type="dxa"/>
          <w:right w:w="0" w:type="dxa"/>
        </w:tblCellMar>
      </w:tblPr>
      <w:tr>
        <w:trPr>
          <w:trHeight w:val="119"/>
        </w:trPr>
        <w:tc>
          <w:tcPr>
            <w:tcW w:w="13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68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w w:val="96"/>
              </w:rPr>
              <w:t>June 30,</w:t>
            </w:r>
          </w:p>
        </w:tc>
        <w:tc>
          <w:tcPr>
            <w:tcW w:w="3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4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w:t>
            </w:r>
          </w:p>
        </w:tc>
        <w:tc>
          <w:tcPr>
            <w:tcW w:w="460" w:type="dxa"/>
            <w:vAlign w:val="bottom"/>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460.6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467.1</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124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w w:val="98"/>
              </w:rPr>
              <w:t>September</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tcPr>
          <w:p>
            <w:pPr>
              <w:spacing w:after="0"/>
              <w:rPr>
                <w:sz w:val="10"/>
                <w:szCs w:val="10"/>
                <w:color w:val="auto"/>
              </w:rPr>
            </w:pPr>
          </w:p>
        </w:tc>
        <w:tc>
          <w:tcPr>
            <w:tcW w:w="78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auto"/>
                <w:w w:val="98"/>
              </w:rPr>
              <w:t>September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30,</w:t>
            </w:r>
          </w:p>
        </w:tc>
        <w:tc>
          <w:tcPr>
            <w:tcW w:w="4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4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899.4</w:t>
            </w:r>
          </w:p>
        </w:tc>
        <w:tc>
          <w:tcPr>
            <w:tcW w:w="460" w:type="dxa"/>
            <w:vAlign w:val="bottom"/>
          </w:tcPr>
          <w:p>
            <w:pPr>
              <w:spacing w:after="0"/>
              <w:rPr>
                <w:sz w:val="16"/>
                <w:szCs w:val="16"/>
                <w:color w:val="auto"/>
              </w:rPr>
            </w:pPr>
          </w:p>
        </w:tc>
        <w:tc>
          <w:tcPr>
            <w:tcW w:w="520" w:type="dxa"/>
            <w:vAlign w:val="bottom"/>
          </w:tcPr>
          <w:p>
            <w:pPr>
              <w:jc w:val="center"/>
              <w:spacing w:after="0" w:line="195" w:lineRule="exact"/>
              <w:rPr>
                <w:sz w:val="20"/>
                <w:szCs w:val="20"/>
                <w:color w:val="auto"/>
              </w:rPr>
            </w:pPr>
            <w:r>
              <w:rPr>
                <w:rFonts w:ascii="Arial" w:cs="Arial" w:eastAsia="Arial" w:hAnsi="Arial"/>
                <w:sz w:val="18"/>
                <w:szCs w:val="18"/>
                <w:color w:val="auto"/>
                <w:w w:val="94"/>
              </w:rPr>
              <w:t>$883.7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line="195"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877.1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882.4</w:t>
            </w:r>
          </w:p>
        </w:tc>
        <w:tc>
          <w:tcPr>
            <w:tcW w:w="460" w:type="dxa"/>
            <w:vAlign w:val="bottom"/>
          </w:tcPr>
          <w:p>
            <w:pPr>
              <w:spacing w:after="0"/>
              <w:rPr>
                <w:sz w:val="16"/>
                <w:szCs w:val="16"/>
                <w:color w:val="auto"/>
              </w:rPr>
            </w:pP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871.5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27.4</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24.2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3"/>
        </w:trPr>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926.8</w:t>
            </w:r>
          </w:p>
        </w:tc>
        <w:tc>
          <w:tcPr>
            <w:tcW w:w="4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907.9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68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w w:val="96"/>
              </w:rPr>
              <w:t>June 30,</w:t>
            </w:r>
          </w:p>
        </w:tc>
        <w:tc>
          <w:tcPr>
            <w:tcW w:w="300" w:type="dxa"/>
            <w:vAlign w:val="bottom"/>
          </w:tcPr>
          <w:p>
            <w:pPr>
              <w:spacing w:after="0"/>
              <w:rPr>
                <w:sz w:val="10"/>
                <w:szCs w:val="10"/>
                <w:color w:val="auto"/>
              </w:rPr>
            </w:pP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4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w:t>
            </w:r>
          </w:p>
        </w:tc>
        <w:tc>
          <w:tcPr>
            <w:tcW w:w="460" w:type="dxa"/>
            <w:vAlign w:val="bottom"/>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3,010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-1740535</wp:posOffset>
            </wp:positionV>
            <wp:extent cx="72466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-1054100</wp:posOffset>
            </wp:positionV>
            <wp:extent cx="72466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-753745</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-153670</wp:posOffset>
            </wp:positionV>
            <wp:extent cx="72466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2">
        <w:col w:w="4820" w:space="720"/>
        <w:col w:w="5880"/>
      </w:cols>
      <w:pgMar w:left="240" w:top="27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2019-12-07T04:52:52Z</dcterms:created>
  <dcterms:modified xsi:type="dcterms:W3CDTF">2019-12-07T04:52:52Z</dcterms:modified>
</cp:coreProperties>
</file>