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6-K</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REPORT OF FOREIGN PRIVATE ISSUER</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PURSUANT TO RULE 13A-16 OR 15D-16 OF</w:t>
      </w:r>
    </w:p>
    <w:p>
      <w:pPr>
        <w:spacing w:after="0" w:line="7"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For the Quarter Ended December 31, 1999</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Tower Hill House Le Bordage GY1 3QT</w:t>
      </w:r>
    </w:p>
    <w:p>
      <w:pPr>
        <w:spacing w:after="0" w:line="7"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St. Peter Port, Island of Guernsey, Channel Islands</w:t>
      </w:r>
    </w:p>
    <w:p>
      <w:pPr>
        <w:spacing w:after="0" w:line="173" w:lineRule="exact"/>
        <w:rPr>
          <w:sz w:val="24"/>
          <w:szCs w:val="24"/>
          <w:color w:val="auto"/>
        </w:rPr>
      </w:pPr>
    </w:p>
    <w:p>
      <w:pPr>
        <w:ind w:left="28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Inc.</w:t>
      </w:r>
    </w:p>
    <w:p>
      <w:pPr>
        <w:spacing w:after="0" w:line="7"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4"/>
          <w:szCs w:val="14"/>
          <w:color w:val="auto"/>
        </w:rPr>
        <w:t>1390 Timberlake Manor Parkway, Chesterfield, Missouri 63017</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173" w:lineRule="exact"/>
        <w:rPr>
          <w:sz w:val="24"/>
          <w:szCs w:val="24"/>
          <w:color w:val="auto"/>
        </w:rPr>
      </w:pPr>
    </w:p>
    <w:p>
      <w:pPr>
        <w:ind w:right="3259"/>
        <w:spacing w:after="0" w:line="255" w:lineRule="auto"/>
        <w:rPr>
          <w:sz w:val="20"/>
          <w:szCs w:val="20"/>
          <w:color w:val="auto"/>
        </w:rPr>
      </w:pPr>
      <w:r>
        <w:rPr>
          <w:rFonts w:ascii="Courier New" w:cs="Courier New" w:eastAsia="Courier New" w:hAnsi="Courier New"/>
          <w:sz w:val="14"/>
          <w:szCs w:val="14"/>
          <w:color w:val="auto"/>
        </w:rPr>
        <w:t>(Indicate by check mark whether the registrant files or will file annual reports under cover of Form 20-F or Form 40-F)</w:t>
      </w:r>
    </w:p>
    <w:p>
      <w:pPr>
        <w:sectPr>
          <w:pgSz w:w="11900" w:h="16838" w:orient="portrait"/>
          <w:cols w:equalWidth="0" w:num="1">
            <w:col w:w="10159"/>
          </w:cols>
          <w:pgMar w:left="300" w:top="230" w:right="1440" w:bottom="1440" w:gutter="0" w:footer="0" w:header="0"/>
        </w:sectPr>
      </w:pPr>
    </w:p>
    <w:p>
      <w:pPr>
        <w:spacing w:after="0" w:line="16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Form 20 F</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FORM 40 F</w:t>
      </w:r>
    </w:p>
    <w:p>
      <w:pPr>
        <w:spacing w:after="0" w:line="7" w:lineRule="exact"/>
        <w:rPr>
          <w:sz w:val="24"/>
          <w:szCs w:val="24"/>
          <w:color w:val="auto"/>
        </w:rPr>
      </w:pPr>
    </w:p>
    <w:p>
      <w:pPr>
        <w:sectPr>
          <w:pgSz w:w="11900" w:h="16838" w:orient="portrait"/>
          <w:cols w:equalWidth="0" w:num="3">
            <w:col w:w="3020" w:space="340"/>
            <w:col w:w="100" w:space="680"/>
            <w:col w:w="6019"/>
          </w:cols>
          <w:pgMar w:left="300" w:top="230"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4360" w:space="720"/>
            <w:col w:w="5079"/>
          </w:cols>
          <w:pgMar w:left="300" w:top="230" w:right="1440" w:bottom="1440" w:gutter="0" w:footer="0" w:header="0"/>
          <w:type w:val="continuous"/>
        </w:sectPr>
      </w:pPr>
    </w:p>
    <w:p>
      <w:pPr>
        <w:ind w:right="3599"/>
        <w:spacing w:after="0" w:line="252"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2" w:lineRule="exact"/>
        <w:rPr>
          <w:sz w:val="24"/>
          <w:szCs w:val="24"/>
          <w:color w:val="auto"/>
        </w:rPr>
      </w:pPr>
    </w:p>
    <w:p>
      <w:pPr>
        <w:ind w:left="2940"/>
        <w:spacing w:after="0"/>
        <w:tabs>
          <w:tab w:leader="none" w:pos="4120" w:val="left"/>
          <w:tab w:leader="none" w:pos="446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NO</w:t>
        <w:tab/>
        <w:t>X</w:t>
      </w:r>
    </w:p>
    <w:p>
      <w:pPr>
        <w:spacing w:after="0" w:line="7" w:lineRule="exact"/>
        <w:rPr>
          <w:sz w:val="24"/>
          <w:szCs w:val="24"/>
          <w:color w:val="auto"/>
        </w:rPr>
      </w:pPr>
    </w:p>
    <w:p>
      <w:pPr>
        <w:ind w:left="4400" w:hanging="1120"/>
        <w:spacing w:after="0"/>
        <w:tabs>
          <w:tab w:leader="none" w:pos="44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6-K</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REPORT OF FOREIGN PRIVATE ISSUER</w:t>
      </w:r>
    </w:p>
    <w:p>
      <w:pPr>
        <w:spacing w:after="0" w:line="17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FOR THE QUARTER ENDED DECEMBER 31, 1999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INDEX</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Unaudited Consolidated Financial Statements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Balance Sheets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Statement of Changes in Shareholders'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Equity</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173" w:lineRule="exact"/>
        <w:rPr>
          <w:sz w:val="20"/>
          <w:szCs w:val="20"/>
          <w:color w:val="auto"/>
        </w:rPr>
      </w:pPr>
    </w:p>
    <w:p>
      <w:pPr>
        <w:ind w:left="1980" w:right="3859" w:hanging="1032"/>
        <w:spacing w:after="0" w:line="255" w:lineRule="auto"/>
        <w:tabs>
          <w:tab w:leader="none" w:pos="196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Results of Operations and Financial Condition</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159"/>
          </w:cols>
          <w:pgMar w:left="30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 U.S. DOLLARS, UNLESS OTHERWISE STATED)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0" w:type="dxa"/>
            <w:vAlign w:val="bottom"/>
          </w:tcPr>
          <w:p>
            <w:pPr>
              <w:ind w:left="1900"/>
              <w:spacing w:after="0"/>
              <w:rPr>
                <w:sz w:val="20"/>
                <w:szCs w:val="20"/>
                <w:color w:val="auto"/>
              </w:rPr>
            </w:pPr>
            <w:r>
              <w:rPr>
                <w:rFonts w:ascii="Courier New" w:cs="Courier New" w:eastAsia="Courier New" w:hAnsi="Courier New"/>
                <w:sz w:val="14"/>
                <w:szCs w:val="14"/>
                <w:color w:val="auto"/>
              </w:rPr>
              <w:t>(IN THOUSANDS, EXCEPT PER SHARE DATA)</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828"/>
        </w:trPr>
        <w:tc>
          <w:tcPr>
            <w:tcW w:w="7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AS OF</w:t>
            </w:r>
          </w:p>
        </w:tc>
        <w:tc>
          <w:tcPr>
            <w:tcW w:w="980" w:type="dxa"/>
            <w:vAlign w:val="bottom"/>
          </w:tcPr>
          <w:p>
            <w:pPr>
              <w:spacing w:after="0"/>
              <w:rPr>
                <w:sz w:val="24"/>
                <w:szCs w:val="24"/>
                <w:color w:val="auto"/>
              </w:rPr>
            </w:pPr>
          </w:p>
        </w:tc>
      </w:tr>
      <w:tr>
        <w:trPr>
          <w:trHeight w:val="166"/>
        </w:trPr>
        <w:tc>
          <w:tcPr>
            <w:tcW w:w="7800" w:type="dxa"/>
            <w:vAlign w:val="bottom"/>
          </w:tcPr>
          <w:p>
            <w:pPr>
              <w:spacing w:after="0"/>
              <w:rPr>
                <w:sz w:val="14"/>
                <w:szCs w:val="14"/>
                <w:color w:val="auto"/>
              </w:rPr>
            </w:pPr>
          </w:p>
        </w:tc>
        <w:tc>
          <w:tcPr>
            <w:tcW w:w="3400" w:type="dxa"/>
            <w:vAlign w:val="bottom"/>
            <w:gridSpan w:val="4"/>
          </w:tcPr>
          <w:p>
            <w:pPr>
              <w:ind w:left="74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DECEMBER</w:t>
            </w:r>
          </w:p>
        </w:tc>
        <w:tc>
          <w:tcPr>
            <w:tcW w:w="12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SEPTEMBER 30,</w:t>
            </w:r>
          </w:p>
        </w:tc>
      </w:tr>
      <w:tr>
        <w:trPr>
          <w:trHeight w:val="166"/>
        </w:trPr>
        <w:tc>
          <w:tcPr>
            <w:tcW w:w="7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31, 1999</w:t>
            </w:r>
          </w:p>
        </w:tc>
        <w:tc>
          <w:tcPr>
            <w:tcW w:w="30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(UNAUDITED)</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7800" w:type="dxa"/>
            <w:vAlign w:val="bottom"/>
          </w:tcPr>
          <w:p>
            <w:pPr>
              <w:ind w:left="3200"/>
              <w:spacing w:after="0"/>
              <w:rPr>
                <w:sz w:val="20"/>
                <w:szCs w:val="20"/>
                <w:color w:val="auto"/>
              </w:rPr>
            </w:pPr>
            <w:r>
              <w:rPr>
                <w:rFonts w:ascii="Courier New" w:cs="Courier New" w:eastAsia="Courier New" w:hAnsi="Courier New"/>
                <w:sz w:val="14"/>
                <w:szCs w:val="14"/>
                <w:color w:val="auto"/>
              </w:rPr>
              <w:t>ASSETS</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165,819</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85,174</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20,384</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including unbilled of $8,296 and $3,415, less allowances</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of $5,024 and $0, respectively</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179,926</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145,184</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from related parties, including unbilled of</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$0 and $828, respectively</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15,706</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14,128</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32,488</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29,899</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39,856</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16,390</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454,179</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290,775</w:t>
            </w: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0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94,012</w:t>
            </w:r>
          </w:p>
        </w:tc>
        <w:tc>
          <w:tcPr>
            <w:tcW w:w="30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83,997</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13,615</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5,605</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 , net</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110,132</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20,742</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29,151</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28,892</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701,089</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7800" w:type="dxa"/>
            <w:vAlign w:val="bottom"/>
          </w:tcPr>
          <w:p>
            <w:pPr>
              <w:ind w:left="1900"/>
              <w:spacing w:after="0"/>
              <w:rPr>
                <w:sz w:val="20"/>
                <w:szCs w:val="20"/>
                <w:color w:val="auto"/>
              </w:rPr>
            </w:pPr>
            <w:r>
              <w:rPr>
                <w:rFonts w:ascii="Courier New" w:cs="Courier New" w:eastAsia="Courier New" w:hAnsi="Courier New"/>
                <w:sz w:val="14"/>
                <w:szCs w:val="14"/>
                <w:color w:val="auto"/>
              </w:rPr>
              <w:t>LIABILITIES AND SHAREHOLDERS' EQUITY</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97"/>
        </w:trPr>
        <w:tc>
          <w:tcPr>
            <w:tcW w:w="78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82,604</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68,594</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56,825</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40,092</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Short-term financing arrangements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11,696</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2,381</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105,060</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104,688</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6,037</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5,722</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46,251</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33,412</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308,473</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254,889</w:t>
            </w: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Long-term portion of capital lease obligations</w:t>
            </w:r>
          </w:p>
        </w:tc>
        <w:tc>
          <w:tcPr>
            <w:tcW w:w="90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16,708</w:t>
            </w:r>
          </w:p>
        </w:tc>
        <w:tc>
          <w:tcPr>
            <w:tcW w:w="300" w:type="dxa"/>
            <w:vAlign w:val="bottom"/>
          </w:tcPr>
          <w:p>
            <w:pPr>
              <w:spacing w:after="0"/>
              <w:rPr>
                <w:sz w:val="24"/>
                <w:szCs w:val="2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17,148</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41,945</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34,237</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367,126</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306,274</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78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Pound Sterling 0.01 par value; 0 issued and outstanding</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w:t>
            </w: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7800" w:type="dxa"/>
            <w:vAlign w:val="bottom"/>
          </w:tcPr>
          <w:p>
            <w:pPr>
              <w:ind w:left="520"/>
              <w:spacing w:after="0"/>
              <w:rPr>
                <w:sz w:val="20"/>
                <w:szCs w:val="20"/>
                <w:color w:val="auto"/>
              </w:rPr>
            </w:pPr>
            <w:r>
              <w:rPr>
                <w:rFonts w:ascii="Courier New" w:cs="Courier New" w:eastAsia="Courier New" w:hAnsi="Courier New"/>
                <w:sz w:val="14"/>
                <w:szCs w:val="14"/>
                <w:color w:val="auto"/>
              </w:rPr>
              <w:t>Pound Sterling 0.01 par value; 205,251 and 198,800 outstanding, respectively</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3,284</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3,181</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674,886</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489,099</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4,599</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(3,830)</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w:t>
            </w:r>
          </w:p>
        </w:tc>
        <w:tc>
          <w:tcPr>
            <w:tcW w:w="9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(346,275)</w:t>
            </w:r>
          </w:p>
        </w:tc>
        <w:tc>
          <w:tcPr>
            <w:tcW w:w="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(363,556)</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ind w:left="260"/>
              <w:spacing w:after="0"/>
              <w:rPr>
                <w:sz w:val="20"/>
                <w:szCs w:val="20"/>
                <w:color w:val="auto"/>
              </w:rPr>
            </w:pPr>
            <w:r>
              <w:rPr>
                <w:rFonts w:ascii="Courier New" w:cs="Courier New" w:eastAsia="Courier New" w:hAnsi="Courier New"/>
                <w:sz w:val="14"/>
                <w:szCs w:val="14"/>
                <w:color w:val="auto"/>
              </w:rPr>
              <w:t>Total shareholders' equity</w:t>
            </w:r>
          </w:p>
        </w:tc>
        <w:tc>
          <w:tcPr>
            <w:tcW w:w="90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333,963</w:t>
            </w:r>
          </w:p>
        </w:tc>
        <w:tc>
          <w:tcPr>
            <w:tcW w:w="30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123,737</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7800" w:type="dxa"/>
            <w:vAlign w:val="bottom"/>
          </w:tcPr>
          <w:p>
            <w:pPr>
              <w:spacing w:after="0"/>
              <w:rPr>
                <w:sz w:val="20"/>
                <w:szCs w:val="20"/>
                <w:color w:val="auto"/>
              </w:rPr>
            </w:pPr>
            <w:r>
              <w:rPr>
                <w:rFonts w:ascii="Courier New" w:cs="Courier New" w:eastAsia="Courier New" w:hAnsi="Courier New"/>
                <w:sz w:val="14"/>
                <w:szCs w:val="14"/>
                <w:color w:val="auto"/>
              </w:rPr>
              <w:t>Total liabilities and shareholders' equity</w:t>
            </w:r>
          </w:p>
        </w:tc>
        <w:tc>
          <w:tcPr>
            <w:tcW w:w="9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701,089</w:t>
            </w:r>
          </w:p>
        </w:tc>
        <w:tc>
          <w:tcPr>
            <w:tcW w:w="3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7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See accompanying notes</w:t>
      </w:r>
    </w:p>
    <w:p>
      <w:pPr>
        <w:sectPr>
          <w:pgSz w:w="11900" w:h="16838" w:orient="portrait"/>
          <w:cols w:equalWidth="0" w:num="1">
            <w:col w:w="11200"/>
          </w:cols>
          <w:pgMar w:left="300" w:top="285" w:right="399"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CONSOLIDATED STATEMENTS OF OPERATIONS (UNAUDITED)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 U.S. DOLLARS, UNLESS OTHERWISE STATED)</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12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31,</w:t>
            </w:r>
          </w:p>
        </w:tc>
        <w:tc>
          <w:tcPr>
            <w:tcW w:w="12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680" w:type="dxa"/>
            <w:vAlign w:val="bottom"/>
            <w:gridSpan w:val="4"/>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1188"/>
              <w:spacing w:after="0"/>
              <w:rPr>
                <w:sz w:val="20"/>
                <w:szCs w:val="20"/>
                <w:color w:val="auto"/>
              </w:rPr>
            </w:pPr>
            <w:r>
              <w:rPr>
                <w:rFonts w:ascii="Courier New" w:cs="Courier New" w:eastAsia="Courier New" w:hAnsi="Courier New"/>
                <w:sz w:val="14"/>
                <w:szCs w:val="14"/>
                <w:color w:val="auto"/>
                <w:w w:val="95"/>
              </w:rPr>
              <w:t>1999</w:t>
            </w:r>
          </w:p>
        </w:tc>
        <w:tc>
          <w:tcPr>
            <w:tcW w:w="600" w:type="dxa"/>
            <w:vAlign w:val="bottom"/>
          </w:tcPr>
          <w:p>
            <w:pPr>
              <w:spacing w:after="0"/>
              <w:rPr>
                <w:sz w:val="14"/>
                <w:szCs w:val="14"/>
                <w:color w:val="auto"/>
              </w:rPr>
            </w:pPr>
          </w:p>
        </w:tc>
        <w:tc>
          <w:tcPr>
            <w:tcW w:w="1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497"/>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Revenue:</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License (*)</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26,502</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15,040</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Service (*)</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209,004</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116,385</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235,506</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131,425</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Cost of license</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1,173</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1,323</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Cost of service (*)</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139,034</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75,915</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14,970</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8,379</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27,593</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15,647</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In-process research and development expenses</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19,876</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202,646</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101,264</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w:t>
            </w:r>
          </w:p>
        </w:tc>
        <w:tc>
          <w:tcPr>
            <w:tcW w:w="1240" w:type="dxa"/>
            <w:vAlign w:val="bottom"/>
          </w:tcPr>
          <w:p>
            <w:pPr>
              <w:spacing w:after="0"/>
              <w:rPr>
                <w:sz w:val="24"/>
                <w:szCs w:val="2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32,860</w:t>
            </w:r>
          </w:p>
        </w:tc>
        <w:tc>
          <w:tcPr>
            <w:tcW w:w="600" w:type="dxa"/>
            <w:vAlign w:val="bottom"/>
          </w:tcPr>
          <w:p>
            <w:pPr>
              <w:spacing w:after="0"/>
              <w:rPr>
                <w:sz w:val="24"/>
                <w:szCs w:val="2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30,161</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 net</w:t>
            </w:r>
          </w:p>
        </w:tc>
        <w:tc>
          <w:tcPr>
            <w:tcW w:w="1240" w:type="dxa"/>
            <w:vAlign w:val="bottom"/>
          </w:tcPr>
          <w:p>
            <w:pPr>
              <w:spacing w:after="0"/>
              <w:rPr>
                <w:sz w:val="24"/>
                <w:szCs w:val="2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345</w:t>
            </w:r>
          </w:p>
        </w:tc>
        <w:tc>
          <w:tcPr>
            <w:tcW w:w="600" w:type="dxa"/>
            <w:vAlign w:val="bottom"/>
          </w:tcPr>
          <w:p>
            <w:pPr>
              <w:spacing w:after="0"/>
              <w:rPr>
                <w:sz w:val="24"/>
                <w:szCs w:val="2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w:t>
            </w:r>
          </w:p>
        </w:tc>
      </w:tr>
      <w:tr>
        <w:trPr>
          <w:trHeight w:val="331"/>
        </w:trPr>
        <w:tc>
          <w:tcPr>
            <w:tcW w:w="2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33,205</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28,774</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15,924</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8,632</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17,281</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20,142</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Basic earnings per share</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0.09</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 share</w:t>
            </w:r>
          </w:p>
        </w:tc>
        <w:tc>
          <w:tcPr>
            <w:tcW w:w="12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0.08</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shares</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201,020</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196,800</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shares</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outstanding</w:t>
            </w:r>
          </w:p>
        </w:tc>
        <w:tc>
          <w:tcPr>
            <w:tcW w:w="12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204,867</w:t>
            </w:r>
          </w:p>
        </w:tc>
        <w:tc>
          <w:tcPr>
            <w:tcW w:w="6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198,905</w:t>
            </w:r>
          </w:p>
        </w:tc>
      </w:tr>
      <w:tr>
        <w:trPr>
          <w:trHeight w:val="166"/>
        </w:trPr>
        <w:tc>
          <w:tcPr>
            <w:tcW w:w="2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84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w:t>
            </w:r>
          </w:p>
        </w:tc>
        <w:tc>
          <w:tcPr>
            <w:tcW w:w="1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See Note 3.</w:t>
            </w:r>
          </w:p>
        </w:tc>
        <w:tc>
          <w:tcPr>
            <w:tcW w:w="1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33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 OF CHANGES IN SHAREHOLDERS' EQUITY (UNAUDITED)</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 U.S. DOLLARS, UNLESS OTHERWISE STATED)</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159"/>
          </w:cols>
          <w:pgMar w:left="300" w:top="285" w:right="1440" w:bottom="9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Ordinary Shares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tabs>
          <w:tab w:leader="none" w:pos="394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2160"/>
        <w:spacing w:after="0"/>
        <w:tabs>
          <w:tab w:leader="none" w:pos="37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Additional</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Paid-in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Accumulated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other</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comprehensive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income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Unearned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4920" w:space="340"/>
            <w:col w:w="1300" w:space="260"/>
            <w:col w:w="1460" w:space="160"/>
            <w:col w:w="1719"/>
          </w:cols>
          <w:pgMar w:left="300" w:top="285" w:right="1440" w:bottom="96"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as of</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September 30,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198,800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3,181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489,099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(3,830)</w:t>
      </w:r>
    </w:p>
    <w:p>
      <w:pPr>
        <w:spacing w:after="0" w:line="173" w:lineRule="exact"/>
        <w:rPr>
          <w:sz w:val="20"/>
          <w:szCs w:val="20"/>
          <w:color w:val="auto"/>
        </w:rPr>
      </w:pPr>
    </w:p>
    <w:p>
      <w:pPr>
        <w:sectPr>
          <w:pgSz w:w="11900" w:h="16838" w:orient="portrait"/>
          <w:cols w:equalWidth="0" w:num="10">
            <w:col w:w="1880" w:space="720"/>
            <w:col w:w="600" w:space="520"/>
            <w:col w:w="80" w:space="520"/>
            <w:col w:w="420" w:space="520"/>
            <w:col w:w="80" w:space="440"/>
            <w:col w:w="600" w:space="440"/>
            <w:col w:w="80" w:space="600"/>
            <w:col w:w="600" w:space="340"/>
            <w:col w:w="100" w:space="680"/>
            <w:col w:w="939"/>
          </w:cols>
          <w:pgMar w:left="300" w:top="285" w:right="1440" w:bottom="9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6">
            <w:col w:w="2380" w:space="720"/>
            <w:col w:w="840" w:space="720"/>
            <w:col w:w="920" w:space="720"/>
            <w:col w:w="920" w:space="720"/>
            <w:col w:w="1000" w:space="720"/>
            <w:col w:w="499"/>
          </w:cols>
          <w:pgMar w:left="300" w:top="285" w:right="1440" w:bottom="9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Issuance of Ordinary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Shares related to an</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acquisition, net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6,451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185,744</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6">
            <w:col w:w="2040" w:space="720"/>
            <w:col w:w="1000" w:space="720"/>
            <w:col w:w="580" w:space="720"/>
            <w:col w:w="1440" w:space="720"/>
            <w:col w:w="1000" w:space="720"/>
            <w:col w:w="499"/>
          </w:cols>
          <w:pgMar w:left="300" w:top="285" w:right="1440" w:bottom="9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Employees' stock options</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exercised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Courier New" w:cs="Courier New" w:eastAsia="Courier New" w:hAnsi="Courier New"/>
          <w:sz w:val="14"/>
          <w:szCs w:val="14"/>
          <w:color w:val="auto"/>
        </w:rPr>
        <w:t>15</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6">
            <w:col w:w="2220" w:space="720"/>
            <w:col w:w="820" w:space="720"/>
            <w:col w:w="1000" w:space="720"/>
            <w:col w:w="1020" w:space="720"/>
            <w:col w:w="1000" w:space="720"/>
            <w:col w:w="499"/>
          </w:cols>
          <w:pgMar w:left="300" w:top="285" w:right="1440" w:bottom="96" w:gutter="0" w:footer="0" w:header="0"/>
          <w:type w:val="continuous"/>
        </w:sectPr>
      </w:pPr>
    </w:p>
    <w:p>
      <w:pPr>
        <w:jc w:val="right"/>
        <w:ind w:right="8079"/>
        <w:spacing w:after="0"/>
        <w:rPr>
          <w:sz w:val="20"/>
          <w:szCs w:val="20"/>
          <w:color w:val="auto"/>
        </w:rPr>
      </w:pPr>
      <w:r>
        <w:rPr>
          <w:rFonts w:ascii="Courier New" w:cs="Courier New" w:eastAsia="Courier New" w:hAnsi="Courier New"/>
          <w:sz w:val="14"/>
          <w:szCs w:val="14"/>
          <w:color w:val="auto"/>
        </w:rPr>
        <w:t>Unrealized gain on other</w:t>
      </w:r>
    </w:p>
    <w:p>
      <w:pPr>
        <w:spacing w:after="0" w:line="7" w:lineRule="exact"/>
        <w:rPr>
          <w:sz w:val="20"/>
          <w:szCs w:val="20"/>
          <w:color w:val="auto"/>
        </w:rPr>
      </w:pPr>
    </w:p>
    <w:p>
      <w:pPr>
        <w:jc w:val="right"/>
        <w:ind w:right="8079"/>
        <w:spacing w:after="0"/>
        <w:rPr>
          <w:sz w:val="20"/>
          <w:szCs w:val="20"/>
          <w:color w:val="auto"/>
        </w:rPr>
      </w:pPr>
      <w:r>
        <w:rPr>
          <w:rFonts w:ascii="Courier New" w:cs="Courier New" w:eastAsia="Courier New" w:hAnsi="Courier New"/>
          <w:sz w:val="14"/>
          <w:szCs w:val="14"/>
          <w:color w:val="auto"/>
        </w:rPr>
        <w:t>comprehensive income,</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net of $2,474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6">
            <w:col w:w="2300" w:space="720"/>
            <w:col w:w="840" w:space="720"/>
            <w:col w:w="900" w:space="720"/>
            <w:col w:w="660" w:space="720"/>
            <w:col w:w="1360" w:space="720"/>
            <w:col w:w="499"/>
          </w:cols>
          <w:pgMar w:left="300" w:top="285" w:right="1440" w:bottom="9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Stock options granted, net</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of forfeitures</w:t>
      </w:r>
    </w:p>
    <w:p>
      <w:pPr>
        <w:spacing w:after="0" w:line="20" w:lineRule="exact"/>
        <w:rPr>
          <w:sz w:val="20"/>
          <w:szCs w:val="20"/>
          <w:color w:val="auto"/>
        </w:rPr>
      </w:pPr>
      <w:r>
        <w:rPr>
          <w:sz w:val="20"/>
          <w:szCs w:val="20"/>
          <w:color w:val="auto"/>
        </w:rPr>
        <w:br w:type="column"/>
      </w:r>
    </w:p>
    <w:p>
      <w:pPr>
        <w:jc w:val="center"/>
        <w:ind w:right="7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7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28</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6">
            <w:col w:w="2300" w:space="720"/>
            <w:col w:w="840" w:space="720"/>
            <w:col w:w="820" w:space="720"/>
            <w:col w:w="1100" w:space="720"/>
            <w:col w:w="1000" w:space="720"/>
            <w:col w:w="499"/>
          </w:cols>
          <w:pgMar w:left="300" w:top="285" w:right="1440" w:bottom="9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Acquired unearned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 related</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 an 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82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9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w:t>
      </w:r>
    </w:p>
    <w:p>
      <w:pPr>
        <w:spacing w:after="0" w:line="173" w:lineRule="exact"/>
        <w:rPr>
          <w:sz w:val="20"/>
          <w:szCs w:val="20"/>
          <w:color w:val="auto"/>
        </w:rPr>
      </w:pPr>
    </w:p>
    <w:p>
      <w:pPr>
        <w:sectPr>
          <w:pgSz w:w="11900" w:h="16838" w:orient="portrait"/>
          <w:cols w:equalWidth="0" w:num="6">
            <w:col w:w="2300" w:space="720"/>
            <w:col w:w="840" w:space="720"/>
            <w:col w:w="900" w:space="720"/>
            <w:col w:w="1020" w:space="720"/>
            <w:col w:w="820" w:space="720"/>
            <w:col w:w="679"/>
          </w:cols>
          <w:pgMar w:left="300" w:top="285" w:right="1440" w:bottom="9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Amortization of</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unearned</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Compensation</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60"/>
        <w:spacing w:after="0"/>
        <w:rPr>
          <w:sz w:val="20"/>
          <w:szCs w:val="20"/>
          <w:color w:val="auto"/>
        </w:rPr>
      </w:pPr>
      <w:r>
        <w:rPr>
          <w:rFonts w:ascii="Courier New" w:cs="Courier New" w:eastAsia="Courier New" w:hAnsi="Courier New"/>
          <w:sz w:val="14"/>
          <w:szCs w:val="14"/>
          <w:color w:val="auto"/>
        </w:rPr>
        <w:t>1,317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6">
            <w:col w:w="1440" w:space="720"/>
            <w:col w:w="1120" w:space="440"/>
            <w:col w:w="1200" w:space="340"/>
            <w:col w:w="1300" w:space="260"/>
            <w:col w:w="1460" w:space="160"/>
            <w:col w:w="1719"/>
          </w:cols>
          <w:pgMar w:left="300" w:top="285" w:right="1440" w:bottom="96"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 as of</w:t>
      </w:r>
    </w:p>
    <w:p>
      <w:pPr>
        <w:sectPr>
          <w:pgSz w:w="11900" w:h="16838" w:orient="portrait"/>
          <w:cols w:equalWidth="0" w:num="1">
            <w:col w:w="10159"/>
          </w:cols>
          <w:pgMar w:left="300" w:top="285" w:right="1440" w:bottom="96" w:gutter="0" w:footer="0" w:header="0"/>
          <w:type w:val="continuous"/>
        </w:sectPr>
      </w:pP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December 31, 1999</w:t>
      </w:r>
    </w:p>
    <w:p>
      <w:pPr>
        <w:spacing w:after="0" w:line="20" w:lineRule="exact"/>
        <w:rPr>
          <w:sz w:val="20"/>
          <w:szCs w:val="20"/>
          <w:color w:val="auto"/>
        </w:rPr>
      </w:pPr>
      <w:r>
        <w:rPr>
          <w:sz w:val="20"/>
          <w:szCs w:val="20"/>
          <w:color w:val="auto"/>
        </w:rPr>
        <w:br w:type="column"/>
      </w:r>
    </w:p>
    <w:p>
      <w:pPr>
        <w:ind w:firstLine="344"/>
        <w:spacing w:after="0" w:line="255" w:lineRule="auto"/>
        <w:rPr>
          <w:sz w:val="20"/>
          <w:szCs w:val="20"/>
          <w:color w:val="auto"/>
        </w:rPr>
      </w:pPr>
      <w:r>
        <w:rPr>
          <w:rFonts w:ascii="Courier New" w:cs="Courier New" w:eastAsia="Courier New" w:hAnsi="Courier New"/>
          <w:sz w:val="14"/>
          <w:szCs w:val="14"/>
          <w:color w:val="auto"/>
        </w:rPr>
        <w:t>205,251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$ 3,284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$ 674,886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$ 4,599 =================</w:t>
      </w:r>
    </w:p>
    <w:p>
      <w:pPr>
        <w:spacing w:after="0" w:line="20" w:lineRule="exact"/>
        <w:rPr>
          <w:sz w:val="20"/>
          <w:szCs w:val="20"/>
          <w:color w:val="auto"/>
        </w:rPr>
      </w:pPr>
      <w:r>
        <w:rPr>
          <w:sz w:val="20"/>
          <w:szCs w:val="20"/>
          <w:color w:val="auto"/>
        </w:rPr>
        <w:br w:type="column"/>
      </w:r>
    </w:p>
    <w:p>
      <w:pPr>
        <w:ind w:right="79"/>
        <w:spacing w:after="0" w:line="255" w:lineRule="auto"/>
        <w:rPr>
          <w:sz w:val="20"/>
          <w:szCs w:val="20"/>
          <w:color w:val="auto"/>
        </w:rPr>
      </w:pPr>
      <w:r>
        <w:rPr>
          <w:rFonts w:ascii="Courier New" w:cs="Courier New" w:eastAsia="Courier New" w:hAnsi="Courier New"/>
          <w:sz w:val="14"/>
          <w:szCs w:val="14"/>
          <w:color w:val="auto"/>
        </w:rPr>
        <w:t>$ (2,531) ===================</w:t>
      </w:r>
    </w:p>
    <w:p>
      <w:pPr>
        <w:spacing w:after="0" w:line="200" w:lineRule="exact"/>
        <w:rPr>
          <w:sz w:val="20"/>
          <w:szCs w:val="20"/>
          <w:color w:val="auto"/>
        </w:rPr>
      </w:pPr>
    </w:p>
    <w:p>
      <w:pPr>
        <w:sectPr>
          <w:pgSz w:w="11900" w:h="16838" w:orient="portrait"/>
          <w:cols w:equalWidth="0" w:num="6">
            <w:col w:w="1640" w:space="520"/>
            <w:col w:w="1120" w:space="440"/>
            <w:col w:w="1200" w:space="340"/>
            <w:col w:w="1300" w:space="260"/>
            <w:col w:w="1460" w:space="160"/>
            <w:col w:w="1719"/>
          </w:cols>
          <w:pgMar w:left="300" w:top="285" w:right="1440" w:bottom="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Accumulated</w:t>
            </w:r>
          </w:p>
        </w:tc>
        <w:tc>
          <w:tcPr>
            <w:tcW w:w="4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Deficit</w:t>
            </w:r>
          </w:p>
        </w:tc>
        <w:tc>
          <w:tcPr>
            <w:tcW w:w="400" w:type="dxa"/>
            <w:vAlign w:val="bottom"/>
          </w:tcPr>
          <w:p>
            <w:pPr>
              <w:spacing w:after="0"/>
              <w:rPr>
                <w:sz w:val="14"/>
                <w:szCs w:val="14"/>
                <w:color w:val="auto"/>
              </w:rPr>
            </w:pPr>
          </w:p>
        </w:tc>
        <w:tc>
          <w:tcPr>
            <w:tcW w:w="14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12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497"/>
        </w:trPr>
        <w:tc>
          <w:tcPr>
            <w:tcW w:w="212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September 30, 1999</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(363,556)</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123,737</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24"/>
                <w:szCs w:val="2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17,281</w:t>
            </w:r>
          </w:p>
        </w:tc>
        <w:tc>
          <w:tcPr>
            <w:tcW w:w="400" w:type="dxa"/>
            <w:vAlign w:val="bottom"/>
          </w:tcPr>
          <w:p>
            <w:pPr>
              <w:spacing w:after="0"/>
              <w:rPr>
                <w:sz w:val="24"/>
                <w:szCs w:val="2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17,281</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Issuance of Ordinary</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Shares related to an</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acquisition, net</w:t>
            </w:r>
          </w:p>
        </w:tc>
        <w:tc>
          <w:tcPr>
            <w:tcW w:w="18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185,847</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Employees' stock options</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exercised</w:t>
            </w:r>
          </w:p>
        </w:tc>
        <w:tc>
          <w:tcPr>
            <w:tcW w:w="18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Unrealized gain on other</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comprehensive income,</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net of $2,474 tax</w:t>
            </w:r>
          </w:p>
        </w:tc>
        <w:tc>
          <w:tcPr>
            <w:tcW w:w="18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5,756</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Stock options granted, n</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of forfeitures</w:t>
            </w:r>
          </w:p>
        </w:tc>
        <w:tc>
          <w:tcPr>
            <w:tcW w:w="18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Acquired unearned</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compensation related</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to an acquisition</w:t>
            </w:r>
          </w:p>
        </w:tc>
        <w:tc>
          <w:tcPr>
            <w:tcW w:w="18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Amortization of</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unearned</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Compensation</w:t>
            </w:r>
          </w:p>
        </w:tc>
        <w:tc>
          <w:tcPr>
            <w:tcW w:w="18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1,317</w:t>
            </w:r>
          </w:p>
        </w:tc>
      </w:tr>
      <w:tr>
        <w:trPr>
          <w:trHeight w:val="166"/>
        </w:trPr>
        <w:tc>
          <w:tcPr>
            <w:tcW w:w="212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Balance as of</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December 31, 1999</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(346,275)</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333,963</w:t>
            </w:r>
          </w:p>
        </w:tc>
      </w:tr>
      <w:tr>
        <w:trPr>
          <w:trHeight w:val="166"/>
        </w:trPr>
        <w:tc>
          <w:tcPr>
            <w:tcW w:w="2120" w:type="dxa"/>
            <w:vAlign w:val="bottom"/>
          </w:tcPr>
          <w:p>
            <w:pPr>
              <w:spacing w:after="0"/>
              <w:rPr>
                <w:sz w:val="14"/>
                <w:szCs w:val="14"/>
                <w:color w:val="auto"/>
              </w:rPr>
            </w:pPr>
          </w:p>
        </w:tc>
        <w:tc>
          <w:tcPr>
            <w:tcW w:w="1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159"/>
          </w:cols>
          <w:pgMar w:left="300" w:top="285" w:right="1440" w:bottom="96"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 Less than one thousand</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14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6</w:t>
      </w:r>
    </w:p>
    <w:p>
      <w:pPr>
        <w:spacing w:after="0" w:line="338"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 U.S. DOLLARS, UNLESS OTHERWISE STATED)</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140" w:type="dxa"/>
            <w:vAlign w:val="bottom"/>
            <w:gridSpan w:val="3"/>
          </w:tcPr>
          <w:p>
            <w:pPr>
              <w:jc w:val="right"/>
              <w:ind w:right="1228"/>
              <w:spacing w:after="0"/>
              <w:rPr>
                <w:sz w:val="20"/>
                <w:szCs w:val="20"/>
                <w:color w:val="auto"/>
              </w:rPr>
            </w:pPr>
            <w:r>
              <w:rPr>
                <w:rFonts w:ascii="Courier New" w:cs="Courier New" w:eastAsia="Courier New" w:hAnsi="Courier New"/>
                <w:sz w:val="14"/>
                <w:szCs w:val="14"/>
                <w:color w:val="auto"/>
              </w:rPr>
              <w:t>THREE MONTHS ENDED DECEMBER 31,</w:t>
            </w:r>
          </w:p>
        </w:tc>
      </w:tr>
      <w:tr>
        <w:trPr>
          <w:trHeight w:val="166"/>
        </w:trPr>
        <w:tc>
          <w:tcPr>
            <w:tcW w:w="5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40" w:type="dxa"/>
            <w:vAlign w:val="bottom"/>
          </w:tcPr>
          <w:p>
            <w:pPr>
              <w:jc w:val="right"/>
              <w:ind w:right="1228"/>
              <w:spacing w:after="0"/>
              <w:rPr>
                <w:sz w:val="20"/>
                <w:szCs w:val="20"/>
                <w:color w:val="auto"/>
              </w:rPr>
            </w:pPr>
            <w:r>
              <w:rPr>
                <w:rFonts w:ascii="Courier New" w:cs="Courier New" w:eastAsia="Courier New" w:hAnsi="Courier New"/>
                <w:sz w:val="14"/>
                <w:szCs w:val="14"/>
                <w:color w:val="auto"/>
                <w:w w:val="95"/>
              </w:rPr>
              <w:t>1999</w:t>
            </w:r>
          </w:p>
        </w:tc>
        <w:tc>
          <w:tcPr>
            <w:tcW w:w="740" w:type="dxa"/>
            <w:vAlign w:val="bottom"/>
          </w:tcPr>
          <w:p>
            <w:pPr>
              <w:spacing w:after="0"/>
              <w:rPr>
                <w:sz w:val="14"/>
                <w:szCs w:val="14"/>
                <w:color w:val="auto"/>
              </w:rPr>
            </w:pPr>
          </w:p>
        </w:tc>
        <w:tc>
          <w:tcPr>
            <w:tcW w:w="17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FLOW FROM OPERATING ACTIVITIES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17,281</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Reconciliation of net income to net cash provided</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by operating activities:</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Depreciation</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6,916</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3,842</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Amortization</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3,246</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2,678</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Write-off of purchased in-process research and</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520"/>
              <w:spacing w:after="0"/>
              <w:rPr>
                <w:sz w:val="20"/>
                <w:szCs w:val="20"/>
                <w:color w:val="auto"/>
              </w:rPr>
            </w:pPr>
            <w:r>
              <w:rPr>
                <w:rFonts w:ascii="Courier New" w:cs="Courier New" w:eastAsia="Courier New" w:hAnsi="Courier New"/>
                <w:sz w:val="14"/>
                <w:szCs w:val="14"/>
                <w:color w:val="auto"/>
              </w:rPr>
              <w:t>Development</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19,876</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Loss on sale of equipment</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59</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(2,714)</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1,438</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Unrealized income (loss) on other comprehensive income</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8,230</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(3,046)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changes in operating assets and liabilities:</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16,397</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(38,635)</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(18,469)</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(2,673)</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assets</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(1,805)</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(1,038)</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9,986</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11,771</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22,880</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Income taxes payable</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7,343</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Other noncurrent liabilities</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7,939</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465</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74,230</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17,871</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FLOW FROM INVESTING ACTIVITIES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 vehicles and leasehold</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520"/>
              <w:spacing w:after="0"/>
              <w:rPr>
                <w:sz w:val="20"/>
                <w:szCs w:val="20"/>
                <w:color w:val="auto"/>
              </w:rPr>
            </w:pPr>
            <w:r>
              <w:rPr>
                <w:rFonts w:ascii="Courier New" w:cs="Courier New" w:eastAsia="Courier New" w:hAnsi="Courier New"/>
                <w:sz w:val="14"/>
                <w:szCs w:val="14"/>
                <w:color w:val="auto"/>
              </w:rPr>
              <w:t>improvements</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446</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Payments for purchase of equipment, vehicles, leasehold</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520"/>
              <w:spacing w:after="0"/>
              <w:rPr>
                <w:sz w:val="20"/>
                <w:szCs w:val="20"/>
                <w:color w:val="auto"/>
              </w:rPr>
            </w:pPr>
            <w:r>
              <w:rPr>
                <w:rFonts w:ascii="Courier New" w:cs="Courier New" w:eastAsia="Courier New" w:hAnsi="Courier New"/>
                <w:sz w:val="14"/>
                <w:szCs w:val="14"/>
                <w:color w:val="auto"/>
              </w:rPr>
              <w:t>improvements and other</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(13,408)</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(8,893)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Purchase of short-term interest bearing investments</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(20,384)</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Acquisition, net of cash acquired</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31,900</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(1,446)</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(8,430)</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FLOW FROM FINANCING ACTIVITIES</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proceeds from employees' stock options exercised</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Payments under short-term finance arrangements</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(83,282)</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(95,650)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Borrowings under short-term finance arrangements</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92,597</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79,793</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Principal payments under long-term capital</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520"/>
              <w:spacing w:after="0"/>
              <w:rPr>
                <w:sz w:val="20"/>
                <w:szCs w:val="20"/>
                <w:color w:val="auto"/>
              </w:rPr>
            </w:pPr>
            <w:r>
              <w:rPr>
                <w:rFonts w:ascii="Courier New" w:cs="Courier New" w:eastAsia="Courier New" w:hAnsi="Courier New"/>
                <w:sz w:val="14"/>
                <w:szCs w:val="14"/>
                <w:color w:val="auto"/>
              </w:rPr>
              <w:t>lease obligations</w:t>
            </w:r>
          </w:p>
        </w:tc>
        <w:tc>
          <w:tcPr>
            <w:tcW w:w="108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(1,469)</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(844)</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7,861</w:t>
            </w:r>
          </w:p>
        </w:tc>
        <w:tc>
          <w:tcPr>
            <w:tcW w:w="740" w:type="dxa"/>
            <w:vAlign w:val="bottom"/>
          </w:tcPr>
          <w:p>
            <w:pPr>
              <w:spacing w:after="0"/>
              <w:rPr>
                <w:sz w:val="14"/>
                <w:szCs w:val="1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(16,701)</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 and cash equivalents</w:t>
            </w:r>
          </w:p>
        </w:tc>
        <w:tc>
          <w:tcPr>
            <w:tcW w:w="1080" w:type="dxa"/>
            <w:vAlign w:val="bottom"/>
          </w:tcPr>
          <w:p>
            <w:pPr>
              <w:spacing w:after="0"/>
              <w:rPr>
                <w:sz w:val="24"/>
                <w:szCs w:val="2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80,645</w:t>
            </w:r>
          </w:p>
        </w:tc>
        <w:tc>
          <w:tcPr>
            <w:tcW w:w="740" w:type="dxa"/>
            <w:vAlign w:val="bottom"/>
          </w:tcPr>
          <w:p>
            <w:pPr>
              <w:spacing w:after="0"/>
              <w:rPr>
                <w:sz w:val="24"/>
                <w:szCs w:val="24"/>
                <w:color w:val="auto"/>
              </w:rPr>
            </w:pP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(7,260)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85,174</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25,389</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165,819</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18,129</w:t>
            </w:r>
          </w:p>
        </w:tc>
      </w:tr>
      <w:tr>
        <w:trPr>
          <w:trHeight w:val="166"/>
        </w:trPr>
        <w:tc>
          <w:tcPr>
            <w:tcW w:w="5040" w:type="dxa"/>
            <w:vAlign w:val="bottom"/>
          </w:tcPr>
          <w:p>
            <w:pPr>
              <w:spacing w:after="0"/>
              <w:rPr>
                <w:sz w:val="14"/>
                <w:szCs w:val="14"/>
                <w:color w:val="auto"/>
              </w:rPr>
            </w:pPr>
          </w:p>
        </w:tc>
        <w:tc>
          <w:tcPr>
            <w:tcW w:w="27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SUPPLEMENTARY CASH FLOW INFORMATION</w:t>
            </w: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10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Income taxes, net of refunds</w:t>
            </w:r>
          </w:p>
        </w:tc>
        <w:tc>
          <w:tcPr>
            <w:tcW w:w="10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8,498</w:t>
            </w:r>
          </w:p>
        </w:tc>
        <w:tc>
          <w:tcPr>
            <w:tcW w:w="7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7,368</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080" w:type="dxa"/>
            <w:vAlign w:val="bottom"/>
          </w:tcPr>
          <w:p>
            <w:pPr>
              <w:spacing w:after="0"/>
              <w:rPr>
                <w:sz w:val="14"/>
                <w:szCs w:val="14"/>
                <w:color w:val="auto"/>
              </w:rPr>
            </w:pP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543</w:t>
            </w:r>
          </w:p>
        </w:tc>
        <w:tc>
          <w:tcPr>
            <w:tcW w:w="740" w:type="dxa"/>
            <w:vAlign w:val="bottom"/>
          </w:tcPr>
          <w:p>
            <w:pPr>
              <w:spacing w:after="0"/>
              <w:rPr>
                <w:sz w:val="14"/>
                <w:szCs w:val="14"/>
                <w:color w:val="auto"/>
              </w:rPr>
            </w:pP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NONCASH INVESTING AND FINANCING ACTIVITIES</w:t>
      </w:r>
    </w:p>
    <w:p>
      <w:pPr>
        <w:spacing w:after="0" w:line="173" w:lineRule="exact"/>
        <w:rPr>
          <w:sz w:val="20"/>
          <w:szCs w:val="20"/>
          <w:color w:val="auto"/>
        </w:rPr>
      </w:pPr>
    </w:p>
    <w:p>
      <w:pPr>
        <w:ind w:right="3440" w:firstLine="1033"/>
        <w:spacing w:after="0" w:line="252" w:lineRule="auto"/>
        <w:rPr>
          <w:sz w:val="20"/>
          <w:szCs w:val="20"/>
          <w:color w:val="auto"/>
        </w:rPr>
      </w:pPr>
      <w:r>
        <w:rPr>
          <w:rFonts w:ascii="Courier New" w:cs="Courier New" w:eastAsia="Courier New" w:hAnsi="Courier New"/>
          <w:sz w:val="14"/>
          <w:szCs w:val="14"/>
          <w:color w:val="auto"/>
        </w:rPr>
        <w:t>Capital lease obligations of $1,317 and $3,491 were incurred during the three months ended December 31, 1999 and 1998, respectively, when the Company (as hereinafter defined) entered into lease agreements for the purchase of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4"/>
          <w:szCs w:val="14"/>
          <w:color w:val="auto"/>
        </w:rPr>
        <w:t>See accompanying notes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60"/>
          </w:cols>
          <w:pgMar w:left="300" w:top="285" w:right="1339"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7</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NOTES TO UNAUDITED CONSOLIDATED FINANCIAL STATEMENTS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(IN U.S.. DOLLARS, UNLESS OTHERWISE STATED)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173" w:lineRule="exact"/>
        <w:rPr>
          <w:sz w:val="20"/>
          <w:szCs w:val="20"/>
          <w:color w:val="auto"/>
        </w:rPr>
      </w:pPr>
    </w:p>
    <w:p>
      <w:pPr>
        <w:ind w:left="520" w:hanging="512"/>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w:t>
      </w:r>
    </w:p>
    <w:p>
      <w:pPr>
        <w:spacing w:after="0" w:line="172"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AMDOCS Limited (the "Company") is a leading provider of product-driven information system solutions to the communications industry. The Company and its subsidiaries operate in one business segment, providing computer systems integration and related services for the communications industry. The Company designs, develops, markets and supports computer software products and related services to communications companies throughout the world.</w:t>
      </w:r>
    </w:p>
    <w:p>
      <w:pPr>
        <w:spacing w:after="0" w:line="163" w:lineRule="exact"/>
        <w:rPr>
          <w:rFonts w:ascii="Courier New" w:cs="Courier New" w:eastAsia="Courier New" w:hAnsi="Courier New"/>
          <w:sz w:val="14"/>
          <w:szCs w:val="14"/>
          <w:color w:val="auto"/>
        </w:rPr>
      </w:pPr>
    </w:p>
    <w:p>
      <w:pPr>
        <w:ind w:left="52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w:t>
      </w:r>
    </w:p>
    <w:p>
      <w:pPr>
        <w:spacing w:after="0" w:line="163" w:lineRule="exact"/>
        <w:rPr>
          <w:rFonts w:ascii="Courier New" w:cs="Courier New" w:eastAsia="Courier New" w:hAnsi="Courier New"/>
          <w:sz w:val="14"/>
          <w:szCs w:val="14"/>
          <w:color w:val="auto"/>
        </w:rPr>
      </w:pPr>
    </w:p>
    <w:p>
      <w:pPr>
        <w:ind w:left="520" w:right="34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3" w:lineRule="exact"/>
        <w:rPr>
          <w:rFonts w:ascii="Courier New" w:cs="Courier New" w:eastAsia="Courier New" w:hAnsi="Courier New"/>
          <w:sz w:val="14"/>
          <w:szCs w:val="14"/>
          <w:color w:val="auto"/>
        </w:rPr>
      </w:pPr>
    </w:p>
    <w:p>
      <w:pPr>
        <w:ind w:left="520" w:right="32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1999 set forth in the Company's Annual Report on Form 20-F filed with the Securities and Exchange Commission.</w:t>
      </w:r>
    </w:p>
    <w:p>
      <w:pPr>
        <w:spacing w:after="0" w:line="163" w:lineRule="exact"/>
        <w:rPr>
          <w:rFonts w:ascii="Courier New" w:cs="Courier New" w:eastAsia="Courier New" w:hAnsi="Courier New"/>
          <w:sz w:val="14"/>
          <w:szCs w:val="14"/>
          <w:color w:val="auto"/>
        </w:rPr>
      </w:pPr>
    </w:p>
    <w:p>
      <w:pPr>
        <w:ind w:left="520" w:right="32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classifies all of its short-term interest-bearing investments as available-for-sale securities. Such short-term interest-bearing investments consist primarily of United States governmental securities which are stated at market value, with unrealized gains and losses on such securities reflected, net of tax, as other comprehensive income in shareholders' equity. Realized gains and losses on short-term interest-bearing investments are included in earnings and are derived using the specific identification method for determining the cost of securities. It is the Company's intent to maintain a liquid portfolio to take advantage of investment opportunities; therefore, all securities are considered to be available-for-sale and are classified as current assets.</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w:t>
      </w:r>
    </w:p>
    <w:p>
      <w:pPr>
        <w:spacing w:after="0" w:line="172" w:lineRule="exact"/>
        <w:rPr>
          <w:rFonts w:ascii="Courier New" w:cs="Courier New" w:eastAsia="Courier New" w:hAnsi="Courier New"/>
          <w:sz w:val="14"/>
          <w:szCs w:val="14"/>
          <w:color w:val="auto"/>
        </w:rPr>
      </w:pPr>
    </w:p>
    <w:p>
      <w:pPr>
        <w:ind w:left="520" w:right="32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30, 1999, the Company completed the purchase of International Telecommunication Data Systems, Inc. ("ITDS"), in a stock-for-stock transaction. The total purchase price of $188,733 includes issuance of ordinary shares, options and transaction costs. The acquisition was accounted for using the purchase method of accounting. The fair market value of ITDS' assets and liabilities has been included in the balance sheet as of December 31, 1999. The results of ITDS' operations are included in the Consolidated Statements of Operations, commencing December 1, 1999. The acquired technology valuation, which was independently determined, included both existing technology and in-process research and development. The valuation of these technologies was made by applying the income forecast method which considers the present value of cash flows by product lines. The fair value of existing technology products was valued at $12,342 and is being amortized over five years. In-process research and development, valued at $19,876, was charged to expense immediately following the completion of the acquisition as this technology had not reached technological feasibility and has</w:t>
      </w:r>
    </w:p>
    <w:p>
      <w:pPr>
        <w:spacing w:after="0" w:line="200" w:lineRule="exact"/>
        <w:rPr>
          <w:sz w:val="20"/>
          <w:szCs w:val="20"/>
          <w:color w:val="auto"/>
        </w:rPr>
      </w:pPr>
    </w:p>
    <w:p>
      <w:pPr>
        <w:spacing w:after="0" w:line="30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8</w:t>
      </w:r>
    </w:p>
    <w:p>
      <w:pPr>
        <w:spacing w:after="0" w:line="338" w:lineRule="exact"/>
        <w:rPr>
          <w:sz w:val="20"/>
          <w:szCs w:val="20"/>
          <w:color w:val="auto"/>
        </w:rPr>
      </w:pPr>
    </w:p>
    <w:p>
      <w:pPr>
        <w:jc w:val="center"/>
        <w:ind w:right="44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NOTES TO UNAUDITED CONSOLIDATED FINANCIAL STATEMENTS (CONTINUED)</w:t>
      </w:r>
    </w:p>
    <w:p>
      <w:pPr>
        <w:spacing w:after="0" w:line="173" w:lineRule="exact"/>
        <w:rPr>
          <w:sz w:val="20"/>
          <w:szCs w:val="20"/>
          <w:color w:val="auto"/>
        </w:rPr>
      </w:pPr>
    </w:p>
    <w:p>
      <w:pPr>
        <w:ind w:left="520" w:right="4540"/>
        <w:spacing w:after="0" w:line="251" w:lineRule="auto"/>
        <w:rPr>
          <w:sz w:val="20"/>
          <w:szCs w:val="20"/>
          <w:color w:val="auto"/>
        </w:rPr>
      </w:pPr>
      <w:r>
        <w:rPr>
          <w:rFonts w:ascii="Courier New" w:cs="Courier New" w:eastAsia="Courier New" w:hAnsi="Courier New"/>
          <w:sz w:val="14"/>
          <w:szCs w:val="14"/>
          <w:color w:val="auto"/>
        </w:rPr>
        <w:t>no alternative use. This technology will require varying additional development, coding and testing efforts before technological feasibility can be determined. The fair value of customer list was valued at $647 and the fair value of workforce in place was valued at $5,407, both of which will be amortized over five years. The excess of the purchase price over the net assets acquired, or goodwill, of $70,796 is being amortized over 15 years.</w:t>
      </w:r>
    </w:p>
    <w:p>
      <w:pPr>
        <w:spacing w:after="0" w:line="164" w:lineRule="exact"/>
        <w:rPr>
          <w:sz w:val="20"/>
          <w:szCs w:val="20"/>
          <w:color w:val="auto"/>
        </w:rPr>
      </w:pPr>
    </w:p>
    <w:p>
      <w:pPr>
        <w:ind w:left="520" w:right="4460"/>
        <w:spacing w:after="0" w:line="252" w:lineRule="auto"/>
        <w:rPr>
          <w:sz w:val="20"/>
          <w:szCs w:val="20"/>
          <w:color w:val="auto"/>
        </w:rPr>
      </w:pPr>
      <w:r>
        <w:rPr>
          <w:rFonts w:ascii="Courier New" w:cs="Courier New" w:eastAsia="Courier New" w:hAnsi="Courier New"/>
          <w:sz w:val="14"/>
          <w:szCs w:val="14"/>
          <w:color w:val="auto"/>
        </w:rPr>
        <w:t>The pro forma revenue, operating income, net income and earnings per share as if ITDS had been acquired as of the beginning of the respective periods, excluding the write off of in-process research and development, for the following periods:</w:t>
      </w:r>
    </w:p>
    <w:p>
      <w:pPr>
        <w:spacing w:after="0" w:line="200" w:lineRule="exact"/>
        <w:rPr>
          <w:sz w:val="20"/>
          <w:szCs w:val="20"/>
          <w:color w:val="auto"/>
        </w:rPr>
      </w:pPr>
    </w:p>
    <w:p>
      <w:pPr>
        <w:spacing w:after="0" w:line="29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40" w:type="dxa"/>
            <w:vAlign w:val="bottom"/>
            <w:gridSpan w:val="2"/>
          </w:tcPr>
          <w:p>
            <w:pPr>
              <w:jc w:val="center"/>
              <w:ind w:left="468"/>
              <w:spacing w:after="0"/>
              <w:rPr>
                <w:sz w:val="20"/>
                <w:szCs w:val="20"/>
                <w:color w:val="auto"/>
              </w:rPr>
            </w:pPr>
            <w:r>
              <w:rPr>
                <w:rFonts w:ascii="Courier New" w:cs="Courier New" w:eastAsia="Courier New" w:hAnsi="Courier New"/>
                <w:sz w:val="14"/>
                <w:szCs w:val="14"/>
                <w:color w:val="auto"/>
              </w:rPr>
              <w:t>THREE MONTHS ENDED</w:t>
            </w:r>
          </w:p>
        </w:tc>
        <w:tc>
          <w:tcPr>
            <w:tcW w:w="1580" w:type="dxa"/>
            <w:vAlign w:val="bottom"/>
          </w:tcPr>
          <w:p>
            <w:pPr>
              <w:spacing w:after="0"/>
              <w:rPr>
                <w:sz w:val="14"/>
                <w:szCs w:val="14"/>
                <w:color w:val="auto"/>
              </w:rPr>
            </w:pPr>
          </w:p>
        </w:tc>
      </w:tr>
      <w:tr>
        <w:trPr>
          <w:trHeight w:val="166"/>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center"/>
              <w:ind w:right="328"/>
              <w:spacing w:after="0"/>
              <w:rPr>
                <w:sz w:val="20"/>
                <w:szCs w:val="20"/>
                <w:color w:val="auto"/>
              </w:rPr>
            </w:pPr>
            <w:r>
              <w:rPr>
                <w:rFonts w:ascii="Courier New" w:cs="Courier New" w:eastAsia="Courier New" w:hAnsi="Courier New"/>
                <w:sz w:val="14"/>
                <w:szCs w:val="14"/>
                <w:color w:val="auto"/>
              </w:rPr>
              <w:t>DECEMBER 31,</w:t>
            </w:r>
          </w:p>
        </w:tc>
        <w:tc>
          <w:tcPr>
            <w:tcW w:w="1580" w:type="dxa"/>
            <w:vAlign w:val="bottom"/>
          </w:tcPr>
          <w:p>
            <w:pPr>
              <w:spacing w:after="0"/>
              <w:rPr>
                <w:sz w:val="14"/>
                <w:szCs w:val="14"/>
                <w:color w:val="auto"/>
              </w:rPr>
            </w:pPr>
          </w:p>
        </w:tc>
      </w:tr>
      <w:tr>
        <w:trPr>
          <w:trHeight w:val="166"/>
        </w:trPr>
        <w:tc>
          <w:tcPr>
            <w:tcW w:w="2880" w:type="dxa"/>
            <w:vAlign w:val="bottom"/>
          </w:tcPr>
          <w:p>
            <w:pPr>
              <w:spacing w:after="0"/>
              <w:rPr>
                <w:sz w:val="14"/>
                <w:szCs w:val="14"/>
                <w:color w:val="auto"/>
              </w:rPr>
            </w:pPr>
          </w:p>
        </w:tc>
        <w:tc>
          <w:tcPr>
            <w:tcW w:w="5720" w:type="dxa"/>
            <w:vAlign w:val="bottom"/>
            <w:gridSpan w:val="4"/>
          </w:tcPr>
          <w:p>
            <w:pPr>
              <w:ind w:left="640"/>
              <w:spacing w:after="0"/>
              <w:rPr>
                <w:sz w:val="20"/>
                <w:szCs w:val="20"/>
                <w:color w:val="auto"/>
              </w:rPr>
            </w:pPr>
            <w:r>
              <w:rPr>
                <w:rFonts w:ascii="Courier New" w:cs="Courier New" w:eastAsia="Courier New" w:hAnsi="Courier New"/>
                <w:sz w:val="14"/>
                <w:szCs w:val="14"/>
                <w:color w:val="auto"/>
              </w:rPr>
              <w:t>-----------------------------------------------------------</w:t>
            </w:r>
          </w:p>
        </w:tc>
      </w:tr>
      <w:tr>
        <w:trPr>
          <w:trHeight w:val="166"/>
        </w:trPr>
        <w:tc>
          <w:tcPr>
            <w:tcW w:w="2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1999</w:t>
            </w:r>
          </w:p>
        </w:tc>
        <w:tc>
          <w:tcPr>
            <w:tcW w:w="1600" w:type="dxa"/>
            <w:vAlign w:val="bottom"/>
          </w:tcPr>
          <w:p>
            <w:pPr>
              <w:spacing w:after="0"/>
              <w:rPr>
                <w:sz w:val="14"/>
                <w:szCs w:val="14"/>
                <w:color w:val="auto"/>
              </w:rPr>
            </w:pPr>
          </w:p>
        </w:tc>
        <w:tc>
          <w:tcPr>
            <w:tcW w:w="15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880" w:type="dxa"/>
            <w:vAlign w:val="bottom"/>
          </w:tcPr>
          <w:p>
            <w:pPr>
              <w:spacing w:after="0"/>
              <w:rPr>
                <w:sz w:val="14"/>
                <w:szCs w:val="14"/>
                <w:color w:val="auto"/>
              </w:rPr>
            </w:pPr>
          </w:p>
        </w:tc>
        <w:tc>
          <w:tcPr>
            <w:tcW w:w="2540" w:type="dxa"/>
            <w:vAlign w:val="bottom"/>
            <w:gridSpan w:val="2"/>
          </w:tcPr>
          <w:p>
            <w:pPr>
              <w:ind w:left="640"/>
              <w:spacing w:after="0"/>
              <w:rPr>
                <w:sz w:val="20"/>
                <w:szCs w:val="20"/>
                <w:color w:val="auto"/>
              </w:rPr>
            </w:pPr>
            <w:r>
              <w:rPr>
                <w:rFonts w:ascii="Courier New" w:cs="Courier New" w:eastAsia="Courier New" w:hAnsi="Courier New"/>
                <w:sz w:val="14"/>
                <w:szCs w:val="14"/>
                <w:color w:val="auto"/>
                <w:w w:val="82"/>
              </w:rPr>
              <w:t>---------------------------</w:t>
            </w:r>
          </w:p>
        </w:tc>
        <w:tc>
          <w:tcPr>
            <w:tcW w:w="318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w:t>
            </w:r>
          </w:p>
        </w:tc>
      </w:tr>
      <w:tr>
        <w:trPr>
          <w:trHeight w:val="331"/>
        </w:trPr>
        <w:tc>
          <w:tcPr>
            <w:tcW w:w="288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60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258,795</w:t>
            </w:r>
          </w:p>
        </w:tc>
        <w:tc>
          <w:tcPr>
            <w:tcW w:w="160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164,687</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53,609</w:t>
            </w:r>
          </w:p>
        </w:tc>
        <w:tc>
          <w:tcPr>
            <w:tcW w:w="160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36,449</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37,150</w:t>
            </w:r>
          </w:p>
        </w:tc>
        <w:tc>
          <w:tcPr>
            <w:tcW w:w="160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24,052</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0.18</w:t>
            </w:r>
          </w:p>
        </w:tc>
        <w:tc>
          <w:tcPr>
            <w:tcW w:w="160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0.12</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6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0.18</w:t>
            </w:r>
          </w:p>
        </w:tc>
        <w:tc>
          <w:tcPr>
            <w:tcW w:w="160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0.12</w:t>
            </w:r>
          </w:p>
        </w:tc>
      </w:tr>
    </w:tbl>
    <w:p>
      <w:pPr>
        <w:spacing w:after="0" w:line="335" w:lineRule="exact"/>
        <w:rPr>
          <w:sz w:val="20"/>
          <w:szCs w:val="20"/>
          <w:color w:val="auto"/>
        </w:rPr>
      </w:pPr>
    </w:p>
    <w:p>
      <w:pPr>
        <w:ind w:left="520" w:hanging="512"/>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RELATED-PARTY TRANSACTIONS</w:t>
      </w:r>
    </w:p>
    <w:p>
      <w:pPr>
        <w:spacing w:after="0" w:line="173" w:lineRule="exact"/>
        <w:rPr>
          <w:sz w:val="20"/>
          <w:szCs w:val="20"/>
          <w:color w:val="auto"/>
        </w:rPr>
      </w:pPr>
    </w:p>
    <w:p>
      <w:pPr>
        <w:ind w:right="4460" w:firstLine="517"/>
        <w:spacing w:after="0" w:line="255" w:lineRule="auto"/>
        <w:rPr>
          <w:sz w:val="20"/>
          <w:szCs w:val="20"/>
          <w:color w:val="auto"/>
        </w:rPr>
      </w:pPr>
      <w:r>
        <w:rPr>
          <w:rFonts w:ascii="Courier New" w:cs="Courier New" w:eastAsia="Courier New" w:hAnsi="Courier New"/>
          <w:sz w:val="14"/>
          <w:szCs w:val="14"/>
          <w:color w:val="auto"/>
        </w:rPr>
        <w:t>The following related party transactions are included in the statements of operations for the following periods:</w:t>
      </w:r>
    </w:p>
    <w:p>
      <w:pPr>
        <w:spacing w:after="0" w:line="200" w:lineRule="exact"/>
        <w:rPr>
          <w:sz w:val="20"/>
          <w:szCs w:val="20"/>
          <w:color w:val="auto"/>
        </w:rPr>
      </w:pPr>
    </w:p>
    <w:p>
      <w:pPr>
        <w:spacing w:after="0" w:line="291"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THREE MONTHS ENDED</w:t>
            </w:r>
          </w:p>
        </w:tc>
        <w:tc>
          <w:tcPr>
            <w:tcW w:w="1600" w:type="dxa"/>
            <w:vAlign w:val="bottom"/>
          </w:tcPr>
          <w:p>
            <w:pPr>
              <w:spacing w:after="0"/>
              <w:rPr>
                <w:sz w:val="14"/>
                <w:szCs w:val="14"/>
                <w:color w:val="auto"/>
              </w:rPr>
            </w:pPr>
          </w:p>
        </w:tc>
      </w:tr>
      <w:tr>
        <w:trPr>
          <w:trHeight w:val="166"/>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DECEMBER 31,</w:t>
            </w:r>
          </w:p>
        </w:tc>
        <w:tc>
          <w:tcPr>
            <w:tcW w:w="1600" w:type="dxa"/>
            <w:vAlign w:val="bottom"/>
          </w:tcPr>
          <w:p>
            <w:pPr>
              <w:spacing w:after="0"/>
              <w:rPr>
                <w:sz w:val="14"/>
                <w:szCs w:val="14"/>
                <w:color w:val="auto"/>
              </w:rPr>
            </w:pPr>
          </w:p>
        </w:tc>
      </w:tr>
      <w:tr>
        <w:trPr>
          <w:trHeight w:val="166"/>
        </w:trPr>
        <w:tc>
          <w:tcPr>
            <w:tcW w:w="3700" w:type="dxa"/>
            <w:vAlign w:val="bottom"/>
          </w:tcPr>
          <w:p>
            <w:pPr>
              <w:spacing w:after="0"/>
              <w:rPr>
                <w:sz w:val="14"/>
                <w:szCs w:val="14"/>
                <w:color w:val="auto"/>
              </w:rPr>
            </w:pPr>
          </w:p>
        </w:tc>
        <w:tc>
          <w:tcPr>
            <w:tcW w:w="52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7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700" w:type="dxa"/>
            <w:vAlign w:val="bottom"/>
          </w:tcPr>
          <w:p>
            <w:pPr>
              <w:spacing w:after="0"/>
              <w:rPr>
                <w:sz w:val="14"/>
                <w:szCs w:val="14"/>
                <w:color w:val="auto"/>
              </w:rPr>
            </w:pPr>
          </w:p>
        </w:tc>
        <w:tc>
          <w:tcPr>
            <w:tcW w:w="20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1"/>
              </w:rPr>
              <w:t>---------------------------</w:t>
            </w:r>
          </w:p>
        </w:tc>
        <w:tc>
          <w:tcPr>
            <w:tcW w:w="320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w:t>
            </w:r>
          </w:p>
        </w:tc>
      </w:tr>
      <w:tr>
        <w:trPr>
          <w:trHeight w:val="331"/>
        </w:trPr>
        <w:tc>
          <w:tcPr>
            <w:tcW w:w="370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3700" w:type="dxa"/>
            <w:vAlign w:val="bottom"/>
          </w:tcPr>
          <w:p>
            <w:pPr>
              <w:ind w:left="520"/>
              <w:spacing w:after="0"/>
              <w:rPr>
                <w:sz w:val="20"/>
                <w:szCs w:val="20"/>
                <w:color w:val="auto"/>
              </w:rPr>
            </w:pPr>
            <w:r>
              <w:rPr>
                <w:rFonts w:ascii="Courier New" w:cs="Courier New" w:eastAsia="Courier New" w:hAnsi="Courier New"/>
                <w:sz w:val="14"/>
                <w:szCs w:val="14"/>
                <w:color w:val="auto"/>
              </w:rPr>
              <w:t>License</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c>
          <w:tcPr>
            <w:tcW w:w="1600" w:type="dxa"/>
            <w:vAlign w:val="bottom"/>
          </w:tcPr>
          <w:p>
            <w:pPr>
              <w:ind w:left="9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700" w:type="dxa"/>
            <w:vAlign w:val="bottom"/>
          </w:tcPr>
          <w:p>
            <w:pPr>
              <w:ind w:left="520"/>
              <w:spacing w:after="0"/>
              <w:rPr>
                <w:sz w:val="20"/>
                <w:szCs w:val="20"/>
                <w:color w:val="auto"/>
              </w:rPr>
            </w:pPr>
            <w:r>
              <w:rPr>
                <w:rFonts w:ascii="Courier New" w:cs="Courier New" w:eastAsia="Courier New" w:hAnsi="Courier New"/>
                <w:sz w:val="14"/>
                <w:szCs w:val="14"/>
                <w:color w:val="auto"/>
              </w:rPr>
              <w:t>Service</w:t>
            </w:r>
          </w:p>
        </w:tc>
        <w:tc>
          <w:tcPr>
            <w:tcW w:w="14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23,596</w:t>
            </w:r>
          </w:p>
        </w:tc>
        <w:tc>
          <w:tcPr>
            <w:tcW w:w="160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21,398</w:t>
            </w:r>
          </w:p>
        </w:tc>
      </w:tr>
      <w:tr>
        <w:trPr>
          <w:trHeight w:val="331"/>
        </w:trPr>
        <w:tc>
          <w:tcPr>
            <w:tcW w:w="37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66"/>
        </w:trPr>
        <w:tc>
          <w:tcPr>
            <w:tcW w:w="3700" w:type="dxa"/>
            <w:vAlign w:val="bottom"/>
          </w:tcPr>
          <w:p>
            <w:pPr>
              <w:ind w:left="520"/>
              <w:spacing w:after="0"/>
              <w:rPr>
                <w:sz w:val="20"/>
                <w:szCs w:val="20"/>
                <w:color w:val="auto"/>
              </w:rPr>
            </w:pPr>
            <w:r>
              <w:rPr>
                <w:rFonts w:ascii="Courier New" w:cs="Courier New" w:eastAsia="Courier New" w:hAnsi="Courier New"/>
                <w:sz w:val="14"/>
                <w:szCs w:val="14"/>
                <w:color w:val="auto"/>
              </w:rPr>
              <w:t>Cost of service</w:t>
            </w:r>
          </w:p>
        </w:tc>
        <w:tc>
          <w:tcPr>
            <w:tcW w:w="14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w:t>
            </w:r>
          </w:p>
        </w:tc>
        <w:tc>
          <w:tcPr>
            <w:tcW w:w="160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w:t>
            </w:r>
          </w:p>
        </w:tc>
      </w:tr>
      <w:tr>
        <w:trPr>
          <w:trHeight w:val="166"/>
        </w:trPr>
        <w:tc>
          <w:tcPr>
            <w:tcW w:w="3700" w:type="dxa"/>
            <w:vAlign w:val="bottom"/>
          </w:tcPr>
          <w:p>
            <w:pPr>
              <w:ind w:left="520"/>
              <w:spacing w:after="0"/>
              <w:rPr>
                <w:sz w:val="20"/>
                <w:szCs w:val="20"/>
                <w:color w:val="auto"/>
              </w:rPr>
            </w:pPr>
            <w:r>
              <w:rPr>
                <w:rFonts w:ascii="Courier New" w:cs="Courier New" w:eastAsia="Courier New" w:hAnsi="Courier New"/>
                <w:sz w:val="14"/>
                <w:szCs w:val="14"/>
                <w:color w:val="auto"/>
              </w:rPr>
              <w:t>Selling, general and administrative</w:t>
            </w:r>
          </w:p>
        </w:tc>
        <w:tc>
          <w:tcPr>
            <w:tcW w:w="14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w:t>
            </w:r>
          </w:p>
        </w:tc>
        <w:tc>
          <w:tcPr>
            <w:tcW w:w="1600" w:type="dxa"/>
            <w:vAlign w:val="bottom"/>
          </w:tcPr>
          <w:p>
            <w:pPr>
              <w:spacing w:after="0"/>
              <w:rPr>
                <w:sz w:val="14"/>
                <w:szCs w:val="14"/>
                <w:color w:val="auto"/>
              </w:rPr>
            </w:pP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w:t>
            </w:r>
          </w:p>
        </w:tc>
      </w:tr>
    </w:tbl>
    <w:p>
      <w:pPr>
        <w:spacing w:after="0" w:line="335" w:lineRule="exact"/>
        <w:rPr>
          <w:sz w:val="20"/>
          <w:szCs w:val="20"/>
          <w:color w:val="auto"/>
        </w:rPr>
      </w:pPr>
    </w:p>
    <w:p>
      <w:pPr>
        <w:ind w:left="520" w:hanging="512"/>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w:t>
      </w:r>
    </w:p>
    <w:p>
      <w:pPr>
        <w:spacing w:after="0" w:line="172" w:lineRule="exact"/>
        <w:rPr>
          <w:rFonts w:ascii="Courier New" w:cs="Courier New" w:eastAsia="Courier New" w:hAnsi="Courier New"/>
          <w:sz w:val="14"/>
          <w:szCs w:val="14"/>
          <w:color w:val="auto"/>
        </w:rPr>
      </w:pPr>
    </w:p>
    <w:p>
      <w:pPr>
        <w:ind w:left="520" w:right="44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61" w:lineRule="exact"/>
        <w:rPr>
          <w:rFonts w:ascii="Courier New" w:cs="Courier New" w:eastAsia="Courier New" w:hAnsi="Courier New"/>
          <w:sz w:val="14"/>
          <w:szCs w:val="14"/>
          <w:color w:val="auto"/>
        </w:rPr>
      </w:pPr>
    </w:p>
    <w:p>
      <w:pPr>
        <w:ind w:left="520" w:right="49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ENDED</w:t>
            </w:r>
          </w:p>
        </w:tc>
        <w:tc>
          <w:tcPr>
            <w:tcW w:w="1140" w:type="dxa"/>
            <w:vAlign w:val="bottom"/>
          </w:tcPr>
          <w:p>
            <w:pPr>
              <w:spacing w:after="0"/>
              <w:rPr>
                <w:sz w:val="14"/>
                <w:szCs w:val="14"/>
                <w:color w:val="auto"/>
              </w:rPr>
            </w:pPr>
          </w:p>
        </w:tc>
      </w:tr>
      <w:tr>
        <w:trPr>
          <w:trHeight w:val="166"/>
        </w:trPr>
        <w:tc>
          <w:tcPr>
            <w:tcW w:w="6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DECEMBER 31,</w:t>
            </w:r>
          </w:p>
        </w:tc>
        <w:tc>
          <w:tcPr>
            <w:tcW w:w="1140" w:type="dxa"/>
            <w:vAlign w:val="bottom"/>
          </w:tcPr>
          <w:p>
            <w:pPr>
              <w:spacing w:after="0"/>
              <w:rPr>
                <w:sz w:val="14"/>
                <w:szCs w:val="14"/>
                <w:color w:val="auto"/>
              </w:rPr>
            </w:pPr>
          </w:p>
        </w:tc>
      </w:tr>
      <w:tr>
        <w:trPr>
          <w:trHeight w:val="166"/>
        </w:trPr>
        <w:tc>
          <w:tcPr>
            <w:tcW w:w="6200" w:type="dxa"/>
            <w:vAlign w:val="bottom"/>
          </w:tcPr>
          <w:p>
            <w:pPr>
              <w:spacing w:after="0"/>
              <w:rPr>
                <w:sz w:val="14"/>
                <w:szCs w:val="14"/>
                <w:color w:val="auto"/>
              </w:rPr>
            </w:pPr>
          </w:p>
        </w:tc>
        <w:tc>
          <w:tcPr>
            <w:tcW w:w="4460" w:type="dxa"/>
            <w:vAlign w:val="bottom"/>
            <w:gridSpan w:val="4"/>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tcPr>
          <w:p>
            <w:pPr>
              <w:jc w:val="right"/>
              <w:ind w:right="1168"/>
              <w:spacing w:after="0"/>
              <w:rPr>
                <w:sz w:val="20"/>
                <w:szCs w:val="20"/>
                <w:color w:val="auto"/>
              </w:rPr>
            </w:pPr>
            <w:r>
              <w:rPr>
                <w:rFonts w:ascii="Courier New" w:cs="Courier New" w:eastAsia="Courier New" w:hAnsi="Courier New"/>
                <w:sz w:val="14"/>
                <w:szCs w:val="14"/>
                <w:color w:val="auto"/>
                <w:w w:val="95"/>
              </w:rPr>
              <w:t>1999</w:t>
            </w:r>
          </w:p>
        </w:tc>
        <w:tc>
          <w:tcPr>
            <w:tcW w:w="620" w:type="dxa"/>
            <w:vAlign w:val="bottom"/>
          </w:tcPr>
          <w:p>
            <w:pPr>
              <w:spacing w:after="0"/>
              <w:rPr>
                <w:sz w:val="14"/>
                <w:szCs w:val="14"/>
                <w:color w:val="auto"/>
              </w:rPr>
            </w:pPr>
          </w:p>
        </w:tc>
        <w:tc>
          <w:tcPr>
            <w:tcW w:w="11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6200" w:type="dxa"/>
            <w:vAlign w:val="bottom"/>
          </w:tcPr>
          <w:p>
            <w:pPr>
              <w:spacing w:after="0"/>
              <w:rPr>
                <w:sz w:val="14"/>
                <w:szCs w:val="14"/>
                <w:color w:val="auto"/>
              </w:rPr>
            </w:pPr>
          </w:p>
        </w:tc>
        <w:tc>
          <w:tcPr>
            <w:tcW w:w="27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62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17,281</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20,142</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6200" w:type="dxa"/>
            <w:vAlign w:val="bottom"/>
          </w:tcPr>
          <w:p>
            <w:pPr>
              <w:ind w:left="340"/>
              <w:spacing w:after="0"/>
              <w:rPr>
                <w:sz w:val="20"/>
                <w:szCs w:val="20"/>
                <w:color w:val="auto"/>
              </w:rPr>
            </w:pPr>
            <w:r>
              <w:rPr>
                <w:rFonts w:ascii="Courier New" w:cs="Courier New" w:eastAsia="Courier New" w:hAnsi="Courier New"/>
                <w:sz w:val="14"/>
                <w:szCs w:val="14"/>
                <w:color w:val="auto"/>
              </w:rPr>
              <w:t>Unrealized income (loss) on derivative instruments, net of tax</w:t>
            </w:r>
          </w:p>
        </w:tc>
        <w:tc>
          <w:tcPr>
            <w:tcW w:w="1120" w:type="dxa"/>
            <w:vAlign w:val="bottom"/>
          </w:tcPr>
          <w:p>
            <w:pPr>
              <w:spacing w:after="0"/>
              <w:rPr>
                <w:sz w:val="14"/>
                <w:szCs w:val="14"/>
                <w:color w:val="auto"/>
              </w:rPr>
            </w:pP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5,773</w:t>
            </w:r>
          </w:p>
        </w:tc>
        <w:tc>
          <w:tcPr>
            <w:tcW w:w="6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(2,131)</w:t>
            </w:r>
          </w:p>
        </w:tc>
      </w:tr>
      <w:tr>
        <w:trPr>
          <w:trHeight w:val="166"/>
        </w:trPr>
        <w:tc>
          <w:tcPr>
            <w:tcW w:w="6200" w:type="dxa"/>
            <w:vAlign w:val="bottom"/>
          </w:tcPr>
          <w:p>
            <w:pPr>
              <w:ind w:left="340"/>
              <w:spacing w:after="0"/>
              <w:rPr>
                <w:sz w:val="20"/>
                <w:szCs w:val="20"/>
                <w:color w:val="auto"/>
              </w:rPr>
            </w:pPr>
            <w:r>
              <w:rPr>
                <w:rFonts w:ascii="Courier New" w:cs="Courier New" w:eastAsia="Courier New" w:hAnsi="Courier New"/>
                <w:sz w:val="14"/>
                <w:szCs w:val="14"/>
                <w:color w:val="auto"/>
              </w:rPr>
              <w:t>Unrealized loss on short-term interest-bearing investments, net</w:t>
            </w:r>
          </w:p>
        </w:tc>
        <w:tc>
          <w:tcPr>
            <w:tcW w:w="1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6"/>
        </w:trPr>
        <w:tc>
          <w:tcPr>
            <w:tcW w:w="6200" w:type="dxa"/>
            <w:vAlign w:val="bottom"/>
          </w:tcPr>
          <w:p>
            <w:pPr>
              <w:ind w:left="680"/>
              <w:spacing w:after="0"/>
              <w:rPr>
                <w:sz w:val="20"/>
                <w:szCs w:val="20"/>
                <w:color w:val="auto"/>
              </w:rPr>
            </w:pPr>
            <w:r>
              <w:rPr>
                <w:rFonts w:ascii="Courier New" w:cs="Courier New" w:eastAsia="Courier New" w:hAnsi="Courier New"/>
                <w:sz w:val="14"/>
                <w:szCs w:val="14"/>
                <w:color w:val="auto"/>
              </w:rPr>
              <w:t>of tax</w:t>
            </w:r>
          </w:p>
        </w:tc>
        <w:tc>
          <w:tcPr>
            <w:tcW w:w="1120" w:type="dxa"/>
            <w:vAlign w:val="bottom"/>
          </w:tcPr>
          <w:p>
            <w:pPr>
              <w:spacing w:after="0"/>
              <w:rPr>
                <w:sz w:val="14"/>
                <w:szCs w:val="14"/>
                <w:color w:val="auto"/>
              </w:rPr>
            </w:pP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(17)</w:t>
            </w:r>
          </w:p>
        </w:tc>
        <w:tc>
          <w:tcPr>
            <w:tcW w:w="620" w:type="dxa"/>
            <w:vAlign w:val="bottom"/>
          </w:tcPr>
          <w:p>
            <w:pPr>
              <w:spacing w:after="0"/>
              <w:rPr>
                <w:sz w:val="14"/>
                <w:szCs w:val="14"/>
                <w:color w:val="auto"/>
              </w:rPr>
            </w:pPr>
          </w:p>
        </w:tc>
        <w:tc>
          <w:tcPr>
            <w:tcW w:w="1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6200" w:type="dxa"/>
            <w:vAlign w:val="bottom"/>
          </w:tcPr>
          <w:p>
            <w:pPr>
              <w:spacing w:after="0"/>
              <w:rPr>
                <w:sz w:val="14"/>
                <w:szCs w:val="14"/>
                <w:color w:val="auto"/>
              </w:rPr>
            </w:pPr>
          </w:p>
        </w:tc>
        <w:tc>
          <w:tcPr>
            <w:tcW w:w="27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62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23,037</w:t>
            </w:r>
          </w:p>
        </w:tc>
        <w:tc>
          <w:tcPr>
            <w:tcW w:w="6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18,011</w:t>
            </w:r>
          </w:p>
        </w:tc>
      </w:tr>
      <w:tr>
        <w:trPr>
          <w:trHeight w:val="166"/>
        </w:trPr>
        <w:tc>
          <w:tcPr>
            <w:tcW w:w="6200" w:type="dxa"/>
            <w:vAlign w:val="bottom"/>
          </w:tcPr>
          <w:p>
            <w:pPr>
              <w:spacing w:after="0"/>
              <w:rPr>
                <w:sz w:val="14"/>
                <w:szCs w:val="14"/>
                <w:color w:val="auto"/>
              </w:rPr>
            </w:pPr>
          </w:p>
        </w:tc>
        <w:tc>
          <w:tcPr>
            <w:tcW w:w="270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9"/>
              </w:rPr>
              <w:t>====================</w:t>
            </w:r>
          </w:p>
        </w:tc>
      </w:tr>
    </w:tbl>
    <w:p>
      <w:pPr>
        <w:spacing w:after="0" w:line="200" w:lineRule="exact"/>
        <w:rPr>
          <w:sz w:val="20"/>
          <w:szCs w:val="20"/>
          <w:color w:val="auto"/>
        </w:rPr>
      </w:pPr>
    </w:p>
    <w:p>
      <w:pPr>
        <w:sectPr>
          <w:pgSz w:w="11900" w:h="16838" w:orient="portrait"/>
          <w:cols w:equalWidth="0" w:num="1">
            <w:col w:w="11360"/>
          </w:cols>
          <w:pgMar w:left="300" w:top="285" w:right="239" w:bottom="1440" w:gutter="0" w:footer="0" w:header="0"/>
        </w:sectPr>
      </w:pPr>
    </w:p>
    <w:p>
      <w:pPr>
        <w:spacing w:after="0" w:line="1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360"/>
          </w:cols>
          <w:pgMar w:left="300" w:top="285"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680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6800" w:type="dxa"/>
            <w:vAlign w:val="bottom"/>
          </w:tcPr>
          <w:p>
            <w:pPr>
              <w:ind w:left="2620"/>
              <w:spacing w:after="0"/>
              <w:rPr>
                <w:sz w:val="20"/>
                <w:szCs w:val="20"/>
                <w:color w:val="auto"/>
              </w:rPr>
            </w:pPr>
            <w:r>
              <w:rPr>
                <w:rFonts w:ascii="Courier New" w:cs="Courier New" w:eastAsia="Courier New" w:hAnsi="Courier New"/>
                <w:sz w:val="14"/>
                <w:szCs w:val="14"/>
                <w:color w:val="auto"/>
              </w:rPr>
              <w:t>AMDOCS LIMITED</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1"/>
        </w:trPr>
        <w:tc>
          <w:tcPr>
            <w:tcW w:w="22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NOTES TO UNAUDITED CONSOLIDATED FINANCIAL STATEMENTS (CONTINUED)</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1"/>
        </w:trPr>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c>
          <w:tcPr>
            <w:tcW w:w="6800" w:type="dxa"/>
            <w:vAlign w:val="bottom"/>
          </w:tcPr>
          <w:p>
            <w:pPr>
              <w:ind w:left="300"/>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31"/>
        </w:trPr>
        <w:tc>
          <w:tcPr>
            <w:tcW w:w="220" w:type="dxa"/>
            <w:vAlign w:val="bottom"/>
          </w:tcPr>
          <w:p>
            <w:pPr>
              <w:spacing w:after="0"/>
              <w:rPr>
                <w:sz w:val="24"/>
                <w:szCs w:val="24"/>
                <w:color w:val="auto"/>
              </w:rPr>
            </w:pPr>
          </w:p>
        </w:tc>
        <w:tc>
          <w:tcPr>
            <w:tcW w:w="6800" w:type="dxa"/>
            <w:vAlign w:val="bottom"/>
          </w:tcPr>
          <w:p>
            <w:pPr>
              <w:ind w:left="300"/>
              <w:spacing w:after="0"/>
              <w:rPr>
                <w:sz w:val="20"/>
                <w:szCs w:val="20"/>
                <w:color w:val="auto"/>
              </w:rPr>
            </w:pPr>
            <w:r>
              <w:rPr>
                <w:rFonts w:ascii="Courier New" w:cs="Courier New" w:eastAsia="Courier New" w:hAnsi="Courier New"/>
                <w:sz w:val="14"/>
                <w:szCs w:val="14"/>
                <w:color w:val="auto"/>
              </w:rPr>
              <w:t>The provision for income taxes for the following periods consists of the</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6800" w:type="dxa"/>
            <w:vAlign w:val="bottom"/>
          </w:tcPr>
          <w:p>
            <w:pPr>
              <w:ind w:left="300"/>
              <w:spacing w:after="0"/>
              <w:rPr>
                <w:sz w:val="20"/>
                <w:szCs w:val="20"/>
                <w:color w:val="auto"/>
              </w:rPr>
            </w:pPr>
            <w:r>
              <w:rPr>
                <w:rFonts w:ascii="Courier New" w:cs="Courier New" w:eastAsia="Courier New" w:hAnsi="Courier New"/>
                <w:sz w:val="14"/>
                <w:szCs w:val="14"/>
                <w:color w:val="auto"/>
              </w:rPr>
              <w:t>following:</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28"/>
        </w:trPr>
        <w:tc>
          <w:tcPr>
            <w:tcW w:w="2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3"/>
          </w:tcPr>
          <w:p>
            <w:pPr>
              <w:jc w:val="right"/>
              <w:ind w:right="120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gridSpan w:val="3"/>
          </w:tcPr>
          <w:p>
            <w:pPr>
              <w:jc w:val="right"/>
              <w:ind w:right="146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2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Current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2040" w:type="dxa"/>
            <w:vAlign w:val="bottom"/>
          </w:tcPr>
          <w:p>
            <w:pPr>
              <w:ind w:left="860"/>
              <w:spacing w:after="0"/>
              <w:rPr>
                <w:sz w:val="20"/>
                <w:szCs w:val="20"/>
                <w:color w:val="auto"/>
              </w:rPr>
            </w:pPr>
            <w:r>
              <w:rPr>
                <w:rFonts w:ascii="Courier New" w:cs="Courier New" w:eastAsia="Courier New" w:hAnsi="Courier New"/>
                <w:sz w:val="14"/>
                <w:szCs w:val="14"/>
                <w:color w:val="auto"/>
              </w:rPr>
              <w:t>18,638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7,194</w:t>
            </w:r>
          </w:p>
        </w:tc>
      </w:tr>
      <w:tr>
        <w:trPr>
          <w:trHeight w:val="166"/>
        </w:trPr>
        <w:tc>
          <w:tcPr>
            <w:tcW w:w="220" w:type="dxa"/>
            <w:vAlign w:val="bottom"/>
          </w:tcPr>
          <w:p>
            <w:pPr>
              <w:spacing w:after="0"/>
              <w:rPr>
                <w:sz w:val="14"/>
                <w:szCs w:val="1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Deferred</w:t>
            </w:r>
          </w:p>
        </w:tc>
        <w:tc>
          <w:tcPr>
            <w:tcW w:w="300" w:type="dxa"/>
            <w:vAlign w:val="bottom"/>
          </w:tcPr>
          <w:p>
            <w:pPr>
              <w:spacing w:after="0"/>
              <w:rPr>
                <w:sz w:val="14"/>
                <w:szCs w:val="14"/>
                <w:color w:val="auto"/>
              </w:rPr>
            </w:pPr>
          </w:p>
        </w:tc>
        <w:tc>
          <w:tcPr>
            <w:tcW w:w="2040" w:type="dxa"/>
            <w:vAlign w:val="bottom"/>
          </w:tcPr>
          <w:p>
            <w:pPr>
              <w:ind w:left="860"/>
              <w:spacing w:after="0"/>
              <w:rPr>
                <w:sz w:val="20"/>
                <w:szCs w:val="20"/>
                <w:color w:val="auto"/>
              </w:rPr>
            </w:pPr>
            <w:r>
              <w:rPr>
                <w:rFonts w:ascii="Courier New" w:cs="Courier New" w:eastAsia="Courier New" w:hAnsi="Courier New"/>
                <w:sz w:val="14"/>
                <w:szCs w:val="14"/>
                <w:color w:val="auto"/>
              </w:rPr>
              <w:t>(2,714)</w:t>
            </w:r>
          </w:p>
        </w:tc>
        <w:tc>
          <w:tcPr>
            <w:tcW w:w="300" w:type="dxa"/>
            <w:vAlign w:val="bottom"/>
          </w:tcPr>
          <w:p>
            <w:pPr>
              <w:spacing w:after="0"/>
              <w:rPr>
                <w:sz w:val="14"/>
                <w:szCs w:val="14"/>
                <w:color w:val="auto"/>
              </w:rPr>
            </w:pP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1,438</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2040" w:type="dxa"/>
            <w:vAlign w:val="bottom"/>
          </w:tcPr>
          <w:p>
            <w:pPr>
              <w:ind w:left="860"/>
              <w:spacing w:after="0"/>
              <w:rPr>
                <w:sz w:val="20"/>
                <w:szCs w:val="20"/>
                <w:color w:val="auto"/>
              </w:rPr>
            </w:pPr>
            <w:r>
              <w:rPr>
                <w:rFonts w:ascii="Courier New" w:cs="Courier New" w:eastAsia="Courier New" w:hAnsi="Courier New"/>
                <w:sz w:val="14"/>
                <w:szCs w:val="14"/>
                <w:color w:val="auto"/>
              </w:rPr>
              <w:t>15,924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8,632</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662"/>
        </w:trPr>
        <w:tc>
          <w:tcPr>
            <w:tcW w:w="220" w:type="dxa"/>
            <w:vAlign w:val="bottom"/>
          </w:tcPr>
          <w:p>
            <w:pPr>
              <w:spacing w:after="0"/>
              <w:rPr>
                <w:sz w:val="24"/>
                <w:szCs w:val="24"/>
                <w:color w:val="auto"/>
              </w:rPr>
            </w:pPr>
          </w:p>
        </w:tc>
        <w:tc>
          <w:tcPr>
            <w:tcW w:w="6800" w:type="dxa"/>
            <w:vAlign w:val="bottom"/>
          </w:tcPr>
          <w:p>
            <w:pPr>
              <w:ind w:left="300"/>
              <w:spacing w:after="0"/>
              <w:rPr>
                <w:sz w:val="20"/>
                <w:szCs w:val="20"/>
                <w:color w:val="auto"/>
              </w:rPr>
            </w:pPr>
            <w:r>
              <w:rPr>
                <w:rFonts w:ascii="Courier New" w:cs="Courier New" w:eastAsia="Courier New" w:hAnsi="Courier New"/>
                <w:sz w:val="14"/>
                <w:szCs w:val="14"/>
                <w:color w:val="auto"/>
              </w:rPr>
              <w:t>The effective income tax rate varied from the statutory Guernsey tax rate</w:t>
            </w: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6"/>
        </w:trPr>
        <w:tc>
          <w:tcPr>
            <w:tcW w:w="220" w:type="dxa"/>
            <w:vAlign w:val="bottom"/>
          </w:tcPr>
          <w:p>
            <w:pPr>
              <w:spacing w:after="0"/>
              <w:rPr>
                <w:sz w:val="14"/>
                <w:szCs w:val="14"/>
                <w:color w:val="auto"/>
              </w:rPr>
            </w:pPr>
          </w:p>
        </w:tc>
        <w:tc>
          <w:tcPr>
            <w:tcW w:w="6800" w:type="dxa"/>
            <w:vAlign w:val="bottom"/>
          </w:tcPr>
          <w:p>
            <w:pPr>
              <w:ind w:left="300"/>
              <w:spacing w:after="0"/>
              <w:rPr>
                <w:sz w:val="20"/>
                <w:szCs w:val="20"/>
                <w:color w:val="auto"/>
              </w:rPr>
            </w:pPr>
            <w:r>
              <w:rPr>
                <w:rFonts w:ascii="Courier New" w:cs="Courier New" w:eastAsia="Courier New" w:hAnsi="Courier New"/>
                <w:sz w:val="14"/>
                <w:szCs w:val="14"/>
                <w:color w:val="auto"/>
              </w:rPr>
              <w:t>as follows for the following periods:</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828"/>
        </w:trPr>
        <w:tc>
          <w:tcPr>
            <w:tcW w:w="2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60" w:type="dxa"/>
            <w:vAlign w:val="bottom"/>
            <w:gridSpan w:val="3"/>
          </w:tcPr>
          <w:p>
            <w:pPr>
              <w:jc w:val="right"/>
              <w:ind w:right="112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gridSpan w:val="3"/>
          </w:tcPr>
          <w:p>
            <w:pPr>
              <w:jc w:val="right"/>
              <w:ind w:right="13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4"/>
                <w:szCs w:val="14"/>
                <w:color w:val="auto"/>
              </w:rPr>
            </w:pP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 w:type="dxa"/>
            <w:vAlign w:val="bottom"/>
          </w:tcPr>
          <w:p>
            <w:pPr>
              <w:spacing w:after="0"/>
              <w:rPr>
                <w:sz w:val="24"/>
                <w:szCs w:val="2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Statutory Guernsey tax rate</w:t>
            </w:r>
          </w:p>
        </w:tc>
        <w:tc>
          <w:tcPr>
            <w:tcW w:w="300" w:type="dxa"/>
            <w:vAlign w:val="bottom"/>
          </w:tcPr>
          <w:p>
            <w:pPr>
              <w:spacing w:after="0"/>
              <w:rPr>
                <w:sz w:val="24"/>
                <w:szCs w:val="24"/>
                <w:color w:val="auto"/>
              </w:rPr>
            </w:pPr>
          </w:p>
        </w:tc>
        <w:tc>
          <w:tcPr>
            <w:tcW w:w="20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24"/>
                <w:szCs w:val="24"/>
                <w:color w:val="auto"/>
              </w:rPr>
            </w:pP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220" w:type="dxa"/>
            <w:vAlign w:val="bottom"/>
          </w:tcPr>
          <w:p>
            <w:pPr>
              <w:spacing w:after="0"/>
              <w:rPr>
                <w:sz w:val="14"/>
                <w:szCs w:val="1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Guernsey tax-exempt status</w:t>
            </w:r>
          </w:p>
        </w:tc>
        <w:tc>
          <w:tcPr>
            <w:tcW w:w="300" w:type="dxa"/>
            <w:vAlign w:val="bottom"/>
          </w:tcPr>
          <w:p>
            <w:pPr>
              <w:spacing w:after="0"/>
              <w:rPr>
                <w:sz w:val="14"/>
                <w:szCs w:val="14"/>
                <w:color w:val="auto"/>
              </w:rPr>
            </w:pPr>
          </w:p>
        </w:tc>
        <w:tc>
          <w:tcPr>
            <w:tcW w:w="20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r>
      <w:tr>
        <w:trPr>
          <w:trHeight w:val="166"/>
        </w:trPr>
        <w:tc>
          <w:tcPr>
            <w:tcW w:w="220" w:type="dxa"/>
            <w:vAlign w:val="bottom"/>
          </w:tcPr>
          <w:p>
            <w:pPr>
              <w:spacing w:after="0"/>
              <w:rPr>
                <w:sz w:val="14"/>
                <w:szCs w:val="1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Foreign taxes</w:t>
            </w:r>
          </w:p>
        </w:tc>
        <w:tc>
          <w:tcPr>
            <w:tcW w:w="300" w:type="dxa"/>
            <w:vAlign w:val="bottom"/>
          </w:tcPr>
          <w:p>
            <w:pPr>
              <w:spacing w:after="0"/>
              <w:rPr>
                <w:sz w:val="14"/>
                <w:szCs w:val="14"/>
                <w:color w:val="auto"/>
              </w:rPr>
            </w:pPr>
          </w:p>
        </w:tc>
        <w:tc>
          <w:tcPr>
            <w:tcW w:w="2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20" w:type="dxa"/>
            <w:vAlign w:val="bottom"/>
          </w:tcPr>
          <w:p>
            <w:pPr>
              <w:spacing w:after="0"/>
              <w:rPr>
                <w:sz w:val="14"/>
                <w:szCs w:val="1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In-process research and development expenses (*)</w:t>
            </w:r>
          </w:p>
        </w:tc>
        <w:tc>
          <w:tcPr>
            <w:tcW w:w="300" w:type="dxa"/>
            <w:vAlign w:val="bottom"/>
          </w:tcPr>
          <w:p>
            <w:pPr>
              <w:spacing w:after="0"/>
              <w:rPr>
                <w:sz w:val="14"/>
                <w:szCs w:val="14"/>
                <w:color w:val="auto"/>
              </w:rPr>
            </w:pPr>
          </w:p>
        </w:tc>
        <w:tc>
          <w:tcPr>
            <w:tcW w:w="204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18</w:t>
            </w:r>
          </w:p>
        </w:tc>
        <w:tc>
          <w:tcPr>
            <w:tcW w:w="300" w:type="dxa"/>
            <w:vAlign w:val="bottom"/>
          </w:tcPr>
          <w:p>
            <w:pPr>
              <w:spacing w:after="0"/>
              <w:rPr>
                <w:sz w:val="14"/>
                <w:szCs w:val="14"/>
                <w:color w:val="auto"/>
              </w:rPr>
            </w:pP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 w:type="dxa"/>
            <w:vAlign w:val="bottom"/>
          </w:tcPr>
          <w:p>
            <w:pPr>
              <w:spacing w:after="0"/>
              <w:rPr>
                <w:sz w:val="14"/>
                <w:szCs w:val="1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Effective income tax rate</w:t>
            </w:r>
          </w:p>
        </w:tc>
        <w:tc>
          <w:tcPr>
            <w:tcW w:w="300" w:type="dxa"/>
            <w:vAlign w:val="bottom"/>
          </w:tcPr>
          <w:p>
            <w:pPr>
              <w:spacing w:after="0"/>
              <w:rPr>
                <w:sz w:val="14"/>
                <w:szCs w:val="14"/>
                <w:color w:val="auto"/>
              </w:rPr>
            </w:pPr>
          </w:p>
        </w:tc>
        <w:tc>
          <w:tcPr>
            <w:tcW w:w="20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48%</w:t>
            </w:r>
          </w:p>
        </w:tc>
        <w:tc>
          <w:tcPr>
            <w:tcW w:w="300" w:type="dxa"/>
            <w:vAlign w:val="bottom"/>
          </w:tcPr>
          <w:p>
            <w:pPr>
              <w:spacing w:after="0"/>
              <w:rPr>
                <w:sz w:val="14"/>
                <w:szCs w:val="14"/>
                <w:color w:val="auto"/>
              </w:rPr>
            </w:pP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 w:type="dxa"/>
            <w:vAlign w:val="bottom"/>
          </w:tcPr>
          <w:p>
            <w:pPr>
              <w:spacing w:after="0"/>
              <w:rPr>
                <w:sz w:val="14"/>
                <w:szCs w:val="14"/>
                <w:color w:val="auto"/>
              </w:rPr>
            </w:pPr>
          </w:p>
        </w:tc>
        <w:tc>
          <w:tcPr>
            <w:tcW w:w="6800" w:type="dxa"/>
            <w:vAlign w:val="bottom"/>
          </w:tcPr>
          <w:p>
            <w:pPr>
              <w:ind w:left="480"/>
              <w:spacing w:after="0"/>
              <w:rPr>
                <w:sz w:val="20"/>
                <w:szCs w:val="20"/>
                <w:color w:val="auto"/>
              </w:rPr>
            </w:pPr>
            <w:r>
              <w:rPr>
                <w:rFonts w:ascii="Courier New" w:cs="Courier New" w:eastAsia="Courier New" w:hAnsi="Courier New"/>
                <w:sz w:val="14"/>
                <w:szCs w:val="14"/>
                <w:color w:val="auto"/>
              </w:rPr>
              <w:t>Effective income tax rate excluding in-process research and</w:t>
            </w:r>
          </w:p>
        </w:tc>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6"/>
        </w:trPr>
        <w:tc>
          <w:tcPr>
            <w:tcW w:w="220" w:type="dxa"/>
            <w:vAlign w:val="bottom"/>
          </w:tcPr>
          <w:p>
            <w:pPr>
              <w:spacing w:after="0"/>
              <w:rPr>
                <w:sz w:val="14"/>
                <w:szCs w:val="14"/>
                <w:color w:val="auto"/>
              </w:rPr>
            </w:pPr>
          </w:p>
        </w:tc>
        <w:tc>
          <w:tcPr>
            <w:tcW w:w="6800" w:type="dxa"/>
            <w:vAlign w:val="bottom"/>
          </w:tcPr>
          <w:p>
            <w:pPr>
              <w:ind w:left="900"/>
              <w:spacing w:after="0"/>
              <w:rPr>
                <w:sz w:val="20"/>
                <w:szCs w:val="20"/>
                <w:color w:val="auto"/>
              </w:rPr>
            </w:pPr>
            <w:r>
              <w:rPr>
                <w:rFonts w:ascii="Courier New" w:cs="Courier New" w:eastAsia="Courier New" w:hAnsi="Courier New"/>
                <w:sz w:val="14"/>
                <w:szCs w:val="14"/>
                <w:color w:val="auto"/>
              </w:rPr>
              <w:t>development expenses (*)</w:t>
            </w:r>
          </w:p>
        </w:tc>
        <w:tc>
          <w:tcPr>
            <w:tcW w:w="300" w:type="dxa"/>
            <w:vAlign w:val="bottom"/>
          </w:tcPr>
          <w:p>
            <w:pPr>
              <w:spacing w:after="0"/>
              <w:rPr>
                <w:sz w:val="14"/>
                <w:szCs w:val="14"/>
                <w:color w:val="auto"/>
              </w:rPr>
            </w:pPr>
          </w:p>
        </w:tc>
        <w:tc>
          <w:tcPr>
            <w:tcW w:w="204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spacing w:after="0"/>
              <w:rPr>
                <w:sz w:val="14"/>
                <w:szCs w:val="14"/>
                <w:color w:val="auto"/>
              </w:rPr>
            </w:pP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040" w:right="4720" w:hanging="429"/>
        <w:spacing w:after="0" w:line="252" w:lineRule="auto"/>
        <w:tabs>
          <w:tab w:leader="none" w:pos="104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acquisition of ITDS the Company wrote off $19,876 of in-process research and development which is not tax deductible.</w:t>
      </w:r>
    </w:p>
    <w:p>
      <w:pPr>
        <w:spacing w:after="0" w:line="162"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2" w:lineRule="exact"/>
        <w:rPr>
          <w:rFonts w:ascii="Courier New" w:cs="Courier New" w:eastAsia="Courier New" w:hAnsi="Courier New"/>
          <w:sz w:val="14"/>
          <w:szCs w:val="14"/>
          <w:color w:val="auto"/>
        </w:rPr>
      </w:pPr>
    </w:p>
    <w:p>
      <w:pPr>
        <w:ind w:left="520" w:right="49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4"/>
          <w:szCs w:val="14"/>
          <w:color w:val="auto"/>
        </w:rPr>
        <w:t>THREE MONTHS ENDED</w:t>
      </w:r>
    </w:p>
    <w:p>
      <w:pPr>
        <w:spacing w:after="0" w:line="7"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4"/>
          <w:szCs w:val="14"/>
          <w:color w:val="auto"/>
        </w:rPr>
        <w:t>DECEMBER 31,</w:t>
      </w:r>
    </w:p>
    <w:p>
      <w:pPr>
        <w:spacing w:after="0" w:line="7" w:lineRule="exact"/>
        <w:rPr>
          <w:sz w:val="20"/>
          <w:szCs w:val="20"/>
          <w:color w:val="auto"/>
        </w:rPr>
      </w:pPr>
    </w:p>
    <w:p>
      <w:pPr>
        <w:ind w:left="6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500"/>
        <w:spacing w:after="0"/>
        <w:tabs>
          <w:tab w:leader="none" w:pos="928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7" w:lineRule="exact"/>
        <w:rPr>
          <w:sz w:val="20"/>
          <w:szCs w:val="20"/>
          <w:color w:val="auto"/>
        </w:rPr>
      </w:pPr>
    </w:p>
    <w:p>
      <w:pPr>
        <w:ind w:left="6980"/>
        <w:spacing w:after="0"/>
        <w:tabs>
          <w:tab w:leader="none" w:pos="8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Numerator:</w:t>
      </w:r>
    </w:p>
    <w:p>
      <w:pPr>
        <w:spacing w:after="0" w:line="7" w:lineRule="exact"/>
        <w:rPr>
          <w:sz w:val="20"/>
          <w:szCs w:val="20"/>
          <w:color w:val="auto"/>
        </w:rPr>
      </w:pPr>
    </w:p>
    <w:p>
      <w:pPr>
        <w:ind w:left="1040"/>
        <w:spacing w:after="0"/>
        <w:tabs>
          <w:tab w:leader="none" w:pos="6960" w:val="left"/>
          <w:tab w:leader="none" w:pos="7660" w:val="left"/>
          <w:tab w:leader="none" w:pos="8860" w:val="left"/>
          <w:tab w:leader="none" w:pos="938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17,281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20,142</w:t>
      </w:r>
    </w:p>
    <w:p>
      <w:pPr>
        <w:spacing w:after="0" w:line="7" w:lineRule="exact"/>
        <w:rPr>
          <w:sz w:val="20"/>
          <w:szCs w:val="20"/>
          <w:color w:val="auto"/>
        </w:rPr>
      </w:pPr>
    </w:p>
    <w:p>
      <w:pPr>
        <w:ind w:left="6980"/>
        <w:spacing w:after="0"/>
        <w:tabs>
          <w:tab w:leader="none" w:pos="8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Denominator: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Denominator for basic earnings per share -</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weighted average number of shares</w:t>
      </w:r>
    </w:p>
    <w:p>
      <w:pPr>
        <w:spacing w:after="0" w:line="7" w:lineRule="exact"/>
        <w:rPr>
          <w:sz w:val="20"/>
          <w:szCs w:val="20"/>
          <w:color w:val="auto"/>
        </w:rPr>
      </w:pPr>
    </w:p>
    <w:p>
      <w:pPr>
        <w:ind w:left="1560"/>
        <w:spacing w:after="0"/>
        <w:tabs>
          <w:tab w:leader="none" w:pos="7560" w:val="left"/>
          <w:tab w:leader="none" w:pos="928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201,020</w:t>
      </w:r>
      <w:r>
        <w:rPr>
          <w:sz w:val="20"/>
          <w:szCs w:val="20"/>
          <w:color w:val="auto"/>
        </w:rPr>
        <w:tab/>
      </w:r>
      <w:r>
        <w:rPr>
          <w:rFonts w:ascii="Courier New" w:cs="Courier New" w:eastAsia="Courier New" w:hAnsi="Courier New"/>
          <w:sz w:val="14"/>
          <w:szCs w:val="14"/>
          <w:color w:val="auto"/>
        </w:rPr>
        <w:t>196,800</w:t>
      </w:r>
    </w:p>
    <w:p>
      <w:pPr>
        <w:spacing w:after="0" w:line="7" w:lineRule="exact"/>
        <w:rPr>
          <w:sz w:val="20"/>
          <w:szCs w:val="20"/>
          <w:color w:val="auto"/>
        </w:rPr>
      </w:pPr>
    </w:p>
    <w:p>
      <w:pPr>
        <w:ind w:left="1040"/>
        <w:spacing w:after="0"/>
        <w:tabs>
          <w:tab w:leader="none" w:pos="7740" w:val="left"/>
          <w:tab w:leader="none" w:pos="9460" w:val="left"/>
        </w:tabs>
        <w:rPr>
          <w:sz w:val="20"/>
          <w:szCs w:val="20"/>
          <w:color w:val="auto"/>
        </w:rPr>
      </w:pPr>
      <w:r>
        <w:rPr>
          <w:rFonts w:ascii="Courier New" w:cs="Courier New" w:eastAsia="Courier New" w:hAnsi="Courier New"/>
          <w:sz w:val="14"/>
          <w:szCs w:val="14"/>
          <w:color w:val="auto"/>
        </w:rPr>
        <w:t>Effect of dilutive stock options granted</w:t>
      </w:r>
      <w:r>
        <w:rPr>
          <w:sz w:val="20"/>
          <w:szCs w:val="20"/>
          <w:color w:val="auto"/>
        </w:rPr>
        <w:tab/>
      </w:r>
      <w:r>
        <w:rPr>
          <w:rFonts w:ascii="Courier New" w:cs="Courier New" w:eastAsia="Courier New" w:hAnsi="Courier New"/>
          <w:sz w:val="14"/>
          <w:szCs w:val="14"/>
          <w:color w:val="auto"/>
        </w:rPr>
        <w:t>3,847</w:t>
      </w:r>
      <w:r>
        <w:rPr>
          <w:sz w:val="20"/>
          <w:szCs w:val="20"/>
          <w:color w:val="auto"/>
        </w:rPr>
        <w:tab/>
      </w:r>
      <w:r>
        <w:rPr>
          <w:rFonts w:ascii="Courier New" w:cs="Courier New" w:eastAsia="Courier New" w:hAnsi="Courier New"/>
          <w:sz w:val="14"/>
          <w:szCs w:val="14"/>
          <w:color w:val="auto"/>
        </w:rPr>
        <w:t>2,105</w:t>
      </w:r>
    </w:p>
    <w:p>
      <w:pPr>
        <w:spacing w:after="0" w:line="7" w:lineRule="exact"/>
        <w:rPr>
          <w:sz w:val="20"/>
          <w:szCs w:val="20"/>
          <w:color w:val="auto"/>
        </w:rPr>
      </w:pPr>
    </w:p>
    <w:p>
      <w:pPr>
        <w:ind w:left="6980"/>
        <w:spacing w:after="0"/>
        <w:tabs>
          <w:tab w:leader="none" w:pos="8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Denominator for dilutive earnings per share -</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adjusted weighted average shares and</w:t>
      </w:r>
    </w:p>
    <w:p>
      <w:pPr>
        <w:spacing w:after="0" w:line="7" w:lineRule="exact"/>
        <w:rPr>
          <w:sz w:val="20"/>
          <w:szCs w:val="20"/>
          <w:color w:val="auto"/>
        </w:rPr>
      </w:pPr>
    </w:p>
    <w:p>
      <w:pPr>
        <w:ind w:left="1560"/>
        <w:spacing w:after="0"/>
        <w:tabs>
          <w:tab w:leader="none" w:pos="7560" w:val="left"/>
          <w:tab w:leader="none" w:pos="9280" w:val="left"/>
        </w:tabs>
        <w:rPr>
          <w:sz w:val="20"/>
          <w:szCs w:val="20"/>
          <w:color w:val="auto"/>
        </w:rPr>
      </w:pPr>
      <w:r>
        <w:rPr>
          <w:rFonts w:ascii="Courier New" w:cs="Courier New" w:eastAsia="Courier New" w:hAnsi="Courier New"/>
          <w:sz w:val="14"/>
          <w:szCs w:val="14"/>
          <w:color w:val="auto"/>
        </w:rPr>
        <w:t>assumed conversions</w:t>
      </w:r>
      <w:r>
        <w:rPr>
          <w:sz w:val="20"/>
          <w:szCs w:val="20"/>
          <w:color w:val="auto"/>
        </w:rPr>
        <w:tab/>
      </w:r>
      <w:r>
        <w:rPr>
          <w:rFonts w:ascii="Courier New" w:cs="Courier New" w:eastAsia="Courier New" w:hAnsi="Courier New"/>
          <w:sz w:val="14"/>
          <w:szCs w:val="14"/>
          <w:color w:val="auto"/>
        </w:rPr>
        <w:t>204,867</w:t>
      </w:r>
      <w:r>
        <w:rPr>
          <w:sz w:val="20"/>
          <w:szCs w:val="20"/>
          <w:color w:val="auto"/>
        </w:rPr>
        <w:tab/>
      </w:r>
      <w:r>
        <w:rPr>
          <w:rFonts w:ascii="Courier New" w:cs="Courier New" w:eastAsia="Courier New" w:hAnsi="Courier New"/>
          <w:sz w:val="14"/>
          <w:szCs w:val="14"/>
          <w:color w:val="auto"/>
        </w:rPr>
        <w:t>198,905</w:t>
      </w:r>
    </w:p>
    <w:p>
      <w:pPr>
        <w:spacing w:after="0" w:line="7" w:lineRule="exact"/>
        <w:rPr>
          <w:sz w:val="20"/>
          <w:szCs w:val="20"/>
          <w:color w:val="auto"/>
        </w:rPr>
      </w:pPr>
    </w:p>
    <w:p>
      <w:pPr>
        <w:ind w:left="6980"/>
        <w:spacing w:after="0"/>
        <w:tabs>
          <w:tab w:leader="none" w:pos="8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040"/>
        <w:spacing w:after="0"/>
        <w:tabs>
          <w:tab w:leader="none" w:pos="7740" w:val="left"/>
          <w:tab w:leader="none" w:pos="9460" w:val="left"/>
        </w:tabs>
        <w:rPr>
          <w:sz w:val="20"/>
          <w:szCs w:val="20"/>
          <w:color w:val="auto"/>
        </w:rPr>
      </w:pPr>
      <w:r>
        <w:rPr>
          <w:rFonts w:ascii="Courier New" w:cs="Courier New" w:eastAsia="Courier New" w:hAnsi="Courier New"/>
          <w:sz w:val="14"/>
          <w:szCs w:val="14"/>
          <w:color w:val="auto"/>
        </w:rPr>
        <w:t>Basic earnings per share</w:t>
      </w:r>
      <w:r>
        <w:rPr>
          <w:sz w:val="20"/>
          <w:szCs w:val="20"/>
          <w:color w:val="auto"/>
        </w:rPr>
        <w:tab/>
      </w:r>
      <w:r>
        <w:rPr>
          <w:rFonts w:ascii="Courier New" w:cs="Courier New" w:eastAsia="Courier New" w:hAnsi="Courier New"/>
          <w:sz w:val="14"/>
          <w:szCs w:val="14"/>
          <w:color w:val="auto"/>
        </w:rPr>
        <w:t>$0.09</w:t>
      </w:r>
      <w:r>
        <w:rPr>
          <w:sz w:val="20"/>
          <w:szCs w:val="20"/>
          <w:color w:val="auto"/>
        </w:rPr>
        <w:tab/>
      </w:r>
      <w:r>
        <w:rPr>
          <w:rFonts w:ascii="Courier New" w:cs="Courier New" w:eastAsia="Courier New" w:hAnsi="Courier New"/>
          <w:sz w:val="14"/>
          <w:szCs w:val="14"/>
          <w:color w:val="auto"/>
        </w:rPr>
        <w:t>$0.10</w:t>
      </w:r>
    </w:p>
    <w:p>
      <w:pPr>
        <w:spacing w:after="0" w:line="7" w:lineRule="exact"/>
        <w:rPr>
          <w:sz w:val="20"/>
          <w:szCs w:val="20"/>
          <w:color w:val="auto"/>
        </w:rPr>
      </w:pPr>
    </w:p>
    <w:p>
      <w:pPr>
        <w:ind w:left="6980"/>
        <w:spacing w:after="0"/>
        <w:tabs>
          <w:tab w:leader="none" w:pos="8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1040"/>
        <w:spacing w:after="0"/>
        <w:tabs>
          <w:tab w:leader="none" w:pos="7740" w:val="left"/>
          <w:tab w:leader="none" w:pos="9460" w:val="left"/>
        </w:tabs>
        <w:rPr>
          <w:sz w:val="20"/>
          <w:szCs w:val="20"/>
          <w:color w:val="auto"/>
        </w:rPr>
      </w:pPr>
      <w:r>
        <w:rPr>
          <w:rFonts w:ascii="Courier New" w:cs="Courier New" w:eastAsia="Courier New" w:hAnsi="Courier New"/>
          <w:sz w:val="14"/>
          <w:szCs w:val="14"/>
          <w:color w:val="auto"/>
        </w:rPr>
        <w:t>Diluted earnings per share</w:t>
      </w:r>
      <w:r>
        <w:rPr>
          <w:sz w:val="20"/>
          <w:szCs w:val="20"/>
          <w:color w:val="auto"/>
        </w:rPr>
        <w:tab/>
      </w:r>
      <w:r>
        <w:rPr>
          <w:rFonts w:ascii="Courier New" w:cs="Courier New" w:eastAsia="Courier New" w:hAnsi="Courier New"/>
          <w:sz w:val="14"/>
          <w:szCs w:val="14"/>
          <w:color w:val="auto"/>
        </w:rPr>
        <w:t>$0.08</w:t>
      </w:r>
      <w:r>
        <w:rPr>
          <w:sz w:val="20"/>
          <w:szCs w:val="20"/>
          <w:color w:val="auto"/>
        </w:rPr>
        <w:tab/>
      </w:r>
      <w:r>
        <w:rPr>
          <w:rFonts w:ascii="Courier New" w:cs="Courier New" w:eastAsia="Courier New" w:hAnsi="Courier New"/>
          <w:sz w:val="14"/>
          <w:szCs w:val="14"/>
          <w:color w:val="auto"/>
        </w:rPr>
        <w:t>$0.10</w:t>
      </w:r>
    </w:p>
    <w:p>
      <w:pPr>
        <w:spacing w:after="0" w:line="7" w:lineRule="exact"/>
        <w:rPr>
          <w:sz w:val="20"/>
          <w:szCs w:val="20"/>
          <w:color w:val="auto"/>
        </w:rPr>
      </w:pPr>
    </w:p>
    <w:p>
      <w:pPr>
        <w:ind w:left="6980"/>
        <w:spacing w:after="0"/>
        <w:tabs>
          <w:tab w:leader="none" w:pos="88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1280"/>
          </w:cols>
          <w:pgMar w:left="300" w:top="285" w:right="319" w:bottom="2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1280"/>
          </w:cols>
          <w:pgMar w:left="300" w:top="285" w:right="319" w:bottom="264"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left="1040" w:right="3519" w:hanging="1032"/>
        <w:spacing w:after="0" w:line="255" w:lineRule="auto"/>
        <w:tabs>
          <w:tab w:leader="none" w:pos="102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RESULTS OF OPERATIONS AND FINANCIAL CONDITION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779" w:firstLine="1033"/>
        <w:spacing w:after="0" w:line="252" w:lineRule="auto"/>
        <w:rPr>
          <w:sz w:val="20"/>
          <w:szCs w:val="20"/>
          <w:color w:val="auto"/>
        </w:rPr>
      </w:pPr>
      <w:r>
        <w:rPr>
          <w:rFonts w:ascii="Courier New" w:cs="Courier New" w:eastAsia="Courier New" w:hAnsi="Courier New"/>
          <w:sz w:val="14"/>
          <w:szCs w:val="14"/>
          <w:color w:val="auto"/>
        </w:rPr>
        <w:t>In Management's Discussion and Analysis we explain the general financial condition and the results of operations for Amdocs and its subsidiaries including:</w:t>
      </w:r>
    </w:p>
    <w:p>
      <w:pPr>
        <w:spacing w:after="0" w:line="163" w:lineRule="exact"/>
        <w:rPr>
          <w:sz w:val="20"/>
          <w:szCs w:val="20"/>
          <w:color w:val="auto"/>
        </w:rPr>
      </w:pPr>
    </w:p>
    <w:p>
      <w:pPr>
        <w:ind w:left="1120" w:hanging="595"/>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factors affect our business,</w:t>
      </w:r>
    </w:p>
    <w:p>
      <w:pPr>
        <w:spacing w:after="0" w:line="172" w:lineRule="exact"/>
        <w:rPr>
          <w:rFonts w:ascii="Courier New" w:cs="Courier New" w:eastAsia="Courier New" w:hAnsi="Courier New"/>
          <w:sz w:val="14"/>
          <w:szCs w:val="14"/>
          <w:color w:val="auto"/>
        </w:rPr>
      </w:pPr>
    </w:p>
    <w:p>
      <w:pPr>
        <w:ind w:left="1120" w:right="3339" w:hanging="595"/>
        <w:spacing w:after="0" w:line="255" w:lineRule="auto"/>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our revenue and costs were in the three months ended December 31, 1999 and 1998,</w:t>
      </w:r>
    </w:p>
    <w:p>
      <w:pPr>
        <w:spacing w:after="0" w:line="159" w:lineRule="exact"/>
        <w:rPr>
          <w:rFonts w:ascii="Courier New" w:cs="Courier New" w:eastAsia="Courier New" w:hAnsi="Courier New"/>
          <w:sz w:val="14"/>
          <w:szCs w:val="14"/>
          <w:color w:val="auto"/>
        </w:rPr>
      </w:pPr>
    </w:p>
    <w:p>
      <w:pPr>
        <w:ind w:left="1120" w:hanging="595"/>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why those revenue and costs were different from period to period,</w:t>
      </w:r>
    </w:p>
    <w:p>
      <w:pPr>
        <w:spacing w:after="0" w:line="172" w:lineRule="exact"/>
        <w:rPr>
          <w:rFonts w:ascii="Courier New" w:cs="Courier New" w:eastAsia="Courier New" w:hAnsi="Courier New"/>
          <w:sz w:val="14"/>
          <w:szCs w:val="14"/>
          <w:color w:val="auto"/>
        </w:rPr>
      </w:pPr>
    </w:p>
    <w:p>
      <w:pPr>
        <w:ind w:left="1120" w:hanging="595"/>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revenue,</w:t>
      </w:r>
    </w:p>
    <w:p>
      <w:pPr>
        <w:spacing w:after="0" w:line="172" w:lineRule="exact"/>
        <w:rPr>
          <w:rFonts w:ascii="Courier New" w:cs="Courier New" w:eastAsia="Courier New" w:hAnsi="Courier New"/>
          <w:sz w:val="14"/>
          <w:szCs w:val="14"/>
          <w:color w:val="auto"/>
        </w:rPr>
      </w:pPr>
    </w:p>
    <w:p>
      <w:pPr>
        <w:ind w:left="1120" w:hanging="595"/>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how all of this affects our overall financial condition,</w:t>
      </w:r>
    </w:p>
    <w:p>
      <w:pPr>
        <w:spacing w:after="0" w:line="172" w:lineRule="exact"/>
        <w:rPr>
          <w:rFonts w:ascii="Courier New" w:cs="Courier New" w:eastAsia="Courier New" w:hAnsi="Courier New"/>
          <w:sz w:val="14"/>
          <w:szCs w:val="14"/>
          <w:color w:val="auto"/>
        </w:rPr>
      </w:pPr>
    </w:p>
    <w:p>
      <w:pPr>
        <w:ind w:left="1120" w:right="3439" w:hanging="595"/>
        <w:spacing w:after="0" w:line="255" w:lineRule="auto"/>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what our expenditures were in the three months ended December 31, 1999 and 1998, and</w:t>
      </w:r>
    </w:p>
    <w:p>
      <w:pPr>
        <w:spacing w:after="0" w:line="159" w:lineRule="exact"/>
        <w:rPr>
          <w:rFonts w:ascii="Courier New" w:cs="Courier New" w:eastAsia="Courier New" w:hAnsi="Courier New"/>
          <w:sz w:val="14"/>
          <w:szCs w:val="14"/>
          <w:color w:val="auto"/>
        </w:rPr>
      </w:pPr>
    </w:p>
    <w:p>
      <w:pPr>
        <w:ind w:left="1120" w:hanging="595"/>
        <w:spacing w:after="0"/>
        <w:tabs>
          <w:tab w:leader="none" w:pos="11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sources of our cash to pay for future capital expenditures.</w:t>
      </w:r>
    </w:p>
    <w:p>
      <w:pPr>
        <w:spacing w:after="0" w:line="173" w:lineRule="exact"/>
        <w:rPr>
          <w:sz w:val="20"/>
          <w:szCs w:val="20"/>
          <w:color w:val="auto"/>
        </w:rPr>
      </w:pPr>
    </w:p>
    <w:p>
      <w:pPr>
        <w:ind w:left="100" w:right="3339" w:firstLine="947"/>
        <w:spacing w:after="0" w:line="251" w:lineRule="auto"/>
        <w:rPr>
          <w:sz w:val="20"/>
          <w:szCs w:val="20"/>
          <w:color w:val="auto"/>
        </w:rPr>
      </w:pPr>
      <w:r>
        <w:rPr>
          <w:rFonts w:ascii="Courier New" w:cs="Courier New" w:eastAsia="Courier New" w:hAnsi="Courier New"/>
          <w:sz w:val="14"/>
          <w:szCs w:val="14"/>
          <w:color w:val="auto"/>
        </w:rPr>
        <w:t>Management's Discussion and Analysis should be read in conjunction with Amdocs' consolidated financial statements. In Management's Discussion and Analysis, we analyze and explain the three month to three month changes in the specific line items in the consolidated statements of operations. Our analysis contains certain forward looking statements that involve risk and uncertainties. Our actual results could differ materially from the results reflected in these forward looking statements as they are subject to a variety of risk factors. We disclaim any obligation to update our forward looking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OVERVIEW</w:t>
      </w:r>
    </w:p>
    <w:p>
      <w:pPr>
        <w:spacing w:after="0" w:line="173"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We are a leading provider of software products and services to the communications industry, primarily Customer Care, Billing and Order Management Systems, or CC&amp;B Systems, for wireline, wireless, Internet Protocol ("IP"), data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16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We derive our revenue principally from:</w:t>
      </w:r>
    </w:p>
    <w:p>
      <w:pPr>
        <w:spacing w:after="0" w:line="173" w:lineRule="exact"/>
        <w:rPr>
          <w:sz w:val="20"/>
          <w:szCs w:val="20"/>
          <w:color w:val="auto"/>
        </w:rPr>
      </w:pPr>
    </w:p>
    <w:p>
      <w:pPr>
        <w:ind w:left="1120" w:right="3519" w:hanging="595"/>
        <w:spacing w:after="0" w:line="252" w:lineRule="auto"/>
        <w:tabs>
          <w:tab w:leader="none" w:pos="11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62" w:lineRule="exact"/>
        <w:rPr>
          <w:rFonts w:ascii="Courier New" w:cs="Courier New" w:eastAsia="Courier New" w:hAnsi="Courier New"/>
          <w:sz w:val="14"/>
          <w:szCs w:val="14"/>
          <w:color w:val="auto"/>
        </w:rPr>
      </w:pPr>
    </w:p>
    <w:p>
      <w:pPr>
        <w:ind w:left="1120" w:right="3519" w:hanging="595"/>
        <w:spacing w:after="0" w:line="252" w:lineRule="auto"/>
        <w:tabs>
          <w:tab w:leader="none" w:pos="11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other related services provided to our customers and, to a lesser degree, from incremental license fees resulting from increases in a customer's subscribers.</w:t>
      </w:r>
    </w:p>
    <w:p>
      <w:pPr>
        <w:spacing w:after="0" w:line="162"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License revenue is recognized concurrently as work is performed, using the percentage of completion method of accounting. Service revenue that involves significant ongoing obligations, including fees for customization, implementation and initial support services, is also recognized as work is performed, under the percentage of completion method of accounting. In outsourcing contracts, where the CC&amp;B Systems solution includes the operation and maintenance of customers' billing systems, revenue is recognized in the period in which the bills are produced. Revenue from ongoing support services is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recognized as work is performed. Revenue from third party hardware and software sales is recognized upon delivery. Maintenance revenue is recognized ratably over the term of the maintenance agreement. As a result of our percentage of completion accounting method, the size and timing of customer projects and our progress in completing such projects may significantly affect our quarterly operating results.</w:t>
      </w:r>
    </w:p>
    <w:p>
      <w:pPr>
        <w:spacing w:after="0" w:line="164" w:lineRule="exact"/>
        <w:rPr>
          <w:sz w:val="20"/>
          <w:szCs w:val="20"/>
          <w:color w:val="auto"/>
        </w:rPr>
      </w:pPr>
    </w:p>
    <w:p>
      <w:pPr>
        <w:ind w:right="3259" w:firstLine="1033"/>
        <w:spacing w:after="0" w:line="252" w:lineRule="auto"/>
        <w:rPr>
          <w:sz w:val="20"/>
          <w:szCs w:val="20"/>
          <w:color w:val="auto"/>
        </w:rPr>
      </w:pPr>
      <w:r>
        <w:rPr>
          <w:rFonts w:ascii="Courier New" w:cs="Courier New" w:eastAsia="Courier New" w:hAnsi="Courier New"/>
          <w:sz w:val="14"/>
          <w:szCs w:val="14"/>
          <w:color w:val="auto"/>
        </w:rPr>
        <w:t>License and service fee from the sale of CC&amp;B Systems amounted to $204.8 million and $90.4 million in the three months ended December 31, 1999 and 1998, respectively, representing 87.0% and 68.8%, respectively, of our revenue for such periods.</w:t>
      </w:r>
    </w:p>
    <w:p>
      <w:pPr>
        <w:spacing w:after="0" w:line="162" w:lineRule="exact"/>
        <w:rPr>
          <w:sz w:val="20"/>
          <w:szCs w:val="20"/>
          <w:color w:val="auto"/>
        </w:rPr>
      </w:pPr>
    </w:p>
    <w:p>
      <w:pPr>
        <w:ind w:right="3959" w:firstLine="1033"/>
        <w:spacing w:after="0" w:line="255" w:lineRule="auto"/>
        <w:rPr>
          <w:sz w:val="20"/>
          <w:szCs w:val="20"/>
          <w:color w:val="auto"/>
        </w:rPr>
      </w:pPr>
      <w:r>
        <w:rPr>
          <w:rFonts w:ascii="Courier New" w:cs="Courier New" w:eastAsia="Courier New" w:hAnsi="Courier New"/>
          <w:sz w:val="14"/>
          <w:szCs w:val="14"/>
          <w:color w:val="auto"/>
        </w:rPr>
        <w:t>We believe that the demand for CC&amp;B Systems will continue to increase due to, among other key factors:</w:t>
      </w:r>
    </w:p>
    <w:p>
      <w:pPr>
        <w:spacing w:after="0" w:line="160" w:lineRule="exact"/>
        <w:rPr>
          <w:sz w:val="20"/>
          <w:szCs w:val="20"/>
          <w:color w:val="auto"/>
        </w:rPr>
      </w:pPr>
    </w:p>
    <w:p>
      <w:pPr>
        <w:ind w:left="1220" w:hanging="695"/>
        <w:spacing w:after="0"/>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growth and globalization of the communications market,</w:t>
      </w:r>
    </w:p>
    <w:p>
      <w:pPr>
        <w:spacing w:after="0" w:line="172" w:lineRule="exact"/>
        <w:rPr>
          <w:rFonts w:ascii="Courier New" w:cs="Courier New" w:eastAsia="Courier New" w:hAnsi="Courier New"/>
          <w:sz w:val="14"/>
          <w:szCs w:val="14"/>
          <w:color w:val="auto"/>
        </w:rPr>
      </w:pPr>
    </w:p>
    <w:p>
      <w:pPr>
        <w:ind w:left="1220" w:hanging="695"/>
        <w:spacing w:after="0"/>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intensifying competition among communications carriers,</w:t>
      </w:r>
    </w:p>
    <w:p>
      <w:pPr>
        <w:spacing w:after="0" w:line="172" w:lineRule="exact"/>
        <w:rPr>
          <w:rFonts w:ascii="Courier New" w:cs="Courier New" w:eastAsia="Courier New" w:hAnsi="Courier New"/>
          <w:sz w:val="14"/>
          <w:szCs w:val="14"/>
          <w:color w:val="auto"/>
        </w:rPr>
      </w:pPr>
    </w:p>
    <w:p>
      <w:pPr>
        <w:ind w:left="1220" w:right="3259" w:hanging="695"/>
        <w:spacing w:after="0" w:line="252" w:lineRule="auto"/>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rapid technological changes, such as the introduction of wireless Internet services via WAP (Wireless Application Protocol) and GPRS (General Packet Radio Services) technology,</w:t>
      </w:r>
    </w:p>
    <w:p>
      <w:pPr>
        <w:spacing w:after="0" w:line="162" w:lineRule="exact"/>
        <w:rPr>
          <w:rFonts w:ascii="Courier New" w:cs="Courier New" w:eastAsia="Courier New" w:hAnsi="Courier New"/>
          <w:sz w:val="14"/>
          <w:szCs w:val="14"/>
          <w:color w:val="auto"/>
        </w:rPr>
      </w:pPr>
    </w:p>
    <w:p>
      <w:pPr>
        <w:ind w:left="1220" w:hanging="695"/>
        <w:spacing w:after="0"/>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proliferation of new communications products and services, and</w:t>
      </w:r>
    </w:p>
    <w:p>
      <w:pPr>
        <w:spacing w:after="0" w:line="172" w:lineRule="exact"/>
        <w:rPr>
          <w:rFonts w:ascii="Courier New" w:cs="Courier New" w:eastAsia="Courier New" w:hAnsi="Courier New"/>
          <w:sz w:val="14"/>
          <w:szCs w:val="14"/>
          <w:color w:val="auto"/>
        </w:rPr>
      </w:pPr>
    </w:p>
    <w:p>
      <w:pPr>
        <w:ind w:left="1220" w:right="4119" w:hanging="695"/>
        <w:spacing w:after="0" w:line="255" w:lineRule="auto"/>
        <w:tabs>
          <w:tab w:leader="none" w:pos="12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 and outsourcing.</w:t>
      </w:r>
    </w:p>
    <w:p>
      <w:pPr>
        <w:spacing w:after="0" w:line="160" w:lineRule="exact"/>
        <w:rPr>
          <w:sz w:val="20"/>
          <w:szCs w:val="20"/>
          <w:color w:val="auto"/>
        </w:rPr>
      </w:pPr>
    </w:p>
    <w:p>
      <w:pPr>
        <w:ind w:right="3339" w:firstLine="1033"/>
        <w:spacing w:after="0" w:line="251" w:lineRule="auto"/>
        <w:rPr>
          <w:sz w:val="20"/>
          <w:szCs w:val="20"/>
          <w:color w:val="auto"/>
        </w:rPr>
      </w:pPr>
      <w:r>
        <w:rPr>
          <w:rFonts w:ascii="Courier New" w:cs="Courier New" w:eastAsia="Courier New" w:hAnsi="Courier New"/>
          <w:sz w:val="14"/>
          <w:szCs w:val="14"/>
          <w:color w:val="auto"/>
        </w:rPr>
        <w:t>We also believe that a key driver of demand is the continuing trend for network operators and service providers to offer to their subscribers multiple service packages, commonly referred to as convergent services (combinations of local, long distance, international, mobile, cable television, IP, data and electronic commerce).</w:t>
      </w:r>
    </w:p>
    <w:p>
      <w:pPr>
        <w:spacing w:after="0" w:line="164" w:lineRule="exact"/>
        <w:rPr>
          <w:sz w:val="20"/>
          <w:szCs w:val="20"/>
          <w:color w:val="auto"/>
        </w:rPr>
      </w:pPr>
    </w:p>
    <w:p>
      <w:pPr>
        <w:ind w:right="3259" w:firstLine="1033"/>
        <w:spacing w:after="0" w:line="255" w:lineRule="auto"/>
        <w:rPr>
          <w:sz w:val="20"/>
          <w:szCs w:val="20"/>
          <w:color w:val="auto"/>
        </w:rPr>
      </w:pPr>
      <w:r>
        <w:rPr>
          <w:rFonts w:ascii="Courier New" w:cs="Courier New" w:eastAsia="Courier New" w:hAnsi="Courier New"/>
          <w:sz w:val="14"/>
          <w:szCs w:val="14"/>
          <w:color w:val="auto"/>
        </w:rPr>
        <w:t>As a result of these developments, we believe that CC&amp;B Systems will continue to account for the largest share of our total revenue.</w:t>
      </w:r>
    </w:p>
    <w:p>
      <w:pPr>
        <w:spacing w:after="0" w:line="160" w:lineRule="exact"/>
        <w:rPr>
          <w:sz w:val="20"/>
          <w:szCs w:val="20"/>
          <w:color w:val="auto"/>
        </w:rPr>
      </w:pPr>
    </w:p>
    <w:p>
      <w:pPr>
        <w:ind w:right="3259" w:firstLine="1033"/>
        <w:spacing w:after="0" w:line="252" w:lineRule="auto"/>
        <w:rPr>
          <w:sz w:val="20"/>
          <w:szCs w:val="20"/>
          <w:color w:val="auto"/>
        </w:rPr>
      </w:pPr>
      <w:r>
        <w:rPr>
          <w:rFonts w:ascii="Courier New" w:cs="Courier New" w:eastAsia="Courier New" w:hAnsi="Courier New"/>
          <w:sz w:val="14"/>
          <w:szCs w:val="14"/>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that we serve.</w:t>
      </w:r>
    </w:p>
    <w:p>
      <w:pPr>
        <w:spacing w:after="0" w:line="162" w:lineRule="exact"/>
        <w:rPr>
          <w:sz w:val="20"/>
          <w:szCs w:val="20"/>
          <w:color w:val="auto"/>
        </w:rPr>
      </w:pPr>
    </w:p>
    <w:p>
      <w:pPr>
        <w:ind w:left="1120" w:right="3339" w:hanging="595"/>
        <w:spacing w:after="0" w:line="252" w:lineRule="auto"/>
        <w:tabs>
          <w:tab w:leader="none" w:pos="11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License and service fee revenue from the sale of Directory Systems totaled $30.7 million and $41.0 million in the three months ended December 31, 1999 and 1998, respectively, accounting for 13.0% and 31.2%, respectively, of our revenue for such periods.</w:t>
      </w:r>
    </w:p>
    <w:p>
      <w:pPr>
        <w:spacing w:after="0" w:line="162"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We anticipate that over the next several years revenue will continue to grow from our Directory Systems offerings. However, we anticipate that the relative contribution to our total revenue of license and service fees from Directory Systems will decrease over time.</w:t>
      </w:r>
    </w:p>
    <w:p>
      <w:pPr>
        <w:spacing w:after="0" w:line="164" w:lineRule="exact"/>
        <w:rPr>
          <w:sz w:val="20"/>
          <w:szCs w:val="20"/>
          <w:color w:val="auto"/>
        </w:rPr>
      </w:pPr>
    </w:p>
    <w:p>
      <w:pPr>
        <w:ind w:right="3259" w:firstLine="1033"/>
        <w:spacing w:after="0" w:line="250"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product development program. We also expend additional amounts on applied research and software development activities to keep abreast of new technologies in the communications market. Research and development expenditures amounted to $15.0 million and $8.4 million in the three months ended December 31, 1999 and 1998, respectively, representing 6.4% of our revenue in both these periods. In the next several years, we intend to continue to make substantial investments in our research and development and anticipate a significant increase in absolute dollar terms in research and development expenditures for fiscal 2000. As a percentage of our expected revenue for this period, we believe that our research and development expenditures will increase only modestly. Approximately $25.0 million of this increased budget is expected to result from significant investments in research and development in the IP systems area.</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right="3880" w:firstLine="1033"/>
        <w:spacing w:after="0" w:line="250" w:lineRule="auto"/>
        <w:rPr>
          <w:sz w:val="20"/>
          <w:szCs w:val="20"/>
          <w:color w:val="auto"/>
        </w:rPr>
      </w:pPr>
      <w:r>
        <w:rPr>
          <w:rFonts w:ascii="Courier New" w:cs="Courier New" w:eastAsia="Courier New" w:hAnsi="Courier New"/>
          <w:sz w:val="14"/>
          <w:szCs w:val="14"/>
          <w:color w:val="auto"/>
        </w:rPr>
        <w:t>On November 30, 1999, we completed the purchase of International Telecommunication Data Systems, Inc. ("ITDS"), in a stock-for-stock transaction. ITDS is a leading provider of billing and customer care service bureau solutions to wireless communication service providers. This acquisition is expected to expand the scope of our CC&amp;B Systems offering and further establish our leadership in providing total solutions to the communications industry. We issued 6,450,714 ordinary shares and 1,102,955 options for ordinary shares in connection with the consummation of the transaction. The total purchase price of $188.7 million, based on a per share price of $28.25 for our ordinary shares, includes issuance of ordinary shares, options and transaction costs. The acquisition was accounted for using the purchase method of accounting. The fair market value of ITDS' assets and liabilities has been included in our balance sheet as of December 31, 1999. An acquired technology valuation, which was determined by an independent appraiser, included both existing technology and in-process research and development ("in-process R&amp;D"). The valuation of these items was made by applying the income forecast method which considers the present value of cash flows by product lines. The fair value of existing technology products was valued at $12.3 million and is being amortized over five years. In-process R&amp;D, valued at $19.9 million, was charged to expense immediately following the completion of the acquisition as this technology had not reached technological feasibility and has no alternative use. Additional development, coding and testing efforts will be required before technological feasibility can be determined. The fair value of customer lists was valued at $0.6 million and the fair value of workforce in place was valued at $5.4 million, both of which are being amortized over five years. The excess of the purchase price over the net assets acquired, or goodwill, of $70.8 million is being amortized over 15 years.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060" w:firstLine="1033"/>
        <w:spacing w:after="0" w:line="252" w:lineRule="auto"/>
        <w:rPr>
          <w:sz w:val="20"/>
          <w:szCs w:val="20"/>
          <w:color w:val="auto"/>
        </w:rPr>
      </w:pPr>
      <w:r>
        <w:rPr>
          <w:rFonts w:ascii="Courier New" w:cs="Courier New" w:eastAsia="Courier New" w:hAnsi="Courier New"/>
          <w:sz w:val="14"/>
          <w:szCs w:val="14"/>
          <w:color w:val="auto"/>
        </w:rPr>
        <w:t>The following table sets forth for the three months ended December 31, 1999 and 1998, certain items in our consolidated statements of operations reflected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4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1999</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Revenue:</w:t>
            </w:r>
          </w:p>
        </w:tc>
        <w:tc>
          <w:tcPr>
            <w:tcW w:w="10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66"/>
        </w:trPr>
        <w:tc>
          <w:tcPr>
            <w:tcW w:w="380" w:type="dxa"/>
            <w:vAlign w:val="bottom"/>
          </w:tcPr>
          <w:p>
            <w:pPr>
              <w:spacing w:after="0"/>
              <w:rPr>
                <w:sz w:val="14"/>
                <w:szCs w:val="1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4"/>
                <w:szCs w:val="14"/>
                <w:color w:val="auto"/>
              </w:rPr>
              <w:t>License</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380" w:type="dxa"/>
            <w:vAlign w:val="bottom"/>
          </w:tcPr>
          <w:p>
            <w:pPr>
              <w:spacing w:after="0"/>
              <w:rPr>
                <w:sz w:val="14"/>
                <w:szCs w:val="1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4"/>
                <w:szCs w:val="14"/>
                <w:color w:val="auto"/>
              </w:rPr>
              <w:t>Service</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88.7</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88.6</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Operating expenses:</w:t>
            </w:r>
          </w:p>
        </w:tc>
        <w:tc>
          <w:tcPr>
            <w:tcW w:w="108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4"/>
                <w:szCs w:val="14"/>
                <w:color w:val="auto"/>
              </w:rPr>
              <w:t>Cost of license</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0.5</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380" w:type="dxa"/>
            <w:vAlign w:val="bottom"/>
          </w:tcPr>
          <w:p>
            <w:pPr>
              <w:spacing w:after="0"/>
              <w:rPr>
                <w:sz w:val="14"/>
                <w:szCs w:val="1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4"/>
                <w:szCs w:val="14"/>
                <w:color w:val="auto"/>
              </w:rPr>
              <w:t>Cost of service</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59.0</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57.8</w:t>
            </w:r>
          </w:p>
        </w:tc>
      </w:tr>
      <w:tr>
        <w:trPr>
          <w:trHeight w:val="166"/>
        </w:trPr>
        <w:tc>
          <w:tcPr>
            <w:tcW w:w="380" w:type="dxa"/>
            <w:vAlign w:val="bottom"/>
          </w:tcPr>
          <w:p>
            <w:pPr>
              <w:spacing w:after="0"/>
              <w:rPr>
                <w:sz w:val="14"/>
                <w:szCs w:val="1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4"/>
                <w:szCs w:val="14"/>
                <w:color w:val="auto"/>
              </w:rPr>
              <w:t>Research and development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6.4</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r>
      <w:tr>
        <w:trPr>
          <w:trHeight w:val="166"/>
        </w:trPr>
        <w:tc>
          <w:tcPr>
            <w:tcW w:w="380" w:type="dxa"/>
            <w:vAlign w:val="bottom"/>
          </w:tcPr>
          <w:p>
            <w:pPr>
              <w:spacing w:after="0"/>
              <w:rPr>
                <w:sz w:val="14"/>
                <w:szCs w:val="1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4"/>
                <w:szCs w:val="14"/>
                <w:color w:val="auto"/>
              </w:rPr>
              <w:t>Selling, general and administrative</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380" w:type="dxa"/>
            <w:vAlign w:val="bottom"/>
          </w:tcPr>
          <w:p>
            <w:pPr>
              <w:spacing w:after="0"/>
              <w:rPr>
                <w:sz w:val="14"/>
                <w:szCs w:val="14"/>
                <w:color w:val="auto"/>
              </w:rPr>
            </w:pPr>
          </w:p>
        </w:tc>
        <w:tc>
          <w:tcPr>
            <w:tcW w:w="5680" w:type="dxa"/>
            <w:vAlign w:val="bottom"/>
          </w:tcPr>
          <w:p>
            <w:pPr>
              <w:ind w:left="140"/>
              <w:spacing w:after="0"/>
              <w:rPr>
                <w:sz w:val="20"/>
                <w:szCs w:val="20"/>
                <w:color w:val="auto"/>
              </w:rPr>
            </w:pPr>
            <w:r>
              <w:rPr>
                <w:rFonts w:ascii="Courier New" w:cs="Courier New" w:eastAsia="Courier New" w:hAnsi="Courier New"/>
                <w:sz w:val="14"/>
                <w:szCs w:val="14"/>
                <w:color w:val="auto"/>
              </w:rPr>
              <w:t>In-process research and development expenses</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w:t>
            </w:r>
          </w:p>
        </w:tc>
        <w:tc>
          <w:tcPr>
            <w:tcW w:w="2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86.0</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77.1</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 net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Income taxes</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60" w:type="dxa"/>
            <w:vAlign w:val="bottom"/>
            <w:gridSpan w:val="2"/>
          </w:tcPr>
          <w:p>
            <w:pPr>
              <w:spacing w:after="0"/>
              <w:rPr>
                <w:sz w:val="20"/>
                <w:szCs w:val="20"/>
                <w:color w:val="auto"/>
              </w:rPr>
            </w:pPr>
            <w:r>
              <w:rPr>
                <w:rFonts w:ascii="Courier New" w:cs="Courier New" w:eastAsia="Courier New" w:hAnsi="Courier New"/>
                <w:sz w:val="14"/>
                <w:szCs w:val="14"/>
                <w:color w:val="auto"/>
              </w:rPr>
              <w:t>Net income (*)</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166"/>
        </w:trPr>
        <w:tc>
          <w:tcPr>
            <w:tcW w:w="3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80" w:type="dxa"/>
            <w:vAlign w:val="bottom"/>
          </w:tcPr>
          <w:p>
            <w:pPr>
              <w:ind w:left="560"/>
              <w:spacing w:after="0"/>
              <w:rPr>
                <w:sz w:val="20"/>
                <w:szCs w:val="20"/>
                <w:color w:val="auto"/>
              </w:rPr>
            </w:pPr>
            <w:r>
              <w:rPr>
                <w:rFonts w:ascii="Courier New" w:cs="Courier New" w:eastAsia="Courier New" w:hAnsi="Courier New"/>
                <w:sz w:val="14"/>
                <w:szCs w:val="14"/>
                <w:color w:val="auto"/>
              </w:rPr>
              <w:t>Excluding the one-time charge of write-off of in-process</w:t>
            </w:r>
          </w:p>
        </w:tc>
        <w:tc>
          <w:tcPr>
            <w:tcW w:w="10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166"/>
        </w:trPr>
        <w:tc>
          <w:tcPr>
            <w:tcW w:w="380" w:type="dxa"/>
            <w:vAlign w:val="bottom"/>
          </w:tcPr>
          <w:p>
            <w:pPr>
              <w:spacing w:after="0"/>
              <w:rPr>
                <w:sz w:val="14"/>
                <w:szCs w:val="14"/>
                <w:color w:val="auto"/>
              </w:rPr>
            </w:pPr>
          </w:p>
        </w:tc>
        <w:tc>
          <w:tcPr>
            <w:tcW w:w="5680" w:type="dxa"/>
            <w:vAlign w:val="bottom"/>
          </w:tcPr>
          <w:p>
            <w:pPr>
              <w:ind w:left="560"/>
              <w:spacing w:after="0"/>
              <w:rPr>
                <w:sz w:val="20"/>
                <w:szCs w:val="20"/>
                <w:color w:val="auto"/>
              </w:rPr>
            </w:pPr>
            <w:r>
              <w:rPr>
                <w:rFonts w:ascii="Courier New" w:cs="Courier New" w:eastAsia="Courier New" w:hAnsi="Courier New"/>
                <w:sz w:val="14"/>
                <w:szCs w:val="14"/>
                <w:color w:val="auto"/>
              </w:rPr>
              <w:t>R&amp;D expenses related to the ITDS transaction, operating</w:t>
            </w:r>
          </w:p>
        </w:tc>
        <w:tc>
          <w:tcPr>
            <w:tcW w:w="108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680" w:type="dxa"/>
            <w:vAlign w:val="bottom"/>
          </w:tcPr>
          <w:p>
            <w:pPr>
              <w:ind w:left="560"/>
              <w:spacing w:after="0"/>
              <w:rPr>
                <w:sz w:val="20"/>
                <w:szCs w:val="20"/>
                <w:color w:val="auto"/>
              </w:rPr>
            </w:pPr>
            <w:r>
              <w:rPr>
                <w:rFonts w:ascii="Courier New" w:cs="Courier New" w:eastAsia="Courier New" w:hAnsi="Courier New"/>
                <w:sz w:val="14"/>
                <w:szCs w:val="14"/>
                <w:color w:val="auto"/>
              </w:rPr>
              <w:t>income and net income for the three months ended December</w:t>
            </w:r>
          </w:p>
        </w:tc>
        <w:tc>
          <w:tcPr>
            <w:tcW w:w="108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680" w:type="dxa"/>
            <w:vAlign w:val="bottom"/>
          </w:tcPr>
          <w:p>
            <w:pPr>
              <w:ind w:left="560"/>
              <w:spacing w:after="0"/>
              <w:rPr>
                <w:sz w:val="20"/>
                <w:szCs w:val="20"/>
                <w:color w:val="auto"/>
              </w:rPr>
            </w:pPr>
            <w:r>
              <w:rPr>
                <w:rFonts w:ascii="Courier New" w:cs="Courier New" w:eastAsia="Courier New" w:hAnsi="Courier New"/>
                <w:sz w:val="14"/>
                <w:szCs w:val="14"/>
                <w:color w:val="auto"/>
              </w:rPr>
              <w:t>31, 1999 are 22.4% and 15.7%, respectively, of total</w:t>
            </w:r>
          </w:p>
        </w:tc>
        <w:tc>
          <w:tcPr>
            <w:tcW w:w="108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5680" w:type="dxa"/>
            <w:vAlign w:val="bottom"/>
          </w:tcPr>
          <w:p>
            <w:pPr>
              <w:ind w:left="560"/>
              <w:spacing w:after="0"/>
              <w:rPr>
                <w:sz w:val="20"/>
                <w:szCs w:val="20"/>
                <w:color w:val="auto"/>
              </w:rPr>
            </w:pPr>
            <w:r>
              <w:rPr>
                <w:rFonts w:ascii="Courier New" w:cs="Courier New" w:eastAsia="Courier New" w:hAnsi="Courier New"/>
                <w:sz w:val="14"/>
                <w:szCs w:val="14"/>
                <w:color w:val="auto"/>
              </w:rPr>
              <w:t>revenue.</w:t>
            </w:r>
          </w:p>
        </w:tc>
        <w:tc>
          <w:tcPr>
            <w:tcW w:w="108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662"/>
        </w:trPr>
        <w:tc>
          <w:tcPr>
            <w:tcW w:w="380" w:type="dxa"/>
            <w:vAlign w:val="bottom"/>
          </w:tcPr>
          <w:p>
            <w:pPr>
              <w:spacing w:after="0"/>
              <w:rPr>
                <w:sz w:val="24"/>
                <w:szCs w:val="24"/>
                <w:color w:val="auto"/>
              </w:rPr>
            </w:pPr>
          </w:p>
        </w:tc>
        <w:tc>
          <w:tcPr>
            <w:tcW w:w="5680" w:type="dxa"/>
            <w:vAlign w:val="bottom"/>
          </w:tcPr>
          <w:p>
            <w:pPr>
              <w:ind w:left="2280"/>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0780"/>
          </w:cols>
          <w:pgMar w:left="300" w:top="285" w:right="81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Three Months Ended December 31, 1999 and 1998</w:t>
      </w:r>
    </w:p>
    <w:p>
      <w:pPr>
        <w:spacing w:after="0" w:line="173" w:lineRule="exact"/>
        <w:rPr>
          <w:sz w:val="20"/>
          <w:szCs w:val="20"/>
          <w:color w:val="auto"/>
        </w:rPr>
      </w:pPr>
    </w:p>
    <w:p>
      <w:pPr>
        <w:ind w:right="3259" w:firstLine="1033"/>
        <w:spacing w:after="0" w:line="250" w:lineRule="auto"/>
        <w:rPr>
          <w:sz w:val="20"/>
          <w:szCs w:val="20"/>
          <w:color w:val="auto"/>
        </w:rPr>
      </w:pPr>
      <w:r>
        <w:rPr>
          <w:rFonts w:ascii="Courier New" w:cs="Courier New" w:eastAsia="Courier New" w:hAnsi="Courier New"/>
          <w:sz w:val="14"/>
          <w:szCs w:val="14"/>
          <w:color w:val="auto"/>
        </w:rPr>
        <w:t>REVENUE. Revenue for the three months ended December 31, 1999 was $235.5 million, an increase of $104.1 million, or 79.2%, compared to the three months ended December 31, 1998, primarily due to the continuance of the growth in the demand for our CC&amp;B Systems solutions. License revenue increased from $15.0 million in the three months ended December 31, 1998 to $26.5 million during the three months ended December 31, 1999, an increase of 76.2%, and service revenue increased 79.6% in the three months ended December 31, 1999 from $116.4 million in the three months ended December 31, 1998 to $209.0 million in the three months ended December 31, 1999. Total CC&amp;B Systems revenue for the three months ended December 31, 1999 was $204.8 million, an increase of $114.4 million, or 126.6%, compared to the three months ended December 31, 1998. Revenue from Directory Systems was $30.7 million for the three months ended December 31, 1999, a decrease of $10.4 million, or 25.3%, from the three months ended December 31, 1998.</w:t>
      </w:r>
    </w:p>
    <w:p>
      <w:pPr>
        <w:spacing w:after="0" w:line="336" w:lineRule="exact"/>
        <w:rPr>
          <w:sz w:val="20"/>
          <w:szCs w:val="20"/>
          <w:color w:val="auto"/>
        </w:rPr>
      </w:pPr>
    </w:p>
    <w:p>
      <w:pPr>
        <w:ind w:right="3259" w:firstLine="1033"/>
        <w:spacing w:after="0" w:line="252" w:lineRule="auto"/>
        <w:rPr>
          <w:sz w:val="20"/>
          <w:szCs w:val="20"/>
          <w:color w:val="auto"/>
        </w:rPr>
      </w:pPr>
      <w:r>
        <w:rPr>
          <w:rFonts w:ascii="Courier New" w:cs="Courier New" w:eastAsia="Courier New" w:hAnsi="Courier New"/>
          <w:sz w:val="14"/>
          <w:szCs w:val="14"/>
          <w:color w:val="auto"/>
        </w:rPr>
        <w:t>The results of ITDS' operations, included in our consolidated statement of operations commencing December 1, 1999, had an insignificant impact on our revenue for the three-months ended December 31, 1999.</w:t>
      </w:r>
    </w:p>
    <w:p>
      <w:pPr>
        <w:spacing w:after="0" w:line="163" w:lineRule="exact"/>
        <w:rPr>
          <w:sz w:val="20"/>
          <w:szCs w:val="20"/>
          <w:color w:val="auto"/>
        </w:rPr>
      </w:pPr>
    </w:p>
    <w:p>
      <w:pPr>
        <w:ind w:right="3339" w:firstLine="1033"/>
        <w:spacing w:after="0" w:line="251" w:lineRule="auto"/>
        <w:rPr>
          <w:sz w:val="20"/>
          <w:szCs w:val="20"/>
          <w:color w:val="auto"/>
        </w:rPr>
      </w:pPr>
      <w:r>
        <w:rPr>
          <w:rFonts w:ascii="Courier New" w:cs="Courier New" w:eastAsia="Courier New" w:hAnsi="Courier New"/>
          <w:sz w:val="14"/>
          <w:szCs w:val="14"/>
          <w:color w:val="auto"/>
        </w:rPr>
        <w:t>In the three months ended December 31, 1999, revenue from customers in Europe, North America and the rest of the world accounted for 44.0%, 39.2% and 16.8%, respectively, compared to 38.0%, 44.1% and 17.9% respectively, for the three months ended December 31, 1998. The growth in revenue from customers in Europe was primarily attributable to increased competition among communications companies within and continued deregulation of the European market.</w:t>
      </w:r>
    </w:p>
    <w:p>
      <w:pPr>
        <w:spacing w:after="0" w:line="330"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COST OF LICENSE. Cost of license for the three months ended December 31, 1999 was $1.2 million, a decrease of $0.2 million, or 11.3%, from cost of license for the three months ended December 31, 1998. Cost of license includes amortization of purchased computer software and intellectual property rights. The decrease in cost of license for the three months ended December 31, 1999 was attributable primarily to decreases in the required amorization of purchased computer software.</w:t>
      </w:r>
    </w:p>
    <w:p>
      <w:pPr>
        <w:spacing w:after="0" w:line="164"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COST OF SERVICE. Cost of service for the three months ended December 31, 1999 was $139.0 million, an increase of $63.1 million, or 83.1%, from cost of service of $75.9 million for the three months ended December 31, 1998. As a percentage of revenue, cost of service increased to 59.0% in the three months ended December 31, 1999 from 57.8% in the three months ended December 31, 1998. The increase in cost of service is consistent with the increase in revenue for the three months ended December 31, 1999, and reflects increased employment levels required to support the continuing growth in revenue.</w:t>
      </w:r>
    </w:p>
    <w:p>
      <w:pPr>
        <w:spacing w:after="0" w:line="163"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RESEARCH AND DEVELOPMENT. Research and development expense was primarily comprised of compensation expense attributed to research and development activities, either in conjunction with customer projects or as part of our product development program. In the three months ended December 31, 1999, research and development expense was $15.0 million, or 6.4% of revenue, compared with $8.4 million, or 6.4% of revenue, in the three months ended December 31, 1998. The absolute increase in research and development expense represents ongoing expenditures primarily for CC&amp;B Systems and also for Directory Systems.</w:t>
      </w:r>
    </w:p>
    <w:p>
      <w:pPr>
        <w:spacing w:after="0" w:line="163"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was primarily comprised of compensation expense and increased by 76.3% to $27.6 million, or 11.7% of revenue, in the three months ended December 31, 1999 from $15.6 million, or 11.9% of revenue, in the three months ended December 31, 1998. The absolute increase in selling, general and administrative expense is in line with the increase in our revenue for the three months ended December 31, 1999.</w:t>
      </w:r>
    </w:p>
    <w:p>
      <w:pPr>
        <w:spacing w:after="0" w:line="164" w:lineRule="exact"/>
        <w:rPr>
          <w:sz w:val="20"/>
          <w:szCs w:val="20"/>
          <w:color w:val="auto"/>
        </w:rPr>
      </w:pPr>
    </w:p>
    <w:p>
      <w:pPr>
        <w:ind w:right="3439" w:firstLine="1033"/>
        <w:spacing w:after="0" w:line="252" w:lineRule="auto"/>
        <w:rPr>
          <w:sz w:val="20"/>
          <w:szCs w:val="20"/>
          <w:color w:val="auto"/>
        </w:rPr>
      </w:pPr>
      <w:r>
        <w:rPr>
          <w:rFonts w:ascii="Courier New" w:cs="Courier New" w:eastAsia="Courier New" w:hAnsi="Courier New"/>
          <w:sz w:val="14"/>
          <w:szCs w:val="14"/>
          <w:color w:val="auto"/>
        </w:rPr>
        <w:t>IN-PROCESS RESEARCH AND DEVELOPMENT EXPENSES. In-process R&amp;D expenses in the three months ended December 31, 1999 consisted of a one-time, non-cash charge of $19.9 million for the write-off of in-process R&amp;D resulting from our acquisition of ITDS completed on November 30, 1999.</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14</w:t>
      </w:r>
    </w:p>
    <w:p>
      <w:pPr>
        <w:spacing w:after="0" w:line="173" w:lineRule="exact"/>
        <w:rPr>
          <w:sz w:val="20"/>
          <w:szCs w:val="20"/>
          <w:color w:val="auto"/>
        </w:rPr>
      </w:pPr>
    </w:p>
    <w:p>
      <w:pPr>
        <w:ind w:right="3339" w:firstLine="1033"/>
        <w:spacing w:after="0" w:line="251" w:lineRule="auto"/>
        <w:rPr>
          <w:sz w:val="20"/>
          <w:szCs w:val="20"/>
          <w:color w:val="auto"/>
        </w:rPr>
      </w:pPr>
      <w:r>
        <w:rPr>
          <w:rFonts w:ascii="Courier New" w:cs="Courier New" w:eastAsia="Courier New" w:hAnsi="Courier New"/>
          <w:sz w:val="14"/>
          <w:szCs w:val="14"/>
          <w:color w:val="auto"/>
        </w:rPr>
        <w:t>OPERATING INCOME. Operating income in the three months ended December 31, 1999, excluding the one-time charge related to the acquisition of ITDS, was $52.7 million, as compared with $30.2 million in the three months ended December 31, 1998, an increase of 74.8% primarily due to an increase in profit margin on license revenue. Actual operating income decreased to 14.0% of revenue for the three months ended December 31, 1999 as compared to 22.9% for the three months ended December 31, 1998, primarily due to the one-time charge related to the acquisition of ITDS. The results of the ITDS transaction had an insignificant impact on our overall operating income.</w:t>
      </w:r>
    </w:p>
    <w:p>
      <w:pPr>
        <w:spacing w:after="0" w:line="163" w:lineRule="exact"/>
        <w:rPr>
          <w:sz w:val="20"/>
          <w:szCs w:val="20"/>
          <w:color w:val="auto"/>
        </w:rPr>
      </w:pPr>
    </w:p>
    <w:p>
      <w:pPr>
        <w:ind w:right="3339" w:firstLine="1033"/>
        <w:spacing w:after="0" w:line="251" w:lineRule="auto"/>
        <w:rPr>
          <w:sz w:val="20"/>
          <w:szCs w:val="20"/>
          <w:color w:val="auto"/>
        </w:rPr>
      </w:pPr>
      <w:r>
        <w:rPr>
          <w:rFonts w:ascii="Courier New" w:cs="Courier New" w:eastAsia="Courier New" w:hAnsi="Courier New"/>
          <w:sz w:val="14"/>
          <w:szCs w:val="14"/>
          <w:color w:val="auto"/>
        </w:rPr>
        <w:t>OTHER INCOME (EXPENSE), NET. In the three months ended December 31, 1999, other income, net was $0.3 million, an increase of $1.7 million from the three months ended December 31, 1998. The increase in other income, net, is primarily attributed to the reduction in debt through the use of cash from operations and interest from accumulating cash equivalents and short-term interest-bearing investments.</w:t>
      </w:r>
    </w:p>
    <w:p>
      <w:pPr>
        <w:spacing w:after="0" w:line="164" w:lineRule="exact"/>
        <w:rPr>
          <w:sz w:val="20"/>
          <w:szCs w:val="20"/>
          <w:color w:val="auto"/>
        </w:rPr>
      </w:pPr>
    </w:p>
    <w:p>
      <w:pPr>
        <w:ind w:right="3339" w:firstLine="1033"/>
        <w:spacing w:after="0" w:line="251" w:lineRule="auto"/>
        <w:rPr>
          <w:sz w:val="20"/>
          <w:szCs w:val="20"/>
          <w:color w:val="auto"/>
        </w:rPr>
      </w:pPr>
      <w:r>
        <w:rPr>
          <w:rFonts w:ascii="Courier New" w:cs="Courier New" w:eastAsia="Courier New" w:hAnsi="Courier New"/>
          <w:sz w:val="14"/>
          <w:szCs w:val="14"/>
          <w:color w:val="auto"/>
        </w:rPr>
        <w:t>INCOME TAXES. Income taxes in the three months ended December 31, 1999 were $15.9 million on income before taxes of $33.2 million. In the three months ended December 31, 1998, income taxes were $8.6 million on income before taxes of $28.8 million. In the three months ended December 31, 1999, the effective tax rate was 48%, resulting from the one-time charge related to the acquisition of ITDS, which is not tax deductible. The effective tax rate excluding the one-time charge of ITDS for the three months ended December 31, 1999, is 30%. See discussion below - "Effective Tax Rate".</w:t>
      </w:r>
    </w:p>
    <w:p>
      <w:pPr>
        <w:spacing w:after="0" w:line="163"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NET INCOME. Net income in the three months ended December 31, 1999 increased by 84.5% from the three months ended December 31, 1998, reaching $37.2 million, or $0.18 per diluted share, excluding the one-time charge related to the acquisition of ITDS. Actual net income for the three months ended December 31, 1999 was $17.3 million, or $0.08 per diluted share, compared to $20.1 million, or $0.10 per diluted share, in the three months ended December 31, 1998.</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Financing Transactions</w:t>
      </w:r>
    </w:p>
    <w:p>
      <w:pPr>
        <w:spacing w:after="0" w:line="173" w:lineRule="exact"/>
        <w:rPr>
          <w:sz w:val="20"/>
          <w:szCs w:val="20"/>
          <w:color w:val="auto"/>
        </w:rPr>
      </w:pPr>
    </w:p>
    <w:p>
      <w:pPr>
        <w:ind w:right="3259" w:firstLine="1033"/>
        <w:spacing w:after="0" w:line="250" w:lineRule="auto"/>
        <w:rPr>
          <w:sz w:val="20"/>
          <w:szCs w:val="20"/>
          <w:color w:val="auto"/>
        </w:rPr>
      </w:pPr>
      <w:r>
        <w:rPr>
          <w:rFonts w:ascii="Courier New" w:cs="Courier New" w:eastAsia="Courier New" w:hAnsi="Courier New"/>
          <w:sz w:val="14"/>
          <w:szCs w:val="14"/>
          <w:color w:val="auto"/>
        </w:rPr>
        <w:t>We have primarily financed our operations through cash generated from operations and borrowings from banks and other lenders. Cash and cash equivalents totaled $165.8 million as of December 31, 1999 compared to $85.2 million as of September 30, 1999. The increase in cash and cash equivalents as of December 31, 1999 is attributable primarily to cash flows from operations and the $31.9 million of cash we acquired in the ITDS transaction. Net cash provided by operating activities amounted to $74.2 million and $17.9 million for the three months ended December 31, 1999 and 1998, respectively. A significant portion of our cash flow from operations during the three months ended December 31, 1999 was used to invest in cash equivalents and short-term interest-bearing investments. We currently intend to retain our future earnings to support the further expansion of our business.</w:t>
      </w:r>
    </w:p>
    <w:p>
      <w:pPr>
        <w:spacing w:after="0" w:line="170" w:lineRule="exact"/>
        <w:rPr>
          <w:sz w:val="20"/>
          <w:szCs w:val="20"/>
          <w:color w:val="auto"/>
        </w:rPr>
      </w:pPr>
    </w:p>
    <w:p>
      <w:pPr>
        <w:ind w:right="3339" w:firstLine="1033"/>
        <w:spacing w:after="0" w:line="252" w:lineRule="auto"/>
        <w:rPr>
          <w:sz w:val="20"/>
          <w:szCs w:val="20"/>
          <w:color w:val="auto"/>
        </w:rPr>
      </w:pPr>
      <w:r>
        <w:rPr>
          <w:rFonts w:ascii="Courier New" w:cs="Courier New" w:eastAsia="Courier New" w:hAnsi="Courier New"/>
          <w:sz w:val="14"/>
          <w:szCs w:val="14"/>
          <w:color w:val="auto"/>
        </w:rPr>
        <w:t>As of December 31, 1999, we had short-term lines of credit totaling $152.0 million from various banks or bank groups, of which $11.7 million was outstanding. As of that date, we also had utilized approximately $16.4 million of a revolving credit facility to support outstanding bank guarantees.</w:t>
      </w:r>
    </w:p>
    <w:p>
      <w:pPr>
        <w:spacing w:after="0" w:line="162"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As of December 31, 1999, we had positive working capital of $145.7 million as compared to positive working capital of $35.9 million as of September 30, 1999. The increase in working capital is primarily attributed to cash generated from operating activities and to the cash obtained from the acquisition of ITDS. We believe that current cash balances, cash generated from operations and our current lines of credit will provide sufficient resources to meet our needs in the near future.</w:t>
      </w:r>
    </w:p>
    <w:p>
      <w:pPr>
        <w:spacing w:after="0" w:line="164"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As of December 31, 1999, we had long-term obligations outstanding of $22.7 million in connection with leasing arrangements. Currently, our capital expenditures, consisting primarily of computer equipment and vehicles, are funded principally by operating cash flows and capital leasing arrangements. We do not anticipate any change to this policy in the foreseeable future.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5"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Net Deferred Tax Assets</w:t>
      </w:r>
    </w:p>
    <w:p>
      <w:pPr>
        <w:spacing w:after="0" w:line="173" w:lineRule="exact"/>
        <w:rPr>
          <w:sz w:val="20"/>
          <w:szCs w:val="20"/>
          <w:color w:val="auto"/>
        </w:rPr>
      </w:pPr>
    </w:p>
    <w:p>
      <w:pPr>
        <w:ind w:right="3259" w:firstLine="1033"/>
        <w:spacing w:after="0" w:line="252" w:lineRule="auto"/>
        <w:rPr>
          <w:sz w:val="20"/>
          <w:szCs w:val="20"/>
          <w:color w:val="auto"/>
        </w:rPr>
      </w:pPr>
      <w:r>
        <w:rPr>
          <w:rFonts w:ascii="Courier New" w:cs="Courier New" w:eastAsia="Courier New" w:hAnsi="Courier New"/>
          <w:sz w:val="14"/>
          <w:szCs w:val="14"/>
          <w:color w:val="auto"/>
        </w:rPr>
        <w:t>Based on our assessment, it is more likely than not that all the net deferred tax assets as of December 31, 1999 will be realized through future taxable earnings. No significant increase in future taxable earnings would be required to fully realize the net deferred tax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ISSUES</w:t>
      </w:r>
    </w:p>
    <w:p>
      <w:pPr>
        <w:spacing w:after="0" w:line="173"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We believe we have identified the information technology, or IT, and non-IT systems, software and products involved in our business that could be affected by year 2000 issues. We believe that systems, software and products for which we have responsibility currently are year 2000 compliant. We are not aware of any substantial year 2000 issues with any of our customers. Detailed existing contingency plans are being refined as appropriate to address potential year 2000 issues. These plans are focused on matters which appear to be our most likely year 2000 risks, such as possible additional customer support efforts by us that would be necessary if customers or vendors are not year 2000 compliant. No significant issues have arisen to date or are expected that would require implementing these contingency plans.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TAX RATE</w:t>
      </w:r>
    </w:p>
    <w:p>
      <w:pPr>
        <w:spacing w:after="0" w:line="173"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three months ended December 31, 1999 was 48% compared to 30% in the three months ended December 31, 1998. The effective tax rate of 48% for the three months ended December 31, 1999 was due to the write-off of in-process R&amp;D expenses associated with the acquisition of ITDS, which is not tax deductible. Excluding the impact of the write-off of in-process R&amp;D associated with the ITDS acquisition, the effective tax rate for the three months ended December 31, 1999 was 30%.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CURRENCY FLUCTUATIONS</w:t>
      </w:r>
    </w:p>
    <w:p>
      <w:pPr>
        <w:spacing w:after="0" w:line="173" w:lineRule="exact"/>
        <w:rPr>
          <w:sz w:val="20"/>
          <w:szCs w:val="20"/>
          <w:color w:val="auto"/>
        </w:rPr>
      </w:pPr>
    </w:p>
    <w:p>
      <w:pPr>
        <w:ind w:right="3259" w:firstLine="1033"/>
        <w:spacing w:after="0" w:line="251" w:lineRule="auto"/>
        <w:rPr>
          <w:sz w:val="20"/>
          <w:szCs w:val="20"/>
          <w:color w:val="auto"/>
        </w:rPr>
      </w:pPr>
      <w:r>
        <w:rPr>
          <w:rFonts w:ascii="Courier New" w:cs="Courier New" w:eastAsia="Courier New" w:hAnsi="Courier New"/>
          <w:sz w:val="14"/>
          <w:szCs w:val="14"/>
          <w:color w:val="auto"/>
        </w:rPr>
        <w:t>Approximately 85% of our revenue is in U.S. dollars ("dollar") or linked to the dollar and therefore the dollar is our functional currency. Approximately 58%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December 31, 1999, we had hedged most of our significant exposures in currencies other than the dollar.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16</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73" w:lineRule="exact"/>
        <w:rPr>
          <w:sz w:val="20"/>
          <w:szCs w:val="20"/>
          <w:color w:val="auto"/>
        </w:rPr>
      </w:pPr>
    </w:p>
    <w:p>
      <w:pPr>
        <w:ind w:left="1040" w:hanging="1032"/>
        <w:spacing w:after="0"/>
        <w:tabs>
          <w:tab w:leader="none" w:pos="10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ectPr>
          <w:pgSz w:w="11900" w:h="16838" w:orient="portrait"/>
          <w:cols w:equalWidth="0" w:num="1">
            <w:col w:w="10159"/>
          </w:cols>
          <w:pgMar w:left="30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480" w:space="720"/>
            <w:col w:w="6959"/>
          </w:cols>
          <w:pgMar w:left="30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January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25, 2000.</w:t>
      </w:r>
    </w:p>
    <w:p>
      <w:pPr>
        <w:spacing w:after="0" w:line="200" w:lineRule="exact"/>
        <w:rPr>
          <w:sz w:val="20"/>
          <w:szCs w:val="20"/>
          <w:color w:val="auto"/>
        </w:rPr>
      </w:pPr>
    </w:p>
    <w:p>
      <w:pPr>
        <w:sectPr>
          <w:pgSz w:w="11900" w:h="16838" w:orient="portrait"/>
          <w:cols w:equalWidth="0" w:num="2">
            <w:col w:w="2480" w:space="720"/>
            <w:col w:w="6959"/>
          </w:cols>
          <w:pgMar w:left="300" w:top="285" w:right="1440" w:bottom="1440" w:gutter="0" w:footer="0" w:header="0"/>
          <w:type w:val="continuous"/>
        </w:sectPr>
      </w:pPr>
    </w:p>
    <w:p>
      <w:pPr>
        <w:spacing w:after="0" w:line="138" w:lineRule="exact"/>
        <w:rPr>
          <w:sz w:val="20"/>
          <w:szCs w:val="20"/>
          <w:color w:val="auto"/>
        </w:rPr>
      </w:pPr>
    </w:p>
    <w:p>
      <w:pPr>
        <w:ind w:left="1120" w:hanging="1112"/>
        <w:spacing w:after="0"/>
        <w:tabs>
          <w:tab w:leader="none" w:pos="11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6-K.</w:t>
      </w:r>
    </w:p>
    <w:p>
      <w:pPr>
        <w:spacing w:after="0" w:line="173" w:lineRule="exact"/>
        <w:rPr>
          <w:sz w:val="20"/>
          <w:szCs w:val="20"/>
          <w:color w:val="auto"/>
        </w:rPr>
      </w:pPr>
    </w:p>
    <w:p>
      <w:pPr>
        <w:ind w:right="3259" w:firstLine="1033"/>
        <w:spacing w:after="0" w:line="255" w:lineRule="auto"/>
        <w:rPr>
          <w:sz w:val="20"/>
          <w:szCs w:val="20"/>
          <w:color w:val="auto"/>
        </w:rPr>
      </w:pPr>
      <w:r>
        <w:rPr>
          <w:rFonts w:ascii="Courier New" w:cs="Courier New" w:eastAsia="Courier New" w:hAnsi="Courier New"/>
          <w:sz w:val="14"/>
          <w:szCs w:val="14"/>
          <w:color w:val="auto"/>
        </w:rPr>
        <w:t>The Company filed the following reports on Form 6-K during the three months ended December 31, 1999:</w:t>
      </w:r>
    </w:p>
    <w:p>
      <w:pPr>
        <w:spacing w:after="0" w:line="160" w:lineRule="exact"/>
        <w:rPr>
          <w:sz w:val="20"/>
          <w:szCs w:val="20"/>
          <w:color w:val="auto"/>
        </w:rPr>
      </w:pPr>
    </w:p>
    <w:p>
      <w:pPr>
        <w:ind w:left="2080" w:right="3439" w:hanging="1038"/>
        <w:spacing w:after="0" w:line="252" w:lineRule="auto"/>
        <w:tabs>
          <w:tab w:leader="none" w:pos="20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6-K dated September 10, 1999 and Form 6-K dated December 13, 1999, each relating to the acquisition of International Telecommunication Data Systems, Inc., a Delaware coporation; and</w:t>
      </w:r>
    </w:p>
    <w:p>
      <w:pPr>
        <w:spacing w:after="0" w:line="161" w:lineRule="exact"/>
        <w:rPr>
          <w:rFonts w:ascii="Courier New" w:cs="Courier New" w:eastAsia="Courier New" w:hAnsi="Courier New"/>
          <w:sz w:val="14"/>
          <w:szCs w:val="14"/>
          <w:color w:val="auto"/>
        </w:rPr>
      </w:pPr>
    </w:p>
    <w:p>
      <w:pPr>
        <w:ind w:left="2080" w:right="3959" w:hanging="1038"/>
        <w:spacing w:after="0" w:line="252" w:lineRule="auto"/>
        <w:tabs>
          <w:tab w:leader="none" w:pos="20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6-K dated December 17, 1999 relating to the Company's Notice of Annual General Meeting of Shareholders on January 26,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5"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95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Amdocs Limited</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Thomas G. O'Brien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Treasurer and Secretary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Authorized U.S. Representative</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February 10, 2000</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18</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159"/>
          </w:cols>
          <w:pgMar w:left="300" w:top="285"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380" w:space="720"/>
            <w:col w:w="7059"/>
          </w:cols>
          <w:pgMar w:left="300" w:top="28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4"/>
          <w:szCs w:val="14"/>
          <w:color w:val="auto"/>
        </w:rPr>
        <w:t>Amdocs Limited Press Release dated January 25, 2000.</w:t>
      </w:r>
    </w:p>
    <w:p>
      <w:pPr>
        <w:spacing w:after="0" w:line="200" w:lineRule="exact"/>
        <w:rPr>
          <w:sz w:val="20"/>
          <w:szCs w:val="20"/>
          <w:color w:val="auto"/>
        </w:rPr>
      </w:pPr>
    </w:p>
    <w:p>
      <w:pPr>
        <w:sectPr>
          <w:pgSz w:w="11900" w:h="16838" w:orient="portrait"/>
          <w:cols w:equalWidth="0" w:num="2">
            <w:col w:w="2380" w:space="720"/>
            <w:col w:w="7059"/>
          </w:cols>
          <w:pgMar w:left="30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5"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w:t>
      </w:r>
    </w:p>
    <w:p>
      <w:pPr>
        <w:spacing w:after="0" w:line="338"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99.1.</w:t>
      </w:r>
      <w:r>
        <w:rPr>
          <w:sz w:val="20"/>
          <w:szCs w:val="20"/>
          <w:color w:val="auto"/>
        </w:rPr>
        <w:tab/>
      </w:r>
      <w:r>
        <w:rPr>
          <w:rFonts w:ascii="Courier New" w:cs="Courier New" w:eastAsia="Courier New" w:hAnsi="Courier New"/>
          <w:sz w:val="14"/>
          <w:szCs w:val="14"/>
          <w:color w:val="auto"/>
        </w:rPr>
        <w:t>PRESS RELEASE.</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AMDOCS LIMITED FIRST QUARTER REVENUE GROWS 79.2%,</w:t>
      </w:r>
    </w:p>
    <w:p>
      <w:pPr>
        <w:spacing w:after="0" w:line="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REACHING $235.5 MILLION</w:t>
      </w:r>
    </w:p>
    <w:p>
      <w:pPr>
        <w:spacing w:after="0" w:line="173" w:lineRule="exact"/>
        <w:rPr>
          <w:sz w:val="20"/>
          <w:szCs w:val="20"/>
          <w:color w:val="auto"/>
        </w:rPr>
      </w:pPr>
    </w:p>
    <w:p>
      <w:pPr>
        <w:ind w:left="260" w:right="3599" w:hanging="166"/>
        <w:spacing w:after="0" w:line="255" w:lineRule="auto"/>
        <w:tabs>
          <w:tab w:leader="none" w:pos="2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BEFORE ONE-TIME CHARGE GROW 84.5% TO $37.2 MILLION, OR $0.18 PER SHARE -</w:t>
      </w:r>
    </w:p>
    <w:p>
      <w:pPr>
        <w:spacing w:after="0" w:line="160"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ST. LOUIS, MO - JANUARY 25, 2000, Amdocs Limited (NYSE: DOX) today reported that for the first quarter ended December 31, 1999, revenue reached $235.5 million, an increase of 79.2%. Operating income increased 74.8% to $52.7 million, excluding a one-time, non-cash charge of $19.9 million for write-off of in-process R&amp;D from the acquisition of International Telecommunication Data Systems Inc. (ITDS) in November 1999. Net income increased 84.5%, reaching $37.2 million, or $0.18 per diluted share, excluding the one-time charge. As-reported net income for the quarter was $17.3 million, or $0.08 per diluted share, compared to $20.1 million or $0.10 per diluted share in the same quarter last year.</w:t>
      </w:r>
    </w:p>
    <w:p>
      <w:pPr>
        <w:spacing w:after="0" w:line="329"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Avi Naor, Chief Executive Officer of Amdocs Management Limited, noted, "This quarter's results and our continued growth reflect Amdocs' leading position in a very strong customer care and billing market. Moreover, with our strengths in convergent systems, high-end scalability, and end-to-end solutions and outsourcing, together with market-leading R&amp;D investment, we are well-positioned to leverage the growth in the customer care and billing sector."</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Naor continued, "Demand is strong, both in the wireline and wireless voice markets, as well as the IP and data services market. In the IP arena, we are providing a two-pronged offering. We are targeting our flagship Ensemble system for voice-IP convergence and leading IP service providers. In addition, we are vigorously addressing the market for new ISPs and emerging players with a proven entry-level solution."</w:t>
      </w:r>
    </w:p>
    <w:p>
      <w:pPr>
        <w:spacing w:after="0" w:line="164"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4"/>
          <w:szCs w:val="14"/>
          <w:color w:val="auto"/>
        </w:rPr>
        <w:t>Naor added, "We are involved in a surge of activity in the IP sector. Many of our existing wireless customers are already using or implementing our convergent Ensemble platform for market trials and introductions of mobile commerce, WAP and GPRS services. We are also working with major wireline providers to support broadband and IP services, integrated with their voice operations. For telecom carriers expanding into IP services, voice-IP convergence is crucial as they seek to leverage product bundling and unified customer service. At the organizational level, we have established an IP division to focus our efforts in this market, and we are investing $25 million in fiscal 2000 in R&amp;D for IP systems. With the scope of our R&amp;D investment, together with our depth of resources, knowhow and solutions base, we are extremely well placed to become the leading provider of business systems to the IP services market."</w:t>
      </w:r>
    </w:p>
    <w:p>
      <w:pPr>
        <w:spacing w:after="0" w:line="170" w:lineRule="exact"/>
        <w:rPr>
          <w:sz w:val="20"/>
          <w:szCs w:val="20"/>
          <w:color w:val="auto"/>
        </w:rPr>
      </w:pPr>
    </w:p>
    <w:p>
      <w:pPr>
        <w:ind w:right="3439"/>
        <w:spacing w:after="0" w:line="251" w:lineRule="auto"/>
        <w:rPr>
          <w:sz w:val="20"/>
          <w:szCs w:val="20"/>
          <w:color w:val="auto"/>
        </w:rPr>
      </w:pPr>
      <w:r>
        <w:rPr>
          <w:rFonts w:ascii="Courier New" w:cs="Courier New" w:eastAsia="Courier New" w:hAnsi="Courier New"/>
          <w:sz w:val="14"/>
          <w:szCs w:val="14"/>
          <w:color w:val="auto"/>
        </w:rPr>
        <w:t>Naor concluded, "The results of our first quarter for fiscal 2000 demonstrate the business stability and growth momentum we have achieved over recent years. Based on long-term customer relationships, visibility is exceptionally high. Furthermore, with the acquisition of ITDS and their strong outsourcing capabilities, we are well-positioned to reinforce business stability and visibility through large-scale, multi-year outsourcing projects. We are very confident that our positive momentum can be maintained."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Amdocs is a leading provider of customer care, billing and order management systems for communications and internet services. Amdocs has an unparalleled success record in project delivery of its mission-critical products. With human resources of over 5,600 information systems professionals, Amdocs has an installed base of successful projects with more than 75 major service providers throughout the world. For more information visit our Web site at www.amdocs.com</w:t>
      </w:r>
    </w:p>
    <w:p>
      <w:pPr>
        <w:spacing w:after="0" w:line="164" w:lineRule="exact"/>
        <w:rPr>
          <w:sz w:val="20"/>
          <w:szCs w:val="20"/>
          <w:color w:val="auto"/>
        </w:rPr>
      </w:pPr>
    </w:p>
    <w:p>
      <w:pPr>
        <w:ind w:right="3259"/>
        <w:spacing w:after="0" w:line="251" w:lineRule="auto"/>
        <w:rPr>
          <w:sz w:val="20"/>
          <w:szCs w:val="20"/>
          <w:color w:val="auto"/>
        </w:rPr>
      </w:pPr>
      <w:r>
        <w:rPr>
          <w:rFonts w:ascii="Courier New" w:cs="Courier New" w:eastAsia="Courier New" w:hAnsi="Courier New"/>
          <w:sz w:val="14"/>
          <w:szCs w:val="14"/>
          <w:color w:val="auto"/>
        </w:rPr>
        <w:t>This press release may contain forward looking statements as defined under the Securities Act of 1933, as amended. Such statements involve risks and uncertainties that may cause future results to differ from those anticipated. These risks include, but are not limited to, the adverse effects of market competition, rapid changes in technology that may render the company's products and services obsolete, potential loss of a major customer, and risks associated with operating businesses in the international market. These and other risks are discussed at greater length in the company's filings with the Securities and Exchange Commission.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14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Contact: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G. O'Brien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Treasurer and Director of Investor Relations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314/212-8328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E-mail: dox_info@amdocs.com</w:t>
      </w:r>
    </w:p>
    <w:p>
      <w:pPr>
        <w:spacing w:after="0" w:line="173" w:lineRule="exact"/>
        <w:rPr>
          <w:sz w:val="20"/>
          <w:szCs w:val="20"/>
          <w:color w:val="auto"/>
        </w:rPr>
      </w:pPr>
    </w:p>
    <w:p>
      <w:pPr>
        <w:jc w:val="right"/>
        <w:ind w:right="6019"/>
        <w:spacing w:after="0"/>
        <w:rPr>
          <w:sz w:val="20"/>
          <w:szCs w:val="20"/>
          <w:color w:val="auto"/>
        </w:rPr>
      </w:pPr>
      <w:r>
        <w:rPr>
          <w:rFonts w:ascii="Courier New" w:cs="Courier New" w:eastAsia="Courier New" w:hAnsi="Courier New"/>
          <w:sz w:val="14"/>
          <w:szCs w:val="14"/>
          <w:color w:val="auto"/>
        </w:rPr>
        <w:t>-TABLES FOLLOW-</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5"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3</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Courier New" w:cs="Courier New" w:eastAsia="Courier New" w:hAnsi="Courier New"/>
                <w:sz w:val="14"/>
                <w:szCs w:val="14"/>
                <w:color w:val="auto"/>
              </w:rPr>
              <w:t>AS OF</w:t>
            </w:r>
          </w:p>
        </w:tc>
        <w:tc>
          <w:tcPr>
            <w:tcW w:w="1800" w:type="dxa"/>
            <w:vAlign w:val="bottom"/>
          </w:tcPr>
          <w:p>
            <w:pPr>
              <w:spacing w:after="0"/>
              <w:rPr>
                <w:sz w:val="14"/>
                <w:szCs w:val="14"/>
                <w:color w:val="auto"/>
              </w:rPr>
            </w:pPr>
          </w:p>
        </w:tc>
      </w:tr>
      <w:tr>
        <w:trPr>
          <w:trHeight w:val="166"/>
        </w:trPr>
        <w:tc>
          <w:tcPr>
            <w:tcW w:w="6340" w:type="dxa"/>
            <w:vAlign w:val="bottom"/>
          </w:tcPr>
          <w:p>
            <w:pPr>
              <w:spacing w:after="0"/>
              <w:rPr>
                <w:sz w:val="14"/>
                <w:szCs w:val="14"/>
                <w:color w:val="auto"/>
              </w:rPr>
            </w:pPr>
          </w:p>
        </w:tc>
        <w:tc>
          <w:tcPr>
            <w:tcW w:w="4860" w:type="dxa"/>
            <w:vAlign w:val="bottom"/>
            <w:gridSpan w:val="4"/>
          </w:tcPr>
          <w:p>
            <w:pPr>
              <w:ind w:left="8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DECEMBER 31, 1999</w:t>
            </w:r>
          </w:p>
        </w:tc>
        <w:tc>
          <w:tcPr>
            <w:tcW w:w="520" w:type="dxa"/>
            <w:vAlign w:val="bottom"/>
          </w:tcPr>
          <w:p>
            <w:pPr>
              <w:spacing w:after="0"/>
              <w:rPr>
                <w:sz w:val="14"/>
                <w:szCs w:val="14"/>
                <w:color w:val="auto"/>
              </w:rPr>
            </w:pP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SEPTEMBER 30, 1999</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(UNAUDITED)</w:t>
            </w: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97"/>
        </w:trPr>
        <w:tc>
          <w:tcPr>
            <w:tcW w:w="6340" w:type="dxa"/>
            <w:vAlign w:val="bottom"/>
          </w:tcPr>
          <w:p>
            <w:pPr>
              <w:ind w:left="3200"/>
              <w:spacing w:after="0"/>
              <w:rPr>
                <w:sz w:val="20"/>
                <w:szCs w:val="20"/>
                <w:color w:val="auto"/>
              </w:rPr>
            </w:pPr>
            <w:r>
              <w:rPr>
                <w:rFonts w:ascii="Courier New" w:cs="Courier New" w:eastAsia="Courier New" w:hAnsi="Courier New"/>
                <w:sz w:val="14"/>
                <w:szCs w:val="14"/>
                <w:color w:val="auto"/>
              </w:rPr>
              <w:t>ASSETS</w:t>
            </w: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165,819</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85,174</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Short-term interest-bearing investments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20,384</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including unbilled of $8,296 and $3,415,</w:t>
            </w: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less allowances of $5,024 and $0, respectively</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179,926</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145,184</w:t>
            </w:r>
          </w:p>
        </w:tc>
      </w:tr>
      <w:tr>
        <w:trPr>
          <w:trHeight w:val="331"/>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from related parties, including unbilled</w:t>
            </w: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of $0 and $828, respectively</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15,706</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14,128</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receivable</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32,488</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29,899</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39,856</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16,390</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Total current assets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454,179</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290,775</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Equipment, vehicles and leasehold improvements, net</w:t>
            </w:r>
          </w:p>
        </w:tc>
        <w:tc>
          <w:tcPr>
            <w:tcW w:w="900" w:type="dxa"/>
            <w:vAlign w:val="bottom"/>
          </w:tcPr>
          <w:p>
            <w:pPr>
              <w:spacing w:after="0"/>
              <w:rPr>
                <w:sz w:val="24"/>
                <w:szCs w:val="2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94,012</w:t>
            </w:r>
          </w:p>
        </w:tc>
        <w:tc>
          <w:tcPr>
            <w:tcW w:w="520" w:type="dxa"/>
            <w:vAlign w:val="bottom"/>
          </w:tcPr>
          <w:p>
            <w:pPr>
              <w:spacing w:after="0"/>
              <w:rPr>
                <w:sz w:val="24"/>
                <w:szCs w:val="2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83,997</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13,615</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5,605</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 net</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110,132</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20,742</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noncurrent assets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29,151</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28,892</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701,089</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6340" w:type="dxa"/>
            <w:vAlign w:val="bottom"/>
          </w:tcPr>
          <w:p>
            <w:pPr>
              <w:ind w:left="1900"/>
              <w:spacing w:after="0"/>
              <w:rPr>
                <w:sz w:val="20"/>
                <w:szCs w:val="20"/>
                <w:color w:val="auto"/>
              </w:rPr>
            </w:pPr>
            <w:r>
              <w:rPr>
                <w:rFonts w:ascii="Courier New" w:cs="Courier New" w:eastAsia="Courier New" w:hAnsi="Courier New"/>
                <w:sz w:val="14"/>
                <w:szCs w:val="14"/>
                <w:color w:val="auto"/>
              </w:rPr>
              <w:t>LIABILITIES AND SHAREHOLDERS' EQUITY</w:t>
            </w: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97"/>
        </w:trPr>
        <w:tc>
          <w:tcPr>
            <w:tcW w:w="63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Accounts payable and accrued expenses</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82,604</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68,594</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Accrued personnel costs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56,825</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40,092</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Short-term financing arrangements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11,696</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2,381</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Deferred revenue</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105,060</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104,688</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Short-term portion of capital lease obligations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6,037</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5,722</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and taxes payable</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46,251</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33,412</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308,473</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254,889</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Long-term portion of capital lease obligations</w:t>
            </w:r>
          </w:p>
        </w:tc>
        <w:tc>
          <w:tcPr>
            <w:tcW w:w="900" w:type="dxa"/>
            <w:vAlign w:val="bottom"/>
          </w:tcPr>
          <w:p>
            <w:pPr>
              <w:spacing w:after="0"/>
              <w:rPr>
                <w:sz w:val="24"/>
                <w:szCs w:val="2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16,708</w:t>
            </w:r>
          </w:p>
        </w:tc>
        <w:tc>
          <w:tcPr>
            <w:tcW w:w="520" w:type="dxa"/>
            <w:vAlign w:val="bottom"/>
          </w:tcPr>
          <w:p>
            <w:pPr>
              <w:spacing w:after="0"/>
              <w:rPr>
                <w:sz w:val="24"/>
                <w:szCs w:val="2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17,148</w:t>
            </w:r>
          </w:p>
        </w:tc>
      </w:tr>
      <w:tr>
        <w:trPr>
          <w:trHeight w:val="166"/>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noncurrent liabilities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41,945</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34,237</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367,126</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306,274</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331"/>
        </w:trPr>
        <w:tc>
          <w:tcPr>
            <w:tcW w:w="63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31"/>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Preferred Shares - Authorized 25,000 shares;</w:t>
            </w:r>
          </w:p>
        </w:tc>
        <w:tc>
          <w:tcPr>
            <w:tcW w:w="9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Pound Sterling 0.01 par value; 0 issued and outstanding</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Ordinary Shares - Authorized 550,000 shares;</w:t>
            </w: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6340" w:type="dxa"/>
            <w:vAlign w:val="bottom"/>
          </w:tcPr>
          <w:p>
            <w:pPr>
              <w:ind w:left="520"/>
              <w:spacing w:after="0"/>
              <w:rPr>
                <w:sz w:val="20"/>
                <w:szCs w:val="20"/>
                <w:color w:val="auto"/>
              </w:rPr>
            </w:pPr>
            <w:r>
              <w:rPr>
                <w:rFonts w:ascii="Courier New" w:cs="Courier New" w:eastAsia="Courier New" w:hAnsi="Courier New"/>
                <w:sz w:val="14"/>
                <w:szCs w:val="14"/>
                <w:color w:val="auto"/>
              </w:rPr>
              <w:t>Pound Sterling 0.01 par value; 205,251 and 198,800</w:t>
            </w:r>
          </w:p>
        </w:tc>
        <w:tc>
          <w:tcPr>
            <w:tcW w:w="9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6340" w:type="dxa"/>
            <w:vAlign w:val="bottom"/>
          </w:tcPr>
          <w:p>
            <w:pPr>
              <w:ind w:left="780"/>
              <w:spacing w:after="0"/>
              <w:rPr>
                <w:sz w:val="20"/>
                <w:szCs w:val="20"/>
                <w:color w:val="auto"/>
              </w:rPr>
            </w:pPr>
            <w:r>
              <w:rPr>
                <w:rFonts w:ascii="Courier New" w:cs="Courier New" w:eastAsia="Courier New" w:hAnsi="Courier New"/>
                <w:sz w:val="14"/>
                <w:szCs w:val="14"/>
                <w:color w:val="auto"/>
              </w:rPr>
              <w:t>outstanding, respectively</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3,284</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3,181</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674,886</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489,099</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4,599</w:t>
            </w:r>
          </w:p>
        </w:tc>
        <w:tc>
          <w:tcPr>
            <w:tcW w:w="520" w:type="dxa"/>
            <w:vAlign w:val="bottom"/>
          </w:tcPr>
          <w:p>
            <w:pPr>
              <w:spacing w:after="0"/>
              <w:rPr>
                <w:sz w:val="14"/>
                <w:szCs w:val="14"/>
                <w:color w:val="auto"/>
              </w:rPr>
            </w:pP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Unearned compensation</w:t>
            </w:r>
          </w:p>
        </w:tc>
        <w:tc>
          <w:tcPr>
            <w:tcW w:w="90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(2,531)</w:t>
            </w:r>
          </w:p>
        </w:tc>
        <w:tc>
          <w:tcPr>
            <w:tcW w:w="520" w:type="dxa"/>
            <w:vAlign w:val="bottom"/>
          </w:tcPr>
          <w:p>
            <w:pPr>
              <w:spacing w:after="0"/>
              <w:rPr>
                <w:sz w:val="14"/>
                <w:szCs w:val="14"/>
                <w:color w:val="auto"/>
              </w:rPr>
            </w:pP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(3,830)</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Accumulated deficit</w:t>
            </w:r>
          </w:p>
        </w:tc>
        <w:tc>
          <w:tcPr>
            <w:tcW w:w="900" w:type="dxa"/>
            <w:vAlign w:val="bottom"/>
          </w:tcPr>
          <w:p>
            <w:pPr>
              <w:spacing w:after="0"/>
              <w:rPr>
                <w:sz w:val="14"/>
                <w:szCs w:val="14"/>
                <w:color w:val="auto"/>
              </w:rPr>
            </w:pP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(346,275)</w:t>
            </w:r>
          </w:p>
        </w:tc>
        <w:tc>
          <w:tcPr>
            <w:tcW w:w="520" w:type="dxa"/>
            <w:vAlign w:val="bottom"/>
          </w:tcPr>
          <w:p>
            <w:pPr>
              <w:spacing w:after="0"/>
              <w:rPr>
                <w:sz w:val="14"/>
                <w:szCs w:val="14"/>
                <w:color w:val="auto"/>
              </w:rPr>
            </w:pPr>
          </w:p>
        </w:tc>
        <w:tc>
          <w:tcPr>
            <w:tcW w:w="1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(363,556)</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Total shareholders' equity</w:t>
            </w:r>
          </w:p>
        </w:tc>
        <w:tc>
          <w:tcPr>
            <w:tcW w:w="900" w:type="dxa"/>
            <w:vAlign w:val="bottom"/>
          </w:tcPr>
          <w:p>
            <w:pPr>
              <w:spacing w:after="0"/>
              <w:rPr>
                <w:sz w:val="14"/>
                <w:szCs w:val="14"/>
                <w:color w:val="auto"/>
              </w:rPr>
            </w:pP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333,963</w:t>
            </w:r>
          </w:p>
        </w:tc>
        <w:tc>
          <w:tcPr>
            <w:tcW w:w="520" w:type="dxa"/>
            <w:vAlign w:val="bottom"/>
          </w:tcPr>
          <w:p>
            <w:pPr>
              <w:spacing w:after="0"/>
              <w:rPr>
                <w:sz w:val="14"/>
                <w:szCs w:val="14"/>
                <w:color w:val="auto"/>
              </w:rPr>
            </w:pP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123,737</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r>
        <w:trPr>
          <w:trHeight w:val="166"/>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701,089</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430,011</w:t>
            </w:r>
          </w:p>
        </w:tc>
      </w:tr>
      <w:tr>
        <w:trPr>
          <w:trHeight w:val="166"/>
        </w:trPr>
        <w:tc>
          <w:tcPr>
            <w:tcW w:w="6340" w:type="dxa"/>
            <w:vAlign w:val="bottom"/>
          </w:tcPr>
          <w:p>
            <w:pPr>
              <w:spacing w:after="0"/>
              <w:rPr>
                <w:sz w:val="14"/>
                <w:szCs w:val="14"/>
                <w:color w:val="auto"/>
              </w:rPr>
            </w:pPr>
          </w:p>
        </w:tc>
        <w:tc>
          <w:tcPr>
            <w:tcW w:w="254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w:t>
            </w:r>
          </w:p>
        </w:tc>
        <w:tc>
          <w:tcPr>
            <w:tcW w:w="232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1200"/>
          </w:cols>
          <w:pgMar w:left="300" w:top="28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200"/>
          </w:cols>
          <w:pgMar w:left="300" w:top="285" w:right="399"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4</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AMDOCS LIMITED</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CONSOLIDATED STATEMENT OF OPERATIONS (UNAUDITED)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4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THREE MONTHS ENDED</w:t>
            </w:r>
          </w:p>
        </w:tc>
        <w:tc>
          <w:tcPr>
            <w:tcW w:w="130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300" w:type="dxa"/>
            <w:vAlign w:val="bottom"/>
          </w:tcPr>
          <w:p>
            <w:pPr>
              <w:spacing w:after="0"/>
              <w:rPr>
                <w:sz w:val="14"/>
                <w:szCs w:val="14"/>
                <w:color w:val="auto"/>
              </w:rPr>
            </w:pPr>
          </w:p>
        </w:tc>
      </w:tr>
      <w:tr>
        <w:trPr>
          <w:trHeight w:val="166"/>
        </w:trPr>
        <w:tc>
          <w:tcPr>
            <w:tcW w:w="4320" w:type="dxa"/>
            <w:vAlign w:val="bottom"/>
          </w:tcPr>
          <w:p>
            <w:pPr>
              <w:spacing w:after="0"/>
              <w:rPr>
                <w:sz w:val="14"/>
                <w:szCs w:val="14"/>
                <w:color w:val="auto"/>
              </w:rPr>
            </w:pPr>
          </w:p>
        </w:tc>
        <w:tc>
          <w:tcPr>
            <w:tcW w:w="44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1188"/>
              <w:spacing w:after="0"/>
              <w:rPr>
                <w:sz w:val="20"/>
                <w:szCs w:val="20"/>
                <w:color w:val="auto"/>
              </w:rPr>
            </w:pPr>
            <w:r>
              <w:rPr>
                <w:rFonts w:ascii="Courier New" w:cs="Courier New" w:eastAsia="Courier New" w:hAnsi="Courier New"/>
                <w:sz w:val="14"/>
                <w:szCs w:val="14"/>
                <w:color w:val="auto"/>
                <w:w w:val="95"/>
              </w:rPr>
              <w:t>1999</w:t>
            </w:r>
          </w:p>
        </w:tc>
        <w:tc>
          <w:tcPr>
            <w:tcW w:w="640" w:type="dxa"/>
            <w:vAlign w:val="bottom"/>
          </w:tcPr>
          <w:p>
            <w:pPr>
              <w:spacing w:after="0"/>
              <w:rPr>
                <w:sz w:val="14"/>
                <w:szCs w:val="14"/>
                <w:color w:val="auto"/>
              </w:rPr>
            </w:pP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1998</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License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26,502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15,040</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Service</w:t>
            </w: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209,004</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116,385</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235,506</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131,425</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Cost of license</w:t>
            </w:r>
          </w:p>
        </w:tc>
        <w:tc>
          <w:tcPr>
            <w:tcW w:w="940" w:type="dxa"/>
            <w:vAlign w:val="bottom"/>
          </w:tcPr>
          <w:p>
            <w:pPr>
              <w:spacing w:after="0"/>
              <w:rPr>
                <w:sz w:val="24"/>
                <w:szCs w:val="2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1,173</w:t>
            </w:r>
          </w:p>
        </w:tc>
        <w:tc>
          <w:tcPr>
            <w:tcW w:w="6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1,323</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Cost of service</w:t>
            </w: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139,034</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75,915</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Research and development</w:t>
            </w: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14,970</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8,379</w:t>
            </w: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Selling, general and administrative</w:t>
            </w: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27,593</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15,647</w:t>
            </w:r>
          </w:p>
        </w:tc>
      </w:tr>
      <w:tr>
        <w:trPr>
          <w:trHeight w:val="331"/>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In-process research and development expenses</w:t>
            </w:r>
          </w:p>
        </w:tc>
        <w:tc>
          <w:tcPr>
            <w:tcW w:w="940" w:type="dxa"/>
            <w:vAlign w:val="bottom"/>
          </w:tcPr>
          <w:p>
            <w:pPr>
              <w:spacing w:after="0"/>
              <w:rPr>
                <w:sz w:val="24"/>
                <w:szCs w:val="2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19,876</w:t>
            </w:r>
          </w:p>
        </w:tc>
        <w:tc>
          <w:tcPr>
            <w:tcW w:w="6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202,646</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101,264</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940" w:type="dxa"/>
            <w:vAlign w:val="bottom"/>
          </w:tcPr>
          <w:p>
            <w:pPr>
              <w:spacing w:after="0"/>
              <w:rPr>
                <w:sz w:val="24"/>
                <w:szCs w:val="2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32,860</w:t>
            </w:r>
          </w:p>
        </w:tc>
        <w:tc>
          <w:tcPr>
            <w:tcW w:w="640" w:type="dxa"/>
            <w:vAlign w:val="bottom"/>
          </w:tcPr>
          <w:p>
            <w:pPr>
              <w:spacing w:after="0"/>
              <w:rPr>
                <w:sz w:val="24"/>
                <w:szCs w:val="2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30,161</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income (expense), net</w:t>
            </w:r>
          </w:p>
        </w:tc>
        <w:tc>
          <w:tcPr>
            <w:tcW w:w="940" w:type="dxa"/>
            <w:vAlign w:val="bottom"/>
          </w:tcPr>
          <w:p>
            <w:pPr>
              <w:spacing w:after="0"/>
              <w:rPr>
                <w:sz w:val="24"/>
                <w:szCs w:val="2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345</w:t>
            </w:r>
          </w:p>
        </w:tc>
        <w:tc>
          <w:tcPr>
            <w:tcW w:w="640" w:type="dxa"/>
            <w:vAlign w:val="bottom"/>
          </w:tcPr>
          <w:p>
            <w:pPr>
              <w:spacing w:after="0"/>
              <w:rPr>
                <w:sz w:val="24"/>
                <w:szCs w:val="2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(1,387)</w:t>
            </w:r>
          </w:p>
        </w:tc>
      </w:tr>
      <w:tr>
        <w:trPr>
          <w:trHeight w:val="331"/>
        </w:trPr>
        <w:tc>
          <w:tcPr>
            <w:tcW w:w="4320" w:type="dxa"/>
            <w:vAlign w:val="bottom"/>
          </w:tcPr>
          <w:p>
            <w:pPr>
              <w:spacing w:after="0"/>
              <w:rPr>
                <w:sz w:val="24"/>
                <w:szCs w:val="2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33,205</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28,774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15,924</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8,632</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17,281</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20,142</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0.09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0.08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EFFECT OF ONE-TIME, NON-CASH CHARGE ON DILUTED</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EARNINGS PER SHARE (a)</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Diluted earnings per share before one-time</w:t>
            </w: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4320" w:type="dxa"/>
            <w:vAlign w:val="bottom"/>
          </w:tcPr>
          <w:p>
            <w:pPr>
              <w:ind w:left="260"/>
              <w:spacing w:after="0"/>
              <w:rPr>
                <w:sz w:val="20"/>
                <w:szCs w:val="20"/>
                <w:color w:val="auto"/>
              </w:rPr>
            </w:pPr>
            <w:r>
              <w:rPr>
                <w:rFonts w:ascii="Courier New" w:cs="Courier New" w:eastAsia="Courier New" w:hAnsi="Courier New"/>
                <w:sz w:val="14"/>
                <w:szCs w:val="14"/>
                <w:color w:val="auto"/>
              </w:rPr>
              <w:t>charge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0.18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One-time charge</w:t>
            </w:r>
          </w:p>
        </w:tc>
        <w:tc>
          <w:tcPr>
            <w:tcW w:w="940" w:type="dxa"/>
            <w:vAlign w:val="bottom"/>
          </w:tcPr>
          <w:p>
            <w:pPr>
              <w:spacing w:after="0"/>
              <w:rPr>
                <w:sz w:val="14"/>
                <w:szCs w:val="14"/>
                <w:color w:val="auto"/>
              </w:rPr>
            </w:pP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0.10</w:t>
            </w:r>
          </w:p>
        </w:tc>
        <w:tc>
          <w:tcPr>
            <w:tcW w:w="640" w:type="dxa"/>
            <w:vAlign w:val="bottom"/>
          </w:tcPr>
          <w:p>
            <w:pPr>
              <w:spacing w:after="0"/>
              <w:rPr>
                <w:sz w:val="14"/>
                <w:szCs w:val="14"/>
                <w:color w:val="auto"/>
              </w:rPr>
            </w:pP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0.08</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0.10</w:t>
            </w:r>
          </w:p>
        </w:tc>
      </w:tr>
      <w:tr>
        <w:trPr>
          <w:trHeight w:val="166"/>
        </w:trPr>
        <w:tc>
          <w:tcPr>
            <w:tcW w:w="4320" w:type="dxa"/>
            <w:vAlign w:val="bottom"/>
          </w:tcPr>
          <w:p>
            <w:pPr>
              <w:spacing w:after="0"/>
              <w:rPr>
                <w:sz w:val="14"/>
                <w:szCs w:val="14"/>
                <w:color w:val="auto"/>
              </w:rPr>
            </w:pPr>
          </w:p>
        </w:tc>
        <w:tc>
          <w:tcPr>
            <w:tcW w:w="2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520" w:right="3519" w:hanging="512"/>
        <w:spacing w:after="0" w:line="252" w:lineRule="auto"/>
        <w:tabs>
          <w:tab w:leader="none" w:pos="5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Amdocs incurred a one-time, non-cash charge related to the write-off of acquired in-process R&amp;D of $19.9 million, or $0.10 per share, resulting from the acquisition of ITDS in November 1999.</w:t>
      </w:r>
    </w:p>
    <w:p>
      <w:pPr>
        <w:spacing w:after="0" w:line="328" w:lineRule="exact"/>
        <w:rPr>
          <w:rFonts w:ascii="Courier New" w:cs="Courier New" w:eastAsia="Courier New" w:hAnsi="Courier New"/>
          <w:sz w:val="14"/>
          <w:szCs w:val="14"/>
          <w:color w:val="auto"/>
        </w:rPr>
      </w:pPr>
    </w:p>
    <w:p>
      <w:pPr>
        <w:ind w:left="3360" w:hanging="166"/>
        <w:spacing w:after="0"/>
        <w:tabs>
          <w:tab w:leader="none" w:pos="336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w:t>
      </w:r>
    </w:p>
    <w:sectPr>
      <w:pgSz w:w="11900" w:h="16838" w:orient="portrait"/>
      <w:cols w:equalWidth="0" w:num="1">
        <w:col w:w="10159"/>
      </w:cols>
      <w:pgMar w:left="30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3"/>
    </w:lvl>
  </w:abstractNum>
  <w:abstractNum w:abstractNumId="3">
    <w:nsid w:val="5BD062C2"/>
    <w:multiLevelType w:val="hybridMultilevel"/>
    <w:lvl w:ilvl="0">
      <w:lvlJc w:val="left"/>
      <w:lvlText w:val="%1."/>
      <w:numFmt w:val="decimal"/>
      <w:start w:val="4"/>
    </w:lvl>
  </w:abstractNum>
  <w:abstractNum w:abstractNumId="4">
    <w:nsid w:val="12200854"/>
    <w:multiLevelType w:val="hybridMultilevel"/>
    <w:lvl w:ilvl="0">
      <w:lvlJc w:val="left"/>
      <w:lvlText w:val="%1."/>
      <w:numFmt w:val="decimal"/>
      <w:start w:val="5"/>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2"/>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2020-10-05T21:03:56Z</dcterms:created>
  <dcterms:modified xsi:type="dcterms:W3CDTF">2020-10-05T21:03:56Z</dcterms:modified>
</cp:coreProperties>
</file>