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175895</wp:posOffset>
            </wp:positionV>
            <wp:extent cx="13119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7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20-F</w:t>
      </w:r>
    </w:p>
    <w:p>
      <w:pPr>
        <w:spacing w:after="0" w:line="37" w:lineRule="exact"/>
        <w:rPr>
          <w:sz w:val="24"/>
          <w:szCs w:val="24"/>
          <w:color w:val="auto"/>
        </w:rPr>
      </w:pPr>
    </w:p>
    <w:p>
      <w:pPr>
        <w:ind w:left="5580" w:right="1400" w:hanging="5572"/>
        <w:spacing w:after="0" w:line="282" w:lineRule="auto"/>
        <w:tabs>
          <w:tab w:leader="none" w:pos="45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REGISTRATION STATEMENT PURSUANT TO SECTION 12(b) OR (g) OF THE SECURITIES EXCHANGE ACT OF 1934 OR</w:t>
      </w:r>
    </w:p>
    <w:p>
      <w:pPr>
        <w:spacing w:after="0" w:line="27" w:lineRule="exact"/>
        <w:rPr>
          <w:sz w:val="24"/>
          <w:szCs w:val="24"/>
          <w:color w:val="auto"/>
        </w:rPr>
      </w:pPr>
    </w:p>
    <w:p>
      <w:pPr>
        <w:ind w:left="4040" w:right="2400" w:hanging="4032"/>
        <w:spacing w:after="0" w:line="297" w:lineRule="auto"/>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September 30, 2013</w:t>
      </w:r>
    </w:p>
    <w:p>
      <w:pPr>
        <w:ind w:left="55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63" w:lineRule="exact"/>
        <w:rPr>
          <w:sz w:val="24"/>
          <w:szCs w:val="24"/>
          <w:color w:val="auto"/>
        </w:rPr>
      </w:pPr>
    </w:p>
    <w:p>
      <w:pPr>
        <w:ind w:left="5580" w:right="2040" w:hanging="5572"/>
        <w:spacing w:after="0" w:line="289" w:lineRule="auto"/>
        <w:tabs>
          <w:tab w:leader="none" w:pos="451" w:val="left"/>
        </w:tabs>
        <w:numPr>
          <w:ilvl w:val="0"/>
          <w:numId w:val="3"/>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OR</w:t>
      </w:r>
    </w:p>
    <w:p>
      <w:pPr>
        <w:spacing w:after="0" w:line="28"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b w:val="1"/>
          <w:bCs w:val="1"/>
          <w:color w:val="auto"/>
        </w:rPr>
        <w:t>SHELL COMPANY REPORT PURSUANT TO SECTION 13 OR 15(d) OF THE SECURITIES EXCHANGE ACT OF 1934</w:t>
      </w:r>
    </w:p>
    <w:p>
      <w:pPr>
        <w:spacing w:after="0" w:line="113" w:lineRule="exact"/>
        <w:rPr>
          <w:sz w:val="24"/>
          <w:szCs w:val="24"/>
          <w:color w:val="auto"/>
        </w:rPr>
      </w:pPr>
    </w:p>
    <w:tbl>
      <w:tblPr>
        <w:tblLayout w:type="fixed"/>
        <w:tblInd w:w="460" w:type="dxa"/>
        <w:tblCellMar>
          <w:top w:w="0" w:type="dxa"/>
          <w:left w:w="0" w:type="dxa"/>
          <w:bottom w:w="0" w:type="dxa"/>
          <w:right w:w="0" w:type="dxa"/>
        </w:tblCellMar>
      </w:tblPr>
      <w:tr>
        <w:trPr>
          <w:trHeight w:val="216"/>
        </w:trPr>
        <w:tc>
          <w:tcPr>
            <w:tcW w:w="5560" w:type="dxa"/>
            <w:vAlign w:val="bottom"/>
          </w:tcPr>
          <w:p>
            <w:pPr>
              <w:spacing w:after="0"/>
              <w:rPr>
                <w:sz w:val="20"/>
                <w:szCs w:val="20"/>
                <w:color w:val="auto"/>
              </w:rPr>
            </w:pPr>
            <w:r>
              <w:rPr>
                <w:rFonts w:ascii="Arial" w:cs="Arial" w:eastAsia="Arial" w:hAnsi="Arial"/>
                <w:sz w:val="18"/>
                <w:szCs w:val="18"/>
                <w:b w:val="1"/>
                <w:bCs w:val="1"/>
                <w:color w:val="auto"/>
              </w:rPr>
              <w:t>Date of event requiring this shell company report</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0"/>
        </w:trPr>
        <w:tc>
          <w:tcPr>
            <w:tcW w:w="5560" w:type="dxa"/>
            <w:vAlign w:val="bottom"/>
          </w:tcPr>
          <w:p>
            <w:pPr>
              <w:ind w:left="3260"/>
              <w:spacing w:after="0" w:line="190" w:lineRule="exact"/>
              <w:rPr>
                <w:sz w:val="20"/>
                <w:szCs w:val="20"/>
                <w:color w:val="auto"/>
              </w:rPr>
            </w:pPr>
            <w:r>
              <w:rPr>
                <w:rFonts w:ascii="Arial" w:cs="Arial" w:eastAsia="Arial" w:hAnsi="Arial"/>
                <w:sz w:val="18"/>
                <w:szCs w:val="18"/>
                <w:b w:val="1"/>
                <w:bCs w:val="1"/>
                <w:color w:val="auto"/>
                <w:w w:val="90"/>
              </w:rPr>
              <w:t>For the transition period from</w:t>
            </w:r>
          </w:p>
        </w:tc>
        <w:tc>
          <w:tcPr>
            <w:tcW w:w="3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0" w:type="dxa"/>
            <w:vAlign w:val="bottom"/>
          </w:tcPr>
          <w:p>
            <w:pPr>
              <w:ind w:left="40"/>
              <w:spacing w:after="0" w:line="190" w:lineRule="exact"/>
              <w:rPr>
                <w:sz w:val="20"/>
                <w:szCs w:val="20"/>
                <w:color w:val="auto"/>
              </w:rPr>
            </w:pPr>
            <w:r>
              <w:rPr>
                <w:rFonts w:ascii="Arial" w:cs="Arial" w:eastAsia="Arial" w:hAnsi="Arial"/>
                <w:sz w:val="18"/>
                <w:szCs w:val="18"/>
                <w:b w:val="1"/>
                <w:bCs w:val="1"/>
                <w:color w:val="auto"/>
                <w:w w:val="93"/>
              </w:rPr>
              <w:t>to</w:t>
            </w:r>
          </w:p>
        </w:tc>
        <w:tc>
          <w:tcPr>
            <w:tcW w:w="680" w:type="dxa"/>
            <w:vAlign w:val="bottom"/>
            <w:tcBorders>
              <w:bottom w:val="single" w:sz="8" w:color="auto"/>
            </w:tcBorders>
          </w:tcPr>
          <w:p>
            <w:pPr>
              <w:spacing w:after="0"/>
              <w:rPr>
                <w:sz w:val="16"/>
                <w:szCs w:val="16"/>
                <w:color w:val="auto"/>
              </w:rPr>
            </w:pPr>
          </w:p>
        </w:tc>
        <w:tc>
          <w:tcPr>
            <w:tcW w:w="60" w:type="dxa"/>
            <w:vAlign w:val="bottom"/>
          </w:tcPr>
          <w:p>
            <w:pPr>
              <w:jc w:val="right"/>
              <w:spacing w:after="0" w:line="190" w:lineRule="exact"/>
              <w:rPr>
                <w:sz w:val="20"/>
                <w:szCs w:val="20"/>
                <w:color w:val="auto"/>
              </w:rPr>
            </w:pPr>
            <w:r>
              <w:rPr>
                <w:rFonts w:ascii="Arial" w:cs="Arial" w:eastAsia="Arial" w:hAnsi="Arial"/>
                <w:sz w:val="18"/>
                <w:szCs w:val="18"/>
                <w:b w:val="1"/>
                <w:bCs w:val="1"/>
                <w:color w:val="auto"/>
                <w:w w:val="78"/>
              </w:rPr>
              <w:t>.</w:t>
            </w:r>
          </w:p>
        </w:tc>
      </w:tr>
      <w:tr>
        <w:trPr>
          <w:trHeight w:val="196"/>
        </w:trPr>
        <w:tc>
          <w:tcPr>
            <w:tcW w:w="6520" w:type="dxa"/>
            <w:vAlign w:val="bottom"/>
            <w:gridSpan w:val="4"/>
          </w:tcPr>
          <w:p>
            <w:pPr>
              <w:ind w:left="3980"/>
              <w:spacing w:after="0" w:line="196" w:lineRule="exact"/>
              <w:rPr>
                <w:sz w:val="20"/>
                <w:szCs w:val="20"/>
                <w:color w:val="auto"/>
              </w:rPr>
            </w:pPr>
            <w:r>
              <w:rPr>
                <w:rFonts w:ascii="Arial" w:cs="Arial" w:eastAsia="Arial" w:hAnsi="Arial"/>
                <w:sz w:val="18"/>
                <w:szCs w:val="18"/>
                <w:b w:val="1"/>
                <w:bCs w:val="1"/>
                <w:color w:val="auto"/>
                <w:w w:val="86"/>
              </w:rPr>
              <w:t>Commission File Number 1-14840</w:t>
            </w: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5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197485</wp:posOffset>
            </wp:positionV>
            <wp:extent cx="13119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u w:val="single" w:color="auto"/>
          <w:color w:val="auto"/>
        </w:rPr>
        <w:t>AMDOCS LIMITED</w:t>
      </w:r>
    </w:p>
    <w:p>
      <w:pPr>
        <w:spacing w:after="0" w:line="49" w:lineRule="exact"/>
        <w:rPr>
          <w:sz w:val="24"/>
          <w:szCs w:val="24"/>
          <w:color w:val="auto"/>
        </w:rPr>
      </w:pPr>
    </w:p>
    <w:p>
      <w:pPr>
        <w:ind w:left="420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5" w:lineRule="exact"/>
        <w:rPr>
          <w:sz w:val="24"/>
          <w:szCs w:val="24"/>
          <w:color w:val="auto"/>
        </w:rPr>
      </w:pPr>
    </w:p>
    <w:p>
      <w:pPr>
        <w:ind w:left="5160"/>
        <w:spacing w:after="0"/>
        <w:rPr>
          <w:sz w:val="20"/>
          <w:szCs w:val="20"/>
          <w:color w:val="auto"/>
        </w:rPr>
      </w:pPr>
      <w:r>
        <w:rPr>
          <w:rFonts w:ascii="Arial" w:cs="Arial" w:eastAsia="Arial" w:hAnsi="Arial"/>
          <w:sz w:val="14"/>
          <w:szCs w:val="14"/>
          <w:b w:val="1"/>
          <w:bCs w:val="1"/>
          <w:u w:val="single" w:color="auto"/>
          <w:color w:val="auto"/>
        </w:rPr>
        <w:t>Island of Guernsey</w:t>
      </w:r>
    </w:p>
    <w:p>
      <w:pPr>
        <w:jc w:val="center"/>
        <w:ind w:right="-19"/>
        <w:spacing w:after="0" w:line="223" w:lineRule="auto"/>
        <w:rPr>
          <w:sz w:val="20"/>
          <w:szCs w:val="20"/>
          <w:color w:val="auto"/>
        </w:rPr>
      </w:pPr>
      <w:r>
        <w:rPr>
          <w:rFonts w:ascii="Arial" w:cs="Arial" w:eastAsia="Arial" w:hAnsi="Arial"/>
          <w:sz w:val="14"/>
          <w:szCs w:val="14"/>
          <w:b w:val="1"/>
          <w:bCs w:val="1"/>
          <w:color w:val="auto"/>
        </w:rPr>
        <w:t>(Jurisdiction of incorporation or organization)</w:t>
      </w:r>
    </w:p>
    <w:p>
      <w:pPr>
        <w:jc w:val="center"/>
        <w:ind w:right="-19"/>
        <w:spacing w:after="0" w:line="222" w:lineRule="auto"/>
        <w:rPr>
          <w:sz w:val="20"/>
          <w:szCs w:val="20"/>
          <w:color w:val="auto"/>
        </w:rPr>
      </w:pPr>
      <w:r>
        <w:rPr>
          <w:rFonts w:ascii="Arial" w:cs="Arial" w:eastAsia="Arial" w:hAnsi="Arial"/>
          <w:sz w:val="14"/>
          <w:szCs w:val="14"/>
          <w:b w:val="1"/>
          <w:bCs w:val="1"/>
          <w:color w:val="auto"/>
        </w:rPr>
        <w:t>Hirzel House, Smith Street,</w:t>
      </w:r>
    </w:p>
    <w:p>
      <w:pPr>
        <w:jc w:val="center"/>
        <w:ind w:right="-19"/>
        <w:spacing w:after="0" w:line="221" w:lineRule="auto"/>
        <w:rPr>
          <w:sz w:val="20"/>
          <w:szCs w:val="20"/>
          <w:color w:val="auto"/>
        </w:rPr>
      </w:pPr>
      <w:r>
        <w:rPr>
          <w:rFonts w:ascii="Arial" w:cs="Arial" w:eastAsia="Arial" w:hAnsi="Arial"/>
          <w:sz w:val="14"/>
          <w:szCs w:val="14"/>
          <w:b w:val="1"/>
          <w:bCs w:val="1"/>
          <w:color w:val="auto"/>
        </w:rPr>
        <w:t>St. Peter Port, Island of Guernsey, GY1 2NG</w:t>
      </w:r>
    </w:p>
    <w:p>
      <w:pPr>
        <w:jc w:val="center"/>
        <w:ind w:right="-19"/>
        <w:spacing w:after="0" w:line="222" w:lineRule="auto"/>
        <w:rPr>
          <w:sz w:val="20"/>
          <w:szCs w:val="20"/>
          <w:color w:val="auto"/>
        </w:rPr>
      </w:pPr>
      <w:r>
        <w:rPr>
          <w:rFonts w:ascii="Arial" w:cs="Arial" w:eastAsia="Arial" w:hAnsi="Arial"/>
          <w:sz w:val="14"/>
          <w:szCs w:val="14"/>
          <w:b w:val="1"/>
          <w:bCs w:val="1"/>
          <w:color w:val="auto"/>
        </w:rPr>
        <w:t>Amdocs, Inc.</w:t>
      </w:r>
    </w:p>
    <w:p>
      <w:pPr>
        <w:jc w:val="center"/>
        <w:ind w:right="-19"/>
        <w:spacing w:after="0" w:line="221" w:lineRule="auto"/>
        <w:rPr>
          <w:sz w:val="20"/>
          <w:szCs w:val="20"/>
          <w:color w:val="auto"/>
        </w:rPr>
      </w:pPr>
      <w:r>
        <w:rPr>
          <w:rFonts w:ascii="Arial" w:cs="Arial" w:eastAsia="Arial" w:hAnsi="Arial"/>
          <w:sz w:val="14"/>
          <w:szCs w:val="14"/>
          <w:b w:val="1"/>
          <w:bCs w:val="1"/>
          <w:u w:val="single" w:color="auto"/>
          <w:color w:val="auto"/>
        </w:rPr>
        <w:t>1390 Timberlake Manor Parkway, Chesterfield, Missouri 63017</w:t>
      </w: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Elizabeth W. McDermon</w:t>
      </w:r>
    </w:p>
    <w:p>
      <w:pPr>
        <w:jc w:val="center"/>
        <w:ind w:right="-19"/>
        <w:spacing w:after="0" w:line="223" w:lineRule="auto"/>
        <w:rPr>
          <w:sz w:val="20"/>
          <w:szCs w:val="20"/>
          <w:color w:val="auto"/>
        </w:rPr>
      </w:pPr>
      <w:r>
        <w:rPr>
          <w:rFonts w:ascii="Arial" w:cs="Arial" w:eastAsia="Arial" w:hAnsi="Arial"/>
          <w:sz w:val="14"/>
          <w:szCs w:val="14"/>
          <w:b w:val="1"/>
          <w:bCs w:val="1"/>
          <w:color w:val="auto"/>
        </w:rPr>
        <w:t>Amdocs, Inc.</w:t>
      </w:r>
    </w:p>
    <w:p>
      <w:pPr>
        <w:jc w:val="center"/>
        <w:ind w:right="-19"/>
        <w:spacing w:after="0" w:line="222" w:lineRule="auto"/>
        <w:rPr>
          <w:sz w:val="20"/>
          <w:szCs w:val="20"/>
          <w:color w:val="auto"/>
        </w:rPr>
      </w:pPr>
      <w:r>
        <w:rPr>
          <w:rFonts w:ascii="Arial" w:cs="Arial" w:eastAsia="Arial" w:hAnsi="Arial"/>
          <w:sz w:val="14"/>
          <w:szCs w:val="14"/>
          <w:b w:val="1"/>
          <w:bCs w:val="1"/>
          <w:color w:val="auto"/>
        </w:rPr>
        <w:t>1390 Timberlake Manor Parkway, Chesterfield, Missouri 63017</w:t>
      </w:r>
    </w:p>
    <w:p>
      <w:pPr>
        <w:jc w:val="center"/>
        <w:ind w:right="-19"/>
        <w:spacing w:after="0" w:line="221" w:lineRule="auto"/>
        <w:rPr>
          <w:sz w:val="20"/>
          <w:szCs w:val="20"/>
          <w:color w:val="auto"/>
        </w:rPr>
      </w:pPr>
      <w:r>
        <w:rPr>
          <w:rFonts w:ascii="Arial" w:cs="Arial" w:eastAsia="Arial" w:hAnsi="Arial"/>
          <w:sz w:val="14"/>
          <w:szCs w:val="14"/>
          <w:b w:val="1"/>
          <w:bCs w:val="1"/>
          <w:color w:val="auto"/>
        </w:rPr>
        <w:t>Telephone: 314-212-8328</w:t>
      </w:r>
    </w:p>
    <w:p>
      <w:pPr>
        <w:jc w:val="center"/>
        <w:ind w:right="-19"/>
        <w:spacing w:after="0" w:line="222" w:lineRule="auto"/>
        <w:rPr>
          <w:sz w:val="20"/>
          <w:szCs w:val="20"/>
          <w:color w:val="auto"/>
        </w:rPr>
      </w:pPr>
      <w:r>
        <w:rPr>
          <w:rFonts w:ascii="Arial" w:cs="Arial" w:eastAsia="Arial" w:hAnsi="Arial"/>
          <w:sz w:val="14"/>
          <w:szCs w:val="14"/>
          <w:b w:val="1"/>
          <w:bCs w:val="1"/>
          <w:color w:val="auto"/>
        </w:rPr>
        <w:t>Email: dox_info@amdocs.com</w:t>
      </w:r>
    </w:p>
    <w:p>
      <w:pPr>
        <w:jc w:val="center"/>
        <w:ind w:right="-19"/>
        <w:spacing w:after="0"/>
        <w:rPr>
          <w:sz w:val="20"/>
          <w:szCs w:val="20"/>
          <w:color w:val="auto"/>
        </w:rPr>
      </w:pPr>
      <w:r>
        <w:rPr>
          <w:rFonts w:ascii="Arial" w:cs="Arial" w:eastAsia="Arial" w:hAnsi="Arial"/>
          <w:sz w:val="14"/>
          <w:szCs w:val="14"/>
          <w:b w:val="1"/>
          <w:bCs w:val="1"/>
          <w:color w:val="auto"/>
        </w:rPr>
        <w:t>(Name, Telephone, Email and/or Facsimile number and Address of Company Contact Person)</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or to be registered pursuant to Section 12(b) of the Act:</w:t>
      </w:r>
    </w:p>
    <w:p>
      <w:pPr>
        <w:spacing w:after="0" w:line="42" w:lineRule="exact"/>
        <w:rPr>
          <w:sz w:val="24"/>
          <w:szCs w:val="24"/>
          <w:color w:val="auto"/>
        </w:rPr>
      </w:pPr>
    </w:p>
    <w:tbl>
      <w:tblPr>
        <w:tblLayout w:type="fixed"/>
        <w:tblInd w:w="198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240" w:type="dxa"/>
            <w:vAlign w:val="bottom"/>
            <w:gridSpan w:val="2"/>
          </w:tcPr>
          <w:p>
            <w:pPr>
              <w:jc w:val="right"/>
              <w:ind w:right="4092"/>
              <w:spacing w:after="0"/>
              <w:rPr>
                <w:sz w:val="20"/>
                <w:szCs w:val="20"/>
                <w:color w:val="auto"/>
              </w:rPr>
            </w:pPr>
            <w:r>
              <w:rPr>
                <w:rFonts w:ascii="Arial" w:cs="Arial" w:eastAsia="Arial" w:hAnsi="Arial"/>
                <w:sz w:val="14"/>
                <w:szCs w:val="14"/>
                <w:b w:val="1"/>
                <w:bCs w:val="1"/>
                <w:color w:val="auto"/>
                <w:w w:val="85"/>
              </w:rPr>
              <w:t>Title of Each Class</w:t>
            </w:r>
          </w:p>
        </w:tc>
        <w:tc>
          <w:tcPr>
            <w:tcW w:w="2320" w:type="dxa"/>
            <w:vAlign w:val="bottom"/>
            <w:gridSpan w:val="2"/>
          </w:tcPr>
          <w:p>
            <w:pPr>
              <w:spacing w:after="0"/>
              <w:rPr>
                <w:sz w:val="20"/>
                <w:szCs w:val="20"/>
                <w:color w:val="auto"/>
              </w:rPr>
            </w:pPr>
            <w:r>
              <w:rPr>
                <w:rFonts w:ascii="Arial" w:cs="Arial" w:eastAsia="Arial" w:hAnsi="Arial"/>
                <w:sz w:val="14"/>
                <w:szCs w:val="14"/>
                <w:b w:val="1"/>
                <w:bCs w:val="1"/>
                <w:color w:val="auto"/>
                <w:w w:val="85"/>
              </w:rPr>
              <w:t>Name of Exchange on Which Registered</w:t>
            </w:r>
          </w:p>
        </w:tc>
      </w:tr>
      <w:tr>
        <w:trPr>
          <w:trHeight w:val="166"/>
        </w:trPr>
        <w:tc>
          <w:tcPr>
            <w:tcW w:w="380" w:type="dxa"/>
            <w:vAlign w:val="bottom"/>
          </w:tcPr>
          <w:p>
            <w:pPr>
              <w:spacing w:after="0"/>
              <w:rPr>
                <w:sz w:val="20"/>
                <w:szCs w:val="20"/>
                <w:color w:val="auto"/>
              </w:rPr>
            </w:pPr>
            <w:r>
              <w:rPr>
                <w:rFonts w:ascii="Arial" w:cs="Arial" w:eastAsia="Arial" w:hAnsi="Arial"/>
                <w:sz w:val="12"/>
                <w:szCs w:val="12"/>
                <w:color w:val="auto"/>
                <w:w w:val="78"/>
              </w:rPr>
              <w:t>Ordinary</w:t>
            </w:r>
          </w:p>
        </w:tc>
        <w:tc>
          <w:tcPr>
            <w:tcW w:w="1020" w:type="dxa"/>
            <w:vAlign w:val="bottom"/>
            <w:tcBorders>
              <w:top w:val="single" w:sz="8" w:color="auto"/>
            </w:tcBorders>
          </w:tcPr>
          <w:p>
            <w:pPr>
              <w:ind w:left="140"/>
              <w:spacing w:after="0"/>
              <w:rPr>
                <w:sz w:val="20"/>
                <w:szCs w:val="20"/>
                <w:color w:val="auto"/>
              </w:rPr>
            </w:pPr>
            <w:r>
              <w:rPr>
                <w:rFonts w:ascii="Arial" w:cs="Arial" w:eastAsia="Arial" w:hAnsi="Arial"/>
                <w:sz w:val="14"/>
                <w:szCs w:val="14"/>
                <w:color w:val="auto"/>
                <w:w w:val="78"/>
              </w:rPr>
              <w:t>Shares, par value</w:t>
            </w:r>
          </w:p>
        </w:tc>
        <w:tc>
          <w:tcPr>
            <w:tcW w:w="4220" w:type="dxa"/>
            <w:vAlign w:val="bottom"/>
          </w:tcPr>
          <w:p>
            <w:pPr>
              <w:jc w:val="right"/>
              <w:ind w:right="3772"/>
              <w:spacing w:after="0" w:line="155" w:lineRule="exact"/>
              <w:rPr>
                <w:sz w:val="20"/>
                <w:szCs w:val="20"/>
                <w:color w:val="auto"/>
              </w:rPr>
            </w:pPr>
            <w:r>
              <w:rPr>
                <w:rFonts w:ascii="Arial" w:cs="Arial" w:eastAsia="Arial" w:hAnsi="Arial"/>
                <w:sz w:val="14"/>
                <w:szCs w:val="14"/>
                <w:color w:val="auto"/>
              </w:rPr>
              <w:t>£0.01</w:t>
            </w:r>
          </w:p>
        </w:tc>
        <w:tc>
          <w:tcPr>
            <w:tcW w:w="2160" w:type="dxa"/>
            <w:vAlign w:val="bottom"/>
            <w:tcBorders>
              <w:top w:val="single" w:sz="8" w:color="auto"/>
            </w:tcBorders>
          </w:tcPr>
          <w:p>
            <w:pPr>
              <w:ind w:left="340"/>
              <w:spacing w:after="0"/>
              <w:rPr>
                <w:sz w:val="20"/>
                <w:szCs w:val="20"/>
                <w:color w:val="auto"/>
              </w:rPr>
            </w:pPr>
            <w:r>
              <w:rPr>
                <w:rFonts w:ascii="Arial" w:cs="Arial" w:eastAsia="Arial" w:hAnsi="Arial"/>
                <w:sz w:val="14"/>
                <w:szCs w:val="14"/>
                <w:color w:val="auto"/>
              </w:rPr>
              <w:t>New York Stock Exchange</w:t>
            </w:r>
          </w:p>
        </w:tc>
        <w:tc>
          <w:tcPr>
            <w:tcW w:w="160" w:type="dxa"/>
            <w:vAlign w:val="bottom"/>
          </w:tcPr>
          <w:p>
            <w:pPr>
              <w:spacing w:after="0"/>
              <w:rPr>
                <w:sz w:val="14"/>
                <w:szCs w:val="14"/>
                <w:color w:val="auto"/>
              </w:rPr>
            </w:pPr>
          </w:p>
        </w:tc>
      </w:tr>
    </w:tbl>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or to be registered pursuant to Section 12(g) of the Act:</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None</w:t>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for which there is a reporting obligation pursuant to Section 15(d) of the Act:</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120650</wp:posOffset>
            </wp:positionV>
            <wp:extent cx="1311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13" w:lineRule="exact"/>
        <w:rPr>
          <w:sz w:val="24"/>
          <w:szCs w:val="24"/>
          <w:color w:val="auto"/>
        </w:rPr>
      </w:pPr>
    </w:p>
    <w:p>
      <w:pPr>
        <w:ind w:left="360"/>
        <w:spacing w:after="0"/>
        <w:rPr>
          <w:sz w:val="20"/>
          <w:szCs w:val="20"/>
          <w:color w:val="auto"/>
        </w:rPr>
      </w:pPr>
      <w:r>
        <w:rPr>
          <w:rFonts w:ascii="Arial" w:cs="Arial" w:eastAsia="Arial" w:hAnsi="Arial"/>
          <w:sz w:val="12"/>
          <w:szCs w:val="12"/>
          <w:color w:val="auto"/>
        </w:rPr>
        <w:t>Indicate the number of outstanding shares of each of the issuer’s classes of capital or common stock as of the close of the period covered by the annual report.</w:t>
      </w:r>
    </w:p>
    <w:p>
      <w:pPr>
        <w:sectPr>
          <w:pgSz w:w="11900" w:h="16838" w:orient="portrait"/>
          <w:cols w:equalWidth="0" w:num="1">
            <w:col w:w="11420"/>
          </w:cols>
          <w:pgMar w:left="240" w:top="230" w:right="239" w:bottom="1440" w:gutter="0" w:footer="0" w:header="0"/>
        </w:sectPr>
      </w:pPr>
    </w:p>
    <w:p>
      <w:pPr>
        <w:spacing w:after="0" w:line="65" w:lineRule="exact"/>
        <w:rPr>
          <w:sz w:val="24"/>
          <w:szCs w:val="24"/>
          <w:color w:val="auto"/>
        </w:rPr>
      </w:pPr>
    </w:p>
    <w:p>
      <w:pPr>
        <w:jc w:val="center"/>
        <w:ind w:right="1700"/>
        <w:spacing w:after="0"/>
        <w:rPr>
          <w:sz w:val="20"/>
          <w:szCs w:val="20"/>
          <w:color w:val="auto"/>
        </w:rPr>
      </w:pPr>
      <w:r>
        <w:rPr>
          <w:rFonts w:ascii="Arial" w:cs="Arial" w:eastAsia="Arial" w:hAnsi="Arial"/>
          <w:sz w:val="12"/>
          <w:szCs w:val="12"/>
          <w:color w:val="auto"/>
        </w:rPr>
        <w:t>Ordinary Shares, par value £0.01</w:t>
      </w:r>
    </w:p>
    <w:p>
      <w:pPr>
        <w:spacing w:after="0" w:line="22" w:lineRule="exact"/>
        <w:rPr>
          <w:sz w:val="24"/>
          <w:szCs w:val="24"/>
          <w:color w:val="auto"/>
        </w:rPr>
      </w:pPr>
    </w:p>
    <w:p>
      <w:pPr>
        <w:jc w:val="center"/>
        <w:ind w:right="1700"/>
        <w:spacing w:after="0"/>
        <w:rPr>
          <w:sz w:val="20"/>
          <w:szCs w:val="20"/>
          <w:color w:val="auto"/>
        </w:rPr>
      </w:pPr>
      <w:r>
        <w:rPr>
          <w:rFonts w:ascii="Arial" w:cs="Arial" w:eastAsia="Arial" w:hAnsi="Arial"/>
          <w:sz w:val="14"/>
          <w:szCs w:val="14"/>
          <w:color w:val="auto"/>
        </w:rPr>
        <w:t>(Title of class)</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jc w:val="center"/>
        <w:ind w:right="2220"/>
        <w:spacing w:after="0"/>
        <w:rPr>
          <w:sz w:val="20"/>
          <w:szCs w:val="20"/>
          <w:color w:val="auto"/>
        </w:rPr>
      </w:pPr>
      <w:r>
        <w:rPr>
          <w:rFonts w:ascii="Arial" w:cs="Arial" w:eastAsia="Arial" w:hAnsi="Arial"/>
          <w:sz w:val="14"/>
          <w:szCs w:val="14"/>
          <w:color w:val="auto"/>
        </w:rPr>
        <w:t>160,061,975(1)</w:t>
      </w:r>
    </w:p>
    <w:p>
      <w:pPr>
        <w:jc w:val="center"/>
        <w:ind w:right="2220"/>
        <w:spacing w:after="0"/>
        <w:rPr>
          <w:sz w:val="20"/>
          <w:szCs w:val="20"/>
          <w:color w:val="auto"/>
        </w:rPr>
      </w:pPr>
      <w:r>
        <w:rPr>
          <w:rFonts w:ascii="Arial" w:cs="Arial" w:eastAsia="Arial" w:hAnsi="Arial"/>
          <w:sz w:val="12"/>
          <w:szCs w:val="12"/>
          <w:color w:val="auto"/>
        </w:rPr>
        <w:t>(Number of shares)</w:t>
      </w:r>
    </w:p>
    <w:p>
      <w:pPr>
        <w:spacing w:after="0" w:line="23" w:lineRule="exact"/>
        <w:rPr>
          <w:sz w:val="24"/>
          <w:szCs w:val="24"/>
          <w:color w:val="auto"/>
        </w:rPr>
      </w:pPr>
    </w:p>
    <w:p>
      <w:pPr>
        <w:sectPr>
          <w:pgSz w:w="11900" w:h="16838" w:orient="portrait"/>
          <w:cols w:equalWidth="0" w:num="2">
            <w:col w:w="7440" w:space="720"/>
            <w:col w:w="3260"/>
          </w:cols>
          <w:pgMar w:left="240" w:top="230" w:right="239" w:bottom="1440" w:gutter="0" w:footer="0" w:header="0"/>
          <w:type w:val="continuous"/>
        </w:sectPr>
      </w:pPr>
    </w:p>
    <w:p>
      <w:pPr>
        <w:spacing w:after="0" w:line="16" w:lineRule="exact"/>
        <w:rPr>
          <w:sz w:val="24"/>
          <w:szCs w:val="24"/>
          <w:color w:val="auto"/>
        </w:rPr>
      </w:pPr>
    </w:p>
    <w:p>
      <w:pPr>
        <w:ind w:left="360"/>
        <w:spacing w:after="0"/>
        <w:rPr>
          <w:sz w:val="20"/>
          <w:szCs w:val="20"/>
          <w:color w:val="auto"/>
        </w:rPr>
      </w:pPr>
      <w:r>
        <w:rPr>
          <w:rFonts w:ascii="Arial" w:cs="Arial" w:eastAsia="Arial" w:hAnsi="Arial"/>
          <w:sz w:val="12"/>
          <w:szCs w:val="12"/>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00"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No</w:t>
      </w:r>
    </w:p>
    <w:p>
      <w:pPr>
        <w:spacing w:after="0" w:line="20" w:lineRule="exact"/>
        <w:rPr>
          <w:sz w:val="24"/>
          <w:szCs w:val="24"/>
          <w:color w:val="auto"/>
        </w:rPr>
      </w:pPr>
      <w:r>
        <w:rPr>
          <w:sz w:val="24"/>
          <w:szCs w:val="24"/>
          <w:color w:val="auto"/>
        </w:rPr>
        <w:br w:type="column"/>
      </w:r>
    </w:p>
    <w:p>
      <w:pPr>
        <w:spacing w:after="0" w:line="100" w:lineRule="exact"/>
        <w:rPr>
          <w:sz w:val="20"/>
          <w:szCs w:val="20"/>
          <w:color w:val="auto"/>
        </w:rPr>
      </w:pPr>
      <w:r>
        <w:rPr>
          <w:rFonts w:ascii="MS PGothic" w:cs="MS PGothic" w:eastAsia="MS PGothic" w:hAnsi="MS PGothic"/>
          <w:sz w:val="12"/>
          <w:szCs w:val="12"/>
          <w:color w:val="auto"/>
        </w:rPr>
        <w:t>☐</w:t>
      </w:r>
    </w:p>
    <w:p>
      <w:pPr>
        <w:spacing w:after="0" w:line="85" w:lineRule="exact"/>
        <w:rPr>
          <w:sz w:val="24"/>
          <w:szCs w:val="24"/>
          <w:color w:val="auto"/>
        </w:rPr>
      </w:pPr>
    </w:p>
    <w:p>
      <w:pPr>
        <w:sectPr>
          <w:pgSz w:w="11900" w:h="16838" w:orient="portrait"/>
          <w:cols w:equalWidth="0" w:num="5">
            <w:col w:w="6700" w:space="120"/>
            <w:col w:w="200" w:space="60"/>
            <w:col w:w="120" w:space="140"/>
            <w:col w:w="160" w:space="80"/>
            <w:col w:w="3840"/>
          </w:cols>
          <w:pgMar w:left="240" w:top="230" w:right="239" w:bottom="1440" w:gutter="0" w:footer="0" w:header="0"/>
          <w:type w:val="continuous"/>
        </w:sectPr>
      </w:pPr>
    </w:p>
    <w:p>
      <w:pPr>
        <w:ind w:right="1340" w:firstLine="342"/>
        <w:spacing w:after="0" w:line="168" w:lineRule="exact"/>
        <w:rPr>
          <w:sz w:val="20"/>
          <w:szCs w:val="20"/>
          <w:color w:val="auto"/>
        </w:rPr>
      </w:pPr>
      <w:r>
        <w:rPr>
          <w:rFonts w:ascii="Arial" w:cs="Arial" w:eastAsia="Arial" w:hAnsi="Arial"/>
          <w:sz w:val="14"/>
          <w:szCs w:val="14"/>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 w:lineRule="exact"/>
        <w:rPr>
          <w:sz w:val="24"/>
          <w:szCs w:val="24"/>
          <w:color w:val="auto"/>
        </w:rPr>
      </w:pPr>
    </w:p>
    <w:p>
      <w:pPr>
        <w:ind w:right="40" w:firstLine="342"/>
        <w:spacing w:after="0" w:line="16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 w:lineRule="exact"/>
        <w:rPr>
          <w:sz w:val="24"/>
          <w:szCs w:val="24"/>
          <w:color w:val="auto"/>
        </w:rPr>
      </w:pPr>
    </w:p>
    <w:p>
      <w:pPr>
        <w:ind w:right="40" w:firstLine="342"/>
        <w:spacing w:after="0" w:line="168" w:lineRule="exact"/>
        <w:rPr>
          <w:sz w:val="20"/>
          <w:szCs w:val="20"/>
          <w:color w:val="auto"/>
        </w:rPr>
      </w:pPr>
      <w:r>
        <w:rPr>
          <w:rFonts w:ascii="Arial" w:cs="Arial" w:eastAsia="Arial" w:hAnsi="Arial"/>
          <w:sz w:val="12"/>
          <w:szCs w:val="12"/>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3" w:lineRule="exact"/>
        <w:rPr>
          <w:sz w:val="24"/>
          <w:szCs w:val="24"/>
          <w:color w:val="auto"/>
        </w:rPr>
      </w:pPr>
    </w:p>
    <w:p>
      <w:pPr>
        <w:ind w:left="360"/>
        <w:spacing w:after="0"/>
        <w:rPr>
          <w:sz w:val="20"/>
          <w:szCs w:val="20"/>
          <w:color w:val="auto"/>
        </w:rPr>
      </w:pPr>
      <w:r>
        <w:rPr>
          <w:rFonts w:ascii="Arial" w:cs="Arial" w:eastAsia="Arial" w:hAnsi="Arial"/>
          <w:sz w:val="12"/>
          <w:szCs w:val="12"/>
          <w:color w:val="auto"/>
        </w:rPr>
        <w:t>Indicate by check mark whether the registrant is a large accelerated filer, an accelerated filer, or a non-accelerated filer. See definition of “accelerated filer and large accelerated filer” in Rule 12b-2 of the</w:t>
      </w:r>
    </w:p>
    <w:p>
      <w:pPr>
        <w:spacing w:after="0" w:line="22" w:lineRule="exact"/>
        <w:rPr>
          <w:sz w:val="24"/>
          <w:szCs w:val="24"/>
          <w:color w:val="auto"/>
        </w:rPr>
      </w:pPr>
    </w:p>
    <w:p>
      <w:pPr>
        <w:spacing w:after="0"/>
        <w:rPr>
          <w:sz w:val="20"/>
          <w:szCs w:val="20"/>
          <w:color w:val="auto"/>
        </w:rPr>
      </w:pPr>
      <w:r>
        <w:rPr>
          <w:rFonts w:ascii="Arial" w:cs="Arial" w:eastAsia="Arial" w:hAnsi="Arial"/>
          <w:sz w:val="14"/>
          <w:szCs w:val="14"/>
          <w:color w:val="auto"/>
        </w:rPr>
        <w:t>Exchange Act. (Check one):</w:t>
      </w:r>
    </w:p>
    <w:p>
      <w:pPr>
        <w:spacing w:after="0" w:line="5" w:lineRule="exact"/>
        <w:rPr>
          <w:sz w:val="24"/>
          <w:szCs w:val="24"/>
          <w:color w:val="auto"/>
        </w:rPr>
      </w:pPr>
    </w:p>
    <w:p>
      <w:pPr>
        <w:spacing w:after="0" w:line="161" w:lineRule="exact"/>
        <w:tabs>
          <w:tab w:leader="none" w:pos="6560" w:val="left"/>
          <w:tab w:leader="none" w:pos="1006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color w:val="auto"/>
        </w:rPr>
        <w:t xml:space="preserve">Non-accelerated filer </w:t>
      </w:r>
      <w:r>
        <w:rPr>
          <w:rFonts w:ascii="MS PGothic" w:cs="MS PGothic" w:eastAsia="MS PGothic" w:hAnsi="MS PGothic"/>
          <w:sz w:val="12"/>
          <w:szCs w:val="12"/>
          <w:color w:val="auto"/>
        </w:rPr>
        <w:t>☐</w:t>
      </w:r>
    </w:p>
    <w:p>
      <w:pPr>
        <w:spacing w:after="0" w:line="53" w:lineRule="exact"/>
        <w:rPr>
          <w:sz w:val="24"/>
          <w:szCs w:val="24"/>
          <w:color w:val="auto"/>
        </w:rPr>
      </w:pPr>
    </w:p>
    <w:p>
      <w:pPr>
        <w:ind w:left="360"/>
        <w:spacing w:after="0"/>
        <w:rPr>
          <w:sz w:val="20"/>
          <w:szCs w:val="20"/>
          <w:color w:val="auto"/>
        </w:rPr>
      </w:pPr>
      <w:r>
        <w:rPr>
          <w:rFonts w:ascii="Arial" w:cs="Arial" w:eastAsia="Arial" w:hAnsi="Arial"/>
          <w:sz w:val="14"/>
          <w:szCs w:val="14"/>
          <w:color w:val="auto"/>
        </w:rPr>
        <w:t>Indicate by check mark which basis of accounting the registrant has used to prepare the financial statements included in this filing:</w:t>
      </w:r>
    </w:p>
    <w:p>
      <w:pPr>
        <w:sectPr>
          <w:pgSz w:w="11900" w:h="16838" w:orient="portrait"/>
          <w:cols w:equalWidth="0" w:num="1">
            <w:col w:w="11420"/>
          </w:cols>
          <w:pgMar w:left="240" w:top="230" w:right="239" w:bottom="1440" w:gutter="0" w:footer="0" w:header="0"/>
          <w:type w:val="continuous"/>
        </w:sectPr>
      </w:pPr>
    </w:p>
    <w:p>
      <w:pPr>
        <w:spacing w:after="0" w:line="42" w:lineRule="exact"/>
        <w:rPr>
          <w:sz w:val="24"/>
          <w:szCs w:val="24"/>
          <w:color w:val="auto"/>
        </w:rPr>
      </w:pPr>
    </w:p>
    <w:p>
      <w:pPr>
        <w:ind w:left="920"/>
        <w:spacing w:after="0"/>
        <w:rPr>
          <w:sz w:val="20"/>
          <w:szCs w:val="20"/>
          <w:color w:val="auto"/>
        </w:rPr>
      </w:pPr>
      <w:r>
        <w:rPr>
          <w:rFonts w:ascii="Arial" w:cs="Arial" w:eastAsia="Arial" w:hAnsi="Arial"/>
          <w:sz w:val="12"/>
          <w:szCs w:val="12"/>
          <w:color w:val="auto"/>
        </w:rPr>
        <w:t>U.S. GAAP</w:t>
      </w:r>
    </w:p>
    <w:p>
      <w:pPr>
        <w:spacing w:after="0" w:line="20" w:lineRule="exact"/>
        <w:rPr>
          <w:sz w:val="24"/>
          <w:szCs w:val="24"/>
          <w:color w:val="auto"/>
        </w:rPr>
      </w:pPr>
      <w:r>
        <w:rPr>
          <w:sz w:val="24"/>
          <w:szCs w:val="24"/>
          <w:color w:val="auto"/>
        </w:rPr>
        <w:br w:type="column"/>
      </w:r>
    </w:p>
    <w:p>
      <w:pPr>
        <w:spacing w:after="0" w:line="118"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jc w:val="right"/>
        <w:spacing w:after="0" w:line="283" w:lineRule="auto"/>
        <w:rPr>
          <w:sz w:val="20"/>
          <w:szCs w:val="20"/>
          <w:color w:val="auto"/>
        </w:rPr>
      </w:pPr>
      <w:r>
        <w:rPr>
          <w:rFonts w:ascii="Arial" w:cs="Arial" w:eastAsia="Arial" w:hAnsi="Arial"/>
          <w:sz w:val="12"/>
          <w:szCs w:val="12"/>
          <w:color w:val="auto"/>
        </w:rPr>
        <w:t>International Financial Reporting Standards as issued by the International Accounting Standards Board</w:t>
      </w:r>
    </w:p>
    <w:p>
      <w:pPr>
        <w:spacing w:after="0" w:line="20" w:lineRule="exact"/>
        <w:rPr>
          <w:sz w:val="24"/>
          <w:szCs w:val="24"/>
          <w:color w:val="auto"/>
        </w:rPr>
      </w:pPr>
      <w:r>
        <w:rPr>
          <w:sz w:val="24"/>
          <w:szCs w:val="24"/>
          <w:color w:val="auto"/>
        </w:rPr>
        <w:br w:type="column"/>
      </w:r>
    </w:p>
    <w:p>
      <w:pPr>
        <w:spacing w:after="0" w:line="118"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Arial" w:cs="Arial" w:eastAsia="Arial" w:hAnsi="Arial"/>
          <w:sz w:val="12"/>
          <w:szCs w:val="12"/>
          <w:color w:val="auto"/>
        </w:rPr>
        <w:t>Other</w:t>
      </w:r>
    </w:p>
    <w:p>
      <w:pPr>
        <w:spacing w:after="0" w:line="20" w:lineRule="exact"/>
        <w:rPr>
          <w:sz w:val="24"/>
          <w:szCs w:val="24"/>
          <w:color w:val="auto"/>
        </w:rPr>
      </w:pPr>
      <w:r>
        <w:rPr>
          <w:sz w:val="24"/>
          <w:szCs w:val="24"/>
          <w:color w:val="auto"/>
        </w:rPr>
        <w:br w:type="column"/>
      </w:r>
    </w:p>
    <w:p>
      <w:pPr>
        <w:spacing w:after="0" w:line="118" w:lineRule="exact"/>
        <w:rPr>
          <w:sz w:val="20"/>
          <w:szCs w:val="20"/>
          <w:color w:val="auto"/>
        </w:rPr>
      </w:pPr>
      <w:r>
        <w:rPr>
          <w:rFonts w:ascii="MS PGothic" w:cs="MS PGothic" w:eastAsia="MS PGothic" w:hAnsi="MS PGothic"/>
          <w:sz w:val="12"/>
          <w:szCs w:val="12"/>
          <w:color w:val="auto"/>
        </w:rPr>
        <w:t>☐</w:t>
      </w:r>
    </w:p>
    <w:p>
      <w:pPr>
        <w:spacing w:after="0" w:line="231" w:lineRule="exact"/>
        <w:rPr>
          <w:sz w:val="24"/>
          <w:szCs w:val="24"/>
          <w:color w:val="auto"/>
        </w:rPr>
      </w:pPr>
    </w:p>
    <w:p>
      <w:pPr>
        <w:sectPr>
          <w:pgSz w:w="11900" w:h="16838" w:orient="portrait"/>
          <w:cols w:equalWidth="0" w:num="6">
            <w:col w:w="1560" w:space="80"/>
            <w:col w:w="2080" w:space="720"/>
            <w:col w:w="2880" w:space="60"/>
            <w:col w:w="1900" w:space="720"/>
            <w:col w:w="320" w:space="60"/>
            <w:col w:w="1040"/>
          </w:cols>
          <w:pgMar w:left="240" w:top="230" w:right="239" w:bottom="1440" w:gutter="0" w:footer="0" w:header="0"/>
          <w:type w:val="continuous"/>
        </w:sectPr>
      </w:pPr>
    </w:p>
    <w:p>
      <w:pPr>
        <w:spacing w:after="0" w:line="25" w:lineRule="exact"/>
        <w:rPr>
          <w:sz w:val="24"/>
          <w:szCs w:val="24"/>
          <w:color w:val="auto"/>
        </w:rPr>
      </w:pPr>
    </w:p>
    <w:p>
      <w:pPr>
        <w:ind w:left="360"/>
        <w:spacing w:after="0"/>
        <w:rPr>
          <w:sz w:val="20"/>
          <w:szCs w:val="20"/>
          <w:color w:val="auto"/>
        </w:rPr>
      </w:pPr>
      <w:r>
        <w:rPr>
          <w:rFonts w:ascii="Arial" w:cs="Arial" w:eastAsia="Arial" w:hAnsi="Arial"/>
          <w:sz w:val="12"/>
          <w:szCs w:val="12"/>
          <w:color w:val="auto"/>
        </w:rPr>
        <w:t>If this is an annual report, 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2"/>
          <w:szCs w:val="12"/>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07" w:lineRule="exact"/>
        <w:rPr>
          <w:sz w:val="24"/>
          <w:szCs w:val="24"/>
          <w:color w:val="auto"/>
        </w:rPr>
      </w:pPr>
    </w:p>
    <w:p>
      <w:pPr>
        <w:sectPr>
          <w:pgSz w:w="11900" w:h="16838" w:orient="portrait"/>
          <w:cols w:equalWidth="0" w:num="5">
            <w:col w:w="7900" w:space="120"/>
            <w:col w:w="200" w:space="80"/>
            <w:col w:w="120" w:space="140"/>
            <w:col w:w="160" w:space="60"/>
            <w:col w:w="2640"/>
          </w:cols>
          <w:pgMar w:left="240" w:top="230" w:right="239" w:bottom="1440" w:gutter="0" w:footer="0" w:header="0"/>
          <w:type w:val="continuous"/>
        </w:sectPr>
      </w:pPr>
    </w:p>
    <w:p>
      <w:pPr>
        <w:ind w:left="340" w:right="260" w:hanging="332"/>
        <w:spacing w:after="0" w:line="239"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Net of 99,605,716 shares held in treasury. Does not include (a) 12,137,186 ordinary shares reserved for issuance upon exercise of stock options granted under our stock option plan or by companies we have acquired, and (b) 24,096 ordinary shares reserved for issuance upon conversion of outstanding convertible debt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AMDOCS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66040</wp:posOffset>
            </wp:positionV>
            <wp:extent cx="13119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20-F</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ANNUAL REPORT FOR THE FISCAL YEAR ENDED SEPTEMBER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58420</wp:posOffset>
            </wp:positionV>
            <wp:extent cx="13119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15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vMerge w:val="restart"/>
          </w:tcPr>
          <w:p>
            <w:pPr>
              <w:spacing w:after="0"/>
              <w:rPr>
                <w:sz w:val="20"/>
                <w:szCs w:val="20"/>
                <w:color w:val="auto"/>
              </w:rPr>
            </w:pPr>
            <w:r>
              <w:rPr>
                <w:rFonts w:ascii="Arial" w:cs="Arial" w:eastAsia="Arial" w:hAnsi="Arial"/>
                <w:sz w:val="18"/>
                <w:szCs w:val="18"/>
                <w:b w:val="1"/>
                <w:bCs w:val="1"/>
                <w:color w:val="auto"/>
              </w:rPr>
              <w:t>Item 1.</w:t>
            </w: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Borders>
              <w:bottom w:val="single" w:sz="8" w:color="0000EE"/>
            </w:tcBorders>
          </w:tcPr>
          <w:p>
            <w:pPr>
              <w:spacing w:after="0"/>
              <w:rPr>
                <w:rFonts w:ascii="Arial" w:cs="Arial" w:eastAsia="Arial" w:hAnsi="Arial"/>
                <w:sz w:val="18"/>
                <w:szCs w:val="18"/>
                <w:b w:val="1"/>
                <w:bCs w:val="1"/>
                <w:color w:val="0000EE"/>
                <w:w w:val="94"/>
              </w:rPr>
            </w:pPr>
            <w:hyperlink w:anchor="page4">
              <w:r>
                <w:rPr>
                  <w:rFonts w:ascii="Arial" w:cs="Arial" w:eastAsia="Arial" w:hAnsi="Arial"/>
                  <w:sz w:val="18"/>
                  <w:szCs w:val="18"/>
                  <w:b w:val="1"/>
                  <w:bCs w:val="1"/>
                  <w:color w:val="0000EE"/>
                  <w:w w:val="94"/>
                </w:rPr>
                <w:t>PART I</w:t>
              </w:r>
            </w:hyperlink>
          </w:p>
        </w:tc>
        <w:tc>
          <w:tcPr>
            <w:tcW w:w="5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vMerge w:val="continue"/>
          </w:tcPr>
          <w:p>
            <w:pPr>
              <w:spacing w:after="0"/>
              <w:rPr>
                <w:sz w:val="17"/>
                <w:szCs w:val="17"/>
                <w:color w:val="auto"/>
              </w:rPr>
            </w:pPr>
          </w:p>
        </w:tc>
        <w:tc>
          <w:tcPr>
            <w:tcW w:w="392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Identity of Directors, Senior Management and Advisers</w:t>
              </w:r>
            </w:hyperlink>
          </w:p>
        </w:tc>
        <w:tc>
          <w:tcPr>
            <w:tcW w:w="340" w:type="dxa"/>
            <w:vAlign w:val="bottom"/>
          </w:tcPr>
          <w:p>
            <w:pPr>
              <w:spacing w:after="0"/>
              <w:rPr>
                <w:sz w:val="17"/>
                <w:szCs w:val="17"/>
                <w:color w:val="auto"/>
              </w:rPr>
            </w:pPr>
          </w:p>
        </w:tc>
        <w:tc>
          <w:tcPr>
            <w:tcW w:w="59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2.</w:t>
            </w:r>
          </w:p>
        </w:tc>
        <w:tc>
          <w:tcPr>
            <w:tcW w:w="4260" w:type="dxa"/>
            <w:vAlign w:val="bottom"/>
            <w:gridSpan w:val="1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Offer Statistics and Expected Timetable</w:t>
              </w:r>
            </w:hyperlink>
          </w:p>
        </w:tc>
        <w:tc>
          <w:tcPr>
            <w:tcW w:w="59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3.</w:t>
            </w:r>
          </w:p>
        </w:tc>
        <w:tc>
          <w:tcPr>
            <w:tcW w:w="28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Key Information</w:t>
              </w:r>
            </w:hyperlink>
          </w:p>
        </w:tc>
        <w:tc>
          <w:tcPr>
            <w:tcW w:w="1460" w:type="dxa"/>
            <w:vAlign w:val="bottom"/>
            <w:gridSpan w:val="6"/>
          </w:tcPr>
          <w:p>
            <w:pPr>
              <w:spacing w:after="0"/>
              <w:rPr>
                <w:sz w:val="17"/>
                <w:szCs w:val="17"/>
                <w:color w:val="auto"/>
              </w:rPr>
            </w:pPr>
          </w:p>
        </w:tc>
        <w:tc>
          <w:tcPr>
            <w:tcW w:w="59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rPr>
                <w:sz w:val="20"/>
                <w:szCs w:val="20"/>
                <w:color w:val="auto"/>
              </w:rPr>
            </w:pPr>
            <w:r>
              <w:rPr>
                <w:rFonts w:ascii="Arial" w:cs="Arial" w:eastAsia="Arial" w:hAnsi="Arial"/>
                <w:sz w:val="18"/>
                <w:szCs w:val="18"/>
                <w:b w:val="1"/>
                <w:bCs w:val="1"/>
                <w:color w:val="auto"/>
              </w:rPr>
              <w:t>Item 4.</w:t>
            </w:r>
          </w:p>
        </w:tc>
        <w:tc>
          <w:tcPr>
            <w:tcW w:w="11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vMerge w:val="continue"/>
          </w:tcPr>
          <w:p>
            <w:pPr>
              <w:spacing w:after="0"/>
              <w:rPr>
                <w:sz w:val="17"/>
                <w:szCs w:val="17"/>
                <w:color w:val="auto"/>
              </w:rPr>
            </w:pPr>
          </w:p>
        </w:tc>
        <w:tc>
          <w:tcPr>
            <w:tcW w:w="20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Information on the Company</w:t>
              </w:r>
            </w:hyperlink>
          </w:p>
        </w:tc>
        <w:tc>
          <w:tcPr>
            <w:tcW w:w="2200" w:type="dxa"/>
            <w:vAlign w:val="bottom"/>
            <w:gridSpan w:val="7"/>
          </w:tcPr>
          <w:p>
            <w:pPr>
              <w:spacing w:after="0"/>
              <w:rPr>
                <w:sz w:val="17"/>
                <w:szCs w:val="17"/>
                <w:color w:val="auto"/>
              </w:rPr>
            </w:pPr>
          </w:p>
        </w:tc>
        <w:tc>
          <w:tcPr>
            <w:tcW w:w="59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4A.</w:t>
            </w:r>
          </w:p>
        </w:tc>
        <w:tc>
          <w:tcPr>
            <w:tcW w:w="4260" w:type="dxa"/>
            <w:vAlign w:val="bottom"/>
            <w:gridSpan w:val="13"/>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Unresolved Staff Comments</w:t>
              </w:r>
            </w:hyperlink>
          </w:p>
        </w:tc>
        <w:tc>
          <w:tcPr>
            <w:tcW w:w="59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rPr>
                <w:sz w:val="20"/>
                <w:szCs w:val="20"/>
                <w:color w:val="auto"/>
              </w:rPr>
            </w:pPr>
            <w:r>
              <w:rPr>
                <w:rFonts w:ascii="Arial" w:cs="Arial" w:eastAsia="Arial" w:hAnsi="Arial"/>
                <w:sz w:val="18"/>
                <w:szCs w:val="18"/>
                <w:b w:val="1"/>
                <w:bCs w:val="1"/>
                <w:color w:val="auto"/>
              </w:rPr>
              <w:t>Item 5.</w:t>
            </w:r>
          </w:p>
        </w:tc>
        <w:tc>
          <w:tcPr>
            <w:tcW w:w="1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vMerge w:val="continue"/>
          </w:tcPr>
          <w:p>
            <w:pPr>
              <w:spacing w:after="0"/>
              <w:rPr>
                <w:sz w:val="17"/>
                <w:szCs w:val="17"/>
                <w:color w:val="auto"/>
              </w:rPr>
            </w:pPr>
          </w:p>
        </w:tc>
        <w:tc>
          <w:tcPr>
            <w:tcW w:w="332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Operating and Financial Review and Prospects</w:t>
              </w:r>
            </w:hyperlink>
          </w:p>
        </w:tc>
        <w:tc>
          <w:tcPr>
            <w:tcW w:w="940" w:type="dxa"/>
            <w:vAlign w:val="bottom"/>
            <w:gridSpan w:val="4"/>
          </w:tcPr>
          <w:p>
            <w:pPr>
              <w:spacing w:after="0"/>
              <w:rPr>
                <w:sz w:val="17"/>
                <w:szCs w:val="17"/>
                <w:color w:val="auto"/>
              </w:rPr>
            </w:pPr>
          </w:p>
        </w:tc>
        <w:tc>
          <w:tcPr>
            <w:tcW w:w="59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6.</w:t>
            </w:r>
          </w:p>
        </w:tc>
        <w:tc>
          <w:tcPr>
            <w:tcW w:w="330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45">
              <w:r>
                <w:rPr>
                  <w:rFonts w:ascii="Arial" w:cs="Arial" w:eastAsia="Arial" w:hAnsi="Arial"/>
                  <w:sz w:val="18"/>
                  <w:szCs w:val="18"/>
                  <w:color w:val="0000EE"/>
                  <w:w w:val="87"/>
                </w:rPr>
                <w:t>Directors, Senior Management and Employees</w:t>
              </w:r>
            </w:hyperlink>
          </w:p>
        </w:tc>
        <w:tc>
          <w:tcPr>
            <w:tcW w:w="960" w:type="dxa"/>
            <w:vAlign w:val="bottom"/>
            <w:gridSpan w:val="5"/>
          </w:tcPr>
          <w:p>
            <w:pPr>
              <w:spacing w:after="0"/>
              <w:rPr>
                <w:sz w:val="17"/>
                <w:szCs w:val="17"/>
                <w:color w:val="auto"/>
              </w:rPr>
            </w:pPr>
          </w:p>
        </w:tc>
        <w:tc>
          <w:tcPr>
            <w:tcW w:w="59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7.</w:t>
            </w:r>
          </w:p>
        </w:tc>
        <w:tc>
          <w:tcPr>
            <w:tcW w:w="4260" w:type="dxa"/>
            <w:vAlign w:val="bottom"/>
            <w:gridSpan w:val="13"/>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Major Shareholders and Related Party Transactions</w:t>
              </w:r>
            </w:hyperlink>
          </w:p>
        </w:tc>
        <w:tc>
          <w:tcPr>
            <w:tcW w:w="59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8.</w:t>
            </w:r>
          </w:p>
        </w:tc>
        <w:tc>
          <w:tcPr>
            <w:tcW w:w="15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w:anchor="page53">
              <w:r>
                <w:rPr>
                  <w:rFonts w:ascii="Arial" w:cs="Arial" w:eastAsia="Arial" w:hAnsi="Arial"/>
                  <w:sz w:val="18"/>
                  <w:szCs w:val="18"/>
                  <w:color w:val="0000EE"/>
                  <w:w w:val="92"/>
                </w:rPr>
                <w:t>Financial Information</w:t>
              </w:r>
            </w:hyperlink>
          </w:p>
        </w:tc>
        <w:tc>
          <w:tcPr>
            <w:tcW w:w="2060" w:type="dxa"/>
            <w:vAlign w:val="bottom"/>
            <w:tcBorders>
              <w:top w:val="single" w:sz="8" w:color="0000EE"/>
            </w:tcBorders>
            <w:gridSpan w:val="7"/>
          </w:tcPr>
          <w:p>
            <w:pPr>
              <w:spacing w:after="0"/>
              <w:rPr>
                <w:sz w:val="17"/>
                <w:szCs w:val="17"/>
                <w:color w:val="auto"/>
              </w:rPr>
            </w:pPr>
          </w:p>
        </w:tc>
        <w:tc>
          <w:tcPr>
            <w:tcW w:w="640" w:type="dxa"/>
            <w:vAlign w:val="bottom"/>
            <w:gridSpan w:val="3"/>
          </w:tcPr>
          <w:p>
            <w:pPr>
              <w:spacing w:after="0"/>
              <w:rPr>
                <w:sz w:val="17"/>
                <w:szCs w:val="17"/>
                <w:color w:val="auto"/>
              </w:rPr>
            </w:pPr>
          </w:p>
        </w:tc>
        <w:tc>
          <w:tcPr>
            <w:tcW w:w="59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9.</w:t>
            </w:r>
          </w:p>
        </w:tc>
        <w:tc>
          <w:tcPr>
            <w:tcW w:w="4260" w:type="dxa"/>
            <w:vAlign w:val="bottom"/>
            <w:gridSpan w:val="13"/>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The Offer and Listing</w:t>
              </w:r>
            </w:hyperlink>
          </w:p>
        </w:tc>
        <w:tc>
          <w:tcPr>
            <w:tcW w:w="59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rPr>
                <w:sz w:val="20"/>
                <w:szCs w:val="20"/>
                <w:color w:val="auto"/>
              </w:rPr>
            </w:pPr>
            <w:r>
              <w:rPr>
                <w:rFonts w:ascii="Arial" w:cs="Arial" w:eastAsia="Arial" w:hAnsi="Arial"/>
                <w:sz w:val="18"/>
                <w:szCs w:val="18"/>
                <w:b w:val="1"/>
                <w:bCs w:val="1"/>
                <w:color w:val="auto"/>
              </w:rPr>
              <w:t>Item 10.</w:t>
            </w:r>
          </w:p>
        </w:tc>
        <w:tc>
          <w:tcPr>
            <w:tcW w:w="154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160" w:type="dxa"/>
            <w:vAlign w:val="bottom"/>
            <w:gridSpan w:val="7"/>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vMerge w:val="continue"/>
          </w:tcPr>
          <w:p>
            <w:pPr>
              <w:spacing w:after="0"/>
              <w:rPr>
                <w:sz w:val="17"/>
                <w:szCs w:val="17"/>
                <w:color w:val="auto"/>
              </w:rPr>
            </w:pPr>
          </w:p>
        </w:tc>
        <w:tc>
          <w:tcPr>
            <w:tcW w:w="4260" w:type="dxa"/>
            <w:vAlign w:val="bottom"/>
            <w:gridSpan w:val="13"/>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Additional Information</w:t>
              </w:r>
            </w:hyperlink>
          </w:p>
        </w:tc>
        <w:tc>
          <w:tcPr>
            <w:tcW w:w="59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rPr>
                <w:sz w:val="20"/>
                <w:szCs w:val="20"/>
                <w:color w:val="auto"/>
              </w:rPr>
            </w:pPr>
            <w:r>
              <w:rPr>
                <w:rFonts w:ascii="Arial" w:cs="Arial" w:eastAsia="Arial" w:hAnsi="Arial"/>
                <w:sz w:val="18"/>
                <w:szCs w:val="18"/>
                <w:b w:val="1"/>
                <w:bCs w:val="1"/>
                <w:color w:val="auto"/>
              </w:rPr>
              <w:t>Item 11.</w:t>
            </w:r>
          </w:p>
        </w:tc>
        <w:tc>
          <w:tcPr>
            <w:tcW w:w="1640" w:type="dxa"/>
            <w:vAlign w:val="bottom"/>
            <w:gridSpan w:val="4"/>
            <w:shd w:val="clear" w:color="auto" w:fill="0000EE"/>
          </w:tcPr>
          <w:p>
            <w:pPr>
              <w:spacing w:after="0" w:line="20" w:lineRule="exact"/>
              <w:rPr>
                <w:sz w:val="1"/>
                <w:szCs w:val="1"/>
                <w:color w:val="auto"/>
              </w:rPr>
            </w:pPr>
          </w:p>
        </w:tc>
        <w:tc>
          <w:tcPr>
            <w:tcW w:w="2160" w:type="dxa"/>
            <w:vAlign w:val="bottom"/>
            <w:gridSpan w:val="7"/>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vMerge w:val="continue"/>
          </w:tcPr>
          <w:p>
            <w:pPr>
              <w:spacing w:after="0"/>
              <w:rPr>
                <w:sz w:val="17"/>
                <w:szCs w:val="17"/>
                <w:color w:val="auto"/>
              </w:rPr>
            </w:pPr>
          </w:p>
        </w:tc>
        <w:tc>
          <w:tcPr>
            <w:tcW w:w="426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Quantitative and Qualitative Disclosures About Market Risk</w:t>
              </w:r>
            </w:hyperlink>
          </w:p>
        </w:tc>
        <w:tc>
          <w:tcPr>
            <w:tcW w:w="59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12.</w:t>
            </w:r>
          </w:p>
        </w:tc>
        <w:tc>
          <w:tcPr>
            <w:tcW w:w="380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Description of Securities Other than Equity Securities</w:t>
              </w:r>
            </w:hyperlink>
          </w:p>
        </w:tc>
        <w:tc>
          <w:tcPr>
            <w:tcW w:w="460" w:type="dxa"/>
            <w:vAlign w:val="bottom"/>
            <w:gridSpan w:val="2"/>
          </w:tcPr>
          <w:p>
            <w:pPr>
              <w:spacing w:after="0"/>
              <w:rPr>
                <w:sz w:val="17"/>
                <w:szCs w:val="17"/>
                <w:color w:val="auto"/>
              </w:rPr>
            </w:pPr>
          </w:p>
        </w:tc>
        <w:tc>
          <w:tcPr>
            <w:tcW w:w="59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bl>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vMerge w:val="restart"/>
          </w:tcPr>
          <w:p>
            <w:pPr>
              <w:spacing w:after="0"/>
              <w:rPr>
                <w:sz w:val="20"/>
                <w:szCs w:val="20"/>
                <w:color w:val="auto"/>
              </w:rPr>
            </w:pPr>
            <w:r>
              <w:rPr>
                <w:rFonts w:ascii="Arial" w:cs="Arial" w:eastAsia="Arial" w:hAnsi="Arial"/>
                <w:sz w:val="18"/>
                <w:szCs w:val="18"/>
                <w:b w:val="1"/>
                <w:bCs w:val="1"/>
                <w:color w:val="auto"/>
              </w:rPr>
              <w:t>Item 13.</w:t>
            </w: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540" w:type="dxa"/>
            <w:vAlign w:val="bottom"/>
            <w:gridSpan w:val="5"/>
          </w:tcPr>
          <w:p>
            <w:pPr>
              <w:spacing w:after="0"/>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PART II</w:t>
              </w:r>
            </w:hyperlink>
          </w:p>
        </w:tc>
        <w:tc>
          <w:tcPr>
            <w:tcW w:w="2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vMerge w:val="continue"/>
          </w:tcPr>
          <w:p>
            <w:pPr>
              <w:spacing w:after="0"/>
              <w:rPr>
                <w:sz w:val="17"/>
                <w:szCs w:val="17"/>
                <w:color w:val="auto"/>
              </w:rPr>
            </w:pPr>
          </w:p>
        </w:tc>
        <w:tc>
          <w:tcPr>
            <w:tcW w:w="4220" w:type="dxa"/>
            <w:vAlign w:val="bottom"/>
            <w:gridSpan w:val="8"/>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Defaults, Dividend Arrearages and Delinquencies</w:t>
              </w:r>
            </w:hyperlink>
          </w:p>
        </w:tc>
        <w:tc>
          <w:tcPr>
            <w:tcW w:w="640" w:type="dxa"/>
            <w:vAlign w:val="bottom"/>
            <w:tcBorders>
              <w:top w:val="single" w:sz="8" w:color="0000EE"/>
            </w:tcBorders>
            <w:gridSpan w:val="2"/>
          </w:tcPr>
          <w:p>
            <w:pPr>
              <w:spacing w:after="0"/>
              <w:rPr>
                <w:sz w:val="17"/>
                <w:szCs w:val="17"/>
                <w:color w:val="auto"/>
              </w:rPr>
            </w:pPr>
          </w:p>
        </w:tc>
        <w:tc>
          <w:tcPr>
            <w:tcW w:w="2900" w:type="dxa"/>
            <w:vAlign w:val="bottom"/>
            <w:gridSpan w:val="3"/>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rPr>
                <w:sz w:val="20"/>
                <w:szCs w:val="20"/>
                <w:color w:val="auto"/>
              </w:rPr>
            </w:pPr>
            <w:r>
              <w:rPr>
                <w:rFonts w:ascii="Arial" w:cs="Arial" w:eastAsia="Arial" w:hAnsi="Arial"/>
                <w:sz w:val="18"/>
                <w:szCs w:val="18"/>
                <w:b w:val="1"/>
                <w:bCs w:val="1"/>
                <w:color w:val="auto"/>
              </w:rPr>
              <w:t>Item 14.</w:t>
            </w:r>
          </w:p>
        </w:tc>
        <w:tc>
          <w:tcPr>
            <w:tcW w:w="10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vMerge w:val="continue"/>
          </w:tcPr>
          <w:p>
            <w:pPr>
              <w:spacing w:after="0"/>
              <w:rPr>
                <w:sz w:val="17"/>
                <w:szCs w:val="17"/>
                <w:color w:val="auto"/>
              </w:rPr>
            </w:pPr>
          </w:p>
        </w:tc>
        <w:tc>
          <w:tcPr>
            <w:tcW w:w="548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Material Modifications to the Rights of Security Holders and Use of Proceeds</w:t>
              </w:r>
            </w:hyperlink>
          </w:p>
        </w:tc>
        <w:tc>
          <w:tcPr>
            <w:tcW w:w="2280" w:type="dxa"/>
            <w:vAlign w:val="bottom"/>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15.</w:t>
            </w:r>
          </w:p>
        </w:tc>
        <w:tc>
          <w:tcPr>
            <w:tcW w:w="1740" w:type="dxa"/>
            <w:vAlign w:val="bottom"/>
            <w:tcBorders>
              <w:bottom w:val="single" w:sz="8" w:color="0000EE"/>
            </w:tcBorders>
            <w:gridSpan w:val="3"/>
          </w:tcPr>
          <w:p>
            <w:pPr>
              <w:spacing w:after="0" w:line="196" w:lineRule="exact"/>
              <w:rPr>
                <w:rFonts w:ascii="Arial" w:cs="Arial" w:eastAsia="Arial" w:hAnsi="Arial"/>
                <w:sz w:val="18"/>
                <w:szCs w:val="18"/>
                <w:color w:val="0000EE"/>
                <w:w w:val="86"/>
              </w:rPr>
            </w:pPr>
            <w:hyperlink w:anchor="page64">
              <w:r>
                <w:rPr>
                  <w:rFonts w:ascii="Arial" w:cs="Arial" w:eastAsia="Arial" w:hAnsi="Arial"/>
                  <w:sz w:val="18"/>
                  <w:szCs w:val="18"/>
                  <w:color w:val="0000EE"/>
                  <w:w w:val="86"/>
                </w:rPr>
                <w:t>Controls and Procedures</w:t>
              </w:r>
            </w:hyperlink>
          </w:p>
        </w:tc>
        <w:tc>
          <w:tcPr>
            <w:tcW w:w="6020" w:type="dxa"/>
            <w:vAlign w:val="bottom"/>
            <w:gridSpan w:val="10"/>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16A.</w:t>
            </w:r>
          </w:p>
        </w:tc>
        <w:tc>
          <w:tcPr>
            <w:tcW w:w="7760" w:type="dxa"/>
            <w:vAlign w:val="bottom"/>
            <w:gridSpan w:val="13"/>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Audit Committee Financial Expert</w:t>
              </w:r>
            </w:hyperlink>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16B.</w:t>
            </w:r>
          </w:p>
        </w:tc>
        <w:tc>
          <w:tcPr>
            <w:tcW w:w="10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65">
              <w:r>
                <w:rPr>
                  <w:rFonts w:ascii="Arial" w:cs="Arial" w:eastAsia="Arial" w:hAnsi="Arial"/>
                  <w:sz w:val="18"/>
                  <w:szCs w:val="18"/>
                  <w:color w:val="0000EE"/>
                  <w:w w:val="88"/>
                </w:rPr>
                <w:t>Code of Ethics</w:t>
              </w:r>
            </w:hyperlink>
          </w:p>
        </w:tc>
        <w:tc>
          <w:tcPr>
            <w:tcW w:w="1380" w:type="dxa"/>
            <w:vAlign w:val="bottom"/>
            <w:tcBorders>
              <w:top w:val="single" w:sz="8" w:color="0000EE"/>
            </w:tcBorders>
            <w:gridSpan w:val="3"/>
          </w:tcPr>
          <w:p>
            <w:pPr>
              <w:spacing w:after="0"/>
              <w:rPr>
                <w:sz w:val="17"/>
                <w:szCs w:val="17"/>
                <w:color w:val="auto"/>
              </w:rPr>
            </w:pPr>
          </w:p>
        </w:tc>
        <w:tc>
          <w:tcPr>
            <w:tcW w:w="5320" w:type="dxa"/>
            <w:vAlign w:val="bottom"/>
            <w:gridSpan w:val="9"/>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16C.</w:t>
            </w:r>
          </w:p>
        </w:tc>
        <w:tc>
          <w:tcPr>
            <w:tcW w:w="280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65">
              <w:r>
                <w:rPr>
                  <w:rFonts w:ascii="Arial" w:cs="Arial" w:eastAsia="Arial" w:hAnsi="Arial"/>
                  <w:sz w:val="18"/>
                  <w:szCs w:val="18"/>
                  <w:color w:val="0000EE"/>
                  <w:w w:val="87"/>
                </w:rPr>
                <w:t>Principal Accountant Fees and Services</w:t>
              </w:r>
            </w:hyperlink>
          </w:p>
        </w:tc>
        <w:tc>
          <w:tcPr>
            <w:tcW w:w="4960" w:type="dxa"/>
            <w:vAlign w:val="bottom"/>
            <w:gridSpan w:val="8"/>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16D.</w:t>
            </w:r>
          </w:p>
        </w:tc>
        <w:tc>
          <w:tcPr>
            <w:tcW w:w="43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Exemptions from the Listing Standards for Audit Committees</w:t>
              </w:r>
            </w:hyperlink>
          </w:p>
        </w:tc>
        <w:tc>
          <w:tcPr>
            <w:tcW w:w="3400" w:type="dxa"/>
            <w:vAlign w:val="bottom"/>
            <w:gridSpan w:val="4"/>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16E.</w:t>
            </w:r>
          </w:p>
        </w:tc>
        <w:tc>
          <w:tcPr>
            <w:tcW w:w="492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66">
              <w:r>
                <w:rPr>
                  <w:rFonts w:ascii="Arial" w:cs="Arial" w:eastAsia="Arial" w:hAnsi="Arial"/>
                  <w:sz w:val="18"/>
                  <w:szCs w:val="18"/>
                  <w:color w:val="0000EE"/>
                  <w:w w:val="87"/>
                </w:rPr>
                <w:t>Purchases of Equity Securities by the Issuer and Affiliated Purchasers</w:t>
              </w:r>
            </w:hyperlink>
          </w:p>
        </w:tc>
        <w:tc>
          <w:tcPr>
            <w:tcW w:w="2840" w:type="dxa"/>
            <w:vAlign w:val="bottom"/>
            <w:gridSpan w:val="2"/>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16F.</w:t>
            </w:r>
          </w:p>
        </w:tc>
        <w:tc>
          <w:tcPr>
            <w:tcW w:w="330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Changes in Registrant’s Certifying Accountant</w:t>
              </w:r>
            </w:hyperlink>
          </w:p>
        </w:tc>
        <w:tc>
          <w:tcPr>
            <w:tcW w:w="4460" w:type="dxa"/>
            <w:vAlign w:val="bottom"/>
            <w:gridSpan w:val="7"/>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16G.</w:t>
            </w:r>
          </w:p>
        </w:tc>
        <w:tc>
          <w:tcPr>
            <w:tcW w:w="7760" w:type="dxa"/>
            <w:vAlign w:val="bottom"/>
            <w:gridSpan w:val="13"/>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Corporate Governance</w:t>
              </w:r>
            </w:hyperlink>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rPr>
                <w:sz w:val="20"/>
                <w:szCs w:val="20"/>
                <w:color w:val="auto"/>
              </w:rPr>
            </w:pPr>
            <w:r>
              <w:rPr>
                <w:rFonts w:ascii="Arial" w:cs="Arial" w:eastAsia="Arial" w:hAnsi="Arial"/>
                <w:sz w:val="18"/>
                <w:szCs w:val="18"/>
                <w:b w:val="1"/>
                <w:bCs w:val="1"/>
                <w:color w:val="auto"/>
              </w:rPr>
              <w:t>Item 16H.</w:t>
            </w:r>
          </w:p>
        </w:tc>
        <w:tc>
          <w:tcPr>
            <w:tcW w:w="1600" w:type="dxa"/>
            <w:vAlign w:val="bottom"/>
            <w:gridSpan w:val="2"/>
            <w:shd w:val="clear" w:color="auto" w:fill="0000EE"/>
          </w:tcPr>
          <w:p>
            <w:pPr>
              <w:spacing w:after="0" w:line="20" w:lineRule="exact"/>
              <w:rPr>
                <w:sz w:val="1"/>
                <w:szCs w:val="1"/>
                <w:color w:val="auto"/>
              </w:rPr>
            </w:pPr>
          </w:p>
        </w:tc>
        <w:tc>
          <w:tcPr>
            <w:tcW w:w="6160" w:type="dxa"/>
            <w:vAlign w:val="bottom"/>
            <w:gridSpan w:val="11"/>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vMerge w:val="continue"/>
          </w:tcPr>
          <w:p>
            <w:pPr>
              <w:spacing w:after="0"/>
              <w:rPr>
                <w:sz w:val="17"/>
                <w:szCs w:val="17"/>
                <w:color w:val="auto"/>
              </w:rPr>
            </w:pPr>
          </w:p>
        </w:tc>
        <w:tc>
          <w:tcPr>
            <w:tcW w:w="7760" w:type="dxa"/>
            <w:vAlign w:val="bottom"/>
            <w:gridSpan w:val="13"/>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Mine Safety Disclosure</w:t>
              </w:r>
            </w:hyperlink>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vMerge w:val="restart"/>
          </w:tcPr>
          <w:p>
            <w:pPr>
              <w:spacing w:after="0"/>
              <w:rPr>
                <w:sz w:val="20"/>
                <w:szCs w:val="20"/>
                <w:color w:val="auto"/>
              </w:rPr>
            </w:pPr>
            <w:r>
              <w:rPr>
                <w:rFonts w:ascii="Arial" w:cs="Arial" w:eastAsia="Arial" w:hAnsi="Arial"/>
                <w:sz w:val="18"/>
                <w:szCs w:val="18"/>
                <w:b w:val="1"/>
                <w:bCs w:val="1"/>
                <w:color w:val="auto"/>
              </w:rPr>
              <w:t>Item 17.</w:t>
            </w: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00" w:type="dxa"/>
            <w:vAlign w:val="bottom"/>
            <w:tcBorders>
              <w:bottom w:val="single" w:sz="8" w:color="0000EE"/>
            </w:tcBorders>
          </w:tcPr>
          <w:p>
            <w:pPr>
              <w:jc w:val="right"/>
              <w:spacing w:after="0"/>
              <w:rPr>
                <w:rFonts w:ascii="Arial" w:cs="Arial" w:eastAsia="Arial" w:hAnsi="Arial"/>
                <w:sz w:val="18"/>
                <w:szCs w:val="18"/>
                <w:b w:val="1"/>
                <w:bCs w:val="1"/>
                <w:color w:val="0000EE"/>
                <w:w w:val="98"/>
              </w:rPr>
            </w:pPr>
            <w:hyperlink w:anchor="page67">
              <w:r>
                <w:rPr>
                  <w:rFonts w:ascii="Arial" w:cs="Arial" w:eastAsia="Arial" w:hAnsi="Arial"/>
                  <w:sz w:val="18"/>
                  <w:szCs w:val="18"/>
                  <w:b w:val="1"/>
                  <w:bCs w:val="1"/>
                  <w:color w:val="0000EE"/>
                  <w:w w:val="98"/>
                </w:rPr>
                <w:t>PART III</w:t>
              </w:r>
            </w:hyperlink>
          </w:p>
        </w:tc>
        <w:tc>
          <w:tcPr>
            <w:tcW w:w="5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20" w:type="dxa"/>
            <w:vAlign w:val="bottom"/>
            <w:vMerge w:val="continue"/>
          </w:tcPr>
          <w:p>
            <w:pPr>
              <w:spacing w:after="0"/>
              <w:rPr>
                <w:sz w:val="17"/>
                <w:szCs w:val="17"/>
                <w:color w:val="auto"/>
              </w:rPr>
            </w:pPr>
          </w:p>
        </w:tc>
        <w:tc>
          <w:tcPr>
            <w:tcW w:w="150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67">
              <w:r>
                <w:rPr>
                  <w:rFonts w:ascii="Arial" w:cs="Arial" w:eastAsia="Arial" w:hAnsi="Arial"/>
                  <w:sz w:val="18"/>
                  <w:szCs w:val="18"/>
                  <w:color w:val="0000EE"/>
                  <w:w w:val="88"/>
                </w:rPr>
                <w:t>Financial Statements</w:t>
              </w:r>
            </w:hyperlink>
          </w:p>
        </w:tc>
        <w:tc>
          <w:tcPr>
            <w:tcW w:w="2700" w:type="dxa"/>
            <w:vAlign w:val="bottom"/>
            <w:gridSpan w:val="2"/>
          </w:tcPr>
          <w:p>
            <w:pPr>
              <w:spacing w:after="0"/>
              <w:rPr>
                <w:sz w:val="17"/>
                <w:szCs w:val="17"/>
                <w:color w:val="auto"/>
              </w:rPr>
            </w:pPr>
          </w:p>
        </w:tc>
        <w:tc>
          <w:tcPr>
            <w:tcW w:w="6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18.</w:t>
            </w:r>
          </w:p>
        </w:tc>
        <w:tc>
          <w:tcPr>
            <w:tcW w:w="148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w:anchor="page67">
              <w:r>
                <w:rPr>
                  <w:rFonts w:ascii="Arial" w:cs="Arial" w:eastAsia="Arial" w:hAnsi="Arial"/>
                  <w:sz w:val="18"/>
                  <w:szCs w:val="18"/>
                  <w:color w:val="0000EE"/>
                  <w:w w:val="86"/>
                </w:rPr>
                <w:t>Financial Statements</w:t>
              </w:r>
            </w:hyperlink>
          </w:p>
        </w:tc>
        <w:tc>
          <w:tcPr>
            <w:tcW w:w="2720" w:type="dxa"/>
            <w:vAlign w:val="bottom"/>
            <w:gridSpan w:val="3"/>
          </w:tcPr>
          <w:p>
            <w:pPr>
              <w:spacing w:after="0"/>
              <w:rPr>
                <w:sz w:val="17"/>
                <w:szCs w:val="17"/>
                <w:color w:val="auto"/>
              </w:rPr>
            </w:pPr>
          </w:p>
        </w:tc>
        <w:tc>
          <w:tcPr>
            <w:tcW w:w="6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19.</w:t>
            </w: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67">
              <w:r>
                <w:rPr>
                  <w:rFonts w:ascii="Arial" w:cs="Arial" w:eastAsia="Arial" w:hAnsi="Arial"/>
                  <w:sz w:val="18"/>
                  <w:szCs w:val="18"/>
                  <w:color w:val="0000EE"/>
                  <w:w w:val="91"/>
                </w:rPr>
                <w:t>Exhibits</w:t>
              </w:r>
            </w:hyperlink>
          </w:p>
        </w:tc>
        <w:tc>
          <w:tcPr>
            <w:tcW w:w="3600" w:type="dxa"/>
            <w:vAlign w:val="bottom"/>
            <w:gridSpan w:val="4"/>
          </w:tcPr>
          <w:p>
            <w:pPr>
              <w:spacing w:after="0"/>
              <w:rPr>
                <w:sz w:val="17"/>
                <w:szCs w:val="17"/>
                <w:color w:val="auto"/>
              </w:rPr>
            </w:pPr>
          </w:p>
        </w:tc>
        <w:tc>
          <w:tcPr>
            <w:tcW w:w="6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5320" w:type="dxa"/>
            <w:vAlign w:val="bottom"/>
            <w:gridSpan w:val="6"/>
          </w:tcPr>
          <w:p>
            <w:pPr>
              <w:spacing w:after="0" w:line="196" w:lineRule="exact"/>
              <w:rPr>
                <w:rFonts w:ascii="Arial" w:cs="Arial" w:eastAsia="Arial" w:hAnsi="Arial"/>
                <w:sz w:val="18"/>
                <w:szCs w:val="18"/>
                <w:b w:val="1"/>
                <w:bCs w:val="1"/>
                <w:color w:val="0000EE"/>
              </w:rPr>
            </w:pPr>
            <w:hyperlink w:anchor="page71">
              <w:r>
                <w:rPr>
                  <w:rFonts w:ascii="Arial" w:cs="Arial" w:eastAsia="Arial" w:hAnsi="Arial"/>
                  <w:sz w:val="18"/>
                  <w:szCs w:val="18"/>
                  <w:b w:val="1"/>
                  <w:bCs w:val="1"/>
                  <w:color w:val="0000EE"/>
                </w:rPr>
                <w:t>Index to Consolidated Financial Statements</w:t>
              </w:r>
            </w:hyperlink>
          </w:p>
        </w:tc>
        <w:tc>
          <w:tcPr>
            <w:tcW w:w="700" w:type="dxa"/>
            <w:vAlign w:val="bottom"/>
          </w:tcPr>
          <w:p>
            <w:pPr>
              <w:spacing w:after="0"/>
              <w:rPr>
                <w:sz w:val="17"/>
                <w:szCs w:val="17"/>
                <w:color w:val="auto"/>
              </w:rPr>
            </w:pPr>
          </w:p>
        </w:tc>
        <w:tc>
          <w:tcPr>
            <w:tcW w:w="530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383"/>
        </w:trPr>
        <w:tc>
          <w:tcPr>
            <w:tcW w:w="11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2040" w:type="dxa"/>
            <w:vAlign w:val="bottom"/>
          </w:tcPr>
          <w:p>
            <w:pPr>
              <w:spacing w:after="0"/>
              <w:rPr>
                <w:sz w:val="24"/>
                <w:szCs w:val="24"/>
                <w:color w:val="auto"/>
              </w:rPr>
            </w:pPr>
          </w:p>
        </w:tc>
        <w:tc>
          <w:tcPr>
            <w:tcW w:w="700" w:type="dxa"/>
            <w:vAlign w:val="bottom"/>
          </w:tcPr>
          <w:p>
            <w:pPr>
              <w:jc w:val="right"/>
              <w:ind w:right="172"/>
              <w:spacing w:after="0"/>
              <w:rPr>
                <w:sz w:val="20"/>
                <w:szCs w:val="20"/>
                <w:color w:val="auto"/>
              </w:rPr>
            </w:pPr>
            <w:r>
              <w:rPr>
                <w:rFonts w:ascii="Arial" w:cs="Arial" w:eastAsia="Arial" w:hAnsi="Arial"/>
                <w:sz w:val="18"/>
                <w:szCs w:val="18"/>
                <w:color w:val="auto"/>
              </w:rPr>
              <w:t>2</w:t>
            </w:r>
          </w:p>
        </w:tc>
        <w:tc>
          <w:tcPr>
            <w:tcW w:w="5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Unless the context otherwise requires, all references in this Annual Report on Form 20-F to “Amdocs,” “we,” “our,” “us” and the “Company” refer to Amdocs Limited and its consolidated subsidiaries and their respective predecessors, and references to our software products, refer to current and subsequent versions. Our consolidated financial statements are prepared in accordance with generally accepted accounting principles in the United States, or U.S. GAAP, and are expressed in U.S. dollars. References to “dollars” or “$” are to U.S. dollars. Our fiscal year ends on September 30 of each calendar year. References to any specific fiscal year refer to the year ended September 30 of the calendar year specified. For example, we refer to the fiscal year ending September 30, 2013 as “fiscal 2013.”</w:t>
      </w:r>
    </w:p>
    <w:p>
      <w:pPr>
        <w:spacing w:after="0" w:line="6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own, have rights to or use trademarks or trade names in conjunction with the sale of our products and services, including Amdocs</w:t>
      </w:r>
      <w:r>
        <w:rPr>
          <w:rFonts w:ascii="Arial" w:cs="Arial" w:eastAsia="Arial" w:hAnsi="Arial"/>
          <w:sz w:val="11"/>
          <w:szCs w:val="11"/>
          <w:color w:val="auto"/>
        </w:rPr>
        <w:t>™</w:t>
      </w:r>
      <w:r>
        <w:rPr>
          <w:rFonts w:ascii="Arial" w:cs="Arial" w:eastAsia="Arial" w:hAnsi="Arial"/>
          <w:sz w:val="18"/>
          <w:szCs w:val="18"/>
          <w:color w:val="auto"/>
        </w:rPr>
        <w:t xml:space="preserve"> and CES</w:t>
      </w:r>
      <w:r>
        <w:rPr>
          <w:rFonts w:ascii="Arial" w:cs="Arial" w:eastAsia="Arial" w:hAnsi="Arial"/>
          <w:sz w:val="11"/>
          <w:szCs w:val="11"/>
          <w:color w:val="auto"/>
        </w:rPr>
        <w:t>™</w:t>
      </w:r>
      <w:r>
        <w:rPr>
          <w:rFonts w:ascii="Arial" w:cs="Arial" w:eastAsia="Arial" w:hAnsi="Arial"/>
          <w:sz w:val="18"/>
          <w:szCs w:val="18"/>
          <w:color w:val="auto"/>
        </w:rPr>
        <w:t>, among others.</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Forward Looking Statements</w:t>
      </w:r>
    </w:p>
    <w:p>
      <w:pPr>
        <w:spacing w:after="0" w:line="96"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color w:val="auto"/>
        </w:rPr>
        <w:t>This Annual Report on Form 20-F contains forward-looking statements (within the meaning of the U.S. federal securities laws) that involve substantial risks and uncertainties. You can identify these forward-looking statements by words such as “expect,” “anticipate,” “believe,” “seek,” “estimate,” “project,” “forecast,” “continue,” “potential,” “should,” “would,” “could,” “intend” and “may,” and other words that convey uncertainty of future events or outcome. Statements that we make in this Annual Report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Although we may elect to update forward-looking statements in the future, we disclaim any obligation to do so, even if our assumptions and projections change, except where applicable law may otherwise require us to do so. Readers should not rely on those forward-looking statements as representing our views as of any date subsequent to the date of the filing of this Annual Report on Form 20-F.</w:t>
      </w:r>
    </w:p>
    <w:p>
      <w:pPr>
        <w:spacing w:after="0" w:line="2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Important factors that may affect these projections or expectations include, but are not limited to: changes in the overall economy; changes in competition in markets in which we operate; changes in the demand for our products and services; the loss of a significant customer; consolidation within the industries in which our customers operate;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please read the information set forth below under the caption “Risk Factors.”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IDENTITY OF DIRECTORS, SENIOR MANAGEMENT AND ADVISERS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OFFER STATISTICS AND EXPECTED TIMETABLE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KEY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Data</w:t>
      </w:r>
    </w:p>
    <w:p>
      <w:pPr>
        <w:spacing w:after="0" w:line="96"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Our historical consolidated financial statements are prepared in accordance with U.S. GAAP, and presented in U.S. dollars. The selected historical consolidated financial information set forth below has been derived from our historical consolidated financial statements for the years presented. Historical information as of and for the five years ended September 30, 2013 is derived from our consolidated financial statements, which have been audited by Ernst &amp; Young LLP, our independent registered public accounting firm. You should read the information presented below in conjunction with those statements.</w:t>
      </w:r>
    </w:p>
    <w:p>
      <w:pPr>
        <w:spacing w:after="0" w:line="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information presented below is qualified by the more detailed historical consolidated financial statements, the notes thereto and the discussion under “Operating and Financial Review and Prospects” included elsewhere in this Annual Report.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2013</w:t>
            </w:r>
          </w:p>
        </w:tc>
        <w:tc>
          <w:tcPr>
            <w:tcW w:w="1240" w:type="dxa"/>
            <w:vAlign w:val="bottom"/>
          </w:tcPr>
          <w:p>
            <w:pPr>
              <w:jc w:val="right"/>
              <w:ind w:right="397"/>
              <w:spacing w:after="0"/>
              <w:rPr>
                <w:sz w:val="20"/>
                <w:szCs w:val="20"/>
                <w:color w:val="auto"/>
              </w:rPr>
            </w:pPr>
            <w:r>
              <w:rPr>
                <w:rFonts w:ascii="Arial" w:cs="Arial" w:eastAsia="Arial" w:hAnsi="Arial"/>
                <w:sz w:val="14"/>
                <w:szCs w:val="14"/>
                <w:b w:val="1"/>
                <w:bCs w:val="1"/>
                <w:color w:val="auto"/>
              </w:rPr>
              <w:t>2012</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3"/>
              </w:rPr>
              <w:t>2011</w:t>
            </w:r>
          </w:p>
        </w:tc>
        <w:tc>
          <w:tcPr>
            <w:tcW w:w="1240" w:type="dxa"/>
            <w:vAlign w:val="bottom"/>
          </w:tcPr>
          <w:p>
            <w:pPr>
              <w:jc w:val="right"/>
              <w:ind w:right="416"/>
              <w:spacing w:after="0"/>
              <w:rPr>
                <w:sz w:val="20"/>
                <w:szCs w:val="20"/>
                <w:color w:val="auto"/>
              </w:rPr>
            </w:pPr>
            <w:r>
              <w:rPr>
                <w:rFonts w:ascii="Arial" w:cs="Arial" w:eastAsia="Arial" w:hAnsi="Arial"/>
                <w:sz w:val="14"/>
                <w:szCs w:val="14"/>
                <w:b w:val="1"/>
                <w:bCs w:val="1"/>
                <w:color w:val="auto"/>
              </w:rPr>
              <w:t>2010</w:t>
            </w:r>
          </w:p>
        </w:tc>
        <w:tc>
          <w:tcPr>
            <w:tcW w:w="1060" w:type="dxa"/>
            <w:vAlign w:val="bottom"/>
          </w:tcPr>
          <w:p>
            <w:pPr>
              <w:jc w:val="right"/>
              <w:ind w:right="216"/>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142"/>
        </w:trPr>
        <w:tc>
          <w:tcPr>
            <w:tcW w:w="5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376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6"/>
              </w:rPr>
              <w:t>(In thousands, except per share data)</w:t>
            </w: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Revenue</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$ 3,345,854</w:t>
            </w:r>
          </w:p>
        </w:tc>
        <w:tc>
          <w:tcPr>
            <w:tcW w:w="1240" w:type="dxa"/>
            <w:vAlign w:val="bottom"/>
          </w:tcPr>
          <w:p>
            <w:pPr>
              <w:jc w:val="right"/>
              <w:ind w:right="117"/>
              <w:spacing w:after="0"/>
              <w:rPr>
                <w:sz w:val="20"/>
                <w:szCs w:val="20"/>
                <w:color w:val="auto"/>
              </w:rPr>
            </w:pPr>
            <w:r>
              <w:rPr>
                <w:rFonts w:ascii="Arial" w:cs="Arial" w:eastAsia="Arial" w:hAnsi="Arial"/>
                <w:sz w:val="18"/>
                <w:szCs w:val="18"/>
                <w:color w:val="auto"/>
              </w:rPr>
              <w:t>$ 3,246,903</w:t>
            </w:r>
          </w:p>
        </w:tc>
        <w:tc>
          <w:tcPr>
            <w:tcW w:w="1280" w:type="dxa"/>
            <w:vAlign w:val="bottom"/>
          </w:tcPr>
          <w:p>
            <w:pPr>
              <w:jc w:val="right"/>
              <w:ind w:right="157"/>
              <w:spacing w:after="0"/>
              <w:rPr>
                <w:sz w:val="20"/>
                <w:szCs w:val="20"/>
                <w:color w:val="auto"/>
              </w:rPr>
            </w:pPr>
            <w:r>
              <w:rPr>
                <w:rFonts w:ascii="Arial" w:cs="Arial" w:eastAsia="Arial" w:hAnsi="Arial"/>
                <w:sz w:val="18"/>
                <w:szCs w:val="18"/>
                <w:color w:val="auto"/>
              </w:rPr>
              <w:t>$ 3,177,728</w:t>
            </w:r>
          </w:p>
        </w:tc>
        <w:tc>
          <w:tcPr>
            <w:tcW w:w="1240" w:type="dxa"/>
            <w:vAlign w:val="bottom"/>
          </w:tcPr>
          <w:p>
            <w:pPr>
              <w:jc w:val="right"/>
              <w:ind w:right="136"/>
              <w:spacing w:after="0"/>
              <w:rPr>
                <w:sz w:val="20"/>
                <w:szCs w:val="20"/>
                <w:color w:val="auto"/>
              </w:rPr>
            </w:pPr>
            <w:r>
              <w:rPr>
                <w:rFonts w:ascii="Arial" w:cs="Arial" w:eastAsia="Arial" w:hAnsi="Arial"/>
                <w:sz w:val="18"/>
                <w:szCs w:val="18"/>
                <w:color w:val="auto"/>
              </w:rPr>
              <w:t>$ 2,984,223</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$ 2,862,607</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481,552</w:t>
            </w:r>
          </w:p>
        </w:tc>
        <w:tc>
          <w:tcPr>
            <w:tcW w:w="12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442,472</w:t>
            </w:r>
          </w:p>
        </w:tc>
        <w:tc>
          <w:tcPr>
            <w:tcW w:w="12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404,364</w:t>
            </w:r>
          </w:p>
        </w:tc>
        <w:tc>
          <w:tcPr>
            <w:tcW w:w="12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410,433</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367,319</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Net income</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412,439</w:t>
            </w:r>
          </w:p>
        </w:tc>
        <w:tc>
          <w:tcPr>
            <w:tcW w:w="1240" w:type="dxa"/>
            <w:vAlign w:val="bottom"/>
          </w:tcPr>
          <w:p>
            <w:pPr>
              <w:jc w:val="right"/>
              <w:ind w:right="117"/>
              <w:spacing w:after="0"/>
              <w:rPr>
                <w:sz w:val="20"/>
                <w:szCs w:val="20"/>
                <w:color w:val="auto"/>
              </w:rPr>
            </w:pPr>
            <w:r>
              <w:rPr>
                <w:rFonts w:ascii="Arial" w:cs="Arial" w:eastAsia="Arial" w:hAnsi="Arial"/>
                <w:sz w:val="18"/>
                <w:szCs w:val="18"/>
                <w:color w:val="auto"/>
              </w:rPr>
              <w:t>391,371</w:t>
            </w:r>
          </w:p>
        </w:tc>
        <w:tc>
          <w:tcPr>
            <w:tcW w:w="1280" w:type="dxa"/>
            <w:vAlign w:val="bottom"/>
          </w:tcPr>
          <w:p>
            <w:pPr>
              <w:jc w:val="right"/>
              <w:ind w:right="157"/>
              <w:spacing w:after="0"/>
              <w:rPr>
                <w:sz w:val="20"/>
                <w:szCs w:val="20"/>
                <w:color w:val="auto"/>
              </w:rPr>
            </w:pPr>
            <w:r>
              <w:rPr>
                <w:rFonts w:ascii="Arial" w:cs="Arial" w:eastAsia="Arial" w:hAnsi="Arial"/>
                <w:sz w:val="18"/>
                <w:szCs w:val="18"/>
                <w:color w:val="auto"/>
              </w:rPr>
              <w:t>346,665</w:t>
            </w:r>
          </w:p>
        </w:tc>
        <w:tc>
          <w:tcPr>
            <w:tcW w:w="1240" w:type="dxa"/>
            <w:vAlign w:val="bottom"/>
          </w:tcPr>
          <w:p>
            <w:pPr>
              <w:jc w:val="right"/>
              <w:ind w:right="136"/>
              <w:spacing w:after="0"/>
              <w:rPr>
                <w:sz w:val="20"/>
                <w:szCs w:val="20"/>
                <w:color w:val="auto"/>
              </w:rPr>
            </w:pPr>
            <w:r>
              <w:rPr>
                <w:rFonts w:ascii="Arial" w:cs="Arial" w:eastAsia="Arial" w:hAnsi="Arial"/>
                <w:sz w:val="18"/>
                <w:szCs w:val="18"/>
                <w:color w:val="auto"/>
              </w:rPr>
              <w:t>343,906</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326,176</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w:t>
            </w:r>
          </w:p>
        </w:tc>
        <w:tc>
          <w:tcPr>
            <w:tcW w:w="12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2.33</w:t>
            </w:r>
          </w:p>
        </w:tc>
        <w:tc>
          <w:tcPr>
            <w:tcW w:w="12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1.87</w:t>
            </w:r>
          </w:p>
        </w:tc>
        <w:tc>
          <w:tcPr>
            <w:tcW w:w="12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1.70</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2.53</w:t>
            </w:r>
          </w:p>
        </w:tc>
        <w:tc>
          <w:tcPr>
            <w:tcW w:w="1240" w:type="dxa"/>
            <w:vAlign w:val="bottom"/>
          </w:tcPr>
          <w:p>
            <w:pPr>
              <w:jc w:val="right"/>
              <w:ind w:right="117"/>
              <w:spacing w:after="0"/>
              <w:rPr>
                <w:sz w:val="20"/>
                <w:szCs w:val="20"/>
                <w:color w:val="auto"/>
              </w:rPr>
            </w:pPr>
            <w:r>
              <w:rPr>
                <w:rFonts w:ascii="Arial" w:cs="Arial" w:eastAsia="Arial" w:hAnsi="Arial"/>
                <w:sz w:val="18"/>
                <w:szCs w:val="18"/>
                <w:color w:val="auto"/>
              </w:rPr>
              <w:t>2.31</w:t>
            </w:r>
          </w:p>
        </w:tc>
        <w:tc>
          <w:tcPr>
            <w:tcW w:w="1280" w:type="dxa"/>
            <w:vAlign w:val="bottom"/>
          </w:tcPr>
          <w:p>
            <w:pPr>
              <w:jc w:val="right"/>
              <w:ind w:right="157"/>
              <w:spacing w:after="0"/>
              <w:rPr>
                <w:sz w:val="20"/>
                <w:szCs w:val="20"/>
                <w:color w:val="auto"/>
              </w:rPr>
            </w:pPr>
            <w:r>
              <w:rPr>
                <w:rFonts w:ascii="Arial" w:cs="Arial" w:eastAsia="Arial" w:hAnsi="Arial"/>
                <w:sz w:val="18"/>
                <w:szCs w:val="18"/>
                <w:color w:val="auto"/>
              </w:rPr>
              <w:t>1.86</w:t>
            </w:r>
          </w:p>
        </w:tc>
        <w:tc>
          <w:tcPr>
            <w:tcW w:w="1240" w:type="dxa"/>
            <w:vAlign w:val="bottom"/>
          </w:tcPr>
          <w:p>
            <w:pPr>
              <w:jc w:val="right"/>
              <w:ind w:right="136"/>
              <w:spacing w:after="0"/>
              <w:rPr>
                <w:sz w:val="20"/>
                <w:szCs w:val="20"/>
                <w:color w:val="auto"/>
              </w:rPr>
            </w:pPr>
            <w:r>
              <w:rPr>
                <w:rFonts w:ascii="Arial" w:cs="Arial" w:eastAsia="Arial" w:hAnsi="Arial"/>
                <w:sz w:val="18"/>
                <w:szCs w:val="18"/>
                <w:color w:val="auto"/>
              </w:rPr>
              <w:t>1.69</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share(1)</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0.52</w:t>
            </w:r>
          </w:p>
        </w:tc>
        <w:tc>
          <w:tcPr>
            <w:tcW w:w="12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0.13</w:t>
            </w:r>
          </w:p>
        </w:tc>
        <w:tc>
          <w:tcPr>
            <w:tcW w:w="12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351"/>
        </w:trPr>
        <w:tc>
          <w:tcPr>
            <w:tcW w:w="5100" w:type="dxa"/>
            <w:vAlign w:val="bottom"/>
          </w:tcPr>
          <w:p>
            <w:pPr>
              <w:spacing w:after="0"/>
              <w:rPr>
                <w:sz w:val="24"/>
                <w:szCs w:val="24"/>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2013</w:t>
            </w:r>
          </w:p>
        </w:tc>
        <w:tc>
          <w:tcPr>
            <w:tcW w:w="1240" w:type="dxa"/>
            <w:vAlign w:val="bottom"/>
          </w:tcPr>
          <w:p>
            <w:pPr>
              <w:jc w:val="right"/>
              <w:ind w:right="397"/>
              <w:spacing w:after="0"/>
              <w:rPr>
                <w:sz w:val="20"/>
                <w:szCs w:val="20"/>
                <w:color w:val="auto"/>
              </w:rPr>
            </w:pPr>
            <w:r>
              <w:rPr>
                <w:rFonts w:ascii="Arial" w:cs="Arial" w:eastAsia="Arial" w:hAnsi="Arial"/>
                <w:sz w:val="14"/>
                <w:szCs w:val="14"/>
                <w:b w:val="1"/>
                <w:bCs w:val="1"/>
                <w:color w:val="auto"/>
              </w:rPr>
              <w:t>2012</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3"/>
              </w:rPr>
              <w:t>2011</w:t>
            </w:r>
          </w:p>
        </w:tc>
        <w:tc>
          <w:tcPr>
            <w:tcW w:w="1240" w:type="dxa"/>
            <w:vAlign w:val="bottom"/>
          </w:tcPr>
          <w:p>
            <w:pPr>
              <w:jc w:val="right"/>
              <w:ind w:right="416"/>
              <w:spacing w:after="0"/>
              <w:rPr>
                <w:sz w:val="20"/>
                <w:szCs w:val="20"/>
                <w:color w:val="auto"/>
              </w:rPr>
            </w:pPr>
            <w:r>
              <w:rPr>
                <w:rFonts w:ascii="Arial" w:cs="Arial" w:eastAsia="Arial" w:hAnsi="Arial"/>
                <w:sz w:val="14"/>
                <w:szCs w:val="14"/>
                <w:b w:val="1"/>
                <w:bCs w:val="1"/>
                <w:color w:val="auto"/>
              </w:rPr>
              <w:t>2010</w:t>
            </w:r>
          </w:p>
        </w:tc>
        <w:tc>
          <w:tcPr>
            <w:tcW w:w="1060" w:type="dxa"/>
            <w:vAlign w:val="bottom"/>
          </w:tcPr>
          <w:p>
            <w:pPr>
              <w:jc w:val="right"/>
              <w:ind w:right="216"/>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24"/>
                <w:szCs w:val="24"/>
                <w:color w:val="auto"/>
              </w:rPr>
            </w:pPr>
          </w:p>
        </w:tc>
      </w:tr>
      <w:tr>
        <w:trPr>
          <w:trHeight w:val="142"/>
        </w:trPr>
        <w:tc>
          <w:tcPr>
            <w:tcW w:w="5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2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w w:val="94"/>
              </w:rPr>
              <w:t>Cash, cash equivalents and short-term interest-bearing investments</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$ 1,326,380</w:t>
            </w:r>
          </w:p>
        </w:tc>
        <w:tc>
          <w:tcPr>
            <w:tcW w:w="1240" w:type="dxa"/>
            <w:vAlign w:val="bottom"/>
          </w:tcPr>
          <w:p>
            <w:pPr>
              <w:jc w:val="right"/>
              <w:ind w:right="117"/>
              <w:spacing w:after="0"/>
              <w:rPr>
                <w:sz w:val="20"/>
                <w:szCs w:val="20"/>
                <w:color w:val="auto"/>
              </w:rPr>
            </w:pPr>
            <w:r>
              <w:rPr>
                <w:rFonts w:ascii="Arial" w:cs="Arial" w:eastAsia="Arial" w:hAnsi="Arial"/>
                <w:sz w:val="18"/>
                <w:szCs w:val="18"/>
                <w:color w:val="auto"/>
              </w:rPr>
              <w:t>$ 1,118,177</w:t>
            </w:r>
          </w:p>
        </w:tc>
        <w:tc>
          <w:tcPr>
            <w:tcW w:w="1280" w:type="dxa"/>
            <w:vAlign w:val="bottom"/>
          </w:tcPr>
          <w:p>
            <w:pPr>
              <w:jc w:val="right"/>
              <w:ind w:right="157"/>
              <w:spacing w:after="0"/>
              <w:rPr>
                <w:sz w:val="20"/>
                <w:szCs w:val="20"/>
                <w:color w:val="auto"/>
              </w:rPr>
            </w:pPr>
            <w:r>
              <w:rPr>
                <w:rFonts w:ascii="Arial" w:cs="Arial" w:eastAsia="Arial" w:hAnsi="Arial"/>
                <w:sz w:val="18"/>
                <w:szCs w:val="18"/>
                <w:color w:val="auto"/>
              </w:rPr>
              <w:t>$ 1,173,470</w:t>
            </w:r>
          </w:p>
        </w:tc>
        <w:tc>
          <w:tcPr>
            <w:tcW w:w="1240" w:type="dxa"/>
            <w:vAlign w:val="bottom"/>
          </w:tcPr>
          <w:p>
            <w:pPr>
              <w:jc w:val="right"/>
              <w:ind w:right="136"/>
              <w:spacing w:after="0"/>
              <w:rPr>
                <w:sz w:val="20"/>
                <w:szCs w:val="20"/>
                <w:color w:val="auto"/>
              </w:rPr>
            </w:pPr>
            <w:r>
              <w:rPr>
                <w:rFonts w:ascii="Arial" w:cs="Arial" w:eastAsia="Arial" w:hAnsi="Arial"/>
                <w:sz w:val="18"/>
                <w:szCs w:val="18"/>
                <w:color w:val="auto"/>
              </w:rPr>
              <w:t>$ 1,433,299</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$ 1,173,041</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4,925,813</w:t>
            </w:r>
          </w:p>
        </w:tc>
        <w:tc>
          <w:tcPr>
            <w:tcW w:w="12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4,645,223</w:t>
            </w:r>
          </w:p>
        </w:tc>
        <w:tc>
          <w:tcPr>
            <w:tcW w:w="12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4,636,572</w:t>
            </w:r>
          </w:p>
        </w:tc>
        <w:tc>
          <w:tcPr>
            <w:tcW w:w="12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4,820,604</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4,328,417</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Long-term obligations</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Convertible Senior Notes(2)</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1,020</w:t>
            </w:r>
          </w:p>
        </w:tc>
        <w:tc>
          <w:tcPr>
            <w:tcW w:w="12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1,020</w:t>
            </w:r>
          </w:p>
        </w:tc>
        <w:tc>
          <w:tcPr>
            <w:tcW w:w="12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1,020</w:t>
            </w:r>
          </w:p>
        </w:tc>
        <w:tc>
          <w:tcPr>
            <w:tcW w:w="12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1,020</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w:t>
            </w:r>
          </w:p>
        </w:tc>
      </w:tr>
      <w:tr>
        <w:trPr>
          <w:trHeight w:val="222"/>
        </w:trPr>
        <w:tc>
          <w:tcPr>
            <w:tcW w:w="5100" w:type="dxa"/>
            <w:vAlign w:val="bottom"/>
          </w:tcPr>
          <w:p>
            <w:pPr>
              <w:spacing w:after="0"/>
              <w:rPr>
                <w:sz w:val="20"/>
                <w:szCs w:val="20"/>
                <w:color w:val="auto"/>
              </w:rPr>
            </w:pPr>
            <w:r>
              <w:rPr>
                <w:rFonts w:ascii="Arial" w:cs="Arial" w:eastAsia="Arial" w:hAnsi="Arial"/>
                <w:sz w:val="18"/>
                <w:szCs w:val="18"/>
                <w:color w:val="auto"/>
              </w:rPr>
              <w:t>Shareholders’ equity</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3,274,783</w:t>
            </w:r>
          </w:p>
        </w:tc>
        <w:tc>
          <w:tcPr>
            <w:tcW w:w="1240" w:type="dxa"/>
            <w:vAlign w:val="bottom"/>
          </w:tcPr>
          <w:p>
            <w:pPr>
              <w:jc w:val="right"/>
              <w:ind w:right="117"/>
              <w:spacing w:after="0"/>
              <w:rPr>
                <w:sz w:val="20"/>
                <w:szCs w:val="20"/>
                <w:color w:val="auto"/>
              </w:rPr>
            </w:pPr>
            <w:r>
              <w:rPr>
                <w:rFonts w:ascii="Arial" w:cs="Arial" w:eastAsia="Arial" w:hAnsi="Arial"/>
                <w:sz w:val="18"/>
                <w:szCs w:val="18"/>
                <w:color w:val="auto"/>
              </w:rPr>
              <w:t>3,033,202</w:t>
            </w:r>
          </w:p>
        </w:tc>
        <w:tc>
          <w:tcPr>
            <w:tcW w:w="1280" w:type="dxa"/>
            <w:vAlign w:val="bottom"/>
          </w:tcPr>
          <w:p>
            <w:pPr>
              <w:jc w:val="right"/>
              <w:ind w:right="157"/>
              <w:spacing w:after="0"/>
              <w:rPr>
                <w:sz w:val="20"/>
                <w:szCs w:val="20"/>
                <w:color w:val="auto"/>
              </w:rPr>
            </w:pPr>
            <w:r>
              <w:rPr>
                <w:rFonts w:ascii="Arial" w:cs="Arial" w:eastAsia="Arial" w:hAnsi="Arial"/>
                <w:sz w:val="18"/>
                <w:szCs w:val="18"/>
                <w:color w:val="auto"/>
              </w:rPr>
              <w:t>3,023,301</w:t>
            </w:r>
          </w:p>
        </w:tc>
        <w:tc>
          <w:tcPr>
            <w:tcW w:w="1240" w:type="dxa"/>
            <w:vAlign w:val="bottom"/>
          </w:tcPr>
          <w:p>
            <w:pPr>
              <w:jc w:val="right"/>
              <w:ind w:right="136"/>
              <w:spacing w:after="0"/>
              <w:rPr>
                <w:sz w:val="20"/>
                <w:szCs w:val="20"/>
                <w:color w:val="auto"/>
              </w:rPr>
            </w:pPr>
            <w:r>
              <w:rPr>
                <w:rFonts w:ascii="Arial" w:cs="Arial" w:eastAsia="Arial" w:hAnsi="Arial"/>
                <w:sz w:val="18"/>
                <w:szCs w:val="18"/>
                <w:color w:val="auto"/>
              </w:rPr>
              <w:t>3,229,380</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3,213,053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9436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14" w:lineRule="exact"/>
        <w:rPr>
          <w:sz w:val="20"/>
          <w:szCs w:val="20"/>
          <w:color w:val="auto"/>
        </w:rPr>
      </w:pPr>
    </w:p>
    <w:p>
      <w:pPr>
        <w:ind w:left="460" w:right="240" w:hanging="452"/>
        <w:spacing w:after="0" w:line="25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instituted a discretionary quarterly cash dividend program in the amount of $0.13 per share commencing in the fourth quarter of fiscal 2012 and with the first payment in the first quarter of fiscal 2013.</w:t>
      </w:r>
    </w:p>
    <w:p>
      <w:pPr>
        <w:ind w:left="460" w:right="380" w:hanging="452"/>
        <w:spacing w:after="0" w:line="261"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fiscal 2009, we purchased $449.0 million aggregate principal amount of our 0.50% convertible notes. As of September 30, 2013, $1.02 million principal amount of the notes remained outstanding, due in 2024.</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580" w:type="dxa"/>
            <w:vAlign w:val="bottom"/>
            <w:gridSpan w:val="3"/>
            <w:vMerge w:val="restart"/>
          </w:tcPr>
          <w:p>
            <w:pPr>
              <w:jc w:val="right"/>
              <w:ind w:right="213"/>
              <w:spacing w:after="0"/>
              <w:rPr>
                <w:sz w:val="20"/>
                <w:szCs w:val="20"/>
                <w:color w:val="auto"/>
              </w:rPr>
            </w:pPr>
            <w:r>
              <w:rPr>
                <w:rFonts w:ascii="Arial" w:cs="Arial" w:eastAsia="Arial" w:hAnsi="Arial"/>
                <w:sz w:val="14"/>
                <w:szCs w:val="14"/>
                <w:b w:val="1"/>
                <w:bCs w:val="1"/>
                <w:color w:val="auto"/>
              </w:rPr>
              <w:t>Ordinary Shares</w:t>
            </w:r>
          </w:p>
        </w:tc>
        <w:tc>
          <w:tcPr>
            <w:tcW w:w="44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Arial" w:cs="Arial" w:eastAsia="Arial" w:hAnsi="Arial"/>
                <w:sz w:val="14"/>
                <w:szCs w:val="14"/>
                <w:b w:val="1"/>
                <w:bCs w:val="1"/>
                <w:color w:val="auto"/>
                <w:w w:val="99"/>
              </w:rPr>
              <w:t>Additional</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5700" w:type="dxa"/>
            <w:vAlign w:val="bottom"/>
          </w:tcPr>
          <w:p>
            <w:pPr>
              <w:spacing w:after="0"/>
              <w:rPr>
                <w:sz w:val="5"/>
                <w:szCs w:val="5"/>
                <w:color w:val="auto"/>
              </w:rPr>
            </w:pPr>
          </w:p>
        </w:tc>
        <w:tc>
          <w:tcPr>
            <w:tcW w:w="1580" w:type="dxa"/>
            <w:vAlign w:val="bottom"/>
            <w:tcBorders>
              <w:bottom w:val="single" w:sz="8" w:color="auto"/>
            </w:tcBorders>
            <w:gridSpan w:val="3"/>
            <w:vMerge w:val="continue"/>
          </w:tcPr>
          <w:p>
            <w:pPr>
              <w:spacing w:after="0"/>
              <w:rPr>
                <w:sz w:val="5"/>
                <w:szCs w:val="5"/>
                <w:color w:val="auto"/>
              </w:rPr>
            </w:pPr>
          </w:p>
        </w:tc>
        <w:tc>
          <w:tcPr>
            <w:tcW w:w="440" w:type="dxa"/>
            <w:vAlign w:val="bottom"/>
          </w:tcPr>
          <w:p>
            <w:pPr>
              <w:spacing w:after="0"/>
              <w:rPr>
                <w:sz w:val="5"/>
                <w:szCs w:val="5"/>
                <w:color w:val="auto"/>
              </w:rPr>
            </w:pPr>
          </w:p>
        </w:tc>
        <w:tc>
          <w:tcPr>
            <w:tcW w:w="800" w:type="dxa"/>
            <w:vAlign w:val="bottom"/>
            <w:vMerge w:val="restart"/>
          </w:tcPr>
          <w:p>
            <w:pPr>
              <w:jc w:val="right"/>
              <w:ind w:right="97"/>
              <w:spacing w:after="0" w:line="149" w:lineRule="exact"/>
              <w:rPr>
                <w:sz w:val="20"/>
                <w:szCs w:val="20"/>
                <w:color w:val="auto"/>
              </w:rPr>
            </w:pPr>
            <w:r>
              <w:rPr>
                <w:rFonts w:ascii="Arial" w:cs="Arial" w:eastAsia="Arial" w:hAnsi="Arial"/>
                <w:sz w:val="14"/>
                <w:szCs w:val="14"/>
                <w:b w:val="1"/>
                <w:bCs w:val="1"/>
                <w:color w:val="auto"/>
              </w:rPr>
              <w:t>Paid-In</w:t>
            </w: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gridSpan w:val="2"/>
            <w:vMerge w:val="restart"/>
          </w:tcPr>
          <w:p>
            <w:pPr>
              <w:jc w:val="right"/>
              <w:ind w:right="280"/>
              <w:spacing w:after="0" w:line="149" w:lineRule="exact"/>
              <w:rPr>
                <w:sz w:val="20"/>
                <w:szCs w:val="20"/>
                <w:color w:val="auto"/>
              </w:rPr>
            </w:pPr>
            <w:r>
              <w:rPr>
                <w:rFonts w:ascii="Arial" w:cs="Arial" w:eastAsia="Arial" w:hAnsi="Arial"/>
                <w:sz w:val="14"/>
                <w:szCs w:val="14"/>
                <w:b w:val="1"/>
                <w:bCs w:val="1"/>
                <w:color w:val="auto"/>
                <w:w w:val="97"/>
              </w:rPr>
              <w:t>Treasury</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5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0"/>
              </w:rPr>
              <w:t>Amount</w:t>
            </w:r>
          </w:p>
        </w:tc>
        <w:tc>
          <w:tcPr>
            <w:tcW w:w="440" w:type="dxa"/>
            <w:vAlign w:val="bottom"/>
          </w:tcPr>
          <w:p>
            <w:pPr>
              <w:spacing w:after="0"/>
              <w:rPr>
                <w:sz w:val="14"/>
                <w:szCs w:val="14"/>
                <w:color w:val="auto"/>
              </w:rPr>
            </w:pPr>
          </w:p>
        </w:tc>
        <w:tc>
          <w:tcPr>
            <w:tcW w:w="800" w:type="dxa"/>
            <w:vAlign w:val="bottom"/>
          </w:tcPr>
          <w:p>
            <w:pPr>
              <w:jc w:val="right"/>
              <w:ind w:right="97"/>
              <w:spacing w:after="0"/>
              <w:rPr>
                <w:sz w:val="20"/>
                <w:szCs w:val="20"/>
                <w:color w:val="auto"/>
              </w:rPr>
            </w:pPr>
            <w:r>
              <w:rPr>
                <w:rFonts w:ascii="Arial" w:cs="Arial" w:eastAsia="Arial" w:hAnsi="Arial"/>
                <w:sz w:val="14"/>
                <w:szCs w:val="14"/>
                <w:b w:val="1"/>
                <w:bCs w:val="1"/>
                <w:color w:val="auto"/>
              </w:rPr>
              <w:t>Capital</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jc w:val="right"/>
              <w:ind w:right="257"/>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 of Changes in Shareholders’ Equity Data:</w:t>
            </w: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Balance as of September 30, 2009</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205,079</w:t>
            </w:r>
          </w:p>
        </w:tc>
        <w:tc>
          <w:tcPr>
            <w:tcW w:w="4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$3,930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$2,334,090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(919,874)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Employee stock options exercised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23,618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200"/>
              <w:spacing w:after="0"/>
              <w:rPr>
                <w:sz w:val="20"/>
                <w:szCs w:val="20"/>
                <w:color w:val="auto"/>
              </w:rPr>
            </w:pPr>
            <w:r>
              <w:rPr>
                <w:rFonts w:ascii="Arial" w:cs="Arial" w:eastAsia="Arial" w:hAnsi="Arial"/>
                <w:sz w:val="18"/>
                <w:szCs w:val="18"/>
                <w:color w:val="auto"/>
              </w:rPr>
              <w:t>Repurchase of shares(1)</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(13,695)</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(389,287)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Issuance of restricted stock, net of forfeitures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200"/>
              <w:spacing w:after="0"/>
              <w:rPr>
                <w:sz w:val="20"/>
                <w:szCs w:val="20"/>
                <w:color w:val="auto"/>
              </w:rPr>
            </w:pPr>
            <w:r>
              <w:rPr>
                <w:rFonts w:ascii="Arial" w:cs="Arial" w:eastAsia="Arial" w:hAnsi="Arial"/>
                <w:sz w:val="18"/>
                <w:szCs w:val="18"/>
                <w:color w:val="auto"/>
              </w:rPr>
              <w:t>Equity-based compensation expense related to employees</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44,455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September 30, 2010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193,049</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3,956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2,402,163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(1,309,161)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80" w:type="dxa"/>
            <w:vAlign w:val="bottom"/>
            <w:gridSpan w:val="2"/>
          </w:tcPr>
          <w:p>
            <w:pPr>
              <w:ind w:left="200"/>
              <w:spacing w:after="0"/>
              <w:rPr>
                <w:sz w:val="20"/>
                <w:szCs w:val="20"/>
                <w:color w:val="auto"/>
              </w:rPr>
            </w:pPr>
            <w:r>
              <w:rPr>
                <w:rFonts w:ascii="Arial" w:cs="Arial" w:eastAsia="Arial" w:hAnsi="Arial"/>
                <w:sz w:val="18"/>
                <w:szCs w:val="18"/>
                <w:color w:val="auto"/>
              </w:rPr>
              <w:t>Employee stock options exercised</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2,590</w:t>
            </w:r>
          </w:p>
        </w:tc>
        <w:tc>
          <w:tcPr>
            <w:tcW w:w="44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44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56,417</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Repurchase of shares(1)</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(21,866)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(624,241)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200"/>
              <w:spacing w:after="0"/>
              <w:rPr>
                <w:sz w:val="20"/>
                <w:szCs w:val="20"/>
                <w:color w:val="auto"/>
              </w:rPr>
            </w:pPr>
            <w:r>
              <w:rPr>
                <w:rFonts w:ascii="Arial" w:cs="Arial" w:eastAsia="Arial" w:hAnsi="Arial"/>
                <w:sz w:val="18"/>
                <w:szCs w:val="18"/>
                <w:color w:val="auto"/>
              </w:rPr>
              <w:t>Issuance of restricted stock, net of forfeitures</w:t>
            </w:r>
          </w:p>
        </w:tc>
        <w:tc>
          <w:tcPr>
            <w:tcW w:w="640" w:type="dxa"/>
            <w:vAlign w:val="bottom"/>
          </w:tcPr>
          <w:p>
            <w:pPr>
              <w:jc w:val="right"/>
              <w:spacing w:after="0"/>
              <w:rPr>
                <w:sz w:val="20"/>
                <w:szCs w:val="20"/>
                <w:color w:val="auto"/>
              </w:rPr>
            </w:pPr>
            <w:r>
              <w:rPr>
                <w:rFonts w:ascii="Arial" w:cs="Arial" w:eastAsia="Arial" w:hAnsi="Arial"/>
                <w:sz w:val="18"/>
                <w:szCs w:val="18"/>
                <w:color w:val="auto"/>
              </w:rPr>
              <w:t>919</w:t>
            </w:r>
          </w:p>
        </w:tc>
        <w:tc>
          <w:tcPr>
            <w:tcW w:w="4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Equity-based compensation expense related to employees</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36,631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200" w:type="dxa"/>
            <w:vAlign w:val="bottom"/>
            <w:gridSpan w:val="3"/>
            <w:vMerge w:val="restart"/>
          </w:tcPr>
          <w:p>
            <w:pPr>
              <w:spacing w:after="0"/>
              <w:rPr>
                <w:sz w:val="20"/>
                <w:szCs w:val="20"/>
                <w:color w:val="auto"/>
              </w:rPr>
            </w:pPr>
            <w:r>
              <w:rPr>
                <w:rFonts w:ascii="Arial" w:cs="Arial" w:eastAsia="Arial" w:hAnsi="Arial"/>
                <w:sz w:val="18"/>
                <w:szCs w:val="18"/>
                <w:color w:val="auto"/>
              </w:rPr>
              <w:t>Balance as of September 30, 2011</w:t>
            </w: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200" w:type="dxa"/>
            <w:vAlign w:val="bottom"/>
            <w:gridSpan w:val="3"/>
            <w:vMerge w:val="continue"/>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174,692</w:t>
            </w:r>
          </w:p>
        </w:tc>
        <w:tc>
          <w:tcPr>
            <w:tcW w:w="4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4,013</w:t>
            </w:r>
          </w:p>
        </w:tc>
        <w:tc>
          <w:tcPr>
            <w:tcW w:w="1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2,495,211</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(1,933,402)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Employee stock options exercised</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3,585</w:t>
            </w:r>
          </w:p>
        </w:tc>
        <w:tc>
          <w:tcPr>
            <w:tcW w:w="4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4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86,610</w:t>
            </w: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200"/>
              <w:spacing w:after="0"/>
              <w:rPr>
                <w:sz w:val="20"/>
                <w:szCs w:val="20"/>
                <w:color w:val="auto"/>
              </w:rPr>
            </w:pPr>
            <w:r>
              <w:rPr>
                <w:rFonts w:ascii="Arial" w:cs="Arial" w:eastAsia="Arial" w:hAnsi="Arial"/>
                <w:sz w:val="18"/>
                <w:szCs w:val="18"/>
                <w:color w:val="auto"/>
              </w:rPr>
              <w:t>Repurchase of shares(1)</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(16,288)</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(484,608)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Issuance of restricted stock, net of forfeitures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200"/>
              <w:spacing w:after="0"/>
              <w:rPr>
                <w:sz w:val="20"/>
                <w:szCs w:val="20"/>
                <w:color w:val="auto"/>
              </w:rPr>
            </w:pPr>
            <w:r>
              <w:rPr>
                <w:rFonts w:ascii="Arial" w:cs="Arial" w:eastAsia="Arial" w:hAnsi="Arial"/>
                <w:sz w:val="18"/>
                <w:szCs w:val="18"/>
                <w:color w:val="auto"/>
              </w:rPr>
              <w:t>Equity-based compensation expense related to employees</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43,429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September 30, 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162,454</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4,077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2,625,250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(2,418,010)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80" w:type="dxa"/>
            <w:vAlign w:val="bottom"/>
            <w:gridSpan w:val="2"/>
          </w:tcPr>
          <w:p>
            <w:pPr>
              <w:ind w:left="200"/>
              <w:spacing w:after="0"/>
              <w:rPr>
                <w:sz w:val="20"/>
                <w:szCs w:val="20"/>
                <w:color w:val="auto"/>
              </w:rPr>
            </w:pPr>
            <w:r>
              <w:rPr>
                <w:rFonts w:ascii="Arial" w:cs="Arial" w:eastAsia="Arial" w:hAnsi="Arial"/>
                <w:sz w:val="18"/>
                <w:szCs w:val="18"/>
                <w:color w:val="auto"/>
              </w:rPr>
              <w:t>Employee stock options exercised</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7,243</w:t>
            </w:r>
          </w:p>
        </w:tc>
        <w:tc>
          <w:tcPr>
            <w:tcW w:w="44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44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213,308</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Repurchase of shares(1)</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(10,370)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(367,061)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200"/>
              <w:spacing w:after="0"/>
              <w:rPr>
                <w:sz w:val="20"/>
                <w:szCs w:val="20"/>
                <w:color w:val="auto"/>
              </w:rPr>
            </w:pPr>
            <w:r>
              <w:rPr>
                <w:rFonts w:ascii="Arial" w:cs="Arial" w:eastAsia="Arial" w:hAnsi="Arial"/>
                <w:sz w:val="18"/>
                <w:szCs w:val="18"/>
                <w:color w:val="auto"/>
              </w:rPr>
              <w:t>Issuance of restricted stock, net of forfeitures</w:t>
            </w:r>
          </w:p>
        </w:tc>
        <w:tc>
          <w:tcPr>
            <w:tcW w:w="640" w:type="dxa"/>
            <w:vAlign w:val="bottom"/>
          </w:tcPr>
          <w:p>
            <w:pPr>
              <w:jc w:val="right"/>
              <w:spacing w:after="0"/>
              <w:rPr>
                <w:sz w:val="20"/>
                <w:szCs w:val="20"/>
                <w:color w:val="auto"/>
              </w:rPr>
            </w:pPr>
            <w:r>
              <w:rPr>
                <w:rFonts w:ascii="Arial" w:cs="Arial" w:eastAsia="Arial" w:hAnsi="Arial"/>
                <w:sz w:val="18"/>
                <w:szCs w:val="18"/>
                <w:color w:val="auto"/>
              </w:rPr>
              <w:t>735</w:t>
            </w:r>
          </w:p>
        </w:tc>
        <w:tc>
          <w:tcPr>
            <w:tcW w:w="4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Equity-based compensation expense related to employees</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40,340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200" w:type="dxa"/>
            <w:vAlign w:val="bottom"/>
            <w:gridSpan w:val="3"/>
            <w:vMerge w:val="restart"/>
          </w:tcPr>
          <w:p>
            <w:pPr>
              <w:spacing w:after="0"/>
              <w:rPr>
                <w:sz w:val="20"/>
                <w:szCs w:val="20"/>
                <w:color w:val="auto"/>
              </w:rPr>
            </w:pPr>
            <w:r>
              <w:rPr>
                <w:rFonts w:ascii="Arial" w:cs="Arial" w:eastAsia="Arial" w:hAnsi="Arial"/>
                <w:sz w:val="18"/>
                <w:szCs w:val="18"/>
                <w:color w:val="auto"/>
              </w:rPr>
              <w:t>Balance as of September 30, 2013</w:t>
            </w: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00" w:type="dxa"/>
            <w:vAlign w:val="bottom"/>
            <w:gridSpan w:val="3"/>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160,062</w:t>
            </w:r>
          </w:p>
        </w:tc>
        <w:tc>
          <w:tcPr>
            <w:tcW w:w="4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4,199</w:t>
            </w:r>
          </w:p>
        </w:tc>
        <w:tc>
          <w:tcPr>
            <w:tcW w:w="1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2,878,898</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(2,785,071)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5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94"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From time to time, our board of directors has adopted share repurchase plans authorizing the repurchase of our outstanding ordinary shares. Our current share repurchase plan authorizes the repurchase of up to $500.0 million of our outstanding ordinary shares with no expiration date. In fiscal 2013, we repurchased 10.4 million ordinary shares at an average price of $35.38 per share (excluding broker and transaction fees). As of September 30, 2013, we had remaining authority to repurchase up to $335.9 million of our outstanding ordinary shares. The authorization permits us to purchase our ordinary shares in open market or privately negotiated transactions at times and prices that we consider appropriate.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exposed to general global economic and market conditions, particularly those impacting the communications industry.</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Developments in the communications industry, such as the impact of global economic conditions, industry consolidation, emergence of new competitors, commoditization of voice and data services and changes in the regulatory environment, at times have had, and could continue to have, a material adverse effect on our existing or potential customers. In the past, these conditions reduced the high growth rates that the communications industry had previously experienced and caused the market value, financial results and prospects and capital spending levels of many communications companies to decline or degrade. During previous economic downturns, the communications industry experienced significant financial pressures that caused many in the industry to cut expenses and limit investment in capital intensive projects and, in some cases, led to restructurings and bankruptcies. The recent worldwide recession and European debt crisis had, and the continuing uncertainty as to economic recovery may have, adverse consequences for our customers and our business.</w:t>
      </w:r>
    </w:p>
    <w:p>
      <w:pPr>
        <w:spacing w:after="0" w:line="3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Downturns in the business climate for communications companies have in the past resulted in slower customer buying decisions and price pressures that adversely affected our ability to generate revenue. Adverse market conditions may have a negative impact on our business by decreasing our new customer engagements and the size of initial spending commitments under those engagements, as well as decreasing the level of discretionary spending by existing customers. In addition, a slowdown in buying decisions may extend our sales cycle period and may limit our ability to forecast our flow of new contracts. If such adverse business conditions arise in the future, our business may be harmed.</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If we fail to adapt to changing market conditions and cannot compete successfully with existing or new competitors, our business could be harmed.</w:t>
      </w:r>
    </w:p>
    <w:p>
      <w:pPr>
        <w:spacing w:after="0" w:line="125"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may be unable to compete successfully with existing or new competitors. Our failure to adapt to changing market conditions and to compete successfully with established or new competitors could have a material adverse effect on our results of operations and financial condition. We face intense competition for the software products and services that we sell, including competition for managed services we provide to customers under long-term service agreements. These managed services include management of data center operations and IT infrastructure, application management and ongoing support, systems modernization and consolidation and management of end-to-end business processes for billing and customer care operations.</w:t>
      </w:r>
    </w:p>
    <w:p>
      <w:pPr>
        <w:spacing w:after="0" w:line="3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market for communications information systems is highly competitive and fragmented, and we expect competition to continue to increase. We compete with independent software and service providers and with the in-house IT and network departments of communications companies. Our main competitors include firms that provide IT services (including consulting, systems integration and managed services), software vendors that sell products for particular aspects of a total information system, software vendors that specialize in systems for particular communications services (such as Internet, wireline and wireless services, cable, satellite and service bureaus) and network equipment providers that offer software systems in combination with the sale of network equipment. We also compete with companies that provide digital commerce software and solutions.</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our ability to compete depends on a number of factors, including:</w:t>
      </w:r>
    </w:p>
    <w:p>
      <w:pPr>
        <w:spacing w:after="0" w:line="90" w:lineRule="exact"/>
        <w:rPr>
          <w:sz w:val="20"/>
          <w:szCs w:val="20"/>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development by others of software products that are competitive with our products and services,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price at which others offer competitive software and services,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of competitors to deliver projects at a level of quality that rivals our own,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responsiveness of our competitors to customer needs,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of our competitors to hire, retain and motivate key personnel.</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 number of our competitors have long operating histories, large customer bases, substantial financial, technical, sales, marketing and other resources, and strong name recognition. Current and potential competitors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have established, and may establish in the future, cooperative relationships among themselves or with third parties to increase their abilities to address the needs of our existing or prospective customers. In addition, our competitors have acquired, and may continue to acquire in the future, companies that may enhance their market offerings.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 We cannot assure you that we will be able to compete successfully with existing or new competitors. If we fail to adapt to changing market conditions and to compete successfully with established or new competitors, our results of operations and financial condition may be adversely affected.</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If we do not continually enhance our products and service offerings, we may have difficulty retaining existing customers and attracting new customers.</w:t>
      </w:r>
    </w:p>
    <w:p>
      <w:pPr>
        <w:spacing w:after="0" w:line="12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believe that our future success will depend, to a significant extent, upon our ability to enhance our existing products and to introduce new products and features to meet the requirements of our customers in a rapidly developing and evolving market. We are currently devoting significant resources to refining and expanding our base software modules and to developing our customer experience systems. Our present or future products may not satisfy the evolving needs of the communications industry or of other industries that we serve. If we are unable to anticipate or respond adequately to such needs, due to resource, technological or other constraints, our business and results of operations could be harmed.</w:t>
      </w:r>
    </w:p>
    <w:p>
      <w:pPr>
        <w:spacing w:after="0" w:line="116" w:lineRule="exact"/>
        <w:rPr>
          <w:sz w:val="20"/>
          <w:szCs w:val="20"/>
          <w:color w:val="auto"/>
        </w:rPr>
      </w:pPr>
    </w:p>
    <w:p>
      <w:pPr>
        <w:ind w:left="240" w:right="280"/>
        <w:spacing w:after="0" w:line="268" w:lineRule="auto"/>
        <w:rPr>
          <w:sz w:val="20"/>
          <w:szCs w:val="20"/>
          <w:color w:val="auto"/>
        </w:rPr>
      </w:pPr>
      <w:r>
        <w:rPr>
          <w:rFonts w:ascii="Arial" w:cs="Arial" w:eastAsia="Arial" w:hAnsi="Arial"/>
          <w:sz w:val="18"/>
          <w:szCs w:val="18"/>
          <w:b w:val="1"/>
          <w:bCs w:val="1"/>
          <w:i w:val="1"/>
          <w:iCs w:val="1"/>
          <w:color w:val="auto"/>
        </w:rPr>
        <w:t>Our business is dependent on a limited number of significant customers, and the loss of any one of our significant customers could harm our results of operations.</w:t>
      </w:r>
    </w:p>
    <w:p>
      <w:pPr>
        <w:spacing w:after="0" w:line="5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business is dependent on a limited number of significant customers, of which AT&amp;T has historically been our largest. AT&amp;T accounted for 28% of our revenue in fiscal 2013 and 26% in fiscal 2012. In fiscal 2013, our two next largest customers were Sprint Nextel, Bell Canada and certain of their subsidiaries. Sprint Nextel accounted for less than 10% of our revenue in fiscal 2013 and for 10% in fiscal 2012. Bell Canada accounted for less than 10% of our revenue in each of fiscal 2013 and 2012. Aggregate revenue derived from the multiple business arrangements we have with the ten largest of our significant customers accounted for approximately 70% of our revenue in each fiscal 2013 and 2012. The loss of any significant customer, a significant decrease in business from any such customer or a reduction in customer revenue due to adverse changes in the terms of our contractual arrangements or other factors could harm our results of operations and financial condition. Revenue from individual customers may fluctuate from time to time based on the commencement and completion of projects, the timing of which may be affected by market conditions.</w:t>
      </w:r>
    </w:p>
    <w:p>
      <w:pPr>
        <w:spacing w:after="0" w:line="3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Although we have received a substantial portion of our revenue from recurring business with established customers, many of our major customers do not have any obligation to purchase additional products or services from us and generally have already acquired fully paid licenses to their installed systems. Therefore, our customers may not continue to purchase new systems, system enhancements or services in amounts similar to previous years or may delay implementation or significantly reduce the scope of committed projects, each of which could reduce our revenue and profits.</w:t>
      </w:r>
    </w:p>
    <w:p>
      <w:pPr>
        <w:spacing w:after="0" w:line="113" w:lineRule="exact"/>
        <w:rPr>
          <w:sz w:val="20"/>
          <w:szCs w:val="20"/>
          <w:color w:val="auto"/>
        </w:rPr>
      </w:pPr>
    </w:p>
    <w:p>
      <w:pPr>
        <w:ind w:left="240" w:right="580"/>
        <w:spacing w:after="0" w:line="268" w:lineRule="auto"/>
        <w:rPr>
          <w:sz w:val="20"/>
          <w:szCs w:val="20"/>
          <w:color w:val="auto"/>
        </w:rPr>
      </w:pPr>
      <w:r>
        <w:rPr>
          <w:rFonts w:ascii="Arial" w:cs="Arial" w:eastAsia="Arial" w:hAnsi="Arial"/>
          <w:sz w:val="18"/>
          <w:szCs w:val="18"/>
          <w:b w:val="1"/>
          <w:bCs w:val="1"/>
          <w:i w:val="1"/>
          <w:iCs w:val="1"/>
          <w:color w:val="auto"/>
        </w:rPr>
        <w:t>Our future success will depend on our ability to develop and maintain long-term relationships with our customers and to meet their expectations in providing products and performing services.</w:t>
      </w:r>
    </w:p>
    <w:p>
      <w:pPr>
        <w:spacing w:after="0" w:line="5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believe that our future success will depend to a significant extent on our ability to develop and maintain long-term relationships with successful network operators and service providers with the financial and other resources required to invest in significant ongoing customer experience systems. If we are unable to develop new customer relationships, our business will be harmed. In addition, our business and results of operations depend in part on our ability to provide high quality services to customers that have already implemented our products. If we are unable to meet customers’ expectations in providing products or performing services, our business and results of operations could be harmed.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260"/>
        <w:spacing w:after="0" w:line="268" w:lineRule="auto"/>
        <w:rPr>
          <w:sz w:val="20"/>
          <w:szCs w:val="20"/>
          <w:color w:val="auto"/>
        </w:rPr>
      </w:pPr>
      <w:r>
        <w:rPr>
          <w:rFonts w:ascii="Arial" w:cs="Arial" w:eastAsia="Arial" w:hAnsi="Arial"/>
          <w:sz w:val="18"/>
          <w:szCs w:val="18"/>
          <w:b w:val="1"/>
          <w:bCs w:val="1"/>
          <w:i w:val="1"/>
          <w:iCs w:val="1"/>
          <w:color w:val="auto"/>
        </w:rPr>
        <w:t>We may seek to acquire companies or technologies that could disrupt our ongoing business, divert the attention of our management and employees and adversely affect our results of operations.</w:t>
      </w:r>
    </w:p>
    <w:p>
      <w:pPr>
        <w:spacing w:after="0" w:line="5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It is a part of our business strategy to pursue acquisitions and other initiatives in order to offer new products or services or otherwise enhance our market position or strategic strengths. In recent years, we have completed numerous acquisitions, which, among other things, have expanded our business into digital commerce solutions and the network control market. In the future, we may acquire other companies that we believe will advance our business strategy. We may not be able to identify suitable future acquisition candidates, consummate acquisitions on favorable terms or complete otherwise favorable acquisitions because of antitrust or other regulatory concerns.</w:t>
      </w:r>
    </w:p>
    <w:p>
      <w:pPr>
        <w:spacing w:after="0" w:line="6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cannot assure you that the acquisitions we have completed, or any future acquisitions that we may make, will enhance our products or strengthen our competitive position. We also cannot assure you that we have identified, or will be able to identify, all material adverse issues related to the integration of our acquisitions, such as significant defects in the internal control policies of companies that we have acquired. In addition, our acquisitions could lead to difficulties in integrating acquired personnel and operations and in retaining and motivating key personnel from these businesses. Any failure to recognize significant defects in the internal control policies of acquired companies or to properly integrate and retain personnel may require a significant amount of time and resources to address. Acquisitions may disrupt our ongoing operations, divert management from day-to-day responsibilities, increase our expenses and harm our results of operations or financial condition.</w:t>
      </w:r>
    </w:p>
    <w:p>
      <w:pPr>
        <w:spacing w:after="0" w:line="118" w:lineRule="exact"/>
        <w:rPr>
          <w:sz w:val="20"/>
          <w:szCs w:val="20"/>
          <w:color w:val="auto"/>
        </w:rPr>
      </w:pPr>
    </w:p>
    <w:p>
      <w:pPr>
        <w:ind w:left="240" w:right="160"/>
        <w:spacing w:after="0" w:line="268" w:lineRule="auto"/>
        <w:rPr>
          <w:sz w:val="20"/>
          <w:szCs w:val="20"/>
          <w:color w:val="auto"/>
        </w:rPr>
      </w:pPr>
      <w:r>
        <w:rPr>
          <w:rFonts w:ascii="Arial" w:cs="Arial" w:eastAsia="Arial" w:hAnsi="Arial"/>
          <w:sz w:val="18"/>
          <w:szCs w:val="18"/>
          <w:b w:val="1"/>
          <w:bCs w:val="1"/>
          <w:i w:val="1"/>
          <w:iCs w:val="1"/>
          <w:color w:val="auto"/>
        </w:rPr>
        <w:t>The skilled and highly qualified workforce that we need to develop, implement and modify our solutions may be difficult to hire, train and retain, and we could face increased costs to attract and retain our skilled workforce.</w:t>
      </w:r>
    </w:p>
    <w:p>
      <w:pPr>
        <w:spacing w:after="0" w:line="51"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Our business operations depend in large part on our ability to attract, train, motivate and retain highly skilled information technology professionals, software programmers and communications engineers on a worldwide basis. In addition, our competitive success will depend on our ability to attract and retain other outstanding, highly qualified employees, consultants and other professionals. Because our software products are highly complex and are generally used by our customers to perform critical business functions, we depend heavily on skilled technology professionals. Skilled technology professionals are often in high demand and short supply. If we are unable to hire or retain qualified technology professionals to develop, implement and modify our solutions, we may be unable to meet the needs of our customers. In addition, serving several new customers or implementing several new large-scale projects in a short period of time may require us to attract and train additional IT professionals at a rapid rate. We may face difficulties identifying and hiring qualified personnel. Although we are heavily investing in training our new employees, we may not be able to train them rapidly enough to meet the increasing demands on our business, particularly in light of high attrition rates in some regions where we have operations. Our inability to hire, train and retain the appropriate personnel could increase our costs of retaining a skilled workforce and make it difficult for us to manage our operations, meet our commitments and compete for new customer contracts. In particular, wage costs in some of the countries in which we maintain development centers, such as Cyprus and India, have historically been significantly lower than wage costs in the United States, Europe and Israel for comparably-skilled professionals, although such costs are increasing. We may need to increase the levels of our employee compensation more rapidly than in the past to remain competitive.</w:t>
      </w:r>
    </w:p>
    <w:p>
      <w:pPr>
        <w:spacing w:after="0" w:line="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a result of our entry into the digital commerce space, we now compete for high quality employees in that space’s limited and competitive talent market. In addition, cost containment measures effected in recent years, such as the relocation of projects to lower costs countries, may lead to greater employee attrition and increase the cost of retaining our most skilled employees. The transition of projects to new locations may also lead to business disruptions due to differing levels of employee knowledge and organizational and leadership skills. While we have never experienced an organized labor dispute, strike or work stoppage, any such dispute in the future could have a negative impact on our business.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Our success will also depend, to a certain extent, upon the continued active participation of a relatively small group of senior management personnel. The loss of the services of all or some of these executives could harm our operations and impair our efforts to expand our business.</w:t>
      </w:r>
    </w:p>
    <w:p>
      <w:pPr>
        <w:spacing w:after="0" w:line="85" w:lineRule="exact"/>
        <w:rPr>
          <w:sz w:val="20"/>
          <w:szCs w:val="20"/>
          <w:color w:val="auto"/>
        </w:rPr>
      </w:pPr>
    </w:p>
    <w:p>
      <w:pPr>
        <w:ind w:left="240" w:right="140"/>
        <w:spacing w:after="0" w:line="268" w:lineRule="auto"/>
        <w:rPr>
          <w:sz w:val="20"/>
          <w:szCs w:val="20"/>
          <w:color w:val="auto"/>
        </w:rPr>
      </w:pPr>
      <w:r>
        <w:rPr>
          <w:rFonts w:ascii="Arial" w:cs="Arial" w:eastAsia="Arial" w:hAnsi="Arial"/>
          <w:sz w:val="18"/>
          <w:szCs w:val="18"/>
          <w:b w:val="1"/>
          <w:bCs w:val="1"/>
          <w:i w:val="1"/>
          <w:iCs w:val="1"/>
          <w:color w:val="auto"/>
        </w:rPr>
        <w:t>Our quarterly operating results may fluctuate, and a decline in revenue in any quarter could result in lower profitability for that quarter and fluctuations in the market price of our ordinary shares.</w:t>
      </w:r>
    </w:p>
    <w:p>
      <w:pPr>
        <w:spacing w:after="0" w:line="5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At times, we have experienced fluctuations in our quarterly operating results and anticipate that such movements may continue to occur. Fluctuations may result from many factors, including:</w:t>
      </w:r>
    </w:p>
    <w:p>
      <w:pPr>
        <w:spacing w:after="0" w:line="51" w:lineRule="exact"/>
        <w:rPr>
          <w:sz w:val="20"/>
          <w:szCs w:val="20"/>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size, timing and pace of progress of significant customer projects and license and service fees,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in or cancellations of significant projects by customers,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operating expenses,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competition,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our strategy,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personnel changes,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foreign currency exchange rate fluctuations,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penetration of new markets,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economic and political conditions.</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Generally, our combined license fee revenue and service fee revenue relating to customization, modification, implementation and integration are recognized as work is performed, using the percentage of completion method of accounting. Given our reliance on a limited number of significant customers, our quarterly results may be significantly affected by the size and timing of customer projects and our progress in completing such projects.</w:t>
      </w:r>
    </w:p>
    <w:p>
      <w:pPr>
        <w:spacing w:after="0" w:line="2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believe that the placement of customer orders may be concentrated in specific quarterly periods due to the time requirements and budgetary constraints of our customers. Although we recognize a significant portion of our revenue as projects are performed, progress may vary significantly from project to project, and we believe that variations in quarterly revenue are sometimes attributable to the timing of initial order placements. Due to the relatively fixed nature of certain of our costs, a decline of revenue in any quarter could result in lower profitability for that quarter. In addition, fluctuations in our quarterly operating results could cause significant fluctuations in the market price of our ordinary shares.</w:t>
      </w:r>
    </w:p>
    <w:p>
      <w:pPr>
        <w:spacing w:after="0" w:line="116" w:lineRule="exact"/>
        <w:rPr>
          <w:sz w:val="20"/>
          <w:szCs w:val="20"/>
          <w:color w:val="auto"/>
        </w:rPr>
      </w:pPr>
    </w:p>
    <w:p>
      <w:pPr>
        <w:ind w:left="240" w:right="760"/>
        <w:spacing w:after="0" w:line="268" w:lineRule="auto"/>
        <w:rPr>
          <w:sz w:val="20"/>
          <w:szCs w:val="20"/>
          <w:color w:val="auto"/>
        </w:rPr>
      </w:pPr>
      <w:r>
        <w:rPr>
          <w:rFonts w:ascii="Arial" w:cs="Arial" w:eastAsia="Arial" w:hAnsi="Arial"/>
          <w:sz w:val="18"/>
          <w:szCs w:val="18"/>
          <w:b w:val="1"/>
          <w:bCs w:val="1"/>
          <w:i w:val="1"/>
          <w:iCs w:val="1"/>
          <w:color w:val="auto"/>
        </w:rPr>
        <w:t>Our revenue, earnings and profitability are affected by the length of our sales cycle, and a longer sales cycle could adversely affect our results of operations and financial condition.</w:t>
      </w:r>
    </w:p>
    <w:p>
      <w:pPr>
        <w:spacing w:after="0" w:line="5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business is directly affected by the length of our sales cycle. Information systems for communications companies are relatively complex and their purchase generally involves a significant commitment of capital, with attendant delays frequently associated with large capital expenditures and procurement procedures within an organization. The purchase of these types of products and services typically also requires coordination and agreement across many departments within a potential customer’s organization. Delays associated with such timing factors could have a material adverse effect on our results of operations and financial condition. In periods of economic slowdown in the communications industry, our typical sales cycle lengthens, which means that the average time between our initial contact with a prospective customer and the signing of a sales contract increases. The lengthening of our sales cycle could reduce growth in our revenue. In addition, the lengthening of our sales cycle contributes to increased selling expenses, thereby reducing our profitability.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820"/>
        <w:spacing w:after="0" w:line="268" w:lineRule="auto"/>
        <w:rPr>
          <w:sz w:val="20"/>
          <w:szCs w:val="20"/>
          <w:color w:val="auto"/>
        </w:rPr>
      </w:pPr>
      <w:r>
        <w:rPr>
          <w:rFonts w:ascii="Arial" w:cs="Arial" w:eastAsia="Arial" w:hAnsi="Arial"/>
          <w:sz w:val="18"/>
          <w:szCs w:val="18"/>
          <w:b w:val="1"/>
          <w:bCs w:val="1"/>
          <w:i w:val="1"/>
          <w:iCs w:val="1"/>
          <w:color w:val="auto"/>
        </w:rPr>
        <w:t>We may be required to increase or decrease the scope of our operations in response to changes in the demand for our products, and if we fail to successfully plan and manage changes in the size of our operations, our business will suffer.</w:t>
      </w:r>
    </w:p>
    <w:p>
      <w:pPr>
        <w:spacing w:after="0" w:line="5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In the past, we have both grown and contracted our operations, in some cases rapidly, in order to profitably offer our products and services in a continuously changing market. If we are unable to manage these changes and plan and manage any future changes in the size and scope of our operations, our business will suffer.</w:t>
      </w:r>
    </w:p>
    <w:p>
      <w:pPr>
        <w:spacing w:after="0" w:line="5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Restructurings and cost reduction measures that we have implemented, from time to time, have reduced the size of our operations and workforce. Reductions in personnel can result in significant severance, administrative and legal expenses and may also adversely affect or delay various sales, marketing and product development programs and activities. These cost reduction measures have included, and may in the future include, employee separation costs and consolidating and/or relocating certain of our operations to different geographic locations.</w:t>
      </w:r>
    </w:p>
    <w:p>
      <w:pPr>
        <w:spacing w:after="0" w:line="6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Acquisitions, organic growth and absorption of significant numbers of customers’ employees in connection with managed services projects have, from time to time, increased our headcount. Our total workforce, which includes employees and consultants, has increased from 17,244 at the end of fiscal 2009 to 20,774 as of September 30, 2013. During periods of expansion, we may need to serve several new customers or implement several new large-scale projects in short periods of time. This may require us to attract and train additional IT professionals at a rapid rate, which we may have difficulties doing successfully.</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Volatility and turmoil in the world’s capital markets may adversely affect our investment portfolio and other financial assets.</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cash, cash equivalents and short-term interest-bearing investments totaled $1,126 million, net of short-term debt, as of September 30, 2013. Our policy is to retain sufficient cash balances in order to support our growth. Our short-term investments consist primarily of money market funds, U.S. government treasuries, corporate bonds and U.S. agency securities. Although we believe that we generally adhere to conservative investment guidelines, adverse market conditions have resulted in immaterial impairments during the last three fiscal years of the carrying value of certain of our investment assets. Continuing adverse market conditions may lead to additional impairments. Realized or unrealized losses in our investments or in our other financial assets may adversely affect our financial condition.</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Declines in the financial condition of banks or other global financial institutions may adversely affect our normal financial operations.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 exposed to the credit risk of customers that have been adversely affected by weakened markets.</w:t>
      </w:r>
    </w:p>
    <w:p>
      <w:pPr>
        <w:spacing w:after="0" w:line="9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We typically sell our software and related services as part of long-term projects. During the life of a project, a customer’s budgeting constraints can impact the scope of a project and the customer’s ability to make required payments. In addition, adverse general business conditions may degrade the creditworthiness of our customers over time, and we can be adversely affected by bankruptcies or other business failures.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international presence exposes us to risks associated with varied and changing political, cultural, legal and economic conditions worldwide.</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are affected by risks associated with conducting business internationally. We maintain development facilities in Brazil, Canada, Cyprus, India, Ireland, Israel and the United States, and have operations in North America, Europe, Israel, Latin America and the Asia-Pacific region. Although a substantial majority of our revenue is derived from customers in North America and Europe, we obtain significant revenue from customers in the Asia-Pacific region and Latin America. Our strategy is to continue to broaden our North American and European customer bases and to expand into international markets, including emerging markets, such as those in Latin America, the Commonwealth of Independent States, India and Southeast Asia. Conducting business internationally exposes us to certain risks inherent in doing business in international markets, including:</w:t>
      </w:r>
    </w:p>
    <w:p>
      <w:pPr>
        <w:spacing w:after="0" w:line="39" w:lineRule="exact"/>
        <w:rPr>
          <w:sz w:val="20"/>
          <w:szCs w:val="20"/>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lack of acceptance of non-localized products,</w:t>
      </w:r>
    </w:p>
    <w:p>
      <w:pPr>
        <w:spacing w:after="0" w:line="90" w:lineRule="exact"/>
        <w:rPr>
          <w:rFonts w:ascii="Arial" w:cs="Arial" w:eastAsia="Arial" w:hAnsi="Arial"/>
          <w:sz w:val="18"/>
          <w:szCs w:val="18"/>
          <w:color w:val="auto"/>
        </w:rPr>
      </w:pPr>
    </w:p>
    <w:p>
      <w:pPr>
        <w:ind w:left="660" w:right="260" w:hanging="206"/>
        <w:spacing w:after="0" w:line="26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complying with varied legal and regulatory requirements across jurisdictions, including those applicable to employees and the terms of employment,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collecting accounts receivable and withholding taxes that limit the repatriation of earnings,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trade barriers,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complying with varied legal and regulatory requirements across jurisdictions,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immigration regulations that limit our ability to deploy our employees,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political instability and threats of terrorism,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variations in effective income tax rates among countries where we conduct business.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One or more of these factors could have a material adverse effect on our international operations, which could harm our results of operations and financial condition.</w:t>
      </w:r>
    </w:p>
    <w:p>
      <w:pPr>
        <w:spacing w:after="0" w:line="132" w:lineRule="exact"/>
        <w:rPr>
          <w:sz w:val="20"/>
          <w:szCs w:val="20"/>
          <w:color w:val="auto"/>
        </w:rPr>
      </w:pPr>
    </w:p>
    <w:p>
      <w:pPr>
        <w:ind w:left="240" w:right="700"/>
        <w:spacing w:after="0" w:line="268" w:lineRule="auto"/>
        <w:rPr>
          <w:sz w:val="20"/>
          <w:szCs w:val="20"/>
          <w:color w:val="auto"/>
        </w:rPr>
      </w:pPr>
      <w:r>
        <w:rPr>
          <w:rFonts w:ascii="Arial" w:cs="Arial" w:eastAsia="Arial" w:hAnsi="Arial"/>
          <w:sz w:val="18"/>
          <w:szCs w:val="18"/>
          <w:b w:val="1"/>
          <w:bCs w:val="1"/>
          <w:i w:val="1"/>
          <w:iCs w:val="1"/>
          <w:color w:val="auto"/>
        </w:rPr>
        <w:t>As we continue to develop our business in emerging markets, we face increasing challenges that could adversely impact our results of operations, reputation and business.</w:t>
      </w:r>
    </w:p>
    <w:p>
      <w:pPr>
        <w:spacing w:after="0" w:line="5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As we continue to expand our business in emerging markets, such as those in Latin America, the Commonwealth of Independent States, India and Southeast Asia, we face challenges related to more volatile economic conditions, competition from companies that are already present in the market, the need to identify correctly and leverage appropriate opportunities for sales and marketing, poor protection of intellectual property, inadequate protection against crime (including counterfeiting, corruption and fraud), inadvertent breaches of local laws or regulations and difficulties in recruiting sufficient personnel with appropriate skills and experience. In addition, local business practices in jurisdictions in which we operate, and particularly in emerging markets, may be inconsistent with international regulatory requirements, such as anti-corruption and anti-bribery regulations to which we are subject. It is possible that some of our employees, subcontractors, agents or partners may violate such legal and regulatory requirements, which may expose us to criminal or civil enforcement actions, including penalties and suspension or disqualification from U.S. federal procurement contracting. If we fail to comply with such legal and regulatory requirements, our business and reputation may be harmed.</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Our international operations expose us to risks associated with fluctuations in foreign currency exchange rates that could adversely affect our business.</w:t>
      </w:r>
    </w:p>
    <w:p>
      <w:pPr>
        <w:spacing w:after="0" w:line="125"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Although we have operations throughout the world, approximately 70% to 80% of our revenue and approximately 50% to 60% of our operating costs are denominated in, or linked to, the U.S. dollar. Accordingly, we consider the U.S. dollar to be our functional currency. Fluctuations in exchange rates between the dollar and the currencies in which such revenues are earned or such costs are incurred may have a material adverse effect on our results of operations and financial condition. From time to time we may experience increases in the costs of our operations outside the United States, as expressed in dollars, which could have a material adverse effect on our results of operations and financial condition.</w:t>
      </w:r>
    </w:p>
    <w:p>
      <w:pPr>
        <w:spacing w:after="0" w:line="35"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For example, during the height of the financial crisis in fiscal 2008, we recognized higher than usual foreign exchange losses under interest and other expense, net, mainly due to the significant revaluation of assets and liabilities denominated in other currencies attributable to the rapid and significant foreign exchange rate changes associated with the global economic turbulence. Although our foreign exchange losses have been less significant since then as a result of enhanced hedging strategies, we believe that foreign exchange rates may continue to present challenges in future periods.</w:t>
      </w:r>
    </w:p>
    <w:p>
      <w:pPr>
        <w:spacing w:after="0" w:line="3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policy is to hedge significant net exposures in the major foreign currencies in which we operate, and we generally hedge our net currency exposure with respect to expected revenue and operating costs and certain balance sheet items. We do not hedge all of our currency exposure, including for currencies for which the cost of hedging is prohibitively expensive. We cannot assure you that we will be able to effectively limit all of our exposure to currency exchange rate fluctuations.</w:t>
      </w:r>
    </w:p>
    <w:p>
      <w:pPr>
        <w:spacing w:after="0" w:line="6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imposition of exchange or price controls or other restrictions on the conversion of foreign currencies could also have a material adverse effect on our business, results of operations and financial condition.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Political and economic conditions in the Middle East and other countries may adversely affect our business.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Of the development centers we maintain worldwide, two of our largest development centers are located in Israel and India. In Israel, the centers are located in several different sites, and approximately 23% of our software and information technology, sales and marketing workforce is located in Israel. As a result, we are directly influenced by the political, economic and military conditions affecting Israel and its neighboring regions. Any major hostilities involving Israel could have a material adverse effect on our business. We have developed contingency plans to provide ongoing services to our customers in the event that escalated political or military conditions disrupt our normal operations. These plans include the transfer of some development operations within Israel to various of our other sites both within and outside of Israel. If we have to implement these plans, our operations would be disrupted and we would incur significant additional expenditures, which would adversely affect our business and results of operations.</w:t>
      </w:r>
    </w:p>
    <w:p>
      <w:pPr>
        <w:spacing w:after="0" w:line="3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Conflicts in North Africa and the Middle East, including in Egypt and Syria which border Israel, have resulted in continued political uncertainty and violence in the region. Reports of Iran’s continuing nuclear development program have seriously strained relations between Israel and Iran. In addition, efforts to improve Israel’s relationship with the Palestinian Authority have failed to result in a permanent solution. Further deterioration of relations with the Palestinian Authority or other countries in the Middle East might require increased military reserve service by some of our workforce, which may have a material adverse effect on our business.</w:t>
      </w:r>
    </w:p>
    <w:p>
      <w:pPr>
        <w:spacing w:after="0" w:line="6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recent years, we have expanded our operations internationally, particularly in India, Southeast Asia and Latin America. Conducting business in these and other countries involves unique challenges, including political instability, threats of terrorism, the transparency, consistency and effectiveness of business regulation, business corruption, the protection of intellectual property, and the availability of sufficient qualified local personnel. Any of these or other challenges associated with operating in these countries may adversely affect our business or operations. We have development and other facilities at multiple locations in India, and approximately 37% of our software and information technology, sales and marketing workforce is located in India. Terrorist activity in India and Pakistan has contributed to tensions between those countries and our operations in India may be adversely affected by future political and other events in the region.</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we are unable to protect our proprietary technology from misappropriation, our business may be harmed.</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Any misappropriation of our technology or the development of competitive technology could seriously harm our business. Our software and software systems are largely comprised of software and systems we have developed or acquired and that we regard as proprietary. We rely upon a combination of trademarks, patents, contractual rights, trade secret law, copyrights, non-disclosure agreements and other methods to protect our proprietary rights. We enter into non-disclosure and confidentiality agreements with our customers, workforce and marketing representatives and with certain contractors with access to sensitive information, and we also limit our customer access to the source codes of our software and our software systems. However, we generally do not include in our software any mechanisms to prevent or inhibit unauthorized use.</w:t>
      </w:r>
    </w:p>
    <w:p>
      <w:pPr>
        <w:spacing w:after="0" w:line="39"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steps we have taken to protect our proprietary rights may be inadequate. If so, we might not be able to prevent others from using what we regard as our technology to compete with us. Existing trade secret, copyright and trademark laws offer only limited protection. In addition, the laws of some foreign countries do not protect our proprietary technology or allow enforcement of confidentiality covenants to the same extent as the laws of the United States.</w:t>
      </w:r>
    </w:p>
    <w:p>
      <w:pPr>
        <w:spacing w:after="0" w:line="2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If we have to resort to legal proceedings to enforce our intellectual property rights, the proceedings could be burdensome, protracted and expensive and could involve a high degree of risk.</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Claims by others that we infringe their proprietary technology could harm our business and subject us to potentially burdensome litigation.</w:t>
      </w:r>
    </w:p>
    <w:p>
      <w:pPr>
        <w:spacing w:after="0" w:line="11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software and software systems are the results of long and complex development processes, and, although our technology is not significantly dependent on patents or licenses from third parties, certain aspects of our products make use of readily available software components that we license from third parties, including our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employees and contractors. As a developer of complex software systems, third parties may claim that portions of our systems violate their intellectual property rights. The ability to develop and use our software and software systems requires knowledge and professional experience that we believe is unique to us and would be very difficult for others to independently obtain. However, our competitors may independently develop technologies that are substantially equivalent or superior to ours.</w:t>
      </w:r>
    </w:p>
    <w:p>
      <w:pPr>
        <w:spacing w:after="0" w:line="6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expect that software developers will increasingly be subject to infringement claims as the number of products and competitors providing software and services to the communications industry increases and overlaps occur. In addition, patent infringement claims are increasingly being asserted by patent holding companies, which do not use the technology subject to their patents, and whose sole business is to enforce patents against companies, such as us, for monetary gain. Any claim of infringement by a third party could cause us to incur substantial costs defending against the claim and could distract our management from our business. Furthermore, a party making such a claim, if successful, could secure a judgment that requires us to pay substantial damages. A judgment could also include an injunction or other court order that could prevent us from selling our products or offering our services, or prevent a customer from continuing to use our products. We support service providers and media companies with respect to digital content services, which could subject us to claims related to such services. Our entry into the digital content services market has also subjected us to possible claims of infringement of the ownership rights to media content, as well as to direct legal claims from retail consumers arising from the delivery of such services.</w:t>
      </w:r>
    </w:p>
    <w:p>
      <w:pPr>
        <w:spacing w:after="0" w:line="39"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If anyone asserts a claim against us relating to proprietary technology or information, we might seek to license their intellectual property. We might not, however, be able to obtain a license on commercially reasonable terms or on any terms. In addition, any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 defects or software errors could adversely affect our business.</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Design defects or software errors may cause delays in product introductions and project implementations and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5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Because our products are generally used by our customers to perform critical business functions, design defects, software errors, misuse of our products, incorrect data from external sources or other potential problems within or outside of our control may arise during implementation or from the use of our products, and may result in financial or other damages to our customers, for which we may be held responsible. Although we have license agreements with our customers that contain provisions designed to limit our exposure to potential claims and liabilities arising from customer problems, these provisions may not effectively protect us against such claims in all cases and in all jurisdictions. In addition, as a result of business and other considerations, we may undertake to compensate our customers for damages caused to them arising from the use of our products, even if our liability is limited by a license or other agreement. Claims and liabilities arising from customer problems could also damage our reputation, adversely affecting our business, results of operations and financial condition and the ability to obtain “Errors and Omissions” insurance.</w:t>
      </w:r>
    </w:p>
    <w:p>
      <w:pPr>
        <w:spacing w:after="0" w:line="118" w:lineRule="exact"/>
        <w:rPr>
          <w:sz w:val="20"/>
          <w:szCs w:val="20"/>
          <w:color w:val="auto"/>
        </w:rPr>
      </w:pPr>
    </w:p>
    <w:p>
      <w:pPr>
        <w:ind w:left="240" w:right="20"/>
        <w:spacing w:after="0" w:line="268" w:lineRule="auto"/>
        <w:rPr>
          <w:sz w:val="20"/>
          <w:szCs w:val="20"/>
          <w:color w:val="auto"/>
        </w:rPr>
      </w:pPr>
      <w:r>
        <w:rPr>
          <w:rFonts w:ascii="Arial" w:cs="Arial" w:eastAsia="Arial" w:hAnsi="Arial"/>
          <w:sz w:val="18"/>
          <w:szCs w:val="18"/>
          <w:b w:val="1"/>
          <w:bCs w:val="1"/>
          <w:i w:val="1"/>
          <w:iCs w:val="1"/>
          <w:color w:val="auto"/>
        </w:rPr>
        <w:t>System disruptions and failures or security and privacy breaches may result in customer dissatisfaction, customer loss or both, which could materially and adversely affect our reputation and business.</w:t>
      </w:r>
    </w:p>
    <w:p>
      <w:pPr>
        <w:spacing w:after="0" w:line="5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Our systems are an integral part of our customers’ business operations. The continued and uninterrupted performance of these systems by our customers is critical to our success. Customers may become dissatisfied by any system failure that interrupts our ability to provide services to them. Sustained or repeated system failures would reduce the attractiveness of our services significantly and could result in decreased demand for our products and services.</w:t>
      </w:r>
    </w:p>
    <w:p>
      <w:pPr>
        <w:spacing w:after="0" w:line="2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Our ability to serve our customers depends on our ability to protect our computer systems against damage from fire, power loss, water damage, telecommunications failures, earthquake, terrorism attack, vandalism and similar unexpected adverse events. Despite our efforts to implement network security measures, our systems are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also vulnerable to computer viruses, attacks, break-ins and similar disruptions from unauthorized tampering. Although we maintain insurance that we believe is appropriate for our business and industry, such coverage may not be sufficient to compensate for any significant losses that may occur as a result of any of these events.</w:t>
      </w:r>
    </w:p>
    <w:p>
      <w:pPr>
        <w:spacing w:after="0" w:line="5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experienced systems outages and service interruptions in the past. To date, these outages have not had a material adverse effect on us. However, in the future, a prolonged system-wide outage or frequent outages could cause harm to our reputation and could cause our customers to make claims against us for damages allegedly resulting from an outage or interruption. Any damage or failure that interrupts or delays our operations could result in material harm to our business and expose us to material liabilities.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termination or reduction of certain government programs and tax benefits could adversely affect our overall effective tax rate.</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There can be no assurance that our effective tax rate of 13.3% for the year ended September 30, 2013 will not change over time as a result of changes in corporate income tax rates or other changes in the tax laws of Guernsey, the jurisdiction in which our holding company is organized, or of the various countries in which we operate.</w:t>
      </w:r>
    </w:p>
    <w:p>
      <w:pPr>
        <w:spacing w:after="0" w:line="59"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We have benefited or currently benefit from a variety of government programs and tax benefits that generally carry conditions that we must meet in order to be eligible to obtain any benefit. For example, we operate development centers and a business processing operations center in India. In 2013, the corporate tax rate applicable in India on trading activities was 33.99%. Our Indian business operates under specific favorable tax entitlements that are based upon pre-approved information technology related services activity. As a result, these activities are entitled to considerable corporate income tax reductions for our eligible income, which reduce the current applicable tax rate (cash basis) to 20%. Such favorable tax treatment is applied on all income derived from such pre-approved information technology activity, provided we continue to meet the conditions required for such tax benefits. These benefits are scheduled to phase out over</w:t>
      </w:r>
    </w:p>
    <w:p>
      <w:pPr>
        <w:spacing w:after="0" w:line="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15 years from the commencement of operations. Proposed changes in Indian tax law may reduce or eliminate the availability of these beneficial tax rates. Please see “Item 10 — Additional Information — Taxation — Certain Indian Tax Considerations” for more information.</w:t>
      </w:r>
    </w:p>
    <w:p>
      <w:pPr>
        <w:spacing w:after="0" w:line="57"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If we fail to meet the conditions upon which certain favorable tax treatment is based, we would not be able to claim future tax benefits and could be required to refund tax benefits already received. In addition, any of the following could have a material effect on our overall effective tax rate:</w:t>
      </w:r>
    </w:p>
    <w:p>
      <w:pPr>
        <w:spacing w:after="0" w:line="4" w:lineRule="exact"/>
        <w:rPr>
          <w:sz w:val="20"/>
          <w:szCs w:val="20"/>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some tax benefit programs may be limited in duration or may be discontinued,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unable to meet the requirements for continuing to qualify for some programs,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these programs and tax benefits may be unavailable at their current levels, or</w:t>
      </w:r>
    </w:p>
    <w:p>
      <w:pPr>
        <w:spacing w:after="0" w:line="90" w:lineRule="exact"/>
        <w:rPr>
          <w:rFonts w:ascii="Arial" w:cs="Arial" w:eastAsia="Arial" w:hAnsi="Arial"/>
          <w:sz w:val="18"/>
          <w:szCs w:val="18"/>
          <w:color w:val="auto"/>
        </w:rPr>
      </w:pPr>
    </w:p>
    <w:p>
      <w:pPr>
        <w:ind w:left="660" w:right="100" w:hanging="206"/>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upon expiration of a particular benefit, we may not be eligible to participate in a new program or qualify for a new tax benefit that would offset the loss of the expiring tax benefit.</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market price of our ordinary shares has and may continue to fluctuate widely.</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market price of our ordinary shares has from time to time fluctuated widely and may continue to do so. Many factors could cause the market price of our ordinary shares to rise and fall, including:</w:t>
      </w:r>
    </w:p>
    <w:p>
      <w:pPr>
        <w:spacing w:after="0" w:line="51" w:lineRule="exact"/>
        <w:rPr>
          <w:sz w:val="20"/>
          <w:szCs w:val="20"/>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market conditions in the industry and the economy as a whole,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variations in our quarterly operating results,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our backlog levels,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or our competitors,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introductions of new products or new pricing policies by us or our competitors,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trends in the communications or software industries, including industry consolidation,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acquisitions or strategic alliances by us or others in our industry,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estimates of our performance or recommendations by financial analysts,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our shareholder base,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political developments in the Middle East or other areas of the world.</w:t>
      </w:r>
    </w:p>
    <w:p>
      <w:pPr>
        <w:spacing w:after="0" w:line="9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In addition, the stock market frequently experiences significant price and volume fluctuations. In the past, market fluctuations have, from time to time, particularly affected the market prices of the securities of many high technology companies. These broad market fluctuations could adversely affect the market price of our ordinary shares.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It may be difficult for our shareholders to enforce any judgment obtained in the United States against us or our affiliates.</w:t>
      </w:r>
    </w:p>
    <w:p>
      <w:pPr>
        <w:spacing w:after="0" w:line="90"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We are incorporated under the laws of the Island of Guernsey and a majority of our directors and executive officers are not citizens or residents of the United States. A significant portion of our assets and the assets of those persons are located outside the United States. As a result, it may not be possible for investors to effect service of process upon us within the United States or upon such persons outside their jurisdiction of residence. Also, we have been advised that there is doubt as to the enforceability in Guernsey of judgments of the United States courts of civil liabilities predicated solely upon the laws of the United States, including the federal securities laws.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INFORMATION ON THE COMPANY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 Development and Organizational Structure of Amdocs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Amdocs Limited was organized as a company with limited liability under the laws of the Island of Guernsey in 1988. Since 1995, Amdocs Limited has been a holding company for the various subsidiaries that conduct our business on a worldwide basis. Our global business is providing software and services solutions to enable communications companies that are major services providers in North America, Europe and the rest of the world to move toward an integrated approach to customer management. Our registered office is Hirzel House, Smith Street, St. Peter Port, Guernsey, GY1 2NG, and the telephone number at that location is +44-1481-728444.</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executive offices of our principal subsidiary in the United States are located at 1390 Timberlake Manor Parkway, Chesterfield, Missouri 63017, and the telephone number at that location is +1-314-212-8328.</w:t>
      </w:r>
    </w:p>
    <w:p>
      <w:pPr>
        <w:spacing w:after="0" w:line="51"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Our subsidiaries are organized under and subject to the laws of several countries. Our principal operating subsidiaries are in Canada, Cyprus, Hungary, India, Ireland, Israel and the United States. Please see Exhibit 8 to this Annual Report on Form 20-F for a listing of our significant subsidiaries.</w:t>
      </w:r>
    </w:p>
    <w:p>
      <w:pPr>
        <w:spacing w:after="0" w:line="4"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have pursued and may continue to pursue acquisitions in order to offer new products or services or otherwise enhance our market position or strategic strengths. In recent years, we have completed numerous acquisitions, which, among other things, have expanded our business into digital commerce solutions and the network control market. In September 2013, we acquired Actix Ltd., a provider of mobile network optimization solutions, and in November 2013, we entered into a definitive agreement to acquire substantially all the assets of Celcite Management Solutions LLC, or Celcite, a provider of network management solutions. As part of our strategy, we may continue to pursue acquisitions and other initiatives in order to offer new products or services, or otherwise enhance our market position or strategic strengths.</w:t>
      </w:r>
    </w:p>
    <w:p>
      <w:pPr>
        <w:spacing w:after="0" w:line="63"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As the result of our organic growth and acquisitions, our software and information technology, sales and marketing workforce has increased over the last three years from 18,361 as of the end of fiscal 2011 to 18,623 as of the end of fiscal 2012 to 19,315 as of the end of fiscal 2013. In the past, our workforce has fluctuated with changes in business conditions.</w:t>
      </w:r>
    </w:p>
    <w:p>
      <w:pPr>
        <w:spacing w:after="0" w:line="59" w:lineRule="exact"/>
        <w:rPr>
          <w:sz w:val="20"/>
          <w:szCs w:val="20"/>
          <w:color w:val="auto"/>
        </w:rPr>
      </w:pPr>
    </w:p>
    <w:p>
      <w:pPr>
        <w:jc w:val="both"/>
        <w:ind w:right="240" w:firstLine="456"/>
        <w:spacing w:after="0" w:line="268" w:lineRule="auto"/>
        <w:rPr>
          <w:sz w:val="20"/>
          <w:szCs w:val="20"/>
          <w:color w:val="auto"/>
        </w:rPr>
      </w:pPr>
      <w:r>
        <w:rPr>
          <w:rFonts w:ascii="Arial" w:cs="Arial" w:eastAsia="Arial" w:hAnsi="Arial"/>
          <w:sz w:val="18"/>
          <w:szCs w:val="18"/>
          <w:color w:val="auto"/>
        </w:rPr>
        <w:t>Our principal capital expenditures for fiscal 2013, 2012 and 2011 have been for computer equipment in our operating facilities and development centers, for which we spent approximately $87.7 million, $107.4 million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and $98.6 million, respectively. As our managed services activity may expand, we may face an increase in our capital expenditures in the future. We anticipate our capital expenditures in fiscal 2014 will be financed internally and will consist of, among other things, additional computer equipment.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9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Amdocs is a leading provider of software and services for communications, media and entertainment industry service providers in developed countries and in emerging markets, such as those in the Commonwealth of Independent States, India, Latin America and Southeast Asia.</w:t>
      </w:r>
    </w:p>
    <w:p>
      <w:pPr>
        <w:spacing w:after="0" w:line="4"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develop, implement and manage software and services associated with business support systems (BSS), operational support systems (OSS) and network control and optimization offerings to enable service providers to efficiently and cost-effectively introduce new products and services, process orders, monetize data and support new business models and generally enhance their understanding of their customers. We refer to these systems collectively as customer experience systems because of the crucial impact that these systems have on the service providers’ end-user experience.</w:t>
      </w:r>
    </w:p>
    <w:p>
      <w:pPr>
        <w:spacing w:after="0" w:line="32"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believe the demand for our customer experience systems is driven by the desire of service providers to help their consumers navigate the increasing number of devices, services and plans available in the connected communications world and the need of service providers to cope with the rapidly growing demand for data that these new devices and services have created. In fiscal 2013, we released Amdocs CES (Customer Experience Systems) 9 to enable service providers to rapidly launch and monetize innovative offers and personalize every customer interaction and permit subscribers to take control of their experiences across any channel, network, service or device. We also expanded our managed services offerings to include value process operation (VPO) offerings, such as Amdocs Order-to-Activation, which reduces order fallout and decreases order-to-activation costs. Our acquisition of Actix’s mobile network optimization business and our pending acquisition of Celcite’s network management business are aimed at enabling us to advance our strategy to deliver an integrated, holistic customer experience, from the device to the network.</w:t>
      </w:r>
    </w:p>
    <w:p>
      <w:pPr>
        <w:spacing w:after="0" w:line="37"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color w:val="auto"/>
        </w:rPr>
        <w:t>Our goal is to supply scalable products and services that provide the functionality and flexibility to service providers that facilitate innovation and enable cost-effective execution. Regardless of whether providers are bringing their first offerings to market, scaling for growth, consolidating systems or transforming the way they do business, we believe that providers seek to differentiate themselves by delivering a customer experience that is simple, personal and valuable at every point of interaction.</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Communications Industry Background</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believe that service providers will maintain a strong focus on cost reduction and efficient operations and that the trend towards consolidation within the industry will continue. The smartphone and associated communications and entertainment applications, or apps, other connected devices such as the tablets, e-readers, and the improvement in machine-to-machine (M2M) technologies continue to drive unprecedented growth in data demand. In response to the demand for increased bandwidth, service providers are investing in their networks and searching for ways to optimize and monetize their investment.</w:t>
      </w:r>
    </w:p>
    <w:p>
      <w:pPr>
        <w:spacing w:after="0" w:line="32"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In recent years, non-traditional service providers and device manufacturers have penetrated the wireless market and are now competing for customer attention in the television market as well. Additionally, social networks such as Facebook and Twitter, alongside over-the-top players such as Skype, Viber and WhatsApp, have become widely-accepted alternatives to traditional voice communications. To meet the challenges from new competitors and differentiate themselves, service providers are moving towards a model of bundled services, with wireline operators, for example, offering Internet Protocol TV services together with the convergence of fixed-mobile networks. Service providers are also looking to strengthen their standing with enterprise customers, explore new opportunities in the wholesale market and provide M2M services to new vertical market segments, such as the home, health and automotive industries.</w:t>
      </w:r>
    </w:p>
    <w:p>
      <w:pPr>
        <w:spacing w:after="0" w:line="39"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To capture new revenue streams, service providers will need the ability to expand within existing and non-traditional business models and to deploy new network technologies. We believe service providers will place a greater emphasis on server efficiency and on modernization and transformation projects for their networks and operational and business support systems as they look for innovative ways to improve operations.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believe these factors create significant opportunities for vendors of information technology software products and providers of managed services and end-to-end systems integration, such as Amdocs.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Amdocs Offerings</w:t>
      </w:r>
    </w:p>
    <w:p>
      <w:pPr>
        <w:spacing w:after="0" w:line="90"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We believe that our product-driven approach, commitment to and support of quality personnel and deep industry knowledge and expertise enable us to create and deliver effective offerings that are highly innovative, reliable and cost-effective. In addition, we offer software products that address the specific business needs of service providers. We believe our success derives from a combination of the following factors that differentiate us from most of our competitors.</w:t>
      </w:r>
    </w:p>
    <w:p>
      <w:pPr>
        <w:spacing w:after="0" w:line="62" w:lineRule="exact"/>
        <w:rPr>
          <w:sz w:val="20"/>
          <w:szCs w:val="20"/>
          <w:color w:val="auto"/>
        </w:rPr>
      </w:pPr>
    </w:p>
    <w:p>
      <w:pPr>
        <w:ind w:left="660" w:right="20" w:hanging="206"/>
        <w:spacing w:after="0" w:line="291"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Software Products. </w:t>
      </w:r>
      <w:r>
        <w:rPr>
          <w:rFonts w:ascii="Arial" w:cs="Arial" w:eastAsia="Arial" w:hAnsi="Arial"/>
          <w:sz w:val="16"/>
          <w:szCs w:val="16"/>
          <w:color w:val="auto"/>
        </w:rPr>
        <w:t>In fiscal 2013, we released the Amdocs CES 9 portfolio, which redefines the service provider’s operating environment by delivering</w:t>
      </w:r>
      <w:r>
        <w:rPr>
          <w:rFonts w:ascii="Arial" w:cs="Arial" w:eastAsia="Arial" w:hAnsi="Arial"/>
          <w:sz w:val="16"/>
          <w:szCs w:val="16"/>
          <w:i w:val="1"/>
          <w:iCs w:val="1"/>
          <w:color w:val="auto"/>
        </w:rPr>
        <w:t xml:space="preserve"> </w:t>
      </w:r>
      <w:r>
        <w:rPr>
          <w:rFonts w:ascii="Arial" w:cs="Arial" w:eastAsia="Arial" w:hAnsi="Arial"/>
          <w:sz w:val="16"/>
          <w:szCs w:val="16"/>
          <w:color w:val="auto"/>
        </w:rPr>
        <w:t>real-time integration across BSS, OSS and network control and optimization domains, removing barriers to service and system convergence and enabling an integrated customer experience from the device to the network. Amdocs CES 9 aligns business processes around the end customer and enables service providers to rapidly launch and monetize innovative offers and personalize customer interactions with real-time insight. As a result, customers are able to take control of their experiences across any channel, network, service or device. Our portfolio of pre-integrated software products are designed to allow modular expansion as a service provider evolves, ensuring rapid, low-cost, reduced-risk implementations.</w:t>
      </w:r>
    </w:p>
    <w:p>
      <w:pPr>
        <w:spacing w:after="0" w:line="39" w:lineRule="exact"/>
        <w:rPr>
          <w:sz w:val="20"/>
          <w:szCs w:val="20"/>
          <w:color w:val="auto"/>
        </w:rPr>
      </w:pPr>
    </w:p>
    <w:p>
      <w:pPr>
        <w:ind w:left="700" w:right="200"/>
        <w:spacing w:after="0" w:line="314" w:lineRule="auto"/>
        <w:rPr>
          <w:sz w:val="20"/>
          <w:szCs w:val="20"/>
          <w:color w:val="auto"/>
        </w:rPr>
      </w:pPr>
      <w:r>
        <w:rPr>
          <w:rFonts w:ascii="Arial" w:cs="Arial" w:eastAsia="Arial" w:hAnsi="Arial"/>
          <w:sz w:val="15"/>
          <w:szCs w:val="15"/>
          <w:color w:val="auto"/>
        </w:rPr>
        <w:t>The Amdocs CES 9 portfolio is based on an open architecture that is intended to provide the functionality, scalability, modularity and adaptability required by service providers in their dynamic, highly competitive markets. The open architecture is based on the principles of service-oriented architecture (SOA) and business process management, which helps to ensure that our products operate together or as stand-alone applications within existing environments. Our proprietary knowledge library of more than 200 industry-specific best practice processes, and a single tool for the unified installation, maintenance and management of the entire BSS and OSS suite, facilitate Amdocs CES 9’s rapid time to production. We believe this flexibility enables our customers to achieve significant time-to-market advantages and reduces their dependence on technical and other personnel.</w:t>
      </w:r>
    </w:p>
    <w:p>
      <w:pPr>
        <w:spacing w:after="0" w:line="24" w:lineRule="exact"/>
        <w:rPr>
          <w:sz w:val="20"/>
          <w:szCs w:val="20"/>
          <w:color w:val="auto"/>
        </w:rPr>
      </w:pPr>
    </w:p>
    <w:p>
      <w:pPr>
        <w:ind w:left="660" w:hanging="206"/>
        <w:spacing w:after="0" w:line="287"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Services. </w:t>
      </w:r>
      <w:r>
        <w:rPr>
          <w:rFonts w:ascii="Arial" w:cs="Arial" w:eastAsia="Arial" w:hAnsi="Arial"/>
          <w:sz w:val="16"/>
          <w:szCs w:val="16"/>
          <w:color w:val="auto"/>
        </w:rPr>
        <w:t>Our comprehensive services are designed to address every stage of a service provider’s needs, from initial strategy through transformation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implementation to operations. Amdocs services include business consulting and systems integration as well as on-premise and cloud-based information technology outsourcing (ITO) and value process operation (VPO) managed services to support the deployment, operations and management of a service provider’s IT and key business process. In fiscal 2013, we launched the Amdocs Order-to-Activation value process operation, which delivers a combination of technology, services and operations with a structured methodology, aligning disparate systems and automating manual processes to streamline the order capture to service activation processes. As a prime systems integrator, we assume end-to-end responsibility to monitor, manage and deploy the overall development and integration activities of Amdocs and third-party vendors throughout the transformation lifecycle. Our managed services provides multi-year, flexible and tailored business processes and applications services, including application development and maintenance, IT and infrastructure services, testing, and professional services that are designed to assist customers in the selection, implementation, operation, management and maintenance of their IT systems.</w:t>
      </w:r>
    </w:p>
    <w:p>
      <w:pPr>
        <w:spacing w:after="0" w:line="41" w:lineRule="exact"/>
        <w:rPr>
          <w:rFonts w:ascii="Arial" w:cs="Arial" w:eastAsia="Arial" w:hAnsi="Arial"/>
          <w:sz w:val="16"/>
          <w:szCs w:val="16"/>
          <w:color w:val="auto"/>
        </w:rPr>
      </w:pPr>
    </w:p>
    <w:p>
      <w:pPr>
        <w:ind w:left="660" w:right="220" w:hanging="206"/>
        <w:spacing w:after="0" w:line="33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Solution Packs. </w:t>
      </w:r>
      <w:r>
        <w:rPr>
          <w:rFonts w:ascii="Arial" w:cs="Arial" w:eastAsia="Arial" w:hAnsi="Arial"/>
          <w:sz w:val="16"/>
          <w:szCs w:val="16"/>
          <w:color w:val="auto"/>
        </w:rPr>
        <w:t>“Packs” are turnkey versions of our products, designed for fast, lower-cost implementation. We believe that these packaged offerings</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our customers with timely, cost-effective, relatively low-risk solutions to specific business issues at a consistent level of quality.</w:t>
      </w:r>
    </w:p>
    <w:p>
      <w:pPr>
        <w:spacing w:after="0" w:line="4" w:lineRule="exact"/>
        <w:rPr>
          <w:rFonts w:ascii="Arial" w:cs="Arial" w:eastAsia="Arial" w:hAnsi="Arial"/>
          <w:sz w:val="16"/>
          <w:szCs w:val="16"/>
          <w:color w:val="auto"/>
        </w:rPr>
      </w:pPr>
    </w:p>
    <w:p>
      <w:pPr>
        <w:ind w:left="660" w:right="200" w:hanging="206"/>
        <w:spacing w:after="0" w:line="25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Experience. </w:t>
      </w:r>
      <w:r>
        <w:rPr>
          <w:rFonts w:ascii="Arial" w:cs="Arial" w:eastAsia="Arial" w:hAnsi="Arial"/>
          <w:sz w:val="18"/>
          <w:szCs w:val="18"/>
          <w:color w:val="auto"/>
        </w:rPr>
        <w:t>We are able to offer our customers superior products and services on a worldwide basis in large part because of our highly qualified and</w:t>
      </w:r>
      <w:r>
        <w:rPr>
          <w:rFonts w:ascii="Arial" w:cs="Arial" w:eastAsia="Arial" w:hAnsi="Arial"/>
          <w:sz w:val="18"/>
          <w:szCs w:val="18"/>
          <w:i w:val="1"/>
          <w:iCs w:val="1"/>
          <w:color w:val="auto"/>
        </w:rPr>
        <w:t xml:space="preserve"> </w:t>
      </w:r>
      <w:r>
        <w:rPr>
          <w:rFonts w:ascii="Arial" w:cs="Arial" w:eastAsia="Arial" w:hAnsi="Arial"/>
          <w:sz w:val="18"/>
          <w:szCs w:val="18"/>
          <w:color w:val="auto"/>
        </w:rPr>
        <w:t>trained technical, sales, marketing, consulting and management personnel. We combine deep industry knowledge and experience, advanced methodologies, industry best practices and pre-configured tools to help deliver consistent results and minimize our customers’ risks. We invest significantly in the ongoing training of our personnel in key areas such as industry knowledge, software technologies and management capabilities. Based in significant part on the skills and knowledge of our workforce, we believe that we have developed a reputation for reliably delivering quality solutions.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Due to the complex and dynamic nature of our customers’ business needs, the products and services that we provide are typically integrated and designed to work in concert to provide each customer with a complete solution.</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Business Strategy</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Our goal is to provide products, services and support to the world’s leading service providers as they evolve to remain relevant and competitive in the connected world. We seek to accomplish our goal by pursuing the strategies described below.</w:t>
      </w:r>
    </w:p>
    <w:p>
      <w:pPr>
        <w:spacing w:after="0" w:line="51" w:lineRule="exact"/>
        <w:rPr>
          <w:sz w:val="20"/>
          <w:szCs w:val="20"/>
          <w:color w:val="auto"/>
        </w:rPr>
      </w:pPr>
    </w:p>
    <w:p>
      <w:pPr>
        <w:ind w:left="660" w:right="220" w:hanging="206"/>
        <w:spacing w:after="0" w:line="255"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Continued Focus on the Communications, Media and Entertainment Industry. </w:t>
      </w:r>
      <w:r>
        <w:rPr>
          <w:rFonts w:ascii="Arial" w:cs="Arial" w:eastAsia="Arial" w:hAnsi="Arial"/>
          <w:sz w:val="18"/>
          <w:szCs w:val="18"/>
          <w:color w:val="auto"/>
        </w:rPr>
        <w:t>We focus our resources and efforts primarily on providing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 systems to service providers in the communications, media and entertainment industry. This strategy has enabled us to develop the specialized industry know-how and capability necessary to deliver the technologically advanced, large-scale, specifications-intensive customer experience systems required by the leading wireless, wireline, broadband cable and satellite companies. We consider our longstanding and continuing focus on this industry a competitive advantage.</w:t>
      </w:r>
    </w:p>
    <w:p>
      <w:pPr>
        <w:spacing w:after="0" w:line="61" w:lineRule="exact"/>
        <w:rPr>
          <w:rFonts w:ascii="Arial" w:cs="Arial" w:eastAsia="Arial" w:hAnsi="Arial"/>
          <w:sz w:val="18"/>
          <w:szCs w:val="18"/>
          <w:color w:val="auto"/>
        </w:rPr>
      </w:pPr>
    </w:p>
    <w:p>
      <w:pPr>
        <w:ind w:left="660" w:right="240" w:hanging="206"/>
        <w:spacing w:after="0" w:line="298"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Target Industry Leaders. </w:t>
      </w:r>
      <w:r>
        <w:rPr>
          <w:rFonts w:ascii="Arial" w:cs="Arial" w:eastAsia="Arial" w:hAnsi="Arial"/>
          <w:sz w:val="16"/>
          <w:szCs w:val="16"/>
          <w:color w:val="auto"/>
        </w:rPr>
        <w:t>We intend to continue to direct our marketing efforts primarily toward communications, media and entertainment industry</w:t>
      </w:r>
      <w:r>
        <w:rPr>
          <w:rFonts w:ascii="Arial" w:cs="Arial" w:eastAsia="Arial" w:hAnsi="Arial"/>
          <w:sz w:val="16"/>
          <w:szCs w:val="16"/>
          <w:i w:val="1"/>
          <w:iCs w:val="1"/>
          <w:color w:val="auto"/>
        </w:rPr>
        <w:t xml:space="preserve"> </w:t>
      </w:r>
      <w:r>
        <w:rPr>
          <w:rFonts w:ascii="Arial" w:cs="Arial" w:eastAsia="Arial" w:hAnsi="Arial"/>
          <w:sz w:val="16"/>
          <w:szCs w:val="16"/>
          <w:color w:val="auto"/>
        </w:rPr>
        <w:t>leaders. By targeting such leading service providers, which require the most sophisticated customer experience systems, we believe that we are better able to remain at the forefront of developments in the industry. We derive the substantial majority of our revenues from our customer base of major service providers. We believe that the development of this customer base has helped position us as a market leader.</w:t>
      </w:r>
    </w:p>
    <w:p>
      <w:pPr>
        <w:spacing w:after="0" w:line="31" w:lineRule="exact"/>
        <w:rPr>
          <w:rFonts w:ascii="Arial" w:cs="Arial" w:eastAsia="Arial" w:hAnsi="Arial"/>
          <w:sz w:val="16"/>
          <w:szCs w:val="16"/>
          <w:color w:val="auto"/>
        </w:rPr>
      </w:pPr>
    </w:p>
    <w:p>
      <w:pPr>
        <w:ind w:left="660" w:hanging="206"/>
        <w:spacing w:after="0" w:line="290"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Continued Expansion into Emerging Markets. </w:t>
      </w:r>
      <w:r>
        <w:rPr>
          <w:rFonts w:ascii="Arial" w:cs="Arial" w:eastAsia="Arial" w:hAnsi="Arial"/>
          <w:sz w:val="16"/>
          <w:szCs w:val="16"/>
          <w:color w:val="auto"/>
        </w:rPr>
        <w:t>We continue to improve our ability to serve the needs of service providers operating in emerging markets.</w:t>
      </w:r>
      <w:r>
        <w:rPr>
          <w:rFonts w:ascii="Arial" w:cs="Arial" w:eastAsia="Arial" w:hAnsi="Arial"/>
          <w:sz w:val="16"/>
          <w:szCs w:val="16"/>
          <w:i w:val="1"/>
          <w:iCs w:val="1"/>
          <w:color w:val="auto"/>
        </w:rPr>
        <w:t xml:space="preserve"> </w:t>
      </w:r>
      <w:r>
        <w:rPr>
          <w:rFonts w:ascii="Arial" w:cs="Arial" w:eastAsia="Arial" w:hAnsi="Arial"/>
          <w:sz w:val="16"/>
          <w:szCs w:val="16"/>
          <w:color w:val="auto"/>
        </w:rPr>
        <w:t>Prepaid subscriber growth remains high and average revenue per user remains relatively low in these markets in comparison to more developed markets. At the same time, however, we have started to see a shift in service provider focus as they begin to regard the customer experience as a key competitive differentiator. Our prospective customers in these markets vary dramatically, with some service providers serving subscriber bases already numbering in the hundreds of millions and others introducing communications services to communities for the first time. We believe this shift in focus on the customer experience and the wide spectrum of emerging market service providers require offerings ranging from relatively low-cost systems with pre-packaged services that can be implemented rapidly, to more robust services, to complete customer experience systems.</w:t>
      </w:r>
    </w:p>
    <w:p>
      <w:pPr>
        <w:spacing w:after="0" w:line="37" w:lineRule="exact"/>
        <w:rPr>
          <w:rFonts w:ascii="Arial" w:cs="Arial" w:eastAsia="Arial" w:hAnsi="Arial"/>
          <w:sz w:val="16"/>
          <w:szCs w:val="16"/>
          <w:color w:val="auto"/>
        </w:rPr>
      </w:pPr>
    </w:p>
    <w:p>
      <w:pPr>
        <w:ind w:left="660" w:right="180" w:hanging="206"/>
        <w:spacing w:after="0" w:line="291"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Provide Customers with a Broad, Deep Portfolio of Integrated Products. </w:t>
      </w:r>
      <w:r>
        <w:rPr>
          <w:rFonts w:ascii="Arial" w:cs="Arial" w:eastAsia="Arial" w:hAnsi="Arial"/>
          <w:sz w:val="16"/>
          <w:szCs w:val="16"/>
          <w:color w:val="auto"/>
        </w:rPr>
        <w:t>We seek to provide our customers with a broad, yet integrated, portfolio of</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to help them deliver a customer experience that is simple, personal and valuable at every point of service. We provide customer experience systems across the BSS, OSS and network control and optimization domains and multiple lines of business, including wireline, wireless, broadband cable and satellite services. Integration of our systems is achieved through an open, service-oriented architecture, allowing our products to work well together and with third-party products. We believe that our ability to provide a broad, deep suite of products helps position us as a strategic partner for our customers, and also provides us with multiple avenues for strengthening and expanding our ongoing customer relationships.</w:t>
      </w:r>
    </w:p>
    <w:p>
      <w:pPr>
        <w:spacing w:after="0" w:line="39" w:lineRule="exact"/>
        <w:rPr>
          <w:rFonts w:ascii="Arial" w:cs="Arial" w:eastAsia="Arial" w:hAnsi="Arial"/>
          <w:sz w:val="16"/>
          <w:szCs w:val="16"/>
          <w:color w:val="auto"/>
        </w:rPr>
      </w:pPr>
    </w:p>
    <w:p>
      <w:pPr>
        <w:ind w:left="660" w:right="40" w:hanging="206"/>
        <w:spacing w:after="0" w:line="318" w:lineRule="auto"/>
        <w:tabs>
          <w:tab w:leader="none" w:pos="660" w:val="left"/>
        </w:tabs>
        <w:numPr>
          <w:ilvl w:val="0"/>
          <w:numId w:val="16"/>
        </w:numPr>
        <w:rPr>
          <w:rFonts w:ascii="Arial" w:cs="Arial" w:eastAsia="Arial" w:hAnsi="Arial"/>
          <w:sz w:val="15"/>
          <w:szCs w:val="15"/>
          <w:color w:val="auto"/>
        </w:rPr>
      </w:pPr>
      <w:r>
        <w:rPr>
          <w:rFonts w:ascii="Arial" w:cs="Arial" w:eastAsia="Arial" w:hAnsi="Arial"/>
          <w:sz w:val="15"/>
          <w:szCs w:val="15"/>
          <w:i w:val="1"/>
          <w:iCs w:val="1"/>
          <w:color w:val="auto"/>
        </w:rPr>
        <w:t xml:space="preserve">Leverage Our Managed Services Capabilities. </w:t>
      </w:r>
      <w:r>
        <w:rPr>
          <w:rFonts w:ascii="Arial" w:cs="Arial" w:eastAsia="Arial" w:hAnsi="Arial"/>
          <w:sz w:val="15"/>
          <w:szCs w:val="15"/>
          <w:color w:val="auto"/>
        </w:rPr>
        <w:t>Managed services enable us to assume responsibility for the operation, development and management of</w:t>
      </w:r>
      <w:r>
        <w:rPr>
          <w:rFonts w:ascii="Arial" w:cs="Arial" w:eastAsia="Arial" w:hAnsi="Arial"/>
          <w:sz w:val="15"/>
          <w:szCs w:val="15"/>
          <w:i w:val="1"/>
          <w:iCs w:val="1"/>
          <w:color w:val="auto"/>
        </w:rPr>
        <w:t xml:space="preserve"> </w:t>
      </w:r>
      <w:r>
        <w:rPr>
          <w:rFonts w:ascii="Arial" w:cs="Arial" w:eastAsia="Arial" w:hAnsi="Arial"/>
          <w:sz w:val="15"/>
          <w:szCs w:val="15"/>
          <w:color w:val="auto"/>
        </w:rPr>
        <w:t>our customers’ Amdocs systems, as well as systems developed by in-house IT departments or by other vendors. Our mandate can extend across the service provider’s entire IT environment and encompass key business process operational needs. Our customers receive improved efficiencies and long-term savings over the day-to-day costs of operating and maintaining these systems, so they can focus on their own internal strengths and grow their businesses, leaving system concerns to us. Managed services also benefit us, as they can be a source of predictable revenue and long-term relationships.</w:t>
      </w:r>
    </w:p>
    <w:p>
      <w:pPr>
        <w:spacing w:after="0" w:line="18" w:lineRule="exact"/>
        <w:rPr>
          <w:rFonts w:ascii="Arial" w:cs="Arial" w:eastAsia="Arial" w:hAnsi="Arial"/>
          <w:sz w:val="15"/>
          <w:szCs w:val="15"/>
          <w:color w:val="auto"/>
        </w:rPr>
      </w:pPr>
    </w:p>
    <w:p>
      <w:pPr>
        <w:ind w:left="660" w:right="440" w:hanging="206"/>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Maintain and Develop Long-Term Customer Relationships. </w:t>
      </w:r>
      <w:r>
        <w:rPr>
          <w:rFonts w:ascii="Arial" w:cs="Arial" w:eastAsia="Arial" w:hAnsi="Arial"/>
          <w:sz w:val="18"/>
          <w:szCs w:val="18"/>
          <w:color w:val="auto"/>
        </w:rPr>
        <w:t>We seek to maintain and develop long-term, mutually beneficial relationships with our</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and have organized our internal operations to better anticipate and respond to their needs. We believe these relationships can lead to additional product sales,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right="100"/>
        <w:spacing w:after="0" w:line="256" w:lineRule="auto"/>
        <w:rPr>
          <w:sz w:val="20"/>
          <w:szCs w:val="20"/>
          <w:color w:val="auto"/>
        </w:rPr>
      </w:pPr>
      <w:r>
        <w:rPr>
          <w:rFonts w:ascii="Arial" w:cs="Arial" w:eastAsia="Arial" w:hAnsi="Arial"/>
          <w:sz w:val="18"/>
          <w:szCs w:val="18"/>
          <w:color w:val="auto"/>
        </w:rPr>
        <w:t>as well as ongoing, long-term support, system enhancement and maintenance, and managed services agreements. We believe that such relationships are facilitated in many cases by the mission-critical, strategic nature of Amdocs systems and by the added value we provide through our specialized skills and knowledge. We believe that the longevity of our customer relationships and the recurring revenue that such relationships produce provide a competitive advantage for us.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product offerings consist of an extensive software portfolio that we have developed to provide comprehensive customer experience systems functionality for service providers. Our software systems support the full span of the customer lifecycle: revenue management, customer management, operations support, network control and optimization and digital services. Further, our systems employ a common architecture, including shared frameworks, and include services for deployment, configuration, integration, security, user interface and monitoring and control. We also provide solutions for high growth and emerging markets, as well as advertising and media solutions for local marketing service providers, including directory publishers.</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products focus on:</w:t>
      </w:r>
    </w:p>
    <w:p>
      <w:pPr>
        <w:spacing w:after="0" w:line="90" w:lineRule="exact"/>
        <w:rPr>
          <w:sz w:val="20"/>
          <w:szCs w:val="20"/>
          <w:color w:val="auto"/>
        </w:rPr>
      </w:pPr>
    </w:p>
    <w:p>
      <w:pPr>
        <w:ind w:left="660" w:right="560" w:hanging="206"/>
        <w:spacing w:after="0" w:line="26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Revenue Management: </w:t>
      </w:r>
      <w:r>
        <w:rPr>
          <w:rFonts w:ascii="Arial" w:cs="Arial" w:eastAsia="Arial" w:hAnsi="Arial"/>
          <w:sz w:val="18"/>
          <w:szCs w:val="18"/>
          <w:color w:val="auto"/>
        </w:rPr>
        <w:t>Products that manage the end-to-end network services revenue stream from offer definition to cash-in-hand and spans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consumer, business and partner domains. Amdocs’ Revenue Management offerings include:</w:t>
      </w:r>
    </w:p>
    <w:p>
      <w:pPr>
        <w:spacing w:after="0" w:line="50" w:lineRule="exact"/>
        <w:rPr>
          <w:rFonts w:ascii="Arial" w:cs="Arial" w:eastAsia="Arial" w:hAnsi="Arial"/>
          <w:sz w:val="18"/>
          <w:szCs w:val="18"/>
          <w:color w:val="auto"/>
        </w:rPr>
      </w:pPr>
    </w:p>
    <w:p>
      <w:pPr>
        <w:ind w:left="1460" w:right="600" w:hanging="318"/>
        <w:spacing w:after="0" w:line="268" w:lineRule="auto"/>
        <w:tabs>
          <w:tab w:leader="none" w:pos="1460" w:val="left"/>
        </w:tabs>
        <w:numPr>
          <w:ilvl w:val="1"/>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Convergent Charging and Billing: </w:t>
      </w:r>
      <w:r>
        <w:rPr>
          <w:rFonts w:ascii="Arial" w:cs="Arial" w:eastAsia="Arial" w:hAnsi="Arial"/>
          <w:sz w:val="18"/>
          <w:szCs w:val="18"/>
          <w:color w:val="auto"/>
        </w:rPr>
        <w:t>enables the consumption, monetization and management of network services across any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network and device type and supports all lines of business and payment types.</w:t>
      </w:r>
    </w:p>
    <w:p>
      <w:pPr>
        <w:spacing w:after="0" w:line="50" w:lineRule="exact"/>
        <w:rPr>
          <w:rFonts w:ascii="Arial" w:cs="Arial" w:eastAsia="Arial" w:hAnsi="Arial"/>
          <w:sz w:val="18"/>
          <w:szCs w:val="18"/>
          <w:color w:val="auto"/>
        </w:rPr>
      </w:pPr>
    </w:p>
    <w:p>
      <w:pPr>
        <w:ind w:left="1460" w:right="540" w:hanging="318"/>
        <w:spacing w:after="0" w:line="268" w:lineRule="auto"/>
        <w:tabs>
          <w:tab w:leader="none" w:pos="1460" w:val="left"/>
        </w:tabs>
        <w:numPr>
          <w:ilvl w:val="1"/>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Mediation: </w:t>
      </w:r>
      <w:r>
        <w:rPr>
          <w:rFonts w:ascii="Arial" w:cs="Arial" w:eastAsia="Arial" w:hAnsi="Arial"/>
          <w:sz w:val="18"/>
          <w:szCs w:val="18"/>
          <w:color w:val="auto"/>
        </w:rPr>
        <w:t>enables service providers to address BSS/OSS data processing and event handling needs across all lines of business and to</w:t>
      </w:r>
      <w:r>
        <w:rPr>
          <w:rFonts w:ascii="Arial" w:cs="Arial" w:eastAsia="Arial" w:hAnsi="Arial"/>
          <w:sz w:val="18"/>
          <w:szCs w:val="18"/>
          <w:i w:val="1"/>
          <w:iCs w:val="1"/>
          <w:color w:val="auto"/>
        </w:rPr>
        <w:t xml:space="preserve"> </w:t>
      </w:r>
      <w:r>
        <w:rPr>
          <w:rFonts w:ascii="Arial" w:cs="Arial" w:eastAsia="Arial" w:hAnsi="Arial"/>
          <w:sz w:val="18"/>
          <w:szCs w:val="18"/>
          <w:color w:val="auto"/>
        </w:rPr>
        <w:t>transform raw network data into actionable business information.</w:t>
      </w:r>
    </w:p>
    <w:p>
      <w:pPr>
        <w:spacing w:after="0" w:line="50" w:lineRule="exact"/>
        <w:rPr>
          <w:rFonts w:ascii="Arial" w:cs="Arial" w:eastAsia="Arial" w:hAnsi="Arial"/>
          <w:sz w:val="18"/>
          <w:szCs w:val="18"/>
          <w:color w:val="auto"/>
        </w:rPr>
      </w:pPr>
    </w:p>
    <w:p>
      <w:pPr>
        <w:ind w:left="1460" w:right="580" w:hanging="318"/>
        <w:spacing w:after="0" w:line="259" w:lineRule="auto"/>
        <w:tabs>
          <w:tab w:leader="none" w:pos="1460" w:val="left"/>
        </w:tabs>
        <w:numPr>
          <w:ilvl w:val="1"/>
          <w:numId w:val="17"/>
        </w:numPr>
        <w:rPr>
          <w:rFonts w:ascii="Arial" w:cs="Arial" w:eastAsia="Arial" w:hAnsi="Arial"/>
          <w:sz w:val="18"/>
          <w:szCs w:val="18"/>
          <w:color w:val="auto"/>
        </w:rPr>
      </w:pPr>
      <w:r>
        <w:rPr>
          <w:rFonts w:ascii="Arial" w:cs="Arial" w:eastAsia="Arial" w:hAnsi="Arial"/>
          <w:sz w:val="18"/>
          <w:szCs w:val="18"/>
          <w:i w:val="1"/>
          <w:iCs w:val="1"/>
          <w:color w:val="auto"/>
        </w:rPr>
        <w:t>Partner Management</w:t>
      </w:r>
      <w:r>
        <w:rPr>
          <w:rFonts w:ascii="Arial" w:cs="Arial" w:eastAsia="Arial" w:hAnsi="Arial"/>
          <w:sz w:val="18"/>
          <w:szCs w:val="18"/>
          <w:color w:val="auto"/>
        </w:rPr>
        <w:t>: enables end-to-end partner lifecycle management for different aspects of partnership relationships,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interconnect, roaming, wholesale and mobile virtual network operator (MVNO) (a mobile service provider that does not have its own spectrum), content and advertising and dealer management.</w:t>
      </w:r>
    </w:p>
    <w:p>
      <w:pPr>
        <w:spacing w:after="0" w:line="59" w:lineRule="exact"/>
        <w:rPr>
          <w:rFonts w:ascii="Arial" w:cs="Arial" w:eastAsia="Arial" w:hAnsi="Arial"/>
          <w:sz w:val="18"/>
          <w:szCs w:val="18"/>
          <w:color w:val="auto"/>
        </w:rPr>
      </w:pPr>
    </w:p>
    <w:p>
      <w:pPr>
        <w:ind w:left="1460" w:right="120" w:hanging="318"/>
        <w:spacing w:after="0" w:line="298" w:lineRule="auto"/>
        <w:tabs>
          <w:tab w:leader="none" w:pos="1460" w:val="left"/>
        </w:tabs>
        <w:numPr>
          <w:ilvl w:val="1"/>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Service Delivery: </w:t>
      </w:r>
      <w:r>
        <w:rPr>
          <w:rFonts w:ascii="Arial" w:cs="Arial" w:eastAsia="Arial" w:hAnsi="Arial"/>
          <w:sz w:val="16"/>
          <w:szCs w:val="16"/>
          <w:color w:val="auto"/>
        </w:rPr>
        <w:t>focuses on service creation, deployment and execution to enable service providers to rapidly deliver new services to any</w:t>
      </w:r>
      <w:r>
        <w:rPr>
          <w:rFonts w:ascii="Arial" w:cs="Arial" w:eastAsia="Arial" w:hAnsi="Arial"/>
          <w:sz w:val="16"/>
          <w:szCs w:val="16"/>
          <w:i w:val="1"/>
          <w:iCs w:val="1"/>
          <w:color w:val="auto"/>
        </w:rPr>
        <w:t xml:space="preserve"> </w:t>
      </w:r>
      <w:r>
        <w:rPr>
          <w:rFonts w:ascii="Arial" w:cs="Arial" w:eastAsia="Arial" w:hAnsi="Arial"/>
          <w:sz w:val="16"/>
          <w:szCs w:val="16"/>
          <w:color w:val="auto"/>
        </w:rPr>
        <w:t>user on any network. These offerings employ the Amdocs Service Platform, a real-time, open, standards-based, Java service delivery environment, for developing, integrating, deploying and managing communications services across a multi-network environment, including fixed, mobile, IP-Multimedia Subsystem (IMS), SS7 and IP-based technologies.</w:t>
      </w:r>
    </w:p>
    <w:p>
      <w:pPr>
        <w:spacing w:after="0" w:line="31" w:lineRule="exact"/>
        <w:rPr>
          <w:rFonts w:ascii="Arial" w:cs="Arial" w:eastAsia="Arial" w:hAnsi="Arial"/>
          <w:sz w:val="16"/>
          <w:szCs w:val="16"/>
          <w:color w:val="auto"/>
        </w:rPr>
      </w:pPr>
    </w:p>
    <w:p>
      <w:pPr>
        <w:ind w:left="1460" w:hanging="318"/>
        <w:spacing w:after="0" w:line="256" w:lineRule="auto"/>
        <w:tabs>
          <w:tab w:leader="none" w:pos="1460" w:val="left"/>
        </w:tabs>
        <w:numPr>
          <w:ilvl w:val="1"/>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Compact Convergence: </w:t>
      </w:r>
      <w:r>
        <w:rPr>
          <w:rFonts w:ascii="Arial" w:cs="Arial" w:eastAsia="Arial" w:hAnsi="Arial"/>
          <w:sz w:val="18"/>
          <w:szCs w:val="18"/>
          <w:color w:val="auto"/>
        </w:rPr>
        <w:t>is a real-time converged billing and service delivery platform for small to medium-sized service providers, MVNOs</w:t>
      </w:r>
      <w:r>
        <w:rPr>
          <w:rFonts w:ascii="Arial" w:cs="Arial" w:eastAsia="Arial" w:hAnsi="Arial"/>
          <w:sz w:val="18"/>
          <w:szCs w:val="18"/>
          <w:i w:val="1"/>
          <w:iCs w:val="1"/>
          <w:color w:val="auto"/>
        </w:rPr>
        <w:t xml:space="preserve"> </w:t>
      </w:r>
      <w:r>
        <w:rPr>
          <w:rFonts w:ascii="Arial" w:cs="Arial" w:eastAsia="Arial" w:hAnsi="Arial"/>
          <w:sz w:val="18"/>
          <w:szCs w:val="18"/>
          <w:color w:val="auto"/>
        </w:rPr>
        <w:t>and mobile virtual network enablers (MVNEs) that provide services to MVNOs. This offering features built-in essential business functionality, such as invoicing and provisioning, customer care, self Web-care and reporting capabilities and can be implemented on premise or in the cloud. Amdocs Compact Convergence offerings include:</w:t>
      </w:r>
    </w:p>
    <w:p>
      <w:pPr>
        <w:spacing w:after="0" w:line="62" w:lineRule="exact"/>
        <w:rPr>
          <w:rFonts w:ascii="Arial" w:cs="Arial" w:eastAsia="Arial" w:hAnsi="Arial"/>
          <w:sz w:val="18"/>
          <w:szCs w:val="18"/>
          <w:color w:val="auto"/>
        </w:rPr>
      </w:pPr>
    </w:p>
    <w:p>
      <w:pPr>
        <w:ind w:left="1460" w:right="320" w:hanging="318"/>
        <w:spacing w:after="0" w:line="332" w:lineRule="auto"/>
        <w:tabs>
          <w:tab w:leader="none" w:pos="1460" w:val="left"/>
        </w:tabs>
        <w:numPr>
          <w:ilvl w:val="1"/>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M2M Solution: </w:t>
      </w:r>
      <w:r>
        <w:rPr>
          <w:rFonts w:ascii="Arial" w:cs="Arial" w:eastAsia="Arial" w:hAnsi="Arial"/>
          <w:sz w:val="16"/>
          <w:szCs w:val="16"/>
          <w:color w:val="auto"/>
        </w:rPr>
        <w:t>is a cost-efficient, partner-driven solution that supports wired and wireless communications between machines and across</w:t>
      </w:r>
      <w:r>
        <w:rPr>
          <w:rFonts w:ascii="Arial" w:cs="Arial" w:eastAsia="Arial" w:hAnsi="Arial"/>
          <w:sz w:val="16"/>
          <w:szCs w:val="16"/>
          <w:i w:val="1"/>
          <w:iCs w:val="1"/>
          <w:color w:val="auto"/>
        </w:rPr>
        <w:t xml:space="preserve"> </w:t>
      </w:r>
      <w:r>
        <w:rPr>
          <w:rFonts w:ascii="Arial" w:cs="Arial" w:eastAsia="Arial" w:hAnsi="Arial"/>
          <w:sz w:val="16"/>
          <w:szCs w:val="16"/>
          <w:color w:val="auto"/>
        </w:rPr>
        <w:t>virtually any M2M vertical and business model, including applications such as smart cars and connected homes.</w:t>
      </w:r>
    </w:p>
    <w:p>
      <w:pPr>
        <w:spacing w:after="0" w:line="4" w:lineRule="exact"/>
        <w:rPr>
          <w:rFonts w:ascii="Arial" w:cs="Arial" w:eastAsia="Arial" w:hAnsi="Arial"/>
          <w:sz w:val="16"/>
          <w:szCs w:val="16"/>
          <w:color w:val="auto"/>
        </w:rPr>
      </w:pPr>
    </w:p>
    <w:p>
      <w:pPr>
        <w:ind w:left="660" w:right="240" w:hanging="206"/>
        <w:spacing w:after="0" w:line="25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Customer Management: </w:t>
      </w:r>
      <w:r>
        <w:rPr>
          <w:rFonts w:ascii="Arial" w:cs="Arial" w:eastAsia="Arial" w:hAnsi="Arial"/>
          <w:sz w:val="18"/>
          <w:szCs w:val="18"/>
          <w:color w:val="auto"/>
        </w:rPr>
        <w:t>Products that enable service providers to simplify the customer experience across all interaction channels and touch points to</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revenue, reduce operational costs and improve customer satisfaction, including as measured by net promoter score (NPS) metrics. Amdocs’ Customer Management offerings include:</w:t>
      </w:r>
    </w:p>
    <w:p>
      <w:pPr>
        <w:spacing w:after="0" w:line="59" w:lineRule="exact"/>
        <w:rPr>
          <w:rFonts w:ascii="Arial" w:cs="Arial" w:eastAsia="Arial" w:hAnsi="Arial"/>
          <w:sz w:val="18"/>
          <w:szCs w:val="18"/>
          <w:color w:val="auto"/>
        </w:rPr>
      </w:pPr>
    </w:p>
    <w:p>
      <w:pPr>
        <w:ind w:left="1460" w:right="20" w:hanging="318"/>
        <w:spacing w:after="0" w:line="268" w:lineRule="auto"/>
        <w:tabs>
          <w:tab w:leader="none" w:pos="1460" w:val="left"/>
        </w:tabs>
        <w:numPr>
          <w:ilvl w:val="1"/>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Multichannel Selling: </w:t>
      </w:r>
      <w:r>
        <w:rPr>
          <w:rFonts w:ascii="Arial" w:cs="Arial" w:eastAsia="Arial" w:hAnsi="Arial"/>
          <w:sz w:val="18"/>
          <w:szCs w:val="18"/>
          <w:color w:val="auto"/>
        </w:rPr>
        <w:t>unifies all sales channels, including call center, retail stores, Web and mobile, around a single sales and ordering hub to</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a complete order-to-cash cycle for multiple lines of business.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60" w:right="20" w:hanging="318"/>
        <w:spacing w:after="0" w:line="259" w:lineRule="auto"/>
        <w:tabs>
          <w:tab w:leader="none" w:pos="1460"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Multichannel Care: </w:t>
      </w:r>
      <w:r>
        <w:rPr>
          <w:rFonts w:ascii="Arial" w:cs="Arial" w:eastAsia="Arial" w:hAnsi="Arial"/>
          <w:sz w:val="18"/>
          <w:szCs w:val="18"/>
          <w:color w:val="auto"/>
        </w:rPr>
        <w:t>delivers a complete view of the customer across all lines of business enabling all customer service channels to quickly</w:t>
      </w:r>
      <w:r>
        <w:rPr>
          <w:rFonts w:ascii="Arial" w:cs="Arial" w:eastAsia="Arial" w:hAnsi="Arial"/>
          <w:sz w:val="18"/>
          <w:szCs w:val="18"/>
          <w:i w:val="1"/>
          <w:iCs w:val="1"/>
          <w:color w:val="auto"/>
        </w:rPr>
        <w:t xml:space="preserve"> </w:t>
      </w:r>
      <w:r>
        <w:rPr>
          <w:rFonts w:ascii="Arial" w:cs="Arial" w:eastAsia="Arial" w:hAnsi="Arial"/>
          <w:sz w:val="18"/>
          <w:szCs w:val="18"/>
          <w:color w:val="auto"/>
        </w:rPr>
        <w:t>and effectively diagnose and resolve customer care issues, including handling escalations resulting from customer complaints, trouble tickets or cases submitted via a self-service channel.</w:t>
      </w:r>
    </w:p>
    <w:p>
      <w:pPr>
        <w:spacing w:after="0" w:line="59" w:lineRule="exact"/>
        <w:rPr>
          <w:rFonts w:ascii="Arial" w:cs="Arial" w:eastAsia="Arial" w:hAnsi="Arial"/>
          <w:sz w:val="18"/>
          <w:szCs w:val="18"/>
          <w:color w:val="auto"/>
        </w:rPr>
      </w:pPr>
    </w:p>
    <w:p>
      <w:pPr>
        <w:ind w:left="1460" w:right="260" w:hanging="318"/>
        <w:spacing w:after="0" w:line="268" w:lineRule="auto"/>
        <w:tabs>
          <w:tab w:leader="none" w:pos="1460"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Proactive Insight: </w:t>
      </w:r>
      <w:r>
        <w:rPr>
          <w:rFonts w:ascii="Arial" w:cs="Arial" w:eastAsia="Arial" w:hAnsi="Arial"/>
          <w:sz w:val="18"/>
          <w:szCs w:val="18"/>
          <w:color w:val="auto"/>
        </w:rPr>
        <w:t>leverages big data technology and a set of best practice libraries to provide an intelligent decision engine to proactively</w:t>
      </w:r>
      <w:r>
        <w:rPr>
          <w:rFonts w:ascii="Arial" w:cs="Arial" w:eastAsia="Arial" w:hAnsi="Arial"/>
          <w:sz w:val="18"/>
          <w:szCs w:val="18"/>
          <w:i w:val="1"/>
          <w:iCs w:val="1"/>
          <w:color w:val="auto"/>
        </w:rPr>
        <w:t xml:space="preserve"> </w:t>
      </w:r>
      <w:r>
        <w:rPr>
          <w:rFonts w:ascii="Arial" w:cs="Arial" w:eastAsia="Arial" w:hAnsi="Arial"/>
          <w:sz w:val="18"/>
          <w:szCs w:val="18"/>
          <w:color w:val="auto"/>
        </w:rPr>
        <w:t>anticipate and address customer needs in real time.</w:t>
      </w:r>
    </w:p>
    <w:p>
      <w:pPr>
        <w:spacing w:after="0" w:line="50" w:lineRule="exact"/>
        <w:rPr>
          <w:rFonts w:ascii="Arial" w:cs="Arial" w:eastAsia="Arial" w:hAnsi="Arial"/>
          <w:sz w:val="18"/>
          <w:szCs w:val="18"/>
          <w:color w:val="auto"/>
        </w:rPr>
      </w:pPr>
    </w:p>
    <w:p>
      <w:pPr>
        <w:ind w:left="660" w:right="340" w:hanging="206"/>
        <w:spacing w:after="0" w:line="26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Operational Support Systems (OSS): </w:t>
      </w:r>
      <w:r>
        <w:rPr>
          <w:rFonts w:ascii="Arial" w:cs="Arial" w:eastAsia="Arial" w:hAnsi="Arial"/>
          <w:sz w:val="18"/>
          <w:szCs w:val="18"/>
          <w:color w:val="auto"/>
        </w:rPr>
        <w:t>Products that comprise the core operational support systems, such as network planning, service fulfillment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assurance for fixed line, wireless and cable networks. Amdocs’ OSS offerings include:</w:t>
      </w:r>
    </w:p>
    <w:p>
      <w:pPr>
        <w:spacing w:after="0" w:line="50" w:lineRule="exact"/>
        <w:rPr>
          <w:rFonts w:ascii="Arial" w:cs="Arial" w:eastAsia="Arial" w:hAnsi="Arial"/>
          <w:sz w:val="18"/>
          <w:szCs w:val="18"/>
          <w:color w:val="auto"/>
        </w:rPr>
      </w:pPr>
    </w:p>
    <w:p>
      <w:pPr>
        <w:ind w:left="1460" w:right="160" w:hanging="318"/>
        <w:spacing w:after="0" w:line="268" w:lineRule="auto"/>
        <w:tabs>
          <w:tab w:leader="none" w:pos="1460"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Network Planning: </w:t>
      </w:r>
      <w:r>
        <w:rPr>
          <w:rFonts w:ascii="Arial" w:cs="Arial" w:eastAsia="Arial" w:hAnsi="Arial"/>
          <w:sz w:val="18"/>
          <w:szCs w:val="18"/>
          <w:color w:val="auto"/>
        </w:rPr>
        <w:t>enables network planners to analyze current, short- and long-term consumption trends of network resources and to plan</w:t>
      </w:r>
      <w:r>
        <w:rPr>
          <w:rFonts w:ascii="Arial" w:cs="Arial" w:eastAsia="Arial" w:hAnsi="Arial"/>
          <w:sz w:val="18"/>
          <w:szCs w:val="18"/>
          <w:i w:val="1"/>
          <w:iCs w:val="1"/>
          <w:color w:val="auto"/>
        </w:rPr>
        <w:t xml:space="preserve"> </w:t>
      </w:r>
      <w:r>
        <w:rPr>
          <w:rFonts w:ascii="Arial" w:cs="Arial" w:eastAsia="Arial" w:hAnsi="Arial"/>
          <w:sz w:val="18"/>
          <w:szCs w:val="18"/>
          <w:color w:val="auto"/>
        </w:rPr>
        <w:t>and roll out a “service-ready network.”</w:t>
      </w:r>
    </w:p>
    <w:p>
      <w:pPr>
        <w:spacing w:after="0" w:line="50" w:lineRule="exact"/>
        <w:rPr>
          <w:rFonts w:ascii="Arial" w:cs="Arial" w:eastAsia="Arial" w:hAnsi="Arial"/>
          <w:sz w:val="18"/>
          <w:szCs w:val="18"/>
          <w:color w:val="auto"/>
        </w:rPr>
      </w:pPr>
    </w:p>
    <w:p>
      <w:pPr>
        <w:ind w:left="1460" w:right="460" w:hanging="318"/>
        <w:spacing w:after="0" w:line="298" w:lineRule="auto"/>
        <w:tabs>
          <w:tab w:leader="none" w:pos="1460" w:val="left"/>
        </w:tabs>
        <w:numPr>
          <w:ilvl w:val="1"/>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Service Fulfillment: </w:t>
      </w:r>
      <w:r>
        <w:rPr>
          <w:rFonts w:ascii="Arial" w:cs="Arial" w:eastAsia="Arial" w:hAnsi="Arial"/>
          <w:sz w:val="16"/>
          <w:szCs w:val="16"/>
          <w:color w:val="auto"/>
        </w:rPr>
        <w:t>formalizes and automates the order-to-activation processes for residential, small and medium-sized businesses and</w:t>
      </w:r>
      <w:r>
        <w:rPr>
          <w:rFonts w:ascii="Arial" w:cs="Arial" w:eastAsia="Arial" w:hAnsi="Arial"/>
          <w:sz w:val="16"/>
          <w:szCs w:val="16"/>
          <w:i w:val="1"/>
          <w:iCs w:val="1"/>
          <w:color w:val="auto"/>
        </w:rPr>
        <w:t xml:space="preserve"> </w:t>
      </w:r>
      <w:r>
        <w:rPr>
          <w:rFonts w:ascii="Arial" w:cs="Arial" w:eastAsia="Arial" w:hAnsi="Arial"/>
          <w:sz w:val="16"/>
          <w:szCs w:val="16"/>
          <w:color w:val="auto"/>
        </w:rPr>
        <w:t>enterprise customers. The offering includes pre-packaged automation for specific services and lines of business, including broadband, satellite and cable, and supports the fulfillment of multiple services, either to support a convergent services bundle or to standardize fulfillment across the organization with a single interface for all fulfillment processes.</w:t>
      </w:r>
    </w:p>
    <w:p>
      <w:pPr>
        <w:spacing w:after="0" w:line="31" w:lineRule="exact"/>
        <w:rPr>
          <w:rFonts w:ascii="Arial" w:cs="Arial" w:eastAsia="Arial" w:hAnsi="Arial"/>
          <w:sz w:val="16"/>
          <w:szCs w:val="16"/>
          <w:color w:val="auto"/>
        </w:rPr>
      </w:pPr>
    </w:p>
    <w:p>
      <w:pPr>
        <w:ind w:left="1460" w:right="360" w:hanging="318"/>
        <w:spacing w:after="0" w:line="268" w:lineRule="auto"/>
        <w:tabs>
          <w:tab w:leader="none" w:pos="1460"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Service Assurance: </w:t>
      </w:r>
      <w:r>
        <w:rPr>
          <w:rFonts w:ascii="Arial" w:cs="Arial" w:eastAsia="Arial" w:hAnsi="Arial"/>
          <w:sz w:val="18"/>
          <w:szCs w:val="18"/>
          <w:color w:val="auto"/>
        </w:rPr>
        <w:t>supports service assurance by managing the network problem resolution process, including impact analysis to assess</w:t>
      </w:r>
      <w:r>
        <w:rPr>
          <w:rFonts w:ascii="Arial" w:cs="Arial" w:eastAsia="Arial" w:hAnsi="Arial"/>
          <w:sz w:val="18"/>
          <w:szCs w:val="18"/>
          <w:i w:val="1"/>
          <w:iCs w:val="1"/>
          <w:color w:val="auto"/>
        </w:rPr>
        <w:t xml:space="preserve"> </w:t>
      </w:r>
      <w:r>
        <w:rPr>
          <w:rFonts w:ascii="Arial" w:cs="Arial" w:eastAsia="Arial" w:hAnsi="Arial"/>
          <w:sz w:val="18"/>
          <w:szCs w:val="18"/>
          <w:color w:val="auto"/>
        </w:rPr>
        <w:t>what services are affected by network outages.</w:t>
      </w:r>
    </w:p>
    <w:p>
      <w:pPr>
        <w:spacing w:after="0" w:line="50" w:lineRule="exact"/>
        <w:rPr>
          <w:rFonts w:ascii="Arial" w:cs="Arial" w:eastAsia="Arial" w:hAnsi="Arial"/>
          <w:sz w:val="18"/>
          <w:szCs w:val="18"/>
          <w:color w:val="auto"/>
        </w:rPr>
      </w:pPr>
    </w:p>
    <w:p>
      <w:pPr>
        <w:ind w:left="1460" w:right="140" w:hanging="318"/>
        <w:spacing w:after="0" w:line="268" w:lineRule="auto"/>
        <w:tabs>
          <w:tab w:leader="none" w:pos="1460"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Inventory and Discovery: </w:t>
      </w:r>
      <w:r>
        <w:rPr>
          <w:rFonts w:ascii="Arial" w:cs="Arial" w:eastAsia="Arial" w:hAnsi="Arial"/>
          <w:sz w:val="18"/>
          <w:szCs w:val="18"/>
          <w:color w:val="auto"/>
        </w:rPr>
        <w:t>provides a single and accurate source of service and network inventory and performance data, to support network</w:t>
      </w:r>
      <w:r>
        <w:rPr>
          <w:rFonts w:ascii="Arial" w:cs="Arial" w:eastAsia="Arial" w:hAnsi="Arial"/>
          <w:sz w:val="18"/>
          <w:szCs w:val="18"/>
          <w:i w:val="1"/>
          <w:iCs w:val="1"/>
          <w:color w:val="auto"/>
        </w:rPr>
        <w:t xml:space="preserve"> </w:t>
      </w:r>
      <w:r>
        <w:rPr>
          <w:rFonts w:ascii="Arial" w:cs="Arial" w:eastAsia="Arial" w:hAnsi="Arial"/>
          <w:sz w:val="18"/>
          <w:szCs w:val="18"/>
          <w:color w:val="auto"/>
        </w:rPr>
        <w:t>planning and service fulfillment and assurance.</w:t>
      </w:r>
    </w:p>
    <w:p>
      <w:pPr>
        <w:spacing w:after="0" w:line="50" w:lineRule="exact"/>
        <w:rPr>
          <w:rFonts w:ascii="Arial" w:cs="Arial" w:eastAsia="Arial" w:hAnsi="Arial"/>
          <w:sz w:val="18"/>
          <w:szCs w:val="18"/>
          <w:color w:val="auto"/>
        </w:rPr>
      </w:pPr>
    </w:p>
    <w:p>
      <w:pPr>
        <w:ind w:left="1460" w:right="600" w:hanging="318"/>
        <w:spacing w:after="0" w:line="268" w:lineRule="auto"/>
        <w:tabs>
          <w:tab w:leader="none" w:pos="1460"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Business Service Capture: </w:t>
      </w:r>
      <w:r>
        <w:rPr>
          <w:rFonts w:ascii="Arial" w:cs="Arial" w:eastAsia="Arial" w:hAnsi="Arial"/>
          <w:sz w:val="18"/>
          <w:szCs w:val="18"/>
          <w:color w:val="auto"/>
        </w:rPr>
        <w:t>helps service providers create accurate, made-to-order communication solutions for business customers to</w:t>
      </w:r>
      <w:r>
        <w:rPr>
          <w:rFonts w:ascii="Arial" w:cs="Arial" w:eastAsia="Arial" w:hAnsi="Arial"/>
          <w:sz w:val="18"/>
          <w:szCs w:val="18"/>
          <w:i w:val="1"/>
          <w:iCs w:val="1"/>
          <w:color w:val="auto"/>
        </w:rPr>
        <w:t xml:space="preserve"> </w:t>
      </w:r>
      <w:r>
        <w:rPr>
          <w:rFonts w:ascii="Arial" w:cs="Arial" w:eastAsia="Arial" w:hAnsi="Arial"/>
          <w:sz w:val="18"/>
          <w:szCs w:val="18"/>
          <w:color w:val="auto"/>
        </w:rPr>
        <w:t>accelerate the inquiry to order process.</w:t>
      </w:r>
    </w:p>
    <w:p>
      <w:pPr>
        <w:spacing w:after="0" w:line="50" w:lineRule="exact"/>
        <w:rPr>
          <w:rFonts w:ascii="Arial" w:cs="Arial" w:eastAsia="Arial" w:hAnsi="Arial"/>
          <w:sz w:val="18"/>
          <w:szCs w:val="18"/>
          <w:color w:val="auto"/>
        </w:rPr>
      </w:pPr>
    </w:p>
    <w:p>
      <w:pPr>
        <w:ind w:left="1460" w:right="520" w:hanging="318"/>
        <w:spacing w:after="0" w:line="268" w:lineRule="auto"/>
        <w:tabs>
          <w:tab w:leader="none" w:pos="1460"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Network Navigator: </w:t>
      </w:r>
      <w:r>
        <w:rPr>
          <w:rFonts w:ascii="Arial" w:cs="Arial" w:eastAsia="Arial" w:hAnsi="Arial"/>
          <w:sz w:val="18"/>
          <w:szCs w:val="18"/>
          <w:color w:val="auto"/>
        </w:rPr>
        <w:t>a graphical user interface that enables service providers to quickly and easily locate network information,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configuration, locations and device relationships within large and complex networks.</w:t>
      </w:r>
    </w:p>
    <w:p>
      <w:pPr>
        <w:spacing w:after="0" w:line="50" w:lineRule="exact"/>
        <w:rPr>
          <w:rFonts w:ascii="Arial" w:cs="Arial" w:eastAsia="Arial" w:hAnsi="Arial"/>
          <w:sz w:val="18"/>
          <w:szCs w:val="18"/>
          <w:color w:val="auto"/>
        </w:rPr>
      </w:pPr>
    </w:p>
    <w:p>
      <w:pPr>
        <w:ind w:left="1460" w:hanging="318"/>
        <w:spacing w:after="0" w:line="268" w:lineRule="auto"/>
        <w:tabs>
          <w:tab w:leader="none" w:pos="1460"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Radio Parameter Manager: </w:t>
      </w:r>
      <w:r>
        <w:rPr>
          <w:rFonts w:ascii="Arial" w:cs="Arial" w:eastAsia="Arial" w:hAnsi="Arial"/>
          <w:sz w:val="18"/>
          <w:szCs w:val="18"/>
          <w:color w:val="auto"/>
        </w:rPr>
        <w:t>enriches the OSS with additional radio access network configuration information, enabling greater automation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processes for network build-out, capacity management and network optimization.</w:t>
      </w:r>
    </w:p>
    <w:p>
      <w:pPr>
        <w:spacing w:after="0" w:line="50" w:lineRule="exact"/>
        <w:rPr>
          <w:rFonts w:ascii="Arial" w:cs="Arial" w:eastAsia="Arial" w:hAnsi="Arial"/>
          <w:sz w:val="18"/>
          <w:szCs w:val="18"/>
          <w:color w:val="auto"/>
        </w:rPr>
      </w:pPr>
    </w:p>
    <w:p>
      <w:pPr>
        <w:ind w:left="660" w:right="60" w:hanging="206"/>
        <w:spacing w:after="0" w:line="298"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Network Control: </w:t>
      </w:r>
      <w:r>
        <w:rPr>
          <w:rFonts w:ascii="Arial" w:cs="Arial" w:eastAsia="Arial" w:hAnsi="Arial"/>
          <w:sz w:val="16"/>
          <w:szCs w:val="16"/>
          <w:color w:val="auto"/>
        </w:rPr>
        <w:t>Products that manage how and under which circumstances subscribers and devices can access networks, including dynamic policy</w:t>
      </w:r>
      <w:r>
        <w:rPr>
          <w:rFonts w:ascii="Arial" w:cs="Arial" w:eastAsia="Arial" w:hAnsi="Arial"/>
          <w:sz w:val="16"/>
          <w:szCs w:val="16"/>
          <w:i w:val="1"/>
          <w:iCs w:val="1"/>
          <w:color w:val="auto"/>
        </w:rPr>
        <w:t xml:space="preserve"> </w:t>
      </w:r>
      <w:r>
        <w:rPr>
          <w:rFonts w:ascii="Arial" w:cs="Arial" w:eastAsia="Arial" w:hAnsi="Arial"/>
          <w:sz w:val="16"/>
          <w:szCs w:val="16"/>
          <w:color w:val="auto"/>
        </w:rPr>
        <w:t>controls that manage what happens to the device or subscriber when on the network, such as how much data is consumed and when to trigger a service top-up or notification. Dynamic network control functions allow service providers to manage the data experience in real time. These controls enable the creation of new services and also manage network resource and bandwidth consumption. Amdocs’ Network Control offerings include:</w:t>
      </w:r>
    </w:p>
    <w:p>
      <w:pPr>
        <w:spacing w:after="0" w:line="31" w:lineRule="exact"/>
        <w:rPr>
          <w:rFonts w:ascii="Arial" w:cs="Arial" w:eastAsia="Arial" w:hAnsi="Arial"/>
          <w:sz w:val="16"/>
          <w:szCs w:val="16"/>
          <w:color w:val="auto"/>
        </w:rPr>
      </w:pPr>
    </w:p>
    <w:p>
      <w:pPr>
        <w:ind w:left="1460" w:hanging="318"/>
        <w:spacing w:after="0" w:line="268" w:lineRule="auto"/>
        <w:tabs>
          <w:tab w:leader="none" w:pos="1460"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Service Controller: </w:t>
      </w:r>
      <w:r>
        <w:rPr>
          <w:rFonts w:ascii="Arial" w:cs="Arial" w:eastAsia="Arial" w:hAnsi="Arial"/>
          <w:sz w:val="18"/>
          <w:szCs w:val="18"/>
          <w:color w:val="auto"/>
        </w:rPr>
        <w:t>provides authentication, authorization and accounting services for subscribers and devices in addition to real-time session</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to enable mobility, roaming and security access.</w:t>
      </w:r>
    </w:p>
    <w:p>
      <w:pPr>
        <w:spacing w:after="0" w:line="50" w:lineRule="exact"/>
        <w:rPr>
          <w:rFonts w:ascii="Arial" w:cs="Arial" w:eastAsia="Arial" w:hAnsi="Arial"/>
          <w:sz w:val="18"/>
          <w:szCs w:val="18"/>
          <w:color w:val="auto"/>
        </w:rPr>
      </w:pPr>
    </w:p>
    <w:p>
      <w:pPr>
        <w:ind w:left="1460" w:right="400" w:hanging="318"/>
        <w:spacing w:after="0" w:line="357" w:lineRule="auto"/>
        <w:tabs>
          <w:tab w:leader="none" w:pos="1460" w:val="left"/>
        </w:tabs>
        <w:numPr>
          <w:ilvl w:val="1"/>
          <w:numId w:val="18"/>
        </w:numPr>
        <w:rPr>
          <w:rFonts w:ascii="Arial" w:cs="Arial" w:eastAsia="Arial" w:hAnsi="Arial"/>
          <w:sz w:val="15"/>
          <w:szCs w:val="15"/>
          <w:color w:val="auto"/>
        </w:rPr>
      </w:pPr>
      <w:r>
        <w:rPr>
          <w:rFonts w:ascii="Arial" w:cs="Arial" w:eastAsia="Arial" w:hAnsi="Arial"/>
          <w:sz w:val="15"/>
          <w:szCs w:val="15"/>
          <w:i w:val="1"/>
          <w:iCs w:val="1"/>
          <w:color w:val="auto"/>
        </w:rPr>
        <w:t xml:space="preserve">Home Subscriber Server (HSS): </w:t>
      </w:r>
      <w:r>
        <w:rPr>
          <w:rFonts w:ascii="Arial" w:cs="Arial" w:eastAsia="Arial" w:hAnsi="Arial"/>
          <w:sz w:val="15"/>
          <w:szCs w:val="15"/>
          <w:color w:val="auto"/>
        </w:rPr>
        <w:t>the master repository of subscriber and device profile and status information supporting authentication,</w:t>
      </w:r>
      <w:r>
        <w:rPr>
          <w:rFonts w:ascii="Arial" w:cs="Arial" w:eastAsia="Arial" w:hAnsi="Arial"/>
          <w:sz w:val="15"/>
          <w:szCs w:val="15"/>
          <w:i w:val="1"/>
          <w:iCs w:val="1"/>
          <w:color w:val="auto"/>
        </w:rPr>
        <w:t xml:space="preserve"> </w:t>
      </w:r>
      <w:r>
        <w:rPr>
          <w:rFonts w:ascii="Arial" w:cs="Arial" w:eastAsia="Arial" w:hAnsi="Arial"/>
          <w:sz w:val="15"/>
          <w:szCs w:val="15"/>
          <w:color w:val="auto"/>
        </w:rPr>
        <w:t>authorization and mobility management functions for Long Term Evolution (LTE) and IP Multimedia Subsystem (IMS) technologies.</w:t>
      </w:r>
    </w:p>
    <w:p>
      <w:pPr>
        <w:ind w:left="1460" w:right="200" w:hanging="318"/>
        <w:spacing w:after="0" w:line="259" w:lineRule="auto"/>
        <w:tabs>
          <w:tab w:leader="none" w:pos="1460"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Policy Controller: </w:t>
      </w:r>
      <w:r>
        <w:rPr>
          <w:rFonts w:ascii="Arial" w:cs="Arial" w:eastAsia="Arial" w:hAnsi="Arial"/>
          <w:sz w:val="18"/>
          <w:szCs w:val="18"/>
          <w:color w:val="auto"/>
        </w:rPr>
        <w:t>provides real-time network, application and subscriber policy control allowing service providers to manage mobile data</w:t>
      </w:r>
      <w:r>
        <w:rPr>
          <w:rFonts w:ascii="Arial" w:cs="Arial" w:eastAsia="Arial" w:hAnsi="Arial"/>
          <w:sz w:val="18"/>
          <w:szCs w:val="18"/>
          <w:i w:val="1"/>
          <w:iCs w:val="1"/>
          <w:color w:val="auto"/>
        </w:rPr>
        <w:t xml:space="preserve"> </w:t>
      </w:r>
      <w:r>
        <w:rPr>
          <w:rFonts w:ascii="Arial" w:cs="Arial" w:eastAsia="Arial" w:hAnsi="Arial"/>
          <w:sz w:val="18"/>
          <w:szCs w:val="18"/>
          <w:color w:val="auto"/>
        </w:rPr>
        <w:t>growth and deliver personalized services. It determines how and under which circumstances subscribers have access to applications and network resources and ensures the appropriate quality of service</w:t>
      </w:r>
      <w:r>
        <w:rPr>
          <w:rFonts w:ascii="Arial" w:cs="Arial" w:eastAsia="Arial" w:hAnsi="Arial"/>
          <w:sz w:val="18"/>
          <w:szCs w:val="18"/>
          <w:i w:val="1"/>
          <w:iCs w:val="1"/>
          <w:color w:val="auto"/>
        </w:rPr>
        <w:t>.</w:t>
      </w:r>
    </w:p>
    <w:p>
      <w:pPr>
        <w:spacing w:after="0" w:line="59" w:lineRule="exact"/>
        <w:rPr>
          <w:rFonts w:ascii="Arial" w:cs="Arial" w:eastAsia="Arial" w:hAnsi="Arial"/>
          <w:sz w:val="18"/>
          <w:szCs w:val="18"/>
          <w:color w:val="auto"/>
        </w:rPr>
      </w:pPr>
    </w:p>
    <w:p>
      <w:pPr>
        <w:ind w:left="1460" w:right="40" w:hanging="318"/>
        <w:spacing w:after="0" w:line="259" w:lineRule="auto"/>
        <w:tabs>
          <w:tab w:leader="none" w:pos="1460"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Intelligent Diameter Routing Agent: </w:t>
      </w:r>
      <w:r>
        <w:rPr>
          <w:rFonts w:ascii="Arial" w:cs="Arial" w:eastAsia="Arial" w:hAnsi="Arial"/>
          <w:sz w:val="18"/>
          <w:szCs w:val="18"/>
          <w:color w:val="auto"/>
        </w:rPr>
        <w:t>provides a flexible and robust diameter routing solution for 3G/4G/IMS control plane connectivity and</w:t>
      </w:r>
      <w:r>
        <w:rPr>
          <w:rFonts w:ascii="Arial" w:cs="Arial" w:eastAsia="Arial" w:hAnsi="Arial"/>
          <w:sz w:val="18"/>
          <w:szCs w:val="18"/>
          <w:i w:val="1"/>
          <w:iCs w:val="1"/>
          <w:color w:val="auto"/>
        </w:rPr>
        <w:t xml:space="preserve"> </w:t>
      </w:r>
      <w:r>
        <w:rPr>
          <w:rFonts w:ascii="Arial" w:cs="Arial" w:eastAsia="Arial" w:hAnsi="Arial"/>
          <w:sz w:val="18"/>
          <w:szCs w:val="18"/>
          <w:color w:val="auto"/>
        </w:rPr>
        <w:t>routing needs. It enables centralized functions, such as load-balancing across clusters of applications, routing user requests to the appropriate elements and binding different protocol interfaces corresponding to a subscriber.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60" w:right="260" w:hanging="318"/>
        <w:spacing w:after="0" w:line="259" w:lineRule="auto"/>
        <w:tabs>
          <w:tab w:leader="none" w:pos="1460" w:val="left"/>
        </w:tabs>
        <w:numPr>
          <w:ilvl w:val="1"/>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Data Experience Solution: </w:t>
      </w:r>
      <w:r>
        <w:rPr>
          <w:rFonts w:ascii="Arial" w:cs="Arial" w:eastAsia="Arial" w:hAnsi="Arial"/>
          <w:sz w:val="18"/>
          <w:szCs w:val="18"/>
          <w:color w:val="auto"/>
        </w:rPr>
        <w:t>a pre-integrated policy and charging solution designed for rapid mobile data service creation and monetization</w:t>
      </w:r>
      <w:r>
        <w:rPr>
          <w:rFonts w:ascii="Arial" w:cs="Arial" w:eastAsia="Arial" w:hAnsi="Arial"/>
          <w:sz w:val="18"/>
          <w:szCs w:val="18"/>
          <w:i w:val="1"/>
          <w:iCs w:val="1"/>
          <w:color w:val="auto"/>
        </w:rPr>
        <w:t xml:space="preserve"> </w:t>
      </w:r>
      <w:r>
        <w:rPr>
          <w:rFonts w:ascii="Arial" w:cs="Arial" w:eastAsia="Arial" w:hAnsi="Arial"/>
          <w:sz w:val="18"/>
          <w:szCs w:val="18"/>
          <w:color w:val="auto"/>
        </w:rPr>
        <w:t>across a broad set of functions. It features an integrated policy and charging engine, product catalog, subscriber authentication and management and diameter routing.</w:t>
      </w:r>
    </w:p>
    <w:p>
      <w:pPr>
        <w:spacing w:after="0" w:line="59" w:lineRule="exact"/>
        <w:rPr>
          <w:rFonts w:ascii="Arial" w:cs="Arial" w:eastAsia="Arial" w:hAnsi="Arial"/>
          <w:sz w:val="18"/>
          <w:szCs w:val="18"/>
          <w:color w:val="auto"/>
        </w:rPr>
      </w:pPr>
    </w:p>
    <w:p>
      <w:pPr>
        <w:ind w:left="1460" w:right="160" w:hanging="318"/>
        <w:spacing w:after="0" w:line="298" w:lineRule="auto"/>
        <w:tabs>
          <w:tab w:leader="none" w:pos="1460" w:val="left"/>
        </w:tabs>
        <w:numPr>
          <w:ilvl w:val="1"/>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Wi-Fi Experience Solution: </w:t>
      </w:r>
      <w:r>
        <w:rPr>
          <w:rFonts w:ascii="Arial" w:cs="Arial" w:eastAsia="Arial" w:hAnsi="Arial"/>
          <w:sz w:val="16"/>
          <w:szCs w:val="16"/>
          <w:color w:val="auto"/>
        </w:rPr>
        <w:t>a Wi-Fi control and monetization solution that enables mobile and fixed broadband service providers and cable</w:t>
      </w:r>
      <w:r>
        <w:rPr>
          <w:rFonts w:ascii="Arial" w:cs="Arial" w:eastAsia="Arial" w:hAnsi="Arial"/>
          <w:sz w:val="16"/>
          <w:szCs w:val="16"/>
          <w:i w:val="1"/>
          <w:iCs w:val="1"/>
          <w:color w:val="auto"/>
        </w:rPr>
        <w:t xml:space="preserve"> </w:t>
      </w:r>
      <w:r>
        <w:rPr>
          <w:rFonts w:ascii="Arial" w:cs="Arial" w:eastAsia="Arial" w:hAnsi="Arial"/>
          <w:sz w:val="16"/>
          <w:szCs w:val="16"/>
          <w:color w:val="auto"/>
        </w:rPr>
        <w:t>multiple system operators to accelerate the introduction of innovative Wi-Fi services. Pre-integrated to facilitate rapid deployment, the solution features unique policy control and authentication capabilities for subscriber onboarding and service innovation, and a portal framework that integrates with the service provider’s existing customer service portal and payment system for rapid service monetization.</w:t>
      </w:r>
    </w:p>
    <w:p>
      <w:pPr>
        <w:spacing w:after="0" w:line="31" w:lineRule="exact"/>
        <w:rPr>
          <w:rFonts w:ascii="Arial" w:cs="Arial" w:eastAsia="Arial" w:hAnsi="Arial"/>
          <w:sz w:val="16"/>
          <w:szCs w:val="16"/>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Digital Services: </w:t>
      </w:r>
      <w:r>
        <w:rPr>
          <w:rFonts w:ascii="Arial" w:cs="Arial" w:eastAsia="Arial" w:hAnsi="Arial"/>
          <w:sz w:val="18"/>
          <w:szCs w:val="18"/>
          <w:color w:val="auto"/>
        </w:rPr>
        <w:t>Suite of packaged and ready-to-use digital services solutions. Amdocs’ Digital Services offerings include:</w:t>
      </w:r>
    </w:p>
    <w:p>
      <w:pPr>
        <w:spacing w:after="0" w:line="90" w:lineRule="exact"/>
        <w:rPr>
          <w:rFonts w:ascii="Arial" w:cs="Arial" w:eastAsia="Arial" w:hAnsi="Arial"/>
          <w:sz w:val="18"/>
          <w:szCs w:val="18"/>
          <w:color w:val="auto"/>
        </w:rPr>
      </w:pPr>
    </w:p>
    <w:p>
      <w:pPr>
        <w:ind w:left="1460" w:right="320" w:hanging="318"/>
        <w:spacing w:after="0" w:line="306" w:lineRule="auto"/>
        <w:tabs>
          <w:tab w:leader="none" w:pos="1460" w:val="left"/>
        </w:tabs>
        <w:numPr>
          <w:ilvl w:val="1"/>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Connected Home Solution: </w:t>
      </w:r>
      <w:r>
        <w:rPr>
          <w:rFonts w:ascii="Arial" w:cs="Arial" w:eastAsia="Arial" w:hAnsi="Arial"/>
          <w:sz w:val="16"/>
          <w:szCs w:val="16"/>
          <w:color w:val="auto"/>
        </w:rPr>
        <w:t>offered as a software as a service (SaaS) model for cost-efficiency and fast time to market, it is a cloud-based</w:t>
      </w:r>
      <w:r>
        <w:rPr>
          <w:rFonts w:ascii="Arial" w:cs="Arial" w:eastAsia="Arial" w:hAnsi="Arial"/>
          <w:sz w:val="16"/>
          <w:szCs w:val="16"/>
          <w:i w:val="1"/>
          <w:iCs w:val="1"/>
          <w:color w:val="auto"/>
        </w:rPr>
        <w:t xml:space="preserve"> </w:t>
      </w:r>
      <w:r>
        <w:rPr>
          <w:rFonts w:ascii="Arial" w:cs="Arial" w:eastAsia="Arial" w:hAnsi="Arial"/>
          <w:sz w:val="16"/>
          <w:szCs w:val="16"/>
          <w:color w:val="auto"/>
        </w:rPr>
        <w:t>solution that can integrate with a service provider’s existing BSS, OSS and customer relationship management systems. This offering is delivered as a packaged suite of services for home monitoring, security and automation, and energy management.</w:t>
      </w:r>
    </w:p>
    <w:p>
      <w:pPr>
        <w:spacing w:after="0" w:line="25" w:lineRule="exact"/>
        <w:rPr>
          <w:rFonts w:ascii="Arial" w:cs="Arial" w:eastAsia="Arial" w:hAnsi="Arial"/>
          <w:sz w:val="16"/>
          <w:szCs w:val="16"/>
          <w:color w:val="auto"/>
        </w:rPr>
      </w:pPr>
    </w:p>
    <w:p>
      <w:pPr>
        <w:ind w:left="1460" w:right="80" w:hanging="318"/>
        <w:spacing w:after="0" w:line="256" w:lineRule="auto"/>
        <w:tabs>
          <w:tab w:leader="none" w:pos="1460" w:val="left"/>
        </w:tabs>
        <w:numPr>
          <w:ilvl w:val="1"/>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Mobile Payments: </w:t>
      </w:r>
      <w:r>
        <w:rPr>
          <w:rFonts w:ascii="Arial" w:cs="Arial" w:eastAsia="Arial" w:hAnsi="Arial"/>
          <w:sz w:val="18"/>
          <w:szCs w:val="18"/>
          <w:color w:val="auto"/>
        </w:rPr>
        <w:t>a cloud-based gateway service that enables wireless service providers to offer mobile payments to customers and to settle</w:t>
      </w:r>
      <w:r>
        <w:rPr>
          <w:rFonts w:ascii="Arial" w:cs="Arial" w:eastAsia="Arial" w:hAnsi="Arial"/>
          <w:sz w:val="18"/>
          <w:szCs w:val="18"/>
          <w:i w:val="1"/>
          <w:iCs w:val="1"/>
          <w:color w:val="auto"/>
        </w:rPr>
        <w:t xml:space="preserve"> </w:t>
      </w:r>
      <w:r>
        <w:rPr>
          <w:rFonts w:ascii="Arial" w:cs="Arial" w:eastAsia="Arial" w:hAnsi="Arial"/>
          <w:sz w:val="18"/>
          <w:szCs w:val="18"/>
          <w:color w:val="auto"/>
        </w:rPr>
        <w:t>against any payment method, including postpaid bill, prepaid balance, electronic wallet or credit cards. It enables service providers to onboard and manage a large set of app stores, merchants and aggregators and to process transactions for any type of goods, such as digital, remote or physical.</w:t>
      </w:r>
    </w:p>
    <w:p>
      <w:pPr>
        <w:spacing w:after="0" w:line="62" w:lineRule="exact"/>
        <w:rPr>
          <w:rFonts w:ascii="Arial" w:cs="Arial" w:eastAsia="Arial" w:hAnsi="Arial"/>
          <w:sz w:val="18"/>
          <w:szCs w:val="18"/>
          <w:color w:val="auto"/>
        </w:rPr>
      </w:pPr>
    </w:p>
    <w:p>
      <w:pPr>
        <w:ind w:left="1460" w:right="300" w:hanging="318"/>
        <w:spacing w:after="0" w:line="256" w:lineRule="auto"/>
        <w:tabs>
          <w:tab w:leader="none" w:pos="1460" w:val="left"/>
        </w:tabs>
        <w:numPr>
          <w:ilvl w:val="1"/>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Digital Commerce Solution: </w:t>
      </w:r>
      <w:r>
        <w:rPr>
          <w:rFonts w:ascii="Arial" w:cs="Arial" w:eastAsia="Arial" w:hAnsi="Arial"/>
          <w:sz w:val="18"/>
          <w:szCs w:val="18"/>
          <w:color w:val="auto"/>
        </w:rPr>
        <w:t>enables services providers to sell digital content through any channel in any business model. It supports the</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of any type of content, including apps, games, video and audio, and the delivery to a wide-range of devices, such as mobile, tablet and PC. A single application provides multi-tenancy, multi-language and multi-currency functions to support multiple portals, storefronts and tenants.</w:t>
      </w:r>
    </w:p>
    <w:p>
      <w:pPr>
        <w:spacing w:after="0" w:line="62" w:lineRule="exact"/>
        <w:rPr>
          <w:rFonts w:ascii="Arial" w:cs="Arial" w:eastAsia="Arial" w:hAnsi="Arial"/>
          <w:sz w:val="18"/>
          <w:szCs w:val="18"/>
          <w:color w:val="auto"/>
        </w:rPr>
      </w:pPr>
    </w:p>
    <w:p>
      <w:pPr>
        <w:ind w:left="1460" w:right="380" w:hanging="318"/>
        <w:spacing w:after="0" w:line="335" w:lineRule="auto"/>
        <w:tabs>
          <w:tab w:leader="none" w:pos="1460" w:val="left"/>
        </w:tabs>
        <w:numPr>
          <w:ilvl w:val="1"/>
          <w:numId w:val="19"/>
        </w:numPr>
        <w:rPr>
          <w:rFonts w:ascii="Arial" w:cs="Arial" w:eastAsia="Arial" w:hAnsi="Arial"/>
          <w:sz w:val="15"/>
          <w:szCs w:val="15"/>
          <w:color w:val="auto"/>
        </w:rPr>
      </w:pPr>
      <w:r>
        <w:rPr>
          <w:rFonts w:ascii="Arial" w:cs="Arial" w:eastAsia="Arial" w:hAnsi="Arial"/>
          <w:sz w:val="15"/>
          <w:szCs w:val="15"/>
          <w:i w:val="1"/>
          <w:iCs w:val="1"/>
          <w:color w:val="auto"/>
        </w:rPr>
        <w:t xml:space="preserve">Personalization: </w:t>
      </w:r>
      <w:r>
        <w:rPr>
          <w:rFonts w:ascii="Arial" w:cs="Arial" w:eastAsia="Arial" w:hAnsi="Arial"/>
          <w:sz w:val="15"/>
          <w:szCs w:val="15"/>
          <w:color w:val="auto"/>
        </w:rPr>
        <w:t>consists of personalized portals, recommendations and product offers that are based on real-time machine-learning and</w:t>
      </w:r>
      <w:r>
        <w:rPr>
          <w:rFonts w:ascii="Arial" w:cs="Arial" w:eastAsia="Arial" w:hAnsi="Arial"/>
          <w:sz w:val="15"/>
          <w:szCs w:val="15"/>
          <w:i w:val="1"/>
          <w:iCs w:val="1"/>
          <w:color w:val="auto"/>
        </w:rPr>
        <w:t xml:space="preserve"> </w:t>
      </w:r>
      <w:r>
        <w:rPr>
          <w:rFonts w:ascii="Arial" w:cs="Arial" w:eastAsia="Arial" w:hAnsi="Arial"/>
          <w:sz w:val="15"/>
          <w:szCs w:val="15"/>
          <w:color w:val="auto"/>
        </w:rPr>
        <w:t>predictive analytics to enhance the multichannel customer experience and stimulate service provider revenue growth. These products automatically obtain behavioral intelligence from customer interactions to enhance service planning and increase targeted effectiveness.</w:t>
      </w:r>
    </w:p>
    <w:p>
      <w:pPr>
        <w:spacing w:after="0" w:line="7" w:lineRule="exact"/>
        <w:rPr>
          <w:rFonts w:ascii="Arial" w:cs="Arial" w:eastAsia="Arial" w:hAnsi="Arial"/>
          <w:sz w:val="15"/>
          <w:szCs w:val="15"/>
          <w:color w:val="auto"/>
        </w:rPr>
      </w:pPr>
    </w:p>
    <w:p>
      <w:pPr>
        <w:ind w:left="1460" w:hanging="318"/>
        <w:spacing w:after="0" w:line="259" w:lineRule="auto"/>
        <w:tabs>
          <w:tab w:leader="none" w:pos="1460" w:val="left"/>
        </w:tabs>
        <w:numPr>
          <w:ilvl w:val="1"/>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Unified Communications: </w:t>
      </w:r>
      <w:r>
        <w:rPr>
          <w:rFonts w:ascii="Arial" w:cs="Arial" w:eastAsia="Arial" w:hAnsi="Arial"/>
          <w:sz w:val="18"/>
          <w:szCs w:val="18"/>
          <w:color w:val="auto"/>
        </w:rPr>
        <w:t>a service provider-branded solution that unites messaging services, video and voice over IP calling for an even</w:t>
      </w:r>
      <w:r>
        <w:rPr>
          <w:rFonts w:ascii="Arial" w:cs="Arial" w:eastAsia="Arial" w:hAnsi="Arial"/>
          <w:sz w:val="18"/>
          <w:szCs w:val="18"/>
          <w:i w:val="1"/>
          <w:iCs w:val="1"/>
          <w:color w:val="auto"/>
        </w:rPr>
        <w:t xml:space="preserve"> </w:t>
      </w:r>
      <w:r>
        <w:rPr>
          <w:rFonts w:ascii="Arial" w:cs="Arial" w:eastAsia="Arial" w:hAnsi="Arial"/>
          <w:sz w:val="18"/>
          <w:szCs w:val="18"/>
          <w:color w:val="auto"/>
        </w:rPr>
        <w:t>better customer experience. Accessed via iOS and Android device apps or through a Web portal, the solution acts as a launch pad for the end-user’s communications needs.</w:t>
      </w:r>
    </w:p>
    <w:p>
      <w:pPr>
        <w:spacing w:after="0" w:line="59" w:lineRule="exact"/>
        <w:rPr>
          <w:rFonts w:ascii="Arial" w:cs="Arial" w:eastAsia="Arial" w:hAnsi="Arial"/>
          <w:sz w:val="18"/>
          <w:szCs w:val="18"/>
          <w:color w:val="auto"/>
        </w:rPr>
      </w:pPr>
    </w:p>
    <w:p>
      <w:pPr>
        <w:ind w:left="1460" w:right="60" w:hanging="318"/>
        <w:spacing w:after="0" w:line="256" w:lineRule="auto"/>
        <w:tabs>
          <w:tab w:leader="none" w:pos="1460" w:val="left"/>
        </w:tabs>
        <w:numPr>
          <w:ilvl w:val="1"/>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Unified Foundation: </w:t>
      </w:r>
      <w:r>
        <w:rPr>
          <w:rFonts w:ascii="Arial" w:cs="Arial" w:eastAsia="Arial" w:hAnsi="Arial"/>
          <w:sz w:val="18"/>
          <w:szCs w:val="18"/>
          <w:color w:val="auto"/>
        </w:rPr>
        <w:t>A common set of products and tools that serve as the underlying drivers for technology innovation across the Amdocs</w:t>
      </w:r>
      <w:r>
        <w:rPr>
          <w:rFonts w:ascii="Arial" w:cs="Arial" w:eastAsia="Arial" w:hAnsi="Arial"/>
          <w:sz w:val="18"/>
          <w:szCs w:val="18"/>
          <w:i w:val="1"/>
          <w:iCs w:val="1"/>
          <w:color w:val="auto"/>
        </w:rPr>
        <w:t xml:space="preserve"> </w:t>
      </w:r>
      <w:r>
        <w:rPr>
          <w:rFonts w:ascii="Arial" w:cs="Arial" w:eastAsia="Arial" w:hAnsi="Arial"/>
          <w:sz w:val="18"/>
          <w:szCs w:val="18"/>
          <w:color w:val="auto"/>
        </w:rPr>
        <w:t>CES portfolio of offerings. Unified Foundation provides the product enablers and building blocks to quickly create and effectively manage products for a time to market advantage. It provides a single customer view and supports business process modification, integration, security and monitoring.</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and Media Solutions</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Our advertising and media offerings for local marketing service providers are comprised of a comprehensive set of business and operational products and services designed to enable the management of media selling, fulfillment, operations, consumer experience and financial processes across digital and print media. These offerings are sold as individual products or comprehensive packaged solutions and include:</w:t>
      </w:r>
    </w:p>
    <w:p>
      <w:pPr>
        <w:spacing w:after="0" w:line="26" w:lineRule="exact"/>
        <w:rPr>
          <w:sz w:val="20"/>
          <w:szCs w:val="20"/>
          <w:color w:val="auto"/>
        </w:rPr>
      </w:pPr>
    </w:p>
    <w:p>
      <w:pPr>
        <w:ind w:left="660" w:right="180" w:hanging="206"/>
        <w:spacing w:after="0" w:line="25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Sales Experience Solution: </w:t>
      </w:r>
      <w:r>
        <w:rPr>
          <w:rFonts w:ascii="Arial" w:cs="Arial" w:eastAsia="Arial" w:hAnsi="Arial"/>
          <w:sz w:val="18"/>
          <w:szCs w:val="18"/>
          <w:color w:val="auto"/>
        </w:rPr>
        <w:t>Combines configure, price quote, product catalog, order management and sales productivity applications alongside best</w:t>
      </w:r>
      <w:r>
        <w:rPr>
          <w:rFonts w:ascii="Arial" w:cs="Arial" w:eastAsia="Arial" w:hAnsi="Arial"/>
          <w:sz w:val="18"/>
          <w:szCs w:val="18"/>
          <w:i w:val="1"/>
          <w:iCs w:val="1"/>
          <w:color w:val="auto"/>
        </w:rPr>
        <w:t xml:space="preserve"> </w:t>
      </w:r>
      <w:r>
        <w:rPr>
          <w:rFonts w:ascii="Arial" w:cs="Arial" w:eastAsia="Arial" w:hAnsi="Arial"/>
          <w:sz w:val="18"/>
          <w:szCs w:val="18"/>
          <w:color w:val="auto"/>
        </w:rPr>
        <w:t>practices and processes to increase sales and reduce costs. These offerings are uniquely tailored to serve the evolving needs of local media consultants selling advertisements for digital and print media.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520" w:hanging="206"/>
        <w:spacing w:after="0" w:line="33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Business Agility: </w:t>
      </w:r>
      <w:r>
        <w:rPr>
          <w:rFonts w:ascii="Arial" w:cs="Arial" w:eastAsia="Arial" w:hAnsi="Arial"/>
          <w:sz w:val="16"/>
          <w:szCs w:val="16"/>
          <w:color w:val="auto"/>
        </w:rPr>
        <w:t>Sales performance management, order management, product lifecycle management, fulfillment, content management, campaign</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and billing offerings that enhance the productivity and cost efficiency of local marketing service providers.</w:t>
      </w:r>
    </w:p>
    <w:p>
      <w:pPr>
        <w:spacing w:after="0" w:line="4" w:lineRule="exact"/>
        <w:rPr>
          <w:rFonts w:ascii="Arial" w:cs="Arial" w:eastAsia="Arial" w:hAnsi="Arial"/>
          <w:sz w:val="16"/>
          <w:szCs w:val="16"/>
          <w:color w:val="auto"/>
        </w:rPr>
      </w:pPr>
    </w:p>
    <w:p>
      <w:pPr>
        <w:ind w:left="660" w:right="820" w:hanging="206"/>
        <w:spacing w:after="0" w:line="26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Small-Medium Business Experience: </w:t>
      </w:r>
      <w:r>
        <w:rPr>
          <w:rFonts w:ascii="Arial" w:cs="Arial" w:eastAsia="Arial" w:hAnsi="Arial"/>
          <w:sz w:val="18"/>
          <w:szCs w:val="18"/>
          <w:color w:val="auto"/>
        </w:rPr>
        <w:t>Enables local marketing service providers to offer presence, social media marketing and lead generation</w:t>
      </w:r>
      <w:r>
        <w:rPr>
          <w:rFonts w:ascii="Arial" w:cs="Arial" w:eastAsia="Arial" w:hAnsi="Arial"/>
          <w:sz w:val="18"/>
          <w:szCs w:val="18"/>
          <w:i w:val="1"/>
          <w:iCs w:val="1"/>
          <w:color w:val="auto"/>
        </w:rPr>
        <w:t xml:space="preserve"> </w:t>
      </w:r>
      <w:r>
        <w:rPr>
          <w:rFonts w:ascii="Arial" w:cs="Arial" w:eastAsia="Arial" w:hAnsi="Arial"/>
          <w:sz w:val="18"/>
          <w:szCs w:val="18"/>
          <w:color w:val="auto"/>
        </w:rPr>
        <w:t>functionality to the small and medium-sized business market.</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Business Content and Advertising Syndication: </w:t>
      </w:r>
      <w:r>
        <w:rPr>
          <w:rFonts w:ascii="Arial" w:cs="Arial" w:eastAsia="Arial" w:hAnsi="Arial"/>
          <w:sz w:val="16"/>
          <w:szCs w:val="16"/>
          <w:color w:val="auto"/>
        </w:rPr>
        <w:t>Consists of offerings to streamline and scale up partner content syndication and advertising networks.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Technology</w:t>
      </w:r>
    </w:p>
    <w:p>
      <w:pPr>
        <w:spacing w:after="0" w:line="9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Our technology platform’s flexibility affords our customers the freedom to choose a preferred operating environment and to maximize return on existing infrastructure investments. Our portfolio architecture allows our applications to work in multiple customer environments, including:</w:t>
      </w:r>
    </w:p>
    <w:p>
      <w:pPr>
        <w:spacing w:after="0" w:line="4" w:lineRule="exact"/>
        <w:rPr>
          <w:sz w:val="20"/>
          <w:szCs w:val="20"/>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Hardware: </w:t>
      </w:r>
      <w:r>
        <w:rPr>
          <w:rFonts w:ascii="Arial" w:cs="Arial" w:eastAsia="Arial" w:hAnsi="Arial"/>
          <w:sz w:val="18"/>
          <w:szCs w:val="18"/>
          <w:color w:val="auto"/>
        </w:rPr>
        <w:t>IBM, Hewlett-Packard, Oracle/Sun, Intel</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Operating Systems: </w:t>
      </w:r>
      <w:r>
        <w:rPr>
          <w:rFonts w:ascii="Arial" w:cs="Arial" w:eastAsia="Arial" w:hAnsi="Arial"/>
          <w:sz w:val="18"/>
          <w:szCs w:val="18"/>
          <w:color w:val="auto"/>
        </w:rPr>
        <w:t>Windows, Red Hat Linux, AIX, VMware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Database Management Systems: </w:t>
      </w:r>
      <w:r>
        <w:rPr>
          <w:rFonts w:ascii="Arial" w:cs="Arial" w:eastAsia="Arial" w:hAnsi="Arial"/>
          <w:sz w:val="18"/>
          <w:szCs w:val="18"/>
          <w:color w:val="auto"/>
        </w:rPr>
        <w:t>Oracle, SQL Server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Middleware: </w:t>
      </w:r>
      <w:r>
        <w:rPr>
          <w:rFonts w:ascii="Arial" w:cs="Arial" w:eastAsia="Arial" w:hAnsi="Arial"/>
          <w:sz w:val="18"/>
          <w:szCs w:val="18"/>
          <w:color w:val="auto"/>
        </w:rPr>
        <w:t>Oracle WebLogic, IBM WebSphere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Storage: </w:t>
      </w:r>
      <w:r>
        <w:rPr>
          <w:rFonts w:ascii="Arial" w:cs="Arial" w:eastAsia="Arial" w:hAnsi="Arial"/>
          <w:sz w:val="18"/>
          <w:szCs w:val="18"/>
          <w:color w:val="auto"/>
        </w:rPr>
        <w:t>EMC, NetApp, IBM, Hewlett-Packard</w:t>
      </w:r>
    </w:p>
    <w:p>
      <w:pPr>
        <w:spacing w:after="0" w:line="90" w:lineRule="exact"/>
        <w:rPr>
          <w:sz w:val="20"/>
          <w:szCs w:val="20"/>
          <w:color w:val="auto"/>
        </w:rPr>
      </w:pPr>
    </w:p>
    <w:p>
      <w:pPr>
        <w:jc w:val="both"/>
        <w:ind w:right="460" w:firstLine="456"/>
        <w:spacing w:after="0" w:line="335" w:lineRule="auto"/>
        <w:rPr>
          <w:sz w:val="20"/>
          <w:szCs w:val="20"/>
          <w:color w:val="auto"/>
        </w:rPr>
      </w:pPr>
      <w:r>
        <w:rPr>
          <w:rFonts w:ascii="Arial" w:cs="Arial" w:eastAsia="Arial" w:hAnsi="Arial"/>
          <w:sz w:val="15"/>
          <w:szCs w:val="15"/>
          <w:color w:val="auto"/>
        </w:rPr>
        <w:t>To help service providers respond more quickly to changes in their markets and lower their integration costs, we employ service-oriented architecture principles in our portfolio design. For example, Amdocs Web Services Factory exposes the Amdocs portfolio application programming interfaces (APIs) to external systems, allowing our applications to integrate with each other and with third-party enterprise server bus or legacy applications.</w:t>
      </w:r>
    </w:p>
    <w:p>
      <w:pPr>
        <w:spacing w:after="0" w:line="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portfolio applications are based around consistent architectural guidelines and software infrastructure and they also leverage, where appropriate, consistent foundation tools. Our services encompass installation, integration, process management, monitoring and control, security and information management. Our platform-agnostic foundation layer spans our applications and helps us evolve our products towards robust service-oriented architecture integration and business process support. With these tools, we aim to provide our customers a sound framework upon which to implement, integrate and centralize their operating environments. This allows service providers to mitigate many costs associated with deploying and operating new applications, such as those related to installation, configuration, integration and monitoring.</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product portfolio also includes the following key characteristics:</w:t>
      </w:r>
    </w:p>
    <w:p>
      <w:pPr>
        <w:spacing w:after="0" w:line="90" w:lineRule="exact"/>
        <w:rPr>
          <w:sz w:val="20"/>
          <w:szCs w:val="20"/>
          <w:color w:val="auto"/>
        </w:rPr>
      </w:pPr>
    </w:p>
    <w:p>
      <w:pPr>
        <w:ind w:left="660" w:right="80" w:hanging="206"/>
        <w:spacing w:after="0" w:line="25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Scalability. </w:t>
      </w:r>
      <w:r>
        <w:rPr>
          <w:rFonts w:ascii="Arial" w:cs="Arial" w:eastAsia="Arial" w:hAnsi="Arial"/>
          <w:sz w:val="18"/>
          <w:szCs w:val="18"/>
          <w:color w:val="auto"/>
        </w:rPr>
        <w:t>Our applications are designed to take full advantage of the scalability capabilities of the underlying platform, allowing progressive system</w:t>
      </w:r>
      <w:r>
        <w:rPr>
          <w:rFonts w:ascii="Arial" w:cs="Arial" w:eastAsia="Arial" w:hAnsi="Arial"/>
          <w:sz w:val="18"/>
          <w:szCs w:val="18"/>
          <w:i w:val="1"/>
          <w:iCs w:val="1"/>
          <w:color w:val="auto"/>
        </w:rPr>
        <w:t xml:space="preserve"> </w:t>
      </w:r>
      <w:r>
        <w:rPr>
          <w:rFonts w:ascii="Arial" w:cs="Arial" w:eastAsia="Arial" w:hAnsi="Arial"/>
          <w:sz w:val="18"/>
          <w:szCs w:val="18"/>
          <w:color w:val="auto"/>
        </w:rPr>
        <w:t>expansion, proportional with the customer’s growth in business volumes. Using the same software, our applications can support operations for small, as well as very large service providers.</w:t>
      </w:r>
    </w:p>
    <w:p>
      <w:pPr>
        <w:spacing w:after="0" w:line="59" w:lineRule="exact"/>
        <w:rPr>
          <w:rFonts w:ascii="Arial" w:cs="Arial" w:eastAsia="Arial" w:hAnsi="Arial"/>
          <w:sz w:val="18"/>
          <w:szCs w:val="18"/>
          <w:color w:val="auto"/>
        </w:rPr>
      </w:pPr>
    </w:p>
    <w:p>
      <w:pPr>
        <w:ind w:left="660" w:right="260" w:hanging="206"/>
        <w:spacing w:after="0" w:line="26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Reliability. </w:t>
      </w:r>
      <w:r>
        <w:rPr>
          <w:rFonts w:ascii="Arial" w:cs="Arial" w:eastAsia="Arial" w:hAnsi="Arial"/>
          <w:sz w:val="18"/>
          <w:szCs w:val="18"/>
          <w:color w:val="auto"/>
        </w:rPr>
        <w:t>Our system and component architecture supports high availability and redundancy to allow connected and uninterrupted operations at full</w:t>
      </w:r>
      <w:r>
        <w:rPr>
          <w:rFonts w:ascii="Arial" w:cs="Arial" w:eastAsia="Arial" w:hAnsi="Arial"/>
          <w:sz w:val="18"/>
          <w:szCs w:val="18"/>
          <w:i w:val="1"/>
          <w:iCs w:val="1"/>
          <w:color w:val="auto"/>
        </w:rPr>
        <w:t xml:space="preserve"> </w:t>
      </w:r>
      <w:r>
        <w:rPr>
          <w:rFonts w:ascii="Arial" w:cs="Arial" w:eastAsia="Arial" w:hAnsi="Arial"/>
          <w:sz w:val="18"/>
          <w:szCs w:val="18"/>
          <w:color w:val="auto"/>
        </w:rPr>
        <w:t>network speed and device load.</w:t>
      </w:r>
    </w:p>
    <w:p>
      <w:pPr>
        <w:spacing w:after="0" w:line="50" w:lineRule="exact"/>
        <w:rPr>
          <w:rFonts w:ascii="Arial" w:cs="Arial" w:eastAsia="Arial" w:hAnsi="Arial"/>
          <w:sz w:val="18"/>
          <w:szCs w:val="18"/>
          <w:color w:val="auto"/>
        </w:rPr>
      </w:pPr>
    </w:p>
    <w:p>
      <w:pPr>
        <w:ind w:left="660" w:right="120" w:hanging="206"/>
        <w:spacing w:after="0" w:line="255"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Modularity. </w:t>
      </w:r>
      <w:r>
        <w:rPr>
          <w:rFonts w:ascii="Arial" w:cs="Arial" w:eastAsia="Arial" w:hAnsi="Arial"/>
          <w:sz w:val="18"/>
          <w:szCs w:val="18"/>
          <w:color w:val="auto"/>
        </w:rPr>
        <w:t>Our product portfolio is comprised of sets of individual functional application products. Each of our applications can be installed on an</w:t>
      </w:r>
      <w:r>
        <w:rPr>
          <w:rFonts w:ascii="Arial" w:cs="Arial" w:eastAsia="Arial" w:hAnsi="Arial"/>
          <w:sz w:val="18"/>
          <w:szCs w:val="18"/>
          <w:i w:val="1"/>
          <w:iCs w:val="1"/>
          <w:color w:val="auto"/>
        </w:rPr>
        <w:t xml:space="preserve"> </w:t>
      </w:r>
      <w:r>
        <w:rPr>
          <w:rFonts w:ascii="Arial" w:cs="Arial" w:eastAsia="Arial" w:hAnsi="Arial"/>
          <w:sz w:val="18"/>
          <w:szCs w:val="18"/>
          <w:color w:val="auto"/>
        </w:rPr>
        <w:t>individual stand-alone basis, interfacing with the customer’s existing systems, or as part of an integrated Amdocs system environment. This modularity provides our customers with a highly flexible and cost-effective solution that is able to incrementally expand with the customer’s growing needs and capabilities. The modular approach preserves the customer’s initial investment in products, and minimizes future disruptions and the overall cost of system implementation.</w:t>
      </w:r>
    </w:p>
    <w:p>
      <w:pPr>
        <w:spacing w:after="0" w:line="61" w:lineRule="exact"/>
        <w:rPr>
          <w:rFonts w:ascii="Arial" w:cs="Arial" w:eastAsia="Arial" w:hAnsi="Arial"/>
          <w:sz w:val="18"/>
          <w:szCs w:val="18"/>
          <w:color w:val="auto"/>
        </w:rPr>
      </w:pPr>
    </w:p>
    <w:p>
      <w:pPr>
        <w:ind w:left="660" w:right="520" w:hanging="206"/>
        <w:spacing w:after="0" w:line="26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Upgradability and Backward Compatibility. </w:t>
      </w:r>
      <w:r>
        <w:rPr>
          <w:rFonts w:ascii="Arial" w:cs="Arial" w:eastAsia="Arial" w:hAnsi="Arial"/>
          <w:sz w:val="18"/>
          <w:szCs w:val="18"/>
          <w:color w:val="auto"/>
        </w:rPr>
        <w:t>Version interoperability eliminates risky upgrades and allows for a gradual upgrade approach of suite</w:t>
      </w:r>
      <w:r>
        <w:rPr>
          <w:rFonts w:ascii="Arial" w:cs="Arial" w:eastAsia="Arial" w:hAnsi="Arial"/>
          <w:sz w:val="18"/>
          <w:szCs w:val="18"/>
          <w:i w:val="1"/>
          <w:iCs w:val="1"/>
          <w:color w:val="auto"/>
        </w:rPr>
        <w:t xml:space="preserve"> </w:t>
      </w:r>
      <w:r>
        <w:rPr>
          <w:rFonts w:ascii="Arial" w:cs="Arial" w:eastAsia="Arial" w:hAnsi="Arial"/>
          <w:sz w:val="18"/>
          <w:szCs w:val="18"/>
          <w:color w:val="auto"/>
        </w:rPr>
        <w:t>elements.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360" w:hanging="206"/>
        <w:spacing w:after="0" w:line="259"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Virtualization. </w:t>
      </w:r>
      <w:r>
        <w:rPr>
          <w:rFonts w:ascii="Arial" w:cs="Arial" w:eastAsia="Arial" w:hAnsi="Arial"/>
          <w:sz w:val="18"/>
          <w:szCs w:val="18"/>
          <w:color w:val="auto"/>
        </w:rPr>
        <w:t>Increasing server efficiency, commonly referred to as virtualization, is critical in today’s IT world as it reduces costs and improves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operational efficiency through server consolidation, improved server availability, elasticity and sustainability. Using VMWare 5.1, the Amdocs CES suite is fully certified to run in a virtualized production environment.</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Services</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offer a broad suite of services to advise, transform, support and optimize business and technology processes. We provide business consulting, systems integration, ITO and key value process operation (VPO) managed services, managed transformation and product support to assist our customers with their business strategy, system implementation, integration, modification, consolidation, modernization and ongoing support, operation, enhancement and maintenance needs. In addition, we offer comprehensive learning services to help our customers develop competency in their Amdocs systems and applications. Our services methodology incorporates rigorous focus on the people, processes and technology of an organization, and we invite active customer participation at all stages to help prioritize and implement time-critical system solutions that address the customer’s individual needs.</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services portfolio includes:</w:t>
      </w:r>
    </w:p>
    <w:p>
      <w:pPr>
        <w:spacing w:after="0" w:line="90" w:lineRule="exact"/>
        <w:rPr>
          <w:sz w:val="20"/>
          <w:szCs w:val="20"/>
          <w:color w:val="auto"/>
        </w:rPr>
      </w:pPr>
    </w:p>
    <w:p>
      <w:pPr>
        <w:jc w:val="both"/>
        <w:ind w:left="660" w:hanging="206"/>
        <w:spacing w:after="0" w:line="259"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Business Consulting Services </w:t>
      </w:r>
      <w:r>
        <w:rPr>
          <w:rFonts w:ascii="Arial" w:cs="Arial" w:eastAsia="Arial" w:hAnsi="Arial"/>
          <w:sz w:val="18"/>
          <w:szCs w:val="18"/>
          <w:color w:val="auto"/>
        </w:rPr>
        <w:t>— These services cover the project lifecycle and range from assessment and advisory services to optimization services that</w:t>
      </w:r>
      <w:r>
        <w:rPr>
          <w:rFonts w:ascii="Arial" w:cs="Arial" w:eastAsia="Arial" w:hAnsi="Arial"/>
          <w:sz w:val="18"/>
          <w:szCs w:val="18"/>
          <w:i w:val="1"/>
          <w:iCs w:val="1"/>
          <w:color w:val="auto"/>
        </w:rPr>
        <w:t xml:space="preserve"> </w:t>
      </w:r>
      <w:r>
        <w:rPr>
          <w:rFonts w:ascii="Arial" w:cs="Arial" w:eastAsia="Arial" w:hAnsi="Arial"/>
          <w:sz w:val="18"/>
          <w:szCs w:val="18"/>
          <w:color w:val="auto"/>
        </w:rPr>
        <w:t>measure and improve business and operational performance, and help to define the project strategy, scope and implementation path of business solutions to deliver tangible business and operational value.</w:t>
      </w:r>
    </w:p>
    <w:p>
      <w:pPr>
        <w:spacing w:after="0" w:line="59" w:lineRule="exact"/>
        <w:rPr>
          <w:rFonts w:ascii="Arial" w:cs="Arial" w:eastAsia="Arial" w:hAnsi="Arial"/>
          <w:sz w:val="18"/>
          <w:szCs w:val="18"/>
          <w:color w:val="auto"/>
        </w:rPr>
      </w:pPr>
    </w:p>
    <w:p>
      <w:pPr>
        <w:ind w:left="660" w:right="60" w:hanging="206"/>
        <w:spacing w:after="0" w:line="294"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Systems Integration and Transformation Services </w:t>
      </w:r>
      <w:r>
        <w:rPr>
          <w:rFonts w:ascii="Arial" w:cs="Arial" w:eastAsia="Arial" w:hAnsi="Arial"/>
          <w:sz w:val="16"/>
          <w:szCs w:val="16"/>
          <w:color w:val="auto"/>
        </w:rPr>
        <w:t>— This suite of services allows us to act as a prime integrator from program management and project</w:t>
      </w:r>
      <w:r>
        <w:rPr>
          <w:rFonts w:ascii="Arial" w:cs="Arial" w:eastAsia="Arial" w:hAnsi="Arial"/>
          <w:sz w:val="16"/>
          <w:szCs w:val="16"/>
          <w:i w:val="1"/>
          <w:iCs w:val="1"/>
          <w:color w:val="auto"/>
        </w:rPr>
        <w:t xml:space="preserve"> </w:t>
      </w:r>
      <w:r>
        <w:rPr>
          <w:rFonts w:ascii="Arial" w:cs="Arial" w:eastAsia="Arial" w:hAnsi="Arial"/>
          <w:sz w:val="16"/>
          <w:szCs w:val="16"/>
          <w:color w:val="auto"/>
        </w:rPr>
        <w:t>deployment to solution implementation and operations. We have developed advanced methodologies, industry best practices and pre-configured tools to deliver a cohesive implementation plan, including solution architecture, organizational change management, learning and development, benefits realization modeling and sales channels optimization, in addition to high-quality systems and applications testing. Our holistic approach ensures that people, processes and technology are fully aligned with our customer’s vision and goals.</w:t>
      </w:r>
    </w:p>
    <w:p>
      <w:pPr>
        <w:spacing w:after="0" w:line="34" w:lineRule="exact"/>
        <w:rPr>
          <w:rFonts w:ascii="Arial" w:cs="Arial" w:eastAsia="Arial" w:hAnsi="Arial"/>
          <w:sz w:val="16"/>
          <w:szCs w:val="16"/>
          <w:color w:val="auto"/>
        </w:rPr>
      </w:pPr>
    </w:p>
    <w:p>
      <w:pPr>
        <w:ind w:left="660" w:right="20" w:hanging="206"/>
        <w:spacing w:after="0" w:line="289"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Managed Services </w:t>
      </w:r>
      <w:r>
        <w:rPr>
          <w:rFonts w:ascii="Arial" w:cs="Arial" w:eastAsia="Arial" w:hAnsi="Arial"/>
          <w:sz w:val="16"/>
          <w:szCs w:val="16"/>
          <w:color w:val="auto"/>
        </w:rPr>
        <w:t>— Our portfolio of strategic sourcing services is tailored for service providers to gain competitive advantage and improve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results through long-term ITO and VPO services. Amdocs’ data center and cloud-based IT outsourcing services includes IT technology, VPO and application development and maintenance services, application operations, system modernization and consolidation and IT management. Whether our customer’s IT environment includes Amdocs products, third-party software or in-house and legacy systems, our specialized services span the industry landscape across mobile, wireline, broadband, cable and satellite. We support new and existing lines of business, such as pay television and M2M, as well as new business entities, including second brand, MVNO and greenfield. Our VPO services, such as order-to-activation, billing operation, revenue assurance, data warehousing and business intelligence management, combine innovative technology with business expertise to reduce costs and enhance customer experiences. Our managed services models can be leveraged to support day-to-day operations and strategic business objectives.</w:t>
      </w:r>
    </w:p>
    <w:p>
      <w:pPr>
        <w:spacing w:after="0" w:line="37" w:lineRule="exact"/>
        <w:rPr>
          <w:rFonts w:ascii="Arial" w:cs="Arial" w:eastAsia="Arial" w:hAnsi="Arial"/>
          <w:sz w:val="16"/>
          <w:szCs w:val="16"/>
          <w:color w:val="auto"/>
        </w:rPr>
      </w:pPr>
    </w:p>
    <w:p>
      <w:pPr>
        <w:jc w:val="both"/>
        <w:ind w:left="660" w:hanging="206"/>
        <w:spacing w:after="0" w:line="259"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Product Support Services </w:t>
      </w:r>
      <w:r>
        <w:rPr>
          <w:rFonts w:ascii="Arial" w:cs="Arial" w:eastAsia="Arial" w:hAnsi="Arial"/>
          <w:sz w:val="18"/>
          <w:szCs w:val="18"/>
          <w:color w:val="auto"/>
        </w:rPr>
        <w:t>— These services are designed to help our customers solve key challenges and to protect and maximize their investment in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throughout the entire product life cycle. Our global product support organization uses industry-recognized methodologies and provides support options, including online services and personalized interactions.</w:t>
      </w:r>
    </w:p>
    <w:p>
      <w:pPr>
        <w:spacing w:after="0" w:line="5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extent of services provided varies from customer to customer. Our services engagements can range in size and scope from deploying single point solutions to orchestrating large-scale transformation projects. Depending on the customer’s needs, system implementation and integration activities are often conducted jointly by teams from Amdocs and the customer. In some cases, Amdocs personnel provide support services to the customer’s own implementation and integration team, which has primary responsibility for the task. In other cases, we take a primary role in facilitating implementation and integration. In yet other instances, customers require turnkey solutions, in which case we provide full system implementation and integration services.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Once the system becomes operational, we are generally retained by the customer to provide ongoing services, such as maintenance, enhancement design and development and operational support, or to act as a prime systems integrator for post-production activities that may include interfaces with third-party systems. For a substantial number of our customers, the implementation and integration of an initial system has been followed by the sale of additional systems and modules. We aim to establish long-term maintenance and support contracts with our customers. These contracts generally involve an expansion in the scope of support provided and provide us with recurring revenue.</w:t>
      </w:r>
    </w:p>
    <w:p>
      <w:pPr>
        <w:spacing w:after="0" w:line="62"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Our business is conducted on a global basis. We maintain development and support facilities worldwide, including Brazil, Canada, Cyprus, India, Ireland, Israel and the United States, and have operations in North America, Europe, Israel, Latin America and the Asia-Pacific region.</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sales and marketing activities are primarily directed at major communications, media and entertainment companies.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As a result of the strategic importance of our customer experience systems to the operations of service providers, a number of constituencies within a customer’s organization are typically involved in purchasing decisions, including senior management, information systems personnel and user groups, such as the finance, customer service and marketing departments. We maintain sales offices in the United States, Europe, Latin America and Asia Pacific.</w:t>
      </w:r>
    </w:p>
    <w:p>
      <w:pPr>
        <w:spacing w:after="0" w:line="2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Our sales activities are supported by marketing efforts and increasing cooperation with strategic partners. We interact with other third parties in our sales activities, including independent sales agents, information systems consultants engaged by customers and systems integrators that provide complementary products and services. We also have value-added reseller agreements with certain hardware and database vendors. Our marketing activities also continue to support projects with partner companies, such as IBM, Alcatel-Lucent, Hewlett-Packard and others.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Customers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target market is comprised of service providers in the communication, media and entertainment industry that require customer experience systems with advanced functionality and technology. The companies in our target segment are typically market leaders. By working with such companies, we help ensure that we remain at the forefront of developments in the communications, media and entertainment industry and that our product offerings continue to address the market’s most sophisticated needs. We have an international orientation. We have a broad base of customers in North America and Europe, however, due to our expansion in emerging markets, we also have customers in geographies as diverse as the Commonwealth of Independent States, India, Latin America and Southeast Asia.</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customers include global communications leaders and leading network operators and service providers, as well as local marketing service providers in the United States and around the world. Our customers include:</w:t>
      </w:r>
    </w:p>
    <w:p>
      <w:pPr>
        <w:sectPr>
          <w:pgSz w:w="11900" w:h="16838" w:orient="portrait"/>
          <w:cols w:equalWidth="0" w:num="1">
            <w:col w:w="11420"/>
          </w:cols>
          <w:pgMar w:left="240" w:top="459" w:right="239" w:bottom="1440" w:gutter="0" w:footer="0" w:header="0"/>
        </w:sectPr>
      </w:pP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A1 Telekom Austria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America Movil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Astro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AT&amp;T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Bakcell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Bell 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Cablevision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Cellcom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Claro Brasil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Deutsche Telekom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Dex 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Elisa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Globe Telecom</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Instituto Costarricense de Electricidad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Kazakhtelecom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KPN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Magyar Telekom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MetroPCS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Mobilicity</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MobilTel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NetCom</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Rogers Communications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Sprint Nextel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Telefonica de Espana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Telefonica 02 Germany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Telefonica Argentina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Telkom South Africa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Telstra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TELUS Communications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T-Mobile Deutschland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T-Mobile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 Brasil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UPC 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Cellular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Verizon Communications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VimpelCom</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Virgin 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Vodafone Germany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Vodafone Netherlands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Vodafone Romania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Vodafone UK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XL Axiata</w:t>
      </w:r>
    </w:p>
    <w:p>
      <w:pPr>
        <w:spacing w:after="0" w:line="319" w:lineRule="exact"/>
        <w:rPr>
          <w:sz w:val="20"/>
          <w:szCs w:val="20"/>
          <w:color w:val="auto"/>
        </w:rPr>
      </w:pPr>
    </w:p>
    <w:p>
      <w:pPr>
        <w:sectPr>
          <w:pgSz w:w="11900" w:h="16838" w:orient="portrait"/>
          <w:cols w:equalWidth="0" w:num="2">
            <w:col w:w="5340" w:space="720"/>
            <w:col w:w="5360"/>
          </w:cols>
          <w:pgMar w:left="240" w:top="459" w:right="239" w:bottom="1440" w:gutter="0" w:footer="0" w:header="0"/>
          <w:type w:val="continuous"/>
        </w:sectPr>
      </w:pPr>
    </w:p>
    <w:p>
      <w:pPr>
        <w:ind w:right="40" w:firstLine="456"/>
        <w:spacing w:after="0" w:line="294" w:lineRule="auto"/>
        <w:rPr>
          <w:sz w:val="20"/>
          <w:szCs w:val="20"/>
          <w:color w:val="auto"/>
        </w:rPr>
      </w:pPr>
      <w:r>
        <w:rPr>
          <w:rFonts w:ascii="Arial" w:cs="Arial" w:eastAsia="Arial" w:hAnsi="Arial"/>
          <w:sz w:val="16"/>
          <w:szCs w:val="16"/>
          <w:color w:val="auto"/>
        </w:rPr>
        <w:t>Our business is dependent on a limited number of significant customers, of which AT&amp;T has historically been our largest. AT&amp;T accounted for 28% of our revenue in fiscal 2013 and 26% in fiscal 2012. In fiscal 2013, our two next largest customers were Sprint Nextel and Bell Canada and certain of their subsidiaries. Sprint Nextel accounted for less than 10% of our revenue in fiscal 2013 and for 10% in fiscal 2012. Bell Canada accounted for less than 10% of our revenue in each of fiscal 2013 and 2012. Aggregate revenue derived from the multiple business arrangements we have with the ten largest of our significant customers accounted for approximately 70% of our revenue in each of fiscal 2013 and 2012.</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revenue by geographic area. Revenue is attributed to geographic region based on the location of the customer:</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0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2013</w:t>
            </w:r>
          </w:p>
        </w:tc>
        <w:tc>
          <w:tcPr>
            <w:tcW w:w="5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2012</w:t>
            </w:r>
          </w:p>
        </w:tc>
        <w:tc>
          <w:tcPr>
            <w:tcW w:w="5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6"/>
              </w:rPr>
              <w:t>2011</w:t>
            </w:r>
          </w:p>
        </w:tc>
        <w:tc>
          <w:tcPr>
            <w:tcW w:w="200" w:type="dxa"/>
            <w:vAlign w:val="bottom"/>
            <w:tcBorders>
              <w:bottom w:val="single" w:sz="8" w:color="CCEEFF"/>
            </w:tcBorders>
          </w:tcPr>
          <w:p>
            <w:pPr>
              <w:spacing w:after="0"/>
              <w:rPr>
                <w:sz w:val="14"/>
                <w:szCs w:val="14"/>
                <w:color w:val="auto"/>
              </w:rPr>
            </w:pPr>
          </w:p>
        </w:tc>
      </w:tr>
      <w:tr>
        <w:trPr>
          <w:trHeight w:val="210"/>
        </w:trPr>
        <w:tc>
          <w:tcPr>
            <w:tcW w:w="8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North America</w:t>
            </w:r>
          </w:p>
        </w:tc>
        <w:tc>
          <w:tcPr>
            <w:tcW w:w="9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72.4%</w:t>
            </w: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69.8%</w:t>
            </w: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3"/>
              </w:rPr>
              <w:t>73.4%</w:t>
            </w: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Europe</w:t>
            </w:r>
          </w:p>
        </w:tc>
        <w:tc>
          <w:tcPr>
            <w:tcW w:w="360" w:type="dxa"/>
            <w:vAlign w:val="bottom"/>
          </w:tcPr>
          <w:p>
            <w:pPr>
              <w:ind w:left="60"/>
              <w:spacing w:after="0"/>
              <w:rPr>
                <w:sz w:val="20"/>
                <w:szCs w:val="20"/>
                <w:color w:val="auto"/>
              </w:rPr>
            </w:pPr>
            <w:r>
              <w:rPr>
                <w:rFonts w:ascii="Arial" w:cs="Arial" w:eastAsia="Arial" w:hAnsi="Arial"/>
                <w:sz w:val="18"/>
                <w:szCs w:val="18"/>
                <w:color w:val="auto"/>
                <w:w w:val="79"/>
              </w:rPr>
              <w:t>11.9</w:t>
            </w:r>
          </w:p>
        </w:tc>
        <w:tc>
          <w:tcPr>
            <w:tcW w:w="58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85"/>
              </w:rPr>
              <w:t>13.6</w:t>
            </w:r>
          </w:p>
        </w:tc>
        <w:tc>
          <w:tcPr>
            <w:tcW w:w="5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w w:val="79"/>
              </w:rPr>
              <w:t>12.7</w:t>
            </w:r>
          </w:p>
        </w:tc>
        <w:tc>
          <w:tcPr>
            <w:tcW w:w="200" w:type="dxa"/>
            <w:vAlign w:val="bottom"/>
          </w:tcPr>
          <w:p>
            <w:pPr>
              <w:spacing w:after="0"/>
              <w:rPr>
                <w:sz w:val="18"/>
                <w:szCs w:val="18"/>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Rest of the World</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15.7</w:t>
            </w: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16.6</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13.9</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Competition</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market for customer experience systems and services in the communications, media and entertainment industry continues to become more competitive. Amdocs’ competitive landscape is comprised of internal IT departments of large communication companies as well as independent competitors that can be categorized as follows:</w:t>
      </w:r>
    </w:p>
    <w:p>
      <w:pPr>
        <w:spacing w:after="0" w:line="59" w:lineRule="exact"/>
        <w:rPr>
          <w:sz w:val="20"/>
          <w:szCs w:val="20"/>
          <w:color w:val="auto"/>
        </w:rPr>
      </w:pPr>
    </w:p>
    <w:p>
      <w:pPr>
        <w:ind w:left="5620" w:right="4420" w:hanging="5166"/>
        <w:spacing w:after="0" w:line="440" w:lineRule="auto"/>
        <w:tabs>
          <w:tab w:leader="none" w:pos="664"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providers of BSS/OSS systems, including Comverse, CSG International, Oracle and SAP; 25</w:t>
      </w:r>
    </w:p>
    <w:p>
      <w:pPr>
        <w:sectPr>
          <w:pgSz w:w="11900" w:h="16838" w:orient="portrait"/>
          <w:cols w:equalWidth="0" w:num="1">
            <w:col w:w="11420"/>
          </w:cols>
          <w:pgMar w:left="240" w:top="459" w:right="2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520" w:hanging="206"/>
        <w:spacing w:after="0" w:line="332"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system integrators and providers of IT services, such as Accenture, Cognizant, Hewlett-Packard, IBM Global Services, Infosys, Tata Consultancy Services, Tech Mahindra Ltd and Wipro (some of whom we also cooperate with in certain opportunities and projects); and</w:t>
      </w:r>
    </w:p>
    <w:p>
      <w:pPr>
        <w:spacing w:after="0" w:line="4" w:lineRule="exact"/>
        <w:rPr>
          <w:rFonts w:ascii="Arial" w:cs="Arial" w:eastAsia="Arial" w:hAnsi="Arial"/>
          <w:sz w:val="16"/>
          <w:szCs w:val="16"/>
          <w:color w:val="auto"/>
        </w:rPr>
      </w:pPr>
    </w:p>
    <w:p>
      <w:pPr>
        <w:ind w:left="660" w:right="140" w:hanging="206"/>
        <w:spacing w:after="0" w:line="332"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network equipment providers such as Alcatel-Lucent, Ericsson, Huawei, Nokia Siemens, NEC and its subsidiary NetCracker, and ZTE (some of whom we also cooperate with in certain opportunities and projects and some of whom have also moved into the BSS/OSS space).</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the competition in our industry to increase from such companies.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are able to differentiate ourselves from these competitors by, among other things:</w:t>
      </w:r>
    </w:p>
    <w:p>
      <w:pPr>
        <w:spacing w:after="0" w:line="90" w:lineRule="exact"/>
        <w:rPr>
          <w:sz w:val="20"/>
          <w:szCs w:val="20"/>
          <w:color w:val="auto"/>
        </w:rPr>
      </w:pPr>
    </w:p>
    <w:p>
      <w:pPr>
        <w:ind w:left="660" w:right="120" w:hanging="206"/>
        <w:spacing w:after="0" w:line="25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applying our more than 30-year heritage to the development and delivery of products and professional services that enable our customers to overcome their challenges and achieve service differentiation by means of simplifying the customer experience, harnessing data, staying ahead of the competition and focusing on efficiencies,</w:t>
      </w:r>
    </w:p>
    <w:p>
      <w:pPr>
        <w:spacing w:after="0" w:line="59"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continuing to design and develop solutions targeted specifically to the communications, media and entertainment industry,</w:t>
      </w:r>
    </w:p>
    <w:p>
      <w:pPr>
        <w:spacing w:after="0" w:line="90" w:lineRule="exact"/>
        <w:rPr>
          <w:rFonts w:ascii="Arial" w:cs="Arial" w:eastAsia="Arial" w:hAnsi="Arial"/>
          <w:sz w:val="18"/>
          <w:szCs w:val="18"/>
          <w:color w:val="auto"/>
        </w:rPr>
      </w:pPr>
    </w:p>
    <w:p>
      <w:pPr>
        <w:ind w:left="660" w:right="300" w:hanging="206"/>
        <w:spacing w:after="0" w:line="268"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innovating and enabling our customers to adopt new business models that will improve their ability to drive new revenues, and compete and win in a changing market,</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providing high-quality, reliable, scalable, integrated, yet modular applications,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providing flexible and tailored IT and business process outsourcing solutions and delivery models,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offering customers end-to-end accountability from a single vendor.</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compete with a number of companies that have long operating histories, large customer bases, substantial financial, technical, sales, marketing and other resources, and strong name recognition. Some of these companies are continuing their attempts to expand their market penetration in the communications industry. Current and potential competitors have established, and may establish in the future, cooperative relationships among themselves or with third parties to increase their ability to address the needs of our existing or prospective customers. Accordingly, new competitors or alliances among competitors may emerge and rapidly acquire significant market share. There can be no assurance that we will be able to compete successfully with existing or new competitors. Our failure to adapt to changing market conditions and compete successfully with established or new competitors would have a material adverse effect on the results of our operations and financial condition.</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Employees</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invest significant resources in the training, retention and motivation of high quality personnel. Training programs cover areas such as technology, applications, development methodology, project methodology, programming standards, industry background, business, management development and leadership. Our management development efforts are reinforced by an organizational structure that provides opportunities for talented managers to gain experience in general management roles. We also invest considerable resources in personnel motivation, including providing various incentive plans for sales staff and high quality employees. Our future success depends in large part upon our continuing ability to attract and retain highly qualified managerial, technical, sales and marketing personnel and outstanding leaders.</w:t>
      </w:r>
    </w:p>
    <w:p>
      <w:pPr>
        <w:spacing w:after="0" w:line="63" w:lineRule="exact"/>
        <w:rPr>
          <w:sz w:val="20"/>
          <w:szCs w:val="20"/>
          <w:color w:val="auto"/>
        </w:rPr>
      </w:pPr>
    </w:p>
    <w:p>
      <w:pPr>
        <w:ind w:left="240" w:right="100" w:firstLine="228"/>
        <w:spacing w:after="0" w:line="391" w:lineRule="auto"/>
        <w:rPr>
          <w:sz w:val="20"/>
          <w:szCs w:val="20"/>
          <w:color w:val="auto"/>
        </w:rPr>
      </w:pPr>
      <w:r>
        <w:rPr>
          <w:rFonts w:ascii="Arial" w:cs="Arial" w:eastAsia="Arial" w:hAnsi="Arial"/>
          <w:sz w:val="18"/>
          <w:szCs w:val="18"/>
          <w:color w:val="auto"/>
        </w:rPr>
        <w:t xml:space="preserve">See “Directors, Senior Management and Employees — Workforce Personnel” for further details regarding our employees and our relationships with them. </w:t>
      </w:r>
      <w:r>
        <w:rPr>
          <w:rFonts w:ascii="Arial" w:cs="Arial" w:eastAsia="Arial" w:hAnsi="Arial"/>
          <w:sz w:val="18"/>
          <w:szCs w:val="18"/>
          <w:b w:val="1"/>
          <w:bCs w:val="1"/>
          <w:i w:val="1"/>
          <w:iCs w:val="1"/>
          <w:color w:val="auto"/>
        </w:rPr>
        <w:t>Research and Development, Patents and Licenses</w:t>
      </w:r>
    </w:p>
    <w:p>
      <w:pPr>
        <w:spacing w:after="0" w:line="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research and development activities involve the development of new software architecture, modules and product offerings in response to an identified market demand, either as part of our internal product development programs or in conjunction with a customer project. We also expend additional amounts on applied research and software development activities to keep abreast of new technologies in the communications markets and to provide new and enhanced functionality to our existing product offerings.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fiscal 2013, we released the Amdocs CES 9 portfolio which redefines the service provider’s operating environment by delivering real-time integration across BSS, OSS and network control and optimization domains, removing barriers to service and system convergence and enabling an integrated customer experience from the device to the network. Amdocs CES 9 aligns business processes around the end customer and enables service providers to rapidly launch and monetize innovative offers and personalize customer interactions with real-time insight, and permits customers to take control of their experiences across any channel, network, service or device. We dedicated significant efforts and resources to the integration among the components of the CES 9 portfolio, including deeper integration between our charging and billing, customer relationship management, ordering and foundation applications. Our portfolio of pre-integrated software products was built to span the entire customer lifecycle across BSS and OSS to align their business processes around the end customer. Our products are designed to allow modular expansion as a service provider evolves, ensuring rapid, low-cost, reduced-risk implementations. In addition, Amdocs focuses on offering business solutions that leverage functionality from across the CES portfolio combined with services and industry knowledge. These business solutions address larger business problems and provide greater value to our customers.</w:t>
      </w:r>
    </w:p>
    <w:p>
      <w:pPr>
        <w:spacing w:after="0" w:line="4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During fiscal 2013, we also devoted research and development resources to Amdocs next product portfolio releases which are aimed at addressing additional challenges and opportunities of the connected world by delivering enhanced functionality to enable our customers to implement more cost-effective and innovative solutions relating to network monetization and enhanced customer experience in the assisted and unassisted channels. For software development, Amdocs uses Agile, a software development methodology based on iterative and incremental development where requirements and solutions evolve through collaboration between self-organizing, cross-functional teams.</w:t>
      </w:r>
    </w:p>
    <w:p>
      <w:pPr>
        <w:spacing w:after="0" w:line="6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 substantial majority of our research and development expenditures is directed at our customer experience systems, and the remainder is directed at advertising and media directory systems offerings.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w:t>
      </w:r>
    </w:p>
    <w:p>
      <w:pPr>
        <w:spacing w:after="0" w:line="6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products are largely comprised of software and systems that we have developed or acquired and that we regard as proprietary. Our software and software systems are the results of long and complex development processes, and although our technology is not significantly dependent on patents or licenses from third parties, certain aspects of our products make use of readily available software components licensed from third parties. As a developer of complex software systems, third parties may claim that portions of our systems infringe their intellectual property rights. The ability to develop and use our software and software systems requires knowledge and professional experience that we believe is unique to us and would be very difficult for others to independently obtain. However, our competitors may independently develop technologies that are substantially equivalent or superior to ours. We have taken, and intend to continue to take, several measures to establish and protect our proprietary rights in our products and technologies from third-party infringement. We rely upon a combination of trademarks, patents, contractual rights, trade secret law, copyrights and nondisclosure agreements. We enter into non-disclosure and confidentiality agreements with our customers, employees and marketing representatives and with certain contractors with access to sensitive information; and we also limit customer access to the source code of our software and software systems.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Property, Plants and Equipment</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Facilities</w:t>
      </w:r>
    </w:p>
    <w:p>
      <w:pPr>
        <w:spacing w:after="0" w:line="90"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We lease land and buildings for our executive offices, sales, marketing, administrative, development and support centers. We lease an aggregate of approximately 3.0 million square feet worldwide, including significant leases in the United States, Israel, Canada, Cyprus, India and the United Kingdom. Our aggregate annual lease costs with respect to our properties as of October 31, 2013, including maintenance and other related costs, were approximately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$54 million. The following table summarizes information with respect to the principal facilities leased by us and our subsidiaries as of October 31, 2013:</w:t>
      </w:r>
    </w:p>
    <w:p>
      <w:pPr>
        <w:spacing w:after="0" w:line="9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Location</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Area</w:t>
            </w:r>
          </w:p>
        </w:tc>
        <w:tc>
          <w:tcPr>
            <w:tcW w:w="0" w:type="dxa"/>
            <w:vAlign w:val="bottom"/>
          </w:tcPr>
          <w:p>
            <w:pPr>
              <w:spacing w:after="0"/>
              <w:rPr>
                <w:sz w:val="1"/>
                <w:szCs w:val="1"/>
                <w:color w:val="auto"/>
              </w:rPr>
            </w:pPr>
          </w:p>
        </w:tc>
      </w:tr>
      <w:tr>
        <w:trPr>
          <w:trHeight w:val="148"/>
        </w:trPr>
        <w:tc>
          <w:tcPr>
            <w:tcW w:w="9540" w:type="dxa"/>
            <w:vAlign w:val="bottom"/>
            <w:gridSpan w:val="3"/>
            <w:vMerge w:val="continue"/>
          </w:tcPr>
          <w:p>
            <w:pPr>
              <w:spacing w:after="0"/>
              <w:rPr>
                <w:sz w:val="12"/>
                <w:szCs w:val="12"/>
                <w:color w:val="auto"/>
              </w:rPr>
            </w:pPr>
          </w:p>
        </w:tc>
        <w:tc>
          <w:tcPr>
            <w:tcW w:w="96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87"/>
              </w:rPr>
              <w:t>(Sq. Feet)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90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95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United States:</w:t>
            </w: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ind w:left="200"/>
              <w:spacing w:after="0"/>
              <w:rPr>
                <w:sz w:val="20"/>
                <w:szCs w:val="20"/>
                <w:color w:val="auto"/>
              </w:rPr>
            </w:pPr>
            <w:r>
              <w:rPr>
                <w:rFonts w:ascii="Arial" w:cs="Arial" w:eastAsia="Arial" w:hAnsi="Arial"/>
                <w:sz w:val="18"/>
                <w:szCs w:val="18"/>
                <w:color w:val="auto"/>
              </w:rPr>
              <w:t>St. Louis, MO</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81,238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San Jose, CA(*)</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ind w:left="200"/>
              <w:spacing w:after="0"/>
              <w:rPr>
                <w:sz w:val="20"/>
                <w:szCs w:val="20"/>
                <w:color w:val="auto"/>
              </w:rPr>
            </w:pPr>
            <w:r>
              <w:rPr>
                <w:rFonts w:ascii="Arial" w:cs="Arial" w:eastAsia="Arial" w:hAnsi="Arial"/>
                <w:sz w:val="18"/>
                <w:szCs w:val="18"/>
                <w:color w:val="auto"/>
              </w:rPr>
              <w:t>Champaign, IL</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174,223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Eldorado Hills, CA(*)</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113,290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20" w:type="dxa"/>
            <w:vAlign w:val="bottom"/>
            <w:gridSpan w:val="2"/>
          </w:tcPr>
          <w:p>
            <w:pPr>
              <w:ind w:left="200"/>
              <w:spacing w:after="0"/>
              <w:rPr>
                <w:sz w:val="20"/>
                <w:szCs w:val="20"/>
                <w:color w:val="auto"/>
              </w:rPr>
            </w:pPr>
            <w:r>
              <w:rPr>
                <w:rFonts w:ascii="Arial" w:cs="Arial" w:eastAsia="Arial" w:hAnsi="Arial"/>
                <w:sz w:val="18"/>
                <w:szCs w:val="18"/>
                <w:color w:val="auto"/>
              </w:rPr>
              <w:t>Others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211,459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Israel:</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Ra’anana</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ind w:left="200"/>
              <w:spacing w:after="0"/>
              <w:rPr>
                <w:sz w:val="20"/>
                <w:szCs w:val="20"/>
                <w:color w:val="auto"/>
              </w:rPr>
            </w:pPr>
            <w:r>
              <w:rPr>
                <w:rFonts w:ascii="Arial" w:cs="Arial" w:eastAsia="Arial" w:hAnsi="Arial"/>
                <w:sz w:val="18"/>
                <w:szCs w:val="18"/>
                <w:color w:val="auto"/>
              </w:rPr>
              <w:t>Sderot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73,900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Haifa</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20" w:type="dxa"/>
            <w:vAlign w:val="bottom"/>
            <w:gridSpan w:val="2"/>
          </w:tcPr>
          <w:p>
            <w:pPr>
              <w:ind w:left="200"/>
              <w:spacing w:after="0"/>
              <w:rPr>
                <w:sz w:val="20"/>
                <w:szCs w:val="20"/>
                <w:color w:val="auto"/>
              </w:rPr>
            </w:pPr>
            <w:r>
              <w:rPr>
                <w:rFonts w:ascii="Arial" w:cs="Arial" w:eastAsia="Arial" w:hAnsi="Arial"/>
                <w:sz w:val="18"/>
                <w:szCs w:val="18"/>
                <w:color w:val="auto"/>
              </w:rPr>
              <w:t>Others(*)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944,690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Canada:</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Toronto(*)</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ind w:left="200"/>
              <w:spacing w:after="0"/>
              <w:rPr>
                <w:sz w:val="20"/>
                <w:szCs w:val="20"/>
                <w:color w:val="auto"/>
              </w:rPr>
            </w:pPr>
            <w:r>
              <w:rPr>
                <w:rFonts w:ascii="Arial" w:cs="Arial" w:eastAsia="Arial" w:hAnsi="Arial"/>
                <w:sz w:val="18"/>
                <w:szCs w:val="18"/>
                <w:color w:val="auto"/>
              </w:rPr>
              <w:t>Montreal</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60,274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Ottawa</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52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127,118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Cyprus (Limassol)</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India:</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Pune</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ind w:left="200"/>
              <w:spacing w:after="0"/>
              <w:rPr>
                <w:sz w:val="20"/>
                <w:szCs w:val="20"/>
                <w:color w:val="auto"/>
              </w:rPr>
            </w:pPr>
            <w:r>
              <w:rPr>
                <w:rFonts w:ascii="Arial" w:cs="Arial" w:eastAsia="Arial" w:hAnsi="Arial"/>
                <w:sz w:val="18"/>
                <w:szCs w:val="18"/>
                <w:color w:val="auto"/>
              </w:rPr>
              <w:t>Delhi</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136,169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Mumbai</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52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761,110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94,417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Other locations (32 countries)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269,143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2,954,662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94361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01"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space sublet to third parties.</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Our leases expire on various dates from calendar years 2013 through 2028, not including various options to terminate or extend lease terms.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Equipment</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develop our customer experience systems over a system of UNIX, Linux and Windows servers owned or leased by us. We use a variety of software products in our development centers, including products by</w:t>
      </w:r>
    </w:p>
    <w:p>
      <w:pPr>
        <w:spacing w:after="0" w:line="11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40"/>
          </w:cols>
          <w:pgMar w:left="240" w:top="459" w:right="5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Microsoft, Oracle, Syncsort, RedHat, CA, IBM and Hewlett-Packard. Our data storage is based on equipment from EMC, SUN, NetApp, IBM, Hitachi and Hewlett-Packard. Our development servers are connected to more than 20,000 personal computers owned or leased by us.</w:t>
      </w:r>
    </w:p>
    <w:p>
      <w:pPr>
        <w:spacing w:after="0" w:line="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Automatic tape libraries and virtual tape libraries provide full and incremental backups of the data used in and generated by our business. The backup tapes are kept on-site and off-site, as appropriate, to ensure security and integrity, and are used as part of our disaster recovery plan. The distributed development sites that we operate worldwide are connected by a high-speed redundant wide area network, using telecommunication equipment manufactured by, among others, Cisco and Avaya.</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4A. </w:t>
      </w:r>
      <w:r>
        <w:rPr>
          <w:rFonts w:ascii="Arial" w:cs="Arial" w:eastAsia="Arial" w:hAnsi="Arial"/>
          <w:sz w:val="18"/>
          <w:szCs w:val="18"/>
          <w:b w:val="1"/>
          <w:bCs w:val="1"/>
          <w:i w:val="1"/>
          <w:i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OPERATING AND FINANCIAL REVIEW AND PROSPECTS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and Trend Information</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Amdocs is a leading provider of software and services for communications, media and entertainment industry service providers in developed countries and in emerging markets such as those in the Commonwealth of Independent States, India, Latin America and Southeast Asia. Regardless of whether providers are bringing their first offerings to market, scaling for growth, consolidating systems or transforming the way they do business, we believe that providers seek to differentiate their offerings by delivering a customer experience that is simple, personal and valuable at every point of service.</w:t>
      </w:r>
    </w:p>
    <w:p>
      <w:pPr>
        <w:spacing w:after="0" w:line="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develop, implement and manage software and services associated with BSS, OSS and network control and optimization offerings to enable service providers to introduce new products and services quickly, understand their customers more deeply, process orders more efficiently, monetize data and support new business models while controlling costs. We refer to these systems collectively as customer experience systems because of the crucial impact that these systems have on the service providers’ end-user experience.</w:t>
      </w:r>
    </w:p>
    <w:p>
      <w:pPr>
        <w:spacing w:after="0" w:line="6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a global communications industry impacted by unprecedented growth in data demand, increasing number of connected devices, improvement in M2M technologies, the rising influence of device makers and over-the-top players that bypass traditional service providers, consumers expect immediate and constant connectivity to personalized services, information and applications. To capture new revenue streams in this connected world, service providers will need the ability to expand within existing and non-traditional business models as they simultaneously attempt to reduce their costs in providing current and new services. We seek to address these market forces through a strategy of innovation from the network and business support systems to the device and end user. Our goal is to supply cost-effective, scalable software products and services that provide functionality and flexibility to service providers as they — and their markets — grow and change.</w:t>
      </w:r>
    </w:p>
    <w:p>
      <w:pPr>
        <w:spacing w:after="0" w:line="3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part, we have sought, through acquisitions, to expand our service offerings and customer base and to enhance our ability to provide managed services to our customers. In recent years, we have completed numerous acquisitions, which, among other things, have expanded our business into digital commerce solutions and the network control market. As part of our strategy, we may continue to pursue acquisitions and other initiatives in order to offer new products or services, or otherwise enhance our market position or strategic strengths.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Amdocs’ offerings of software and related services consist of:</w:t>
      </w:r>
    </w:p>
    <w:p>
      <w:pPr>
        <w:spacing w:after="0" w:line="90" w:lineRule="exact"/>
        <w:rPr>
          <w:sz w:val="20"/>
          <w:szCs w:val="20"/>
          <w:color w:val="auto"/>
        </w:rPr>
      </w:pPr>
    </w:p>
    <w:p>
      <w:pPr>
        <w:ind w:left="660" w:right="320" w:hanging="206"/>
        <w:spacing w:after="0" w:line="332"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 complete, modular yet integrated portfolio of customer experience systems, including revenue management customer management, OSS, network control and optimization, digital services and M2M solutions, all employing a unified foundation of products and tools;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line="255"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comprehensive line of services. Because our customers’ projects are complex and require systems support expertise, we provide business process and IT services, including business consulting, systems integration and transformation, testing, ITO and value process operation, managed services and product support to assist our customers with their business strategy, system implementation, integration, modification, consolidation, modernization, ongoing support, enhancement and maintenance needs. In addition, we offer comprehensive learning services to help our customers develop competency in their Amdocs systems and applications.</w:t>
      </w:r>
    </w:p>
    <w:p>
      <w:pPr>
        <w:spacing w:after="0" w:line="6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designed our customer experience systems to meet the high-volume, complex needs of Tier-1 and Tier-2 service providers and to address the unique issues of service providers in high growth emerging markets. We support our customers’ various lines of business, including wireline, wireless, cable and satellite, and a wide range of communication services, including voice, video, data, broadband, content, electronic and mobile commerce applications. In addition, we support companies that offer bundled or convergent service packages.</w:t>
      </w:r>
    </w:p>
    <w:p>
      <w:pPr>
        <w:spacing w:after="0" w:line="62"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We also offer advertising and media products and services for local marketing service providers to facilitate cost-effective digital media-centric operations from selling ads to the management of the fulfillment, operations, consumer experience and financial processes across digital and print media.</w:t>
      </w:r>
    </w:p>
    <w:p>
      <w:pPr>
        <w:spacing w:after="0" w:line="4"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We conduct our business globally, and as a result we are subject to the effects of global economic conditions and, in particular, market conditions in the communications, media and entertainment industry. In fiscal 2013, customers in North America accounted for 72.4% of our revenue, while customers in Europe and the rest of the world accounted for 11.9% and 15.7%, respectively. Customers in emerging markets accounted for 12.3% of our revenue in fiscal 2013. We maintain development facilities in Brazil, Canada, Cyprus, India, Ireland, Israel and the United States. Historically, AT&amp;T has been our largest customer, accounting for 28% of our revenue in fiscal 2013 and 26% in fiscal 2012. Aggregate revenue derived from the multiple business arrangements we have with our ten largest customers accounted for approximately 70% of our revenue in each of fiscal 2013 and 2012.</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demand for our customer experience systems is primarily driven by the following key factors:</w:t>
      </w:r>
    </w:p>
    <w:p>
      <w:pPr>
        <w:spacing w:after="0" w:line="90" w:lineRule="exact"/>
        <w:rPr>
          <w:sz w:val="20"/>
          <w:szCs w:val="20"/>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Transformation within the communication industry, including:</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increasing use of communications and content services,</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widespread access to content, information and applications,</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continued rapid growth in emerging markets,</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expansion into new lines of business,</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consolidation among service providers in established markets, often including companies with multi-national operations,</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increased competition, including from non-traditional players,</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continued bundling and blending of communications and entertainment, and</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continued commoditization and pricing pressure.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Technology advances, such as:</w:t>
      </w:r>
    </w:p>
    <w:p>
      <w:pPr>
        <w:spacing w:after="0" w:line="90" w:lineRule="exact"/>
        <w:rPr>
          <w:rFonts w:ascii="Arial" w:cs="Arial" w:eastAsia="Arial" w:hAnsi="Arial"/>
          <w:sz w:val="18"/>
          <w:szCs w:val="18"/>
          <w:color w:val="auto"/>
        </w:rPr>
      </w:pPr>
    </w:p>
    <w:p>
      <w:pPr>
        <w:ind w:left="900" w:right="460" w:hanging="217"/>
        <w:spacing w:after="0" w:line="332" w:lineRule="auto"/>
        <w:tabs>
          <w:tab w:leader="none" w:pos="9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emergence and development of new communications products and services, such as Web services, video, broadband, data and content services, including IP-based services, such as Internet Protocol (IP), Internet Protocol Television (IPTV), M2M, Wi-Fi and Voice over IP,</w:t>
      </w:r>
    </w:p>
    <w:p>
      <w:pPr>
        <w:spacing w:after="0" w:line="4" w:lineRule="exact"/>
        <w:rPr>
          <w:rFonts w:ascii="Arial" w:cs="Arial" w:eastAsia="Arial" w:hAnsi="Arial"/>
          <w:sz w:val="16"/>
          <w:szCs w:val="16"/>
          <w:color w:val="auto"/>
        </w:rPr>
      </w:pPr>
    </w:p>
    <w:p>
      <w:pPr>
        <w:ind w:left="900" w:right="220" w:hanging="217"/>
        <w:spacing w:after="0" w:line="259"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evolution to and expansion of more sophisticated and connected communication devices, such as smart devices, electronic book readers, energy meters and systems for global positioning, home security and home health monitoring, that enable communication across and between devices and widespread access to information,</w:t>
      </w:r>
    </w:p>
    <w:p>
      <w:pPr>
        <w:spacing w:after="0" w:line="59" w:lineRule="exact"/>
        <w:rPr>
          <w:rFonts w:ascii="Arial" w:cs="Arial" w:eastAsia="Arial" w:hAnsi="Arial"/>
          <w:sz w:val="18"/>
          <w:szCs w:val="18"/>
          <w:color w:val="auto"/>
        </w:rPr>
      </w:pPr>
    </w:p>
    <w:p>
      <w:pPr>
        <w:ind w:left="900" w:hanging="217"/>
        <w:spacing w:after="0"/>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evolution to next-generation networks that enable converged services offerings, such as fixed-mobile convergence,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40" w:hanging="217"/>
        <w:spacing w:after="0" w:line="268" w:lineRule="auto"/>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technological changes, such as the introduction of 4G wireless technology, next-generation content systems, fiber to the x (FTTx), Wi-Fi, IP Multimedia Subsystem (IMS) and LTE-based access technologies such as voice over LTE (VoLTE).</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Customer focus, such as:</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need for service providers to focus on their customers in order to build profitable customer relationships,</w:t>
      </w:r>
    </w:p>
    <w:p>
      <w:pPr>
        <w:spacing w:after="0" w:line="90" w:lineRule="exact"/>
        <w:rPr>
          <w:rFonts w:ascii="Arial" w:cs="Arial" w:eastAsia="Arial" w:hAnsi="Arial"/>
          <w:sz w:val="18"/>
          <w:szCs w:val="18"/>
          <w:color w:val="auto"/>
        </w:rPr>
      </w:pPr>
    </w:p>
    <w:p>
      <w:pPr>
        <w:ind w:left="900" w:right="340" w:hanging="217"/>
        <w:spacing w:after="0" w:line="268" w:lineRule="auto"/>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need for service providers to have a unified view of the customer and deliver a personalized experience across multiple services, devices and channels,</w:t>
      </w:r>
    </w:p>
    <w:p>
      <w:pPr>
        <w:spacing w:after="0" w:line="50" w:lineRule="exact"/>
        <w:rPr>
          <w:rFonts w:ascii="Arial" w:cs="Arial" w:eastAsia="Arial" w:hAnsi="Arial"/>
          <w:sz w:val="18"/>
          <w:szCs w:val="18"/>
          <w:color w:val="auto"/>
        </w:rPr>
      </w:pPr>
    </w:p>
    <w:p>
      <w:pPr>
        <w:ind w:left="900" w:right="300" w:hanging="217"/>
        <w:spacing w:after="0" w:line="268" w:lineRule="auto"/>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“authority shift” toward the consumer, with increased customer expectations for new, innovative services and applications that are personally relevant and that can be accessed anytime, anywhere and from any device,</w:t>
      </w:r>
    </w:p>
    <w:p>
      <w:pPr>
        <w:spacing w:after="0" w:line="50" w:lineRule="exact"/>
        <w:rPr>
          <w:rFonts w:ascii="Arial" w:cs="Arial" w:eastAsia="Arial" w:hAnsi="Arial"/>
          <w:sz w:val="18"/>
          <w:szCs w:val="18"/>
          <w:color w:val="auto"/>
        </w:rPr>
      </w:pPr>
    </w:p>
    <w:p>
      <w:pPr>
        <w:ind w:left="900" w:hanging="217"/>
        <w:spacing w:after="0" w:line="268" w:lineRule="auto"/>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ever-increasing expectation of customer service and support, including access to self-service options that are convenient, proactive and consistent across all channels, and</w:t>
      </w:r>
    </w:p>
    <w:p>
      <w:pPr>
        <w:spacing w:after="0" w:line="50" w:lineRule="exact"/>
        <w:rPr>
          <w:rFonts w:ascii="Arial" w:cs="Arial" w:eastAsia="Arial" w:hAnsi="Arial"/>
          <w:sz w:val="18"/>
          <w:szCs w:val="18"/>
          <w:color w:val="auto"/>
        </w:rPr>
      </w:pPr>
    </w:p>
    <w:p>
      <w:pPr>
        <w:ind w:left="900" w:hanging="217"/>
        <w:spacing w:after="0"/>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need for service providers to differentiate themselves by creating a unique and mutually-valuable customer experience.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need for operational efficiency, including:</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shift from in-house management to vendor solutions,</w:t>
      </w:r>
    </w:p>
    <w:p>
      <w:pPr>
        <w:spacing w:after="0" w:line="90" w:lineRule="exact"/>
        <w:rPr>
          <w:rFonts w:ascii="Arial" w:cs="Arial" w:eastAsia="Arial" w:hAnsi="Arial"/>
          <w:sz w:val="18"/>
          <w:szCs w:val="18"/>
          <w:color w:val="auto"/>
        </w:rPr>
      </w:pPr>
    </w:p>
    <w:p>
      <w:pPr>
        <w:ind w:left="900" w:right="140" w:hanging="217"/>
        <w:spacing w:after="0" w:line="268" w:lineRule="auto"/>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business needs of service providers to reduce costs and lower total cost of ownership of software systems while retaining high-value customers in a highly competitive environment,</w:t>
      </w:r>
    </w:p>
    <w:p>
      <w:pPr>
        <w:spacing w:after="0" w:line="50" w:lineRule="exact"/>
        <w:rPr>
          <w:rFonts w:ascii="Arial" w:cs="Arial" w:eastAsia="Arial" w:hAnsi="Arial"/>
          <w:sz w:val="18"/>
          <w:szCs w:val="18"/>
          <w:color w:val="auto"/>
        </w:rPr>
      </w:pPr>
    </w:p>
    <w:p>
      <w:pPr>
        <w:ind w:left="900" w:right="200" w:hanging="217"/>
        <w:spacing w:after="0" w:line="268" w:lineRule="auto"/>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automating and integrating business processes that span service providers’ BSS, OSS and network control and optimization platforms and create a simple, one-company face to customers,</w:t>
      </w:r>
    </w:p>
    <w:p>
      <w:pPr>
        <w:spacing w:after="0" w:line="50" w:lineRule="exact"/>
        <w:rPr>
          <w:rFonts w:ascii="Arial" w:cs="Arial" w:eastAsia="Arial" w:hAnsi="Arial"/>
          <w:sz w:val="18"/>
          <w:szCs w:val="18"/>
          <w:color w:val="auto"/>
        </w:rPr>
      </w:pPr>
    </w:p>
    <w:p>
      <w:pPr>
        <w:ind w:left="900" w:hanging="217"/>
        <w:spacing w:after="0"/>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implementing and integrating new next-generation networks (and retiring legacy networks) to deploy new technologies, and</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transforming fragmented legacy OSS systems to introduce new services in a timely and cost-effective manner.</w:t>
      </w:r>
    </w:p>
    <w:p>
      <w:pPr>
        <w:spacing w:after="0" w:line="9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In fiscal 2013, our total revenue was $3.35 billion, of which $3.19 billion, or 95.2%, was attributable to the sale of customer experience systems. Revenue from managed services arrangements (for customer experience systems and advertising and media directory systems) is included in both license and service revenue. Revenue generated in connection with managed services arrangements is a significant part of our business generating substantial, long-term recurring revenue streams and cash flow. Revenue from managed services arrangements accounted for approximately $1.70 billion and $1.68 billion of revenue in fiscal 2013 and 2012, respectively. In managed services contracts revenue from the operation of a customer’s system is recognized as services are performed based on time elapsed, output produced or volume of data processed. In the initial period of our managed services projects, we often invest in modernization and consolidation of the customer’s systems. Managed services engagements can be less profitable in their early stages; however, margins tend to improve over time, more rapidly in the initial period of an engagement, as we derive benefit from the operational efficiencies and from changes in the geographical mix of our resources.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Patents and Licenses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research and development activities involve the development of new software architecture, modules and product offerings in response to an identified market demand, either as part of our internal product development programs or in conjunction with a customer project. We also expend additional amounts on applied research and software development activities to keep abreast of new technologies in the communications markets and to provide new and enhanced functionality to our existing product offerings.</w:t>
      </w:r>
    </w:p>
    <w:p>
      <w:pPr>
        <w:spacing w:after="0" w:line="6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fiscal 2013, we released the Amdocs CES 9 portfolio which redefines the service provider’s operating environment by delivering real-time integration across BSS, OSS and network control domains, removing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barriers to service and system convergence and enabling an integrated customer experience from the device to the network. Amdocs CES 9 aligns business processes around the end customer and enables service providers to rapidly launch and monetize innovative offers and personalize customer interactions with real-time insight, and permits customers to take control of their experiences across any channel, network, service or device. We dedicated significant efforts and resources to the integration among the components of the CES 9 portfolio, including deeper integration between our charging and billing, customer relationship management, ordering and foundation applications. Our portfolio of pre-integrated software products was built to span the entire customer lifecycle across BSS and OSS to align their business processes around the end customer. Our products are designed to allow modular expansion as a service provider evolves, ensuring rapid, low-cost, reduced-risk implementations. In addition, Amdocs focuses on offering business solutions that leverage functionality from across the CES portfolio combined with services and industry knowledge. These business solutions address larger business problems and provide greater value to our customers.</w:t>
      </w:r>
    </w:p>
    <w:p>
      <w:pPr>
        <w:spacing w:after="0" w:line="2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During fiscal 2013, we also devoted research and development resources to Amdocs next product portfolio release which are aimed at addressing additional challenges and opportunities of the connected world by delivering enhanced functionality to enable our customers to implement more cost-effective and innovative solutions relating to network monetization and enhanced customer experience in the assisted and unassisted channels. For software development, Amdocs uses Agile, a software development methodology based on iterative and incremental development where requirements and solutions evolve through collaboration between self-organizing, cross-functional teams.</w:t>
      </w:r>
    </w:p>
    <w:p>
      <w:pPr>
        <w:spacing w:after="0" w:line="6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 substantial majority of our research and development expenditures is directed at our customer experience systems, and the remainder is directed at advertising and media directory systems offerings.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following table sets forth for the fiscal years ended September 30, 2013, 2012 and 2011, certain items in our consolidated statements of income reflected as a percentage of total revenue:</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2"/>
              </w:rPr>
              <w:t>Year Ended September 30,</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Borders>
              <w:bottom w:val="single" w:sz="8" w:color="CCEEFF"/>
            </w:tcBorders>
          </w:tcPr>
          <w:p>
            <w:pPr>
              <w:spacing w:after="0"/>
              <w:rPr>
                <w:sz w:val="12"/>
                <w:szCs w:val="12"/>
                <w:color w:val="auto"/>
              </w:rPr>
            </w:pPr>
          </w:p>
        </w:tc>
        <w:tc>
          <w:tcPr>
            <w:tcW w:w="30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2013</w:t>
            </w:r>
          </w:p>
        </w:tc>
        <w:tc>
          <w:tcPr>
            <w:tcW w:w="66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2012</w:t>
            </w:r>
          </w:p>
        </w:tc>
        <w:tc>
          <w:tcPr>
            <w:tcW w:w="66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30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License</w:t>
            </w:r>
          </w:p>
        </w:tc>
        <w:tc>
          <w:tcPr>
            <w:tcW w:w="4140" w:type="dxa"/>
            <w:vAlign w:val="bottom"/>
            <w:gridSpan w:val="3"/>
          </w:tcPr>
          <w:p>
            <w:pPr>
              <w:jc w:val="right"/>
              <w:ind w:right="452"/>
              <w:spacing w:after="0"/>
              <w:rPr>
                <w:sz w:val="20"/>
                <w:szCs w:val="20"/>
                <w:color w:val="auto"/>
              </w:rPr>
            </w:pPr>
            <w:r>
              <w:rPr>
                <w:rFonts w:ascii="Arial" w:cs="Arial" w:eastAsia="Arial" w:hAnsi="Arial"/>
                <w:sz w:val="18"/>
                <w:szCs w:val="18"/>
                <w:color w:val="auto"/>
              </w:rPr>
              <w:t>2.4%</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3.7%</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w:t>
            </w:r>
          </w:p>
        </w:tc>
        <w:tc>
          <w:tcPr>
            <w:tcW w:w="30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6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6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4140" w:type="dxa"/>
            <w:vAlign w:val="bottom"/>
            <w:gridSpan w:val="3"/>
          </w:tcPr>
          <w:p>
            <w:pPr>
              <w:jc w:val="right"/>
              <w:ind w:right="592"/>
              <w:spacing w:after="0"/>
              <w:rPr>
                <w:sz w:val="20"/>
                <w:szCs w:val="20"/>
                <w:color w:val="auto"/>
              </w:rPr>
            </w:pPr>
            <w:r>
              <w:rPr>
                <w:rFonts w:ascii="Arial" w:cs="Arial" w:eastAsia="Arial" w:hAnsi="Arial"/>
                <w:sz w:val="18"/>
                <w:szCs w:val="18"/>
                <w:color w:val="auto"/>
              </w:rPr>
              <w:t>100.0</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100.0</w:t>
            </w:r>
          </w:p>
        </w:tc>
        <w:tc>
          <w:tcPr>
            <w:tcW w:w="6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100.0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0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4140" w:type="dxa"/>
            <w:vAlign w:val="bottom"/>
            <w:gridSpan w:val="3"/>
          </w:tcPr>
          <w:p>
            <w:pPr>
              <w:jc w:val="right"/>
              <w:ind w:right="592"/>
              <w:spacing w:after="0"/>
              <w:rPr>
                <w:sz w:val="20"/>
                <w:szCs w:val="20"/>
                <w:color w:val="auto"/>
              </w:rPr>
            </w:pPr>
            <w:r>
              <w:rPr>
                <w:rFonts w:ascii="Arial" w:cs="Arial" w:eastAsia="Arial" w:hAnsi="Arial"/>
                <w:sz w:val="18"/>
                <w:szCs w:val="18"/>
                <w:color w:val="auto"/>
              </w:rPr>
              <w:t>0.1</w:t>
            </w:r>
          </w:p>
        </w:tc>
        <w:tc>
          <w:tcPr>
            <w:tcW w:w="460" w:type="dxa"/>
            <w:vAlign w:val="bottom"/>
          </w:tcPr>
          <w:p>
            <w:pPr>
              <w:jc w:val="right"/>
              <w:spacing w:after="0"/>
              <w:rPr>
                <w:sz w:val="20"/>
                <w:szCs w:val="20"/>
                <w:color w:val="auto"/>
              </w:rPr>
            </w:pPr>
            <w:r>
              <w:rPr>
                <w:rFonts w:ascii="Arial" w:cs="Arial" w:eastAsia="Arial" w:hAnsi="Arial"/>
                <w:sz w:val="18"/>
                <w:szCs w:val="18"/>
                <w:color w:val="auto"/>
              </w:rPr>
              <w:t>0.1</w:t>
            </w:r>
          </w:p>
        </w:tc>
        <w:tc>
          <w:tcPr>
            <w:tcW w:w="6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4140" w:type="dxa"/>
            <w:vAlign w:val="bottom"/>
            <w:gridSpan w:val="3"/>
            <w:shd w:val="clear" w:color="auto" w:fill="CCEEFF"/>
          </w:tcPr>
          <w:p>
            <w:pPr>
              <w:jc w:val="right"/>
              <w:ind w:right="592"/>
              <w:spacing w:after="0"/>
              <w:rPr>
                <w:sz w:val="20"/>
                <w:szCs w:val="20"/>
                <w:color w:val="auto"/>
              </w:rPr>
            </w:pPr>
            <w:r>
              <w:rPr>
                <w:rFonts w:ascii="Arial" w:cs="Arial" w:eastAsia="Arial" w:hAnsi="Arial"/>
                <w:sz w:val="18"/>
                <w:szCs w:val="18"/>
                <w:color w:val="auto"/>
              </w:rPr>
              <w:t>64.7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4140" w:type="dxa"/>
            <w:vAlign w:val="bottom"/>
            <w:gridSpan w:val="3"/>
          </w:tcPr>
          <w:p>
            <w:pPr>
              <w:jc w:val="right"/>
              <w:ind w:right="592"/>
              <w:spacing w:after="0"/>
              <w:rPr>
                <w:sz w:val="20"/>
                <w:szCs w:val="20"/>
                <w:color w:val="auto"/>
              </w:rPr>
            </w:pPr>
            <w:r>
              <w:rPr>
                <w:rFonts w:ascii="Arial" w:cs="Arial" w:eastAsia="Arial" w:hAnsi="Arial"/>
                <w:sz w:val="18"/>
                <w:szCs w:val="18"/>
                <w:color w:val="auto"/>
              </w:rPr>
              <w:t>7.2</w:t>
            </w:r>
          </w:p>
        </w:tc>
        <w:tc>
          <w:tcPr>
            <w:tcW w:w="460" w:type="dxa"/>
            <w:vAlign w:val="bottom"/>
          </w:tcPr>
          <w:p>
            <w:pPr>
              <w:jc w:val="right"/>
              <w:spacing w:after="0"/>
              <w:rPr>
                <w:sz w:val="20"/>
                <w:szCs w:val="20"/>
                <w:color w:val="auto"/>
              </w:rPr>
            </w:pPr>
            <w:r>
              <w:rPr>
                <w:rFonts w:ascii="Arial" w:cs="Arial" w:eastAsia="Arial" w:hAnsi="Arial"/>
                <w:sz w:val="18"/>
                <w:szCs w:val="18"/>
                <w:color w:val="auto"/>
              </w:rPr>
              <w:t>7.5</w:t>
            </w:r>
          </w:p>
        </w:tc>
        <w:tc>
          <w:tcPr>
            <w:tcW w:w="6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4140" w:type="dxa"/>
            <w:vAlign w:val="bottom"/>
            <w:gridSpan w:val="3"/>
            <w:shd w:val="clear" w:color="auto" w:fill="CCEEFF"/>
          </w:tcPr>
          <w:p>
            <w:pPr>
              <w:jc w:val="right"/>
              <w:ind w:right="592"/>
              <w:spacing w:after="0"/>
              <w:rPr>
                <w:sz w:val="20"/>
                <w:szCs w:val="20"/>
                <w:color w:val="auto"/>
              </w:rPr>
            </w:pPr>
            <w:r>
              <w:rPr>
                <w:rFonts w:ascii="Arial" w:cs="Arial" w:eastAsia="Arial" w:hAnsi="Arial"/>
                <w:sz w:val="18"/>
                <w:szCs w:val="18"/>
                <w:color w:val="auto"/>
              </w:rPr>
              <w:t>12.5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Amortization of purchased intangible assets and other</w:t>
            </w:r>
          </w:p>
        </w:tc>
        <w:tc>
          <w:tcPr>
            <w:tcW w:w="302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6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6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6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6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5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4140" w:type="dxa"/>
            <w:vAlign w:val="bottom"/>
            <w:gridSpan w:val="3"/>
          </w:tcPr>
          <w:p>
            <w:pPr>
              <w:jc w:val="right"/>
              <w:ind w:right="592"/>
              <w:spacing w:after="0"/>
              <w:rPr>
                <w:sz w:val="20"/>
                <w:szCs w:val="20"/>
                <w:color w:val="auto"/>
              </w:rPr>
            </w:pPr>
            <w:r>
              <w:rPr>
                <w:rFonts w:ascii="Arial" w:cs="Arial" w:eastAsia="Arial" w:hAnsi="Arial"/>
                <w:sz w:val="18"/>
                <w:szCs w:val="18"/>
                <w:color w:val="auto"/>
              </w:rPr>
              <w:t>14.4</w:t>
            </w:r>
          </w:p>
        </w:tc>
        <w:tc>
          <w:tcPr>
            <w:tcW w:w="460" w:type="dxa"/>
            <w:vAlign w:val="bottom"/>
          </w:tcPr>
          <w:p>
            <w:pPr>
              <w:jc w:val="right"/>
              <w:spacing w:after="0"/>
              <w:rPr>
                <w:sz w:val="20"/>
                <w:szCs w:val="20"/>
                <w:color w:val="auto"/>
              </w:rPr>
            </w:pPr>
            <w:r>
              <w:rPr>
                <w:rFonts w:ascii="Arial" w:cs="Arial" w:eastAsia="Arial" w:hAnsi="Arial"/>
                <w:sz w:val="18"/>
                <w:szCs w:val="18"/>
                <w:color w:val="auto"/>
              </w:rPr>
              <w:t>13.6</w:t>
            </w:r>
          </w:p>
        </w:tc>
        <w:tc>
          <w:tcPr>
            <w:tcW w:w="6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30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6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5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4140" w:type="dxa"/>
            <w:vAlign w:val="bottom"/>
            <w:gridSpan w:val="3"/>
          </w:tcPr>
          <w:p>
            <w:pPr>
              <w:jc w:val="right"/>
              <w:ind w:right="592"/>
              <w:spacing w:after="0"/>
              <w:rPr>
                <w:sz w:val="20"/>
                <w:szCs w:val="20"/>
                <w:color w:val="auto"/>
              </w:rPr>
            </w:pPr>
            <w:r>
              <w:rPr>
                <w:rFonts w:ascii="Arial" w:cs="Arial" w:eastAsia="Arial" w:hAnsi="Arial"/>
                <w:sz w:val="18"/>
                <w:szCs w:val="18"/>
                <w:color w:val="auto"/>
              </w:rPr>
              <w:t>14.2</w:t>
            </w:r>
          </w:p>
        </w:tc>
        <w:tc>
          <w:tcPr>
            <w:tcW w:w="460" w:type="dxa"/>
            <w:vAlign w:val="bottom"/>
          </w:tcPr>
          <w:p>
            <w:pPr>
              <w:jc w:val="right"/>
              <w:spacing w:after="0"/>
              <w:rPr>
                <w:sz w:val="20"/>
                <w:szCs w:val="20"/>
                <w:color w:val="auto"/>
              </w:rPr>
            </w:pPr>
            <w:r>
              <w:rPr>
                <w:rFonts w:ascii="Arial" w:cs="Arial" w:eastAsia="Arial" w:hAnsi="Arial"/>
                <w:sz w:val="18"/>
                <w:szCs w:val="18"/>
                <w:color w:val="auto"/>
              </w:rPr>
              <w:t>13.6</w:t>
            </w:r>
          </w:p>
        </w:tc>
        <w:tc>
          <w:tcPr>
            <w:tcW w:w="6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30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5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140" w:type="dxa"/>
            <w:vAlign w:val="bottom"/>
            <w:gridSpan w:val="3"/>
          </w:tcPr>
          <w:p>
            <w:pPr>
              <w:jc w:val="right"/>
              <w:ind w:right="452"/>
              <w:spacing w:after="0"/>
              <w:rPr>
                <w:sz w:val="20"/>
                <w:szCs w:val="20"/>
                <w:color w:val="auto"/>
              </w:rPr>
            </w:pPr>
            <w:r>
              <w:rPr>
                <w:rFonts w:ascii="Arial" w:cs="Arial" w:eastAsia="Arial" w:hAnsi="Arial"/>
                <w:sz w:val="18"/>
                <w:szCs w:val="18"/>
                <w:color w:val="auto"/>
              </w:rPr>
              <w:t>12.3%</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12.1%</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020" w:type="dxa"/>
            <w:vAlign w:val="bottom"/>
            <w:vMerge w:val="restart"/>
          </w:tcPr>
          <w:p>
            <w:pPr>
              <w:jc w:val="right"/>
              <w:ind w:right="2172"/>
              <w:spacing w:after="0"/>
              <w:rPr>
                <w:sz w:val="20"/>
                <w:szCs w:val="20"/>
                <w:color w:val="auto"/>
              </w:rPr>
            </w:pPr>
            <w:r>
              <w:rPr>
                <w:rFonts w:ascii="Arial" w:cs="Arial" w:eastAsia="Arial" w:hAnsi="Arial"/>
                <w:sz w:val="18"/>
                <w:szCs w:val="18"/>
                <w:color w:val="auto"/>
              </w:rPr>
              <w:t>32</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Fiscal Years Ended September 30, 2013 and 2012</w:t>
      </w:r>
    </w:p>
    <w:p>
      <w:pPr>
        <w:spacing w:after="0" w:line="90"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The following is a tabular presentation of our results of operations for the fiscal year ended September 30, 2013, compared to the fiscal year ended September 30, 2012. Following the table is a discussion and analysis of our business and results of operations for these fiscal years.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4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w w:val="97"/>
              </w:rPr>
              <w:t>Year Ended September 30,</w:t>
            </w:r>
          </w:p>
        </w:tc>
        <w:tc>
          <w:tcPr>
            <w:tcW w:w="100" w:type="dxa"/>
            <w:vAlign w:val="bottom"/>
          </w:tcPr>
          <w:p>
            <w:pPr>
              <w:spacing w:after="0"/>
              <w:rPr>
                <w:sz w:val="14"/>
                <w:szCs w:val="14"/>
                <w:color w:val="auto"/>
              </w:rPr>
            </w:pPr>
          </w:p>
        </w:tc>
        <w:tc>
          <w:tcPr>
            <w:tcW w:w="18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w w:val="95"/>
              </w:rPr>
              <w:t>Increase (Decrease)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2013</w:t>
            </w:r>
          </w:p>
        </w:tc>
        <w:tc>
          <w:tcPr>
            <w:tcW w:w="5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83"/>
              </w:rPr>
              <w:t>Amount</w:t>
            </w:r>
          </w:p>
        </w:tc>
        <w:tc>
          <w:tcPr>
            <w:tcW w:w="66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License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81,613</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120,443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(38,830)</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3,264,241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4"/>
              </w:rPr>
              <w:t>3,126,460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137,781</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3,345,854</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w w:val="84"/>
              </w:rPr>
              <w:t>3,246,903</w:t>
            </w:r>
          </w:p>
        </w:tc>
        <w:tc>
          <w:tcPr>
            <w:tcW w:w="10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98,951</w:t>
            </w:r>
          </w:p>
        </w:tc>
        <w:tc>
          <w:tcPr>
            <w:tcW w:w="9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2,602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3,523</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(921)</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2,164,450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4"/>
              </w:rPr>
              <w:t>2,081,945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82,505</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240,266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242,063</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(1,797)</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418,574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424,671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(6,097)</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Amortization of purchased intangible assets and other</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38,410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52,229</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(13,819)</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2,864,302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4"/>
              </w:rPr>
              <w:t>2,804,431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59,871</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line="20" w:lineRule="exact"/>
              <w:rPr>
                <w:sz w:val="1"/>
                <w:szCs w:val="1"/>
                <w:color w:val="auto"/>
              </w:rPr>
            </w:pPr>
          </w:p>
        </w:tc>
      </w:tr>
      <w:tr>
        <w:trPr>
          <w:trHeight w:val="221"/>
        </w:trPr>
        <w:tc>
          <w:tcPr>
            <w:tcW w:w="69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481,552</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442,472</w:t>
            </w: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39,080</w:t>
            </w:r>
          </w:p>
        </w:tc>
        <w:tc>
          <w:tcPr>
            <w:tcW w:w="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948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5,127</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540.8</w:t>
            </w: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line="20" w:lineRule="exact"/>
              <w:rPr>
                <w:sz w:val="1"/>
                <w:szCs w:val="1"/>
                <w:color w:val="auto"/>
              </w:rPr>
            </w:pPr>
          </w:p>
        </w:tc>
      </w:tr>
      <w:tr>
        <w:trPr>
          <w:trHeight w:val="221"/>
        </w:trPr>
        <w:tc>
          <w:tcPr>
            <w:tcW w:w="69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475,477</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441,524</w:t>
            </w: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33,953</w:t>
            </w:r>
          </w:p>
        </w:tc>
        <w:tc>
          <w:tcPr>
            <w:tcW w:w="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63,038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50,153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12,885</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line="20" w:lineRule="exact"/>
              <w:rPr>
                <w:sz w:val="1"/>
                <w:szCs w:val="1"/>
                <w:color w:val="auto"/>
              </w:rPr>
            </w:pPr>
          </w:p>
        </w:tc>
      </w:tr>
      <w:tr>
        <w:trPr>
          <w:trHeight w:val="222"/>
        </w:trPr>
        <w:tc>
          <w:tcPr>
            <w:tcW w:w="690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412,439</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391,371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21,068</w:t>
            </w:r>
          </w:p>
        </w:tc>
        <w:tc>
          <w:tcPr>
            <w:tcW w:w="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i w:val="1"/>
          <w:iCs w:val="1"/>
          <w:color w:val="auto"/>
        </w:rPr>
        <w:t xml:space="preserve">Revenue. </w:t>
      </w:r>
      <w:r>
        <w:rPr>
          <w:rFonts w:ascii="Arial" w:cs="Arial" w:eastAsia="Arial" w:hAnsi="Arial"/>
          <w:sz w:val="15"/>
          <w:szCs w:val="15"/>
          <w:color w:val="auto"/>
        </w:rPr>
        <w:t>Total revenue increased by $99.0 million, or 3.0%, to $3,345.9 million in fiscal 2013, from $3,246.9 million in fiscal 2012. The increase in</w:t>
      </w:r>
      <w:r>
        <w:rPr>
          <w:rFonts w:ascii="Arial" w:cs="Arial" w:eastAsia="Arial" w:hAnsi="Arial"/>
          <w:sz w:val="15"/>
          <w:szCs w:val="15"/>
          <w:i w:val="1"/>
          <w:iCs w:val="1"/>
          <w:color w:val="auto"/>
        </w:rPr>
        <w:t xml:space="preserve"> </w:t>
      </w:r>
      <w:r>
        <w:rPr>
          <w:rFonts w:ascii="Arial" w:cs="Arial" w:eastAsia="Arial" w:hAnsi="Arial"/>
          <w:sz w:val="15"/>
          <w:szCs w:val="15"/>
          <w:color w:val="auto"/>
        </w:rPr>
        <w:t>revenue was primarily attributable to our increased activity in North America, including for AT&amp;T, partially offset by a decrease in revenue from customers in Europe and in the rest of the world. The 3.0% increase in total revenue was net of a decrease of approximately half a percent from foreign exchange fluctuations.</w:t>
      </w:r>
    </w:p>
    <w:p>
      <w:pPr>
        <w:spacing w:after="0" w:line="7"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License revenue in fiscal 2013 decreased by $38.8 million, or 32.2%, to $81.6 million, from $120.4 million in fiscal 2012. The decrease in license revenue was primarily attributable to the progress of certain transformation and implementation projects, which may fluctuate from period to period.</w:t>
      </w:r>
    </w:p>
    <w:p>
      <w:pPr>
        <w:spacing w:after="0" w:line="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Total revenue attributable to the sale of customer experience systems increased by $119.4 million, or 3.9%, to $3,185.6 million in fiscal 2013, from $3,066.2 million in fiscal 2012. The increase was primarily attributable to our increased activity in North America, including for AT&amp;T, partially offset by a decrease in revenue from customers in Europe. License and service revenue resulting from the sale of customer experience systems represented 95.2% and 94.4% of our total revenue in fiscal 2013 and 2012, respectively.</w:t>
      </w:r>
    </w:p>
    <w:p>
      <w:pPr>
        <w:spacing w:after="0" w:line="6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Total revenue attributable to the sale of directory systems decreased by $20.5 million, or 11.3%, to $160.2 million in fiscal 2013, from $180.7 million in fiscal 2012. The decrease was primarily attributable to continued slowness in the directory systems market leading to lower revenue from discretionary spending under managed services arrangements for directory systems. License and service revenue from the sale of directory systems represented 4.8% and 5.6% of our total revenue in fiscal 2013 and 2012, respectively.</w:t>
      </w:r>
    </w:p>
    <w:p>
      <w:pPr>
        <w:spacing w:after="0" w:line="6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fiscal 2013, revenue from customers in North America, Europe and the rest of the world accounted for 72.4%, 11.9% and 15.7%, respectively, of total revenue, compared to 69.8%, 13.6% and 16.6%, respectively, for fiscal 2012. Revenue from North American customers increased as a percentage of total revenue during fiscal 2013, primarily due to higher revenue from AT&amp;T and other key customers in North America. The decrease in revenue as a percentage of total revenue from customers in Europe was primarily attributable to lower revenue related to the ramp down of certain transformation and implementation projects which was not offset by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sufficient revenue from new deals. The decrease in revenue as a percentage of total revenue from customers in the rest of the world was primarily attributable to our reduced activity in developed markets in those regions, partially offset by our increased activity in emerging markets.</w:t>
      </w:r>
    </w:p>
    <w:p>
      <w:pPr>
        <w:spacing w:after="0" w:line="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Cost of License and Service. </w:t>
      </w:r>
      <w:r>
        <w:rPr>
          <w:rFonts w:ascii="Arial" w:cs="Arial" w:eastAsia="Arial" w:hAnsi="Arial"/>
          <w:sz w:val="16"/>
          <w:szCs w:val="16"/>
          <w:color w:val="auto"/>
        </w:rPr>
        <w:t>Cost of license includes fees and royalty payments to software suppliers. Cost of service consists primarily of costs associated</w:t>
      </w:r>
      <w:r>
        <w:rPr>
          <w:rFonts w:ascii="Arial" w:cs="Arial" w:eastAsia="Arial" w:hAnsi="Arial"/>
          <w:sz w:val="16"/>
          <w:szCs w:val="16"/>
          <w:i w:val="1"/>
          <w:iCs w:val="1"/>
          <w:color w:val="auto"/>
        </w:rPr>
        <w:t xml:space="preserve"> </w:t>
      </w:r>
      <w:r>
        <w:rPr>
          <w:rFonts w:ascii="Arial" w:cs="Arial" w:eastAsia="Arial" w:hAnsi="Arial"/>
          <w:sz w:val="16"/>
          <w:szCs w:val="16"/>
          <w:color w:val="auto"/>
        </w:rPr>
        <w:t>with providing services to customers, including compensation expense and costs of third-party products. Cost of license and service increased by $81.6 million, or 3.9%, to $2,167.1 million in fiscal 2013, from $2,085.5 million in fiscal 2012. As a percentage of revenue, cost of license and service increased to 64.8% in fiscal 2013 from 64.2% in fiscal 2012. The decrease in our gross margin was primarily attributable to our activities in Asia Pacific and Central and Latin America, where we increased our level of investment to further penetrate into these regions.</w:t>
      </w:r>
    </w:p>
    <w:p>
      <w:pPr>
        <w:spacing w:after="0" w:line="35" w:lineRule="exact"/>
        <w:rPr>
          <w:sz w:val="20"/>
          <w:szCs w:val="20"/>
          <w:color w:val="auto"/>
        </w:rPr>
      </w:pPr>
    </w:p>
    <w:p>
      <w:pPr>
        <w:ind w:right="300" w:firstLine="456"/>
        <w:spacing w:after="0" w:line="291"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Research and development expense is primarily comprised of compensation expense. Research and development expense</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decreased by $1.8 million, or 0.7%, to $240.3 million in fiscal 2013, from $242.1 million in fiscal 2012. Research and development expense decreased as a percentage of revenue from 7.5% in fiscal 2012 to 7.2% in fiscal 2013. Our research and development efforts are a key element of our overall strategy and are essential to our success, and we intend to maintain our commitment to research and development. An increase or a decrease in our total revenue would not necessarily result in a proportional increase or decrease in the levels of our research and development expenditures, which could affect our operating margin. Please see “Research and Development, Patents and Licenses.”</w:t>
      </w:r>
    </w:p>
    <w:p>
      <w:pPr>
        <w:spacing w:after="0" w:line="39"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Selling, general and administrative expense, which is primarily comprised of compensation expense, decreased by</w:t>
      </w:r>
      <w:r>
        <w:rPr>
          <w:rFonts w:ascii="Arial" w:cs="Arial" w:eastAsia="Arial" w:hAnsi="Arial"/>
          <w:sz w:val="18"/>
          <w:szCs w:val="18"/>
          <w:i w:val="1"/>
          <w:iCs w:val="1"/>
          <w:color w:val="auto"/>
        </w:rPr>
        <w:t xml:space="preserve"> </w:t>
      </w:r>
      <w:r>
        <w:rPr>
          <w:rFonts w:ascii="Arial" w:cs="Arial" w:eastAsia="Arial" w:hAnsi="Arial"/>
          <w:sz w:val="18"/>
          <w:szCs w:val="18"/>
          <w:color w:val="auto"/>
        </w:rPr>
        <w:t>$6.1 million, or 1.4%, to $418.6 million in fiscal 2013, from $424.7 million in fiscal 2012. While selling, general and administrative expense decreased during fiscal 2013, this expense may fluctuate from time to time, depending upon such factors as changes in our workforce and sales efforts and the results of any operational efficiency programs that we may undertake.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Amortization of Purchased Intangible Assets and Other. </w:t>
      </w:r>
      <w:r>
        <w:rPr>
          <w:rFonts w:ascii="Arial" w:cs="Arial" w:eastAsia="Arial" w:hAnsi="Arial"/>
          <w:sz w:val="16"/>
          <w:szCs w:val="16"/>
          <w:color w:val="auto"/>
        </w:rPr>
        <w:t>Amortization of purchased intangible assets and other decreased by $13.8 million, or 26.5%,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$38.4 million in fiscal 2013, from $52.2 million in fiscal 2012. The decrease in amortization of purchased intangible assets and other was primarily attributable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timing of amortization charges.</w:t>
      </w:r>
    </w:p>
    <w:p>
      <w:pPr>
        <w:spacing w:after="0" w:line="8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 xml:space="preserve">Operating Income. </w:t>
      </w:r>
      <w:r>
        <w:rPr>
          <w:rFonts w:ascii="Arial" w:cs="Arial" w:eastAsia="Arial" w:hAnsi="Arial"/>
          <w:sz w:val="16"/>
          <w:szCs w:val="16"/>
          <w:color w:val="auto"/>
        </w:rPr>
        <w:t>Operating income increased by $39.1 million, or 8.8%, to $481.6 million in fiscal 2013, from $442.5 million in fiscal 2012.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income increased as a percentage of revenue, from 13.6% in fiscal 2012 to 14.4% in fiscal 2013. The increase in operating income as a percentage of revenue was primarily attributable to revenue increasing at a higher rate than operating expenses. Positive foreign exchange impacts on our operating expenses were partially offset by the negative foreign exchange impacts on our revenue, resulting in a minor impact on our operating income.</w:t>
      </w:r>
    </w:p>
    <w:p>
      <w:pPr>
        <w:spacing w:after="0" w:line="32"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i w:val="1"/>
          <w:iCs w:val="1"/>
          <w:color w:val="auto"/>
        </w:rPr>
        <w:t xml:space="preserve">Interest and Other Expense, Net. </w:t>
      </w:r>
      <w:r>
        <w:rPr>
          <w:rFonts w:ascii="Arial" w:cs="Arial" w:eastAsia="Arial" w:hAnsi="Arial"/>
          <w:sz w:val="16"/>
          <w:szCs w:val="16"/>
          <w:color w:val="auto"/>
        </w:rPr>
        <w:t>Interest and other expense, net, increased by $5.1 million to $6.1 million in fiscal 2013, from $0.9 million in fiscal 2012.</w:t>
      </w:r>
      <w:r>
        <w:rPr>
          <w:rFonts w:ascii="Arial" w:cs="Arial" w:eastAsia="Arial" w:hAnsi="Arial"/>
          <w:sz w:val="16"/>
          <w:szCs w:val="16"/>
          <w:i w:val="1"/>
          <w:iCs w:val="1"/>
          <w:color w:val="auto"/>
        </w:rPr>
        <w:t xml:space="preserve"> </w:t>
      </w:r>
      <w:r>
        <w:rPr>
          <w:rFonts w:ascii="Arial" w:cs="Arial" w:eastAsia="Arial" w:hAnsi="Arial"/>
          <w:sz w:val="16"/>
          <w:szCs w:val="16"/>
          <w:color w:val="auto"/>
        </w:rPr>
        <w:t>The increase in interest and other expense, net, was primarily attributable to a gain, recorded in the prior year, resulting from the sale of our minority interest in Longshine Information Technology Company, our former Chinese subsidiary. Please see Note 15 to our consolidated financial statements.</w:t>
      </w:r>
    </w:p>
    <w:p>
      <w:pPr>
        <w:spacing w:after="0" w:line="2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Income taxes for fiscal 2013 were $63.0 million on pre-tax income of $475.5 million, resulting in an effective tax rate of 13.3%,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11.4% in fiscal 2012. Our effective tax rate may fluctuate between periods as a result of discrete items that may affect a particular period. Please see Note 11 to our consolidated financial statements.</w:t>
      </w:r>
    </w:p>
    <w:p>
      <w:pPr>
        <w:spacing w:after="0" w:line="59" w:lineRule="exact"/>
        <w:rPr>
          <w:sz w:val="20"/>
          <w:szCs w:val="20"/>
          <w:color w:val="auto"/>
        </w:rPr>
      </w:pPr>
    </w:p>
    <w:p>
      <w:pPr>
        <w:jc w:val="both"/>
        <w:ind w:right="460" w:firstLine="456"/>
        <w:spacing w:after="0" w:line="357" w:lineRule="auto"/>
        <w:rPr>
          <w:sz w:val="20"/>
          <w:szCs w:val="20"/>
          <w:color w:val="auto"/>
        </w:rPr>
      </w:pPr>
      <w:r>
        <w:rPr>
          <w:rFonts w:ascii="Arial" w:cs="Arial" w:eastAsia="Arial" w:hAnsi="Arial"/>
          <w:sz w:val="15"/>
          <w:szCs w:val="15"/>
          <w:i w:val="1"/>
          <w:iCs w:val="1"/>
          <w:color w:val="auto"/>
        </w:rPr>
        <w:t xml:space="preserve">Net Income. </w:t>
      </w:r>
      <w:r>
        <w:rPr>
          <w:rFonts w:ascii="Arial" w:cs="Arial" w:eastAsia="Arial" w:hAnsi="Arial"/>
          <w:sz w:val="15"/>
          <w:szCs w:val="15"/>
          <w:color w:val="auto"/>
        </w:rPr>
        <w:t>Net income increased by $21.1 million, or 5.4%, to $412.4 million in fiscal 2013, from $391.4 million in fiscal 2012. The increase in net</w:t>
      </w:r>
      <w:r>
        <w:rPr>
          <w:rFonts w:ascii="Arial" w:cs="Arial" w:eastAsia="Arial" w:hAnsi="Arial"/>
          <w:sz w:val="15"/>
          <w:szCs w:val="15"/>
          <w:i w:val="1"/>
          <w:iCs w:val="1"/>
          <w:color w:val="auto"/>
        </w:rPr>
        <w:t xml:space="preserve"> </w:t>
      </w:r>
      <w:r>
        <w:rPr>
          <w:rFonts w:ascii="Arial" w:cs="Arial" w:eastAsia="Arial" w:hAnsi="Arial"/>
          <w:sz w:val="15"/>
          <w:szCs w:val="15"/>
          <w:color w:val="auto"/>
        </w:rPr>
        <w:t>income was primarily attributable to the increase in operating income, partially offset by the increase in income taxes and in interest and other expense, net.</w:t>
      </w:r>
    </w:p>
    <w:p>
      <w:pPr>
        <w:ind w:right="100" w:firstLine="456"/>
        <w:spacing w:after="0" w:line="306" w:lineRule="auto"/>
        <w:rPr>
          <w:sz w:val="20"/>
          <w:szCs w:val="20"/>
          <w:color w:val="auto"/>
        </w:rPr>
      </w:pPr>
      <w:r>
        <w:rPr>
          <w:rFonts w:ascii="Arial" w:cs="Arial" w:eastAsia="Arial" w:hAnsi="Arial"/>
          <w:sz w:val="16"/>
          <w:szCs w:val="16"/>
          <w:i w:val="1"/>
          <w:iCs w:val="1"/>
          <w:color w:val="auto"/>
        </w:rPr>
        <w:t xml:space="preserve">Diluted Earnings Per Share. </w:t>
      </w:r>
      <w:r>
        <w:rPr>
          <w:rFonts w:ascii="Arial" w:cs="Arial" w:eastAsia="Arial" w:hAnsi="Arial"/>
          <w:sz w:val="16"/>
          <w:szCs w:val="16"/>
          <w:color w:val="auto"/>
        </w:rPr>
        <w:t>Diluted earnings per share increased by $0.22, or 9.5%, to $2.53 in fiscal 2013, from $2.31 in fiscal 2012. The increase in</w:t>
      </w:r>
      <w:r>
        <w:rPr>
          <w:rFonts w:ascii="Arial" w:cs="Arial" w:eastAsia="Arial" w:hAnsi="Arial"/>
          <w:sz w:val="16"/>
          <w:szCs w:val="16"/>
          <w:i w:val="1"/>
          <w:iCs w:val="1"/>
          <w:color w:val="auto"/>
        </w:rPr>
        <w:t xml:space="preserve"> </w:t>
      </w:r>
      <w:r>
        <w:rPr>
          <w:rFonts w:ascii="Arial" w:cs="Arial" w:eastAsia="Arial" w:hAnsi="Arial"/>
          <w:sz w:val="16"/>
          <w:szCs w:val="16"/>
          <w:color w:val="auto"/>
        </w:rPr>
        <w:t>diluted earnings per share was the result of an increase in net income, coupled with a decrease in the diluted weighted average number of shares outstanding, due primarily to our repurchase of ordinary shares, partially offset by stock option exercises. Please see Note 20 to our consolidated financial statements.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Fiscal Years Ended September 30, 2012 and 2011</w:t>
      </w:r>
    </w:p>
    <w:p>
      <w:pPr>
        <w:spacing w:after="0" w:line="90"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The following is a tabular presentation of our results of operations for the fiscal year ended September 30, 2012, compared to the fiscal year ended September 30, 2011. Following the table is a discussion and analysis of our business and results of operations for these fiscal years.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w w:val="93"/>
              </w:rPr>
              <w:t>Year Ended September 30,</w:t>
            </w:r>
          </w:p>
        </w:tc>
        <w:tc>
          <w:tcPr>
            <w:tcW w:w="100" w:type="dxa"/>
            <w:vAlign w:val="bottom"/>
          </w:tcPr>
          <w:p>
            <w:pPr>
              <w:spacing w:after="0"/>
              <w:rPr>
                <w:sz w:val="14"/>
                <w:szCs w:val="14"/>
                <w:color w:val="auto"/>
              </w:rPr>
            </w:pPr>
          </w:p>
        </w:tc>
        <w:tc>
          <w:tcPr>
            <w:tcW w:w="162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0"/>
              </w:rPr>
              <w:t>Increase (Decrease)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w w:val="83"/>
              </w:rPr>
              <w:t>Amount</w:t>
            </w:r>
          </w:p>
        </w:tc>
        <w:tc>
          <w:tcPr>
            <w:tcW w:w="44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4"/>
          </w:tcPr>
          <w:p>
            <w:pPr>
              <w:jc w:val="right"/>
              <w:ind w:right="46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License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120,443</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119,237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1,206</w:t>
            </w:r>
          </w:p>
        </w:tc>
        <w:tc>
          <w:tcPr>
            <w:tcW w:w="4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3,126,460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3,058,491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67,969</w:t>
            </w: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3,246,903</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3,177,728</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69,175</w:t>
            </w:r>
          </w:p>
        </w:tc>
        <w:tc>
          <w:tcPr>
            <w:tcW w:w="420" w:type="dxa"/>
            <w:vAlign w:val="bottom"/>
          </w:tcPr>
          <w:p>
            <w:pPr>
              <w:spacing w:after="0"/>
              <w:rPr>
                <w:sz w:val="20"/>
                <w:szCs w:val="20"/>
                <w:color w:val="auto"/>
              </w:rPr>
            </w:pPr>
          </w:p>
        </w:tc>
        <w:tc>
          <w:tcPr>
            <w:tcW w:w="6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3,523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2,627</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896</w:t>
            </w:r>
          </w:p>
        </w:tc>
        <w:tc>
          <w:tcPr>
            <w:tcW w:w="4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2,081,945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2,066,740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15,205</w:t>
            </w: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242,063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221,886</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20,177</w:t>
            </w:r>
          </w:p>
        </w:tc>
        <w:tc>
          <w:tcPr>
            <w:tcW w:w="4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424,671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409,465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15,206</w:t>
            </w: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Amortization of purchased intangible assets and other</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52,229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72,646</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(20,417)</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2,804,431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2,773,364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31,067</w:t>
            </w: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line="20" w:lineRule="exact"/>
              <w:rPr>
                <w:sz w:val="1"/>
                <w:szCs w:val="1"/>
                <w:color w:val="auto"/>
              </w:rPr>
            </w:pPr>
          </w:p>
        </w:tc>
      </w:tr>
      <w:tr>
        <w:trPr>
          <w:trHeight w:val="221"/>
        </w:trPr>
        <w:tc>
          <w:tcPr>
            <w:tcW w:w="72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442,472</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404,364</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38,108</w:t>
            </w:r>
          </w:p>
        </w:tc>
        <w:tc>
          <w:tcPr>
            <w:tcW w:w="42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8,657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(7,709)</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line="20" w:lineRule="exact"/>
              <w:rPr>
                <w:sz w:val="1"/>
                <w:szCs w:val="1"/>
                <w:color w:val="auto"/>
              </w:rPr>
            </w:pPr>
          </w:p>
        </w:tc>
      </w:tr>
      <w:tr>
        <w:trPr>
          <w:trHeight w:val="221"/>
        </w:trPr>
        <w:tc>
          <w:tcPr>
            <w:tcW w:w="72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441,524</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395,707</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45,817</w:t>
            </w:r>
          </w:p>
        </w:tc>
        <w:tc>
          <w:tcPr>
            <w:tcW w:w="42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50,153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49,042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line="20" w:lineRule="exact"/>
              <w:rPr>
                <w:sz w:val="1"/>
                <w:szCs w:val="1"/>
                <w:color w:val="auto"/>
              </w:rPr>
            </w:pPr>
          </w:p>
        </w:tc>
      </w:tr>
      <w:tr>
        <w:trPr>
          <w:trHeight w:val="222"/>
        </w:trPr>
        <w:tc>
          <w:tcPr>
            <w:tcW w:w="728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391,371</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346,665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44,706</w:t>
            </w:r>
          </w:p>
        </w:tc>
        <w:tc>
          <w:tcPr>
            <w:tcW w:w="42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Total revenue increased by $69.2 million, or 2.2%, to $3,246.9 million in fiscal 2012, from $3,177.7 million in fiscal 2011. The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was primarily attributable to revenue related to our activities in emerging markets and in Europe, as well as to revenue related to our new network control offering, partially offset by slower spending by AT&amp;T and by lower revenue resulting from contractual price reductions with Bell Canada. Our fiscal 2012 revenue was also negatively impacted by foreign exchange fluctuations.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revenue attributable to the sale of customer experience systems increased by $87.9 million, or 3.0%, to $3,066.2 million in fiscal 2012, from</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$2,978.3 million in fiscal 2011. The increase in revenue was primarily attributable to revenue related to our activities in emerging markets and in Europe, as well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to revenue related to our new network control offering, partially offset by slower spending by AT&amp;T and by lower revenue resulting from contractual price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reductions with Bell Canada. License and service revenue resulting from the sale of customer experience systems represented 94.4% and 93.7% of our total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revenue in fiscal 2012 and 2011, respectively.</w:t>
      </w:r>
    </w:p>
    <w:p>
      <w:pPr>
        <w:spacing w:after="0" w:line="8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Total revenue attributable to the sale of directory systems decreased by $18.7 million, or 9.4%, to $180.7 million in fiscal 2012, from $199.4 million in fiscal 2011. The decrease was primarily attributable to a decrease in revenue related to managed services arrangements associated with general slowness in the directory systems market. License and service revenue from the sale of directory systems represented 5.6% and 6.3% of our total revenue in fiscal 2012 and 2011, respectively.</w:t>
      </w:r>
    </w:p>
    <w:p>
      <w:pPr>
        <w:spacing w:after="0" w:line="62"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In fiscal 2012, revenue from customers in North America, Europe and the rest of the world accounted for 69.8%, 13.6% and 16.6%, respectively, of total revenue, compared to 73.4%, 12.7% and 13.9%, respectively, for fiscal 2011. Revenue from North American customers decreased during fiscal 2012, primarily from slower spending by AT&amp;T and from lower revenue resulting from contractual price reductions with Bell Canada, partially offset by an increase in revenue from other customers and in revenue related to our new network control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offering. The increase in revenue from customers in Europe was primarily attributable to revenue related to transformation and implementation projects. The increase in revenue from customers in the rest of the world was primarily attributable to our activity in emerging markets.</w:t>
      </w:r>
    </w:p>
    <w:p>
      <w:pPr>
        <w:spacing w:after="0" w:line="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Cost of License and Service. </w:t>
      </w:r>
      <w:r>
        <w:rPr>
          <w:rFonts w:ascii="Arial" w:cs="Arial" w:eastAsia="Arial" w:hAnsi="Arial"/>
          <w:sz w:val="16"/>
          <w:szCs w:val="16"/>
          <w:color w:val="auto"/>
        </w:rPr>
        <w:t>Cost of license and service increased by $16.1 million, or 0.8%, to $2,085.5 million in fiscal 2012, from $2,069.4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fiscal 2011. As a percentage of revenue, cost of license and service decreased to 64.2% in fiscal 2012 from 65.1% in fiscal 2011. The decrease in our cost of license and service as a percentage of revenue was primarily attributable to the benefits of efficiencies realized from prior investments in internal training and knowledge building programs for our employees, as well as from various process improvements. This decrease was also attributable to several key customer implementations that required incremental spending during fiscal 2011 and was partially offset by the increase in revenue from customers in emerging markets, as a percentage of total revenue, which is characterized by lower margins.</w:t>
      </w:r>
    </w:p>
    <w:p>
      <w:pPr>
        <w:spacing w:after="0" w:line="39"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 increased by $20.2 million, or 9.1%, to $242.1 million in fiscal 2012, from $221.9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fiscal 2011. The increase in research and development expense was primarily attributable to our network control research and development activity. Research and development expense increased as a percentage of revenue from 7.0% in fiscal 2011 to 7.5% in fiscal 2012. Please see “Research and Development, Patents and Licenses.”</w:t>
      </w:r>
    </w:p>
    <w:p>
      <w:pPr>
        <w:spacing w:after="0" w:line="6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Selling, general and administrative expense increased by $15.2 million, or 3.7%, to $424.7 million in fiscal 2012,</w:t>
      </w:r>
      <w:r>
        <w:rPr>
          <w:rFonts w:ascii="Arial" w:cs="Arial" w:eastAsia="Arial" w:hAnsi="Arial"/>
          <w:sz w:val="18"/>
          <w:szCs w:val="18"/>
          <w:i w:val="1"/>
          <w:iCs w:val="1"/>
          <w:color w:val="auto"/>
        </w:rPr>
        <w:t xml:space="preserve"> </w:t>
      </w:r>
      <w:r>
        <w:rPr>
          <w:rFonts w:ascii="Arial" w:cs="Arial" w:eastAsia="Arial" w:hAnsi="Arial"/>
          <w:sz w:val="18"/>
          <w:szCs w:val="18"/>
          <w:color w:val="auto"/>
        </w:rPr>
        <w:t>from $409.5 million in fiscal 2011. Selling, general and administrative expense is primarily comprised of compensation expense. The increase in selling, general and administrative expense was primarily attributable to increased selling efforts.</w:t>
      </w:r>
    </w:p>
    <w:p>
      <w:pPr>
        <w:spacing w:after="0" w:line="59"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i w:val="1"/>
          <w:iCs w:val="1"/>
          <w:color w:val="auto"/>
        </w:rPr>
        <w:t xml:space="preserve">Amortization of Purchased Intangible Assets and Other. </w:t>
      </w:r>
      <w:r>
        <w:rPr>
          <w:rFonts w:ascii="Arial" w:cs="Arial" w:eastAsia="Arial" w:hAnsi="Arial"/>
          <w:sz w:val="18"/>
          <w:szCs w:val="18"/>
          <w:color w:val="auto"/>
        </w:rPr>
        <w:t>Amortization of purchased intangible assets and other decreased by $20.4 million, or 28.1%, to</w:t>
      </w:r>
      <w:r>
        <w:rPr>
          <w:rFonts w:ascii="Arial" w:cs="Arial" w:eastAsia="Arial" w:hAnsi="Arial"/>
          <w:sz w:val="18"/>
          <w:szCs w:val="18"/>
          <w:i w:val="1"/>
          <w:iCs w:val="1"/>
          <w:color w:val="auto"/>
        </w:rPr>
        <w:t xml:space="preserve"> </w:t>
      </w:r>
      <w:r>
        <w:rPr>
          <w:rFonts w:ascii="Arial" w:cs="Arial" w:eastAsia="Arial" w:hAnsi="Arial"/>
          <w:sz w:val="18"/>
          <w:szCs w:val="18"/>
          <w:color w:val="auto"/>
        </w:rPr>
        <w:t>$52.2 million in fiscal 2012, from $72.6 million in fiscal 2011. The decrease in amortization of purchased intangible assets and other was primarily due to purchased intangible assets that were fully amortized in prior periods, partially offset by amortization of intangible assets related to the fiscal 2011 acquisition of Bridgewater Systems.</w:t>
      </w:r>
    </w:p>
    <w:p>
      <w:pPr>
        <w:spacing w:after="0" w:line="6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Operating income increased by $38.1 million, or 9.4%, to $442.5 million in fiscal 2012, from $404.4 million in fiscal 2011.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income increased as a percentage of revenue, from 12.7% in fiscal 2011 to 13.6% in fiscal 2012. The increase in operating income as a percentage of revenue was primarily attributable to the increase of cost of service being lower than the increase in revenue, as well as to the decrease in amortization of purchased intangible assets and other. The negative foreign exchange impacts on our revenue were partially offset by positive impacts on our operating expense, resulting in a minor impact on our operating income.</w:t>
      </w:r>
    </w:p>
    <w:p>
      <w:pPr>
        <w:spacing w:after="0" w:line="62"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i w:val="1"/>
          <w:iCs w:val="1"/>
          <w:color w:val="auto"/>
        </w:rPr>
        <w:t xml:space="preserve">Interest and Other Expense, Net. </w:t>
      </w:r>
      <w:r>
        <w:rPr>
          <w:rFonts w:ascii="Arial" w:cs="Arial" w:eastAsia="Arial" w:hAnsi="Arial"/>
          <w:sz w:val="16"/>
          <w:szCs w:val="16"/>
          <w:color w:val="auto"/>
        </w:rPr>
        <w:t>Interest and other expense, net, decreased by $7.7 million to $0.9 million in fiscal 2012, from $8.7 million in fiscal 2011.</w:t>
      </w:r>
      <w:r>
        <w:rPr>
          <w:rFonts w:ascii="Arial" w:cs="Arial" w:eastAsia="Arial" w:hAnsi="Arial"/>
          <w:sz w:val="16"/>
          <w:szCs w:val="16"/>
          <w:i w:val="1"/>
          <w:iCs w:val="1"/>
          <w:color w:val="auto"/>
        </w:rPr>
        <w:t xml:space="preserve"> </w:t>
      </w:r>
      <w:r>
        <w:rPr>
          <w:rFonts w:ascii="Arial" w:cs="Arial" w:eastAsia="Arial" w:hAnsi="Arial"/>
          <w:sz w:val="16"/>
          <w:szCs w:val="16"/>
          <w:color w:val="auto"/>
        </w:rPr>
        <w:t>The decrease in interest and other expense, net, was primarily attributable to a $6.3 million gain resulting from the sale of our minority interest in Longshine, recorded in the three months ended March 31, 2012. Please see Note 15 to our consolidated financial statements.</w:t>
      </w:r>
    </w:p>
    <w:p>
      <w:pPr>
        <w:spacing w:after="0" w:line="2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Income taxes for fiscal 2012 were $50.2 million on pre-tax income of $441.5 million, resulting in an effective tax rate of 11.4%,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12.4% in fiscal 2011. Our effective tax rate may fluctuate between periods as a result of discrete items that may affect a particular period. Please see Note 11 to our consolidated financial statements.</w:t>
      </w:r>
    </w:p>
    <w:p>
      <w:pPr>
        <w:spacing w:after="0" w:line="59"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increased by $44.7 million, or 12.9%, to $391.4 million in fiscal 2012, from $346.7 million in fiscal 2011. The increase in net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was attributable to the increase in operating income and to the decrease in interest and other expense, net, partially offset by an increase in income tax expense.</w:t>
      </w:r>
    </w:p>
    <w:p>
      <w:pPr>
        <w:spacing w:after="0" w:line="59"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i w:val="1"/>
          <w:iCs w:val="1"/>
          <w:color w:val="auto"/>
        </w:rPr>
        <w:t xml:space="preserve">Diluted Earnings Per Share. </w:t>
      </w:r>
      <w:r>
        <w:rPr>
          <w:rFonts w:ascii="Arial" w:cs="Arial" w:eastAsia="Arial" w:hAnsi="Arial"/>
          <w:sz w:val="16"/>
          <w:szCs w:val="16"/>
          <w:color w:val="auto"/>
        </w:rPr>
        <w:t>Diluted earnings per share increased by $0.45, or 24.2%, to $2.31 in fiscal 2012, from $1.86 in fiscal 2011. The increase in</w:t>
      </w:r>
      <w:r>
        <w:rPr>
          <w:rFonts w:ascii="Arial" w:cs="Arial" w:eastAsia="Arial" w:hAnsi="Arial"/>
          <w:sz w:val="16"/>
          <w:szCs w:val="16"/>
          <w:i w:val="1"/>
          <w:iCs w:val="1"/>
          <w:color w:val="auto"/>
        </w:rPr>
        <w:t xml:space="preserve"> </w:t>
      </w:r>
      <w:r>
        <w:rPr>
          <w:rFonts w:ascii="Arial" w:cs="Arial" w:eastAsia="Arial" w:hAnsi="Arial"/>
          <w:sz w:val="16"/>
          <w:szCs w:val="16"/>
          <w:color w:val="auto"/>
        </w:rPr>
        <w:t>diluted earnings per share resulted from the increase in net income and from the change in the diluted weighted average number of shares outstanding resulting primarily from our repurchase of ordinary shares in fiscal 2012 and 2011. Please see Note 20 to our consolidated financial statements.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Cash, cash equivalents and short-term interest-bearing investments. </w:t>
      </w:r>
      <w:r>
        <w:rPr>
          <w:rFonts w:ascii="Arial" w:cs="Arial" w:eastAsia="Arial" w:hAnsi="Arial"/>
          <w:sz w:val="16"/>
          <w:szCs w:val="16"/>
          <w:color w:val="auto"/>
        </w:rPr>
        <w:t>Cash, cash equivalents and short-term interest-bearing investments, net of short-term</w:t>
      </w:r>
      <w:r>
        <w:rPr>
          <w:rFonts w:ascii="Arial" w:cs="Arial" w:eastAsia="Arial" w:hAnsi="Arial"/>
          <w:sz w:val="16"/>
          <w:szCs w:val="16"/>
          <w:i w:val="1"/>
          <w:iCs w:val="1"/>
          <w:color w:val="auto"/>
        </w:rPr>
        <w:t xml:space="preserve"> </w:t>
      </w:r>
      <w:r>
        <w:rPr>
          <w:rFonts w:ascii="Arial" w:cs="Arial" w:eastAsia="Arial" w:hAnsi="Arial"/>
          <w:sz w:val="16"/>
          <w:szCs w:val="16"/>
          <w:color w:val="auto"/>
        </w:rPr>
        <w:t>debt, totaled $1.13 billion as of September 30, 2013, compared to $0.92 billion as of September 30, 2012. The increase during fiscal 2013 was mainly attributable to $670.5 million in cash flow from operations and $213.4 million of proceeds from stock options exercised, partially offset by $367.1 million used to repurchase our ordinary shares, $112.4 million in net cash paid for an acquisition, $106.7 million for capital expenditures, net and $84.0 million of cash dividend payments. Net cash provided by operating activities amounted to $670.5 million and $514.1 million for fiscal 2013 and 2012, respectively.</w:t>
      </w:r>
    </w:p>
    <w:p>
      <w:pPr>
        <w:spacing w:after="0" w:line="3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policy is to retain sufficient cash balances in order to support our growth. We believe that our current cash balances, cash generated from operations and our current lines of credit will provide sufficient resources to meet our operational needs and to fund share repurchases and the payment of cash dividends for at least the next fiscal year.</w:t>
      </w:r>
    </w:p>
    <w:p>
      <w:pPr>
        <w:spacing w:after="0" w:line="59"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Our interest-bearing investments are classified as available-for-sale securities. Such short-term interest-bearing investments consist primarily of money market funds, U.S. government treasuries, corporate bonds and U.S. agency securities. We believe we have conservative investment policy guidelines. Our interest-bearing investments are stated at fair value with the unrealized gains or losses reported as a separate component of accumulated other comprehensive income (loss), net of tax. Our interest-bearing investments are priced by pricing vendors and are classified as Level 1 or Level 2 investments, since these vendors either provide a quoted market price in an active market or use other observable inputs to price these securities. Please see Notes 4 and 5 to our consolidated financial statements.</w:t>
      </w:r>
    </w:p>
    <w:p>
      <w:pPr>
        <w:spacing w:after="0" w:line="6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Revolving Credit Facility, Letters of Credit and Guarantees. </w:t>
      </w:r>
      <w:r>
        <w:rPr>
          <w:rFonts w:ascii="Arial" w:cs="Arial" w:eastAsia="Arial" w:hAnsi="Arial"/>
          <w:sz w:val="16"/>
          <w:szCs w:val="16"/>
          <w:color w:val="auto"/>
        </w:rPr>
        <w:t>In 2011, we entered into an unsecured $500.0 million five-year revolving credit facility with a</w:t>
      </w:r>
      <w:r>
        <w:rPr>
          <w:rFonts w:ascii="Arial" w:cs="Arial" w:eastAsia="Arial" w:hAnsi="Arial"/>
          <w:sz w:val="16"/>
          <w:szCs w:val="16"/>
          <w:i w:val="1"/>
          <w:iCs w:val="1"/>
          <w:color w:val="auto"/>
        </w:rPr>
        <w:t xml:space="preserve"> </w:t>
      </w:r>
      <w:r>
        <w:rPr>
          <w:rFonts w:ascii="Arial" w:cs="Arial" w:eastAsia="Arial" w:hAnsi="Arial"/>
          <w:sz w:val="16"/>
          <w:szCs w:val="16"/>
          <w:color w:val="auto"/>
        </w:rPr>
        <w:t>syndicate of banks. The credit facility is available for general corporate purposes, including acquisitions and repurchases of ordinary shares that we may consider from time to time. The interest rate for borrowings under the revolving credit facility is chosen at our option from several pre-defined alternatives, depends on the circumstances of any advance and is based in part on our credit rating. As of September 30, 2013, we were in compliance with the financial covenants under the revolving credit facility. In September 2013, we borrowed an aggregate of $200.0 million under the facility and repaid it in October 2013.</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2013, we had several uncommitted lines of credit available for general corporate and other specific purposes.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2013, we had outstanding letters of credit and bank guarantees from various banks totaling $64.3 million.</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i w:val="1"/>
          <w:iCs w:val="1"/>
          <w:color w:val="auto"/>
        </w:rPr>
        <w:t xml:space="preserve">Capital Expenditures. </w:t>
      </w:r>
      <w:r>
        <w:rPr>
          <w:rFonts w:ascii="Arial" w:cs="Arial" w:eastAsia="Arial" w:hAnsi="Arial"/>
          <w:sz w:val="16"/>
          <w:szCs w:val="16"/>
          <w:color w:val="auto"/>
        </w:rPr>
        <w:t>Our capital expenditures, net, were approximately $106.7 million in fiscal 2013. Approximately 80%-90% of these expenditures</w:t>
      </w:r>
      <w:r>
        <w:rPr>
          <w:rFonts w:ascii="Arial" w:cs="Arial" w:eastAsia="Arial" w:hAnsi="Arial"/>
          <w:sz w:val="16"/>
          <w:szCs w:val="16"/>
          <w:i w:val="1"/>
          <w:iCs w:val="1"/>
          <w:color w:val="auto"/>
        </w:rPr>
        <w:t xml:space="preserve"> </w:t>
      </w:r>
      <w:r>
        <w:rPr>
          <w:rFonts w:ascii="Arial" w:cs="Arial" w:eastAsia="Arial" w:hAnsi="Arial"/>
          <w:sz w:val="16"/>
          <w:szCs w:val="16"/>
          <w:color w:val="auto"/>
        </w:rPr>
        <w:t>consisted of purchases of computer equipment, with the remainder attributable mainly to leasehold improvements. Our fiscal 2013 capital expenditures were mainly attributable to investments in our operating facilities and our development centers around the world. Our policy is to fund our capital expenditures from operating cash flows, and we do not anticipate any changes to this policy in the foreseeable future.</w:t>
      </w:r>
    </w:p>
    <w:p>
      <w:pPr>
        <w:spacing w:after="0" w:line="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 xml:space="preserve">Share Repurchases. </w:t>
      </w:r>
      <w:r>
        <w:rPr>
          <w:rFonts w:ascii="Arial" w:cs="Arial" w:eastAsia="Arial" w:hAnsi="Arial"/>
          <w:sz w:val="16"/>
          <w:szCs w:val="16"/>
          <w:color w:val="auto"/>
        </w:rPr>
        <w:t>From time to time, our board of directors has adopted share repurchase plans authorizing the repurchase of our outstanding ordinary</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Our current share repurchase plan authorizes the repurchase of up to $500.0 million of our outstanding ordinary shares with no expiration date. In fiscal 2013, we repurchased 10.4 million ordinary shares at an average price of $35.38 per share (excluding broker and transaction fees). As of September 30, 2013, we had remaining authority to repurchase up to $335.9 million of our outstanding ordinary shares. The authorization permits us to purchase our ordinary shares in open market or privately negotiated transactions at times and prices that we consider appropriate.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Cash Dividends. </w:t>
      </w:r>
      <w:r>
        <w:rPr>
          <w:rFonts w:ascii="Arial" w:cs="Arial" w:eastAsia="Arial" w:hAnsi="Arial"/>
          <w:sz w:val="18"/>
          <w:szCs w:val="18"/>
          <w:color w:val="auto"/>
        </w:rPr>
        <w:t>Our board of directors declared the following dividends during fiscal 2013: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w w:val="92"/>
              </w:rPr>
              <w:t>Declaration Date</w:t>
            </w:r>
          </w:p>
        </w:tc>
        <w:tc>
          <w:tcPr>
            <w:tcW w:w="4160" w:type="dxa"/>
            <w:vAlign w:val="bottom"/>
            <w:vMerge w:val="restart"/>
          </w:tcPr>
          <w:p>
            <w:pPr>
              <w:spacing w:after="0"/>
              <w:rPr>
                <w:sz w:val="14"/>
                <w:szCs w:val="14"/>
                <w:color w:val="auto"/>
              </w:rPr>
            </w:pPr>
          </w:p>
        </w:tc>
        <w:tc>
          <w:tcPr>
            <w:tcW w:w="1580" w:type="dxa"/>
            <w:vAlign w:val="bottom"/>
            <w:gridSpan w:val="3"/>
          </w:tcPr>
          <w:p>
            <w:pPr>
              <w:ind w:left="60"/>
              <w:spacing w:after="0"/>
              <w:rPr>
                <w:sz w:val="20"/>
                <w:szCs w:val="20"/>
                <w:color w:val="auto"/>
              </w:rPr>
            </w:pPr>
            <w:r>
              <w:rPr>
                <w:rFonts w:ascii="Arial" w:cs="Arial" w:eastAsia="Arial" w:hAnsi="Arial"/>
                <w:sz w:val="14"/>
                <w:szCs w:val="14"/>
                <w:b w:val="1"/>
                <w:bCs w:val="1"/>
                <w:color w:val="auto"/>
              </w:rPr>
              <w:t>Dividends Per</w:t>
            </w:r>
          </w:p>
        </w:tc>
        <w:tc>
          <w:tcPr>
            <w:tcW w:w="1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Total Amount</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040" w:type="dxa"/>
            <w:vAlign w:val="bottom"/>
            <w:tcBorders>
              <w:bottom w:val="single" w:sz="8" w:color="auto"/>
            </w:tcBorders>
            <w:vMerge w:val="continue"/>
          </w:tcPr>
          <w:p>
            <w:pPr>
              <w:spacing w:after="0"/>
              <w:rPr>
                <w:sz w:val="14"/>
                <w:szCs w:val="14"/>
                <w:color w:val="auto"/>
              </w:rPr>
            </w:pPr>
          </w:p>
        </w:tc>
        <w:tc>
          <w:tcPr>
            <w:tcW w:w="4160" w:type="dxa"/>
            <w:vAlign w:val="bottom"/>
            <w:vMerge w:val="continue"/>
          </w:tcPr>
          <w:p>
            <w:pPr>
              <w:spacing w:after="0"/>
              <w:rPr>
                <w:sz w:val="14"/>
                <w:szCs w:val="14"/>
                <w:color w:val="auto"/>
              </w:rPr>
            </w:pPr>
          </w:p>
        </w:tc>
        <w:tc>
          <w:tcPr>
            <w:tcW w:w="15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Ordinary Share</w:t>
            </w:r>
          </w:p>
        </w:tc>
        <w:tc>
          <w:tcPr>
            <w:tcW w:w="1960" w:type="dxa"/>
            <w:vAlign w:val="bottom"/>
            <w:gridSpan w:val="2"/>
          </w:tcPr>
          <w:p>
            <w:pPr>
              <w:ind w:left="340"/>
              <w:spacing w:after="0" w:line="148" w:lineRule="exact"/>
              <w:rPr>
                <w:sz w:val="20"/>
                <w:szCs w:val="20"/>
                <w:color w:val="auto"/>
              </w:rPr>
            </w:pPr>
            <w:r>
              <w:rPr>
                <w:rFonts w:ascii="Arial" w:cs="Arial" w:eastAsia="Arial" w:hAnsi="Arial"/>
                <w:sz w:val="14"/>
                <w:szCs w:val="14"/>
                <w:b w:val="1"/>
                <w:bCs w:val="1"/>
                <w:color w:val="auto"/>
              </w:rPr>
              <w:t>Record Date</w:t>
            </w:r>
          </w:p>
        </w:tc>
        <w:tc>
          <w:tcPr>
            <w:tcW w:w="1460" w:type="dxa"/>
            <w:vAlign w:val="bottom"/>
            <w:gridSpan w:val="3"/>
          </w:tcPr>
          <w:p>
            <w:pPr>
              <w:ind w:left="40"/>
              <w:spacing w:after="0" w:line="148" w:lineRule="exact"/>
              <w:rPr>
                <w:sz w:val="20"/>
                <w:szCs w:val="20"/>
                <w:color w:val="auto"/>
              </w:rPr>
            </w:pPr>
            <w:r>
              <w:rPr>
                <w:rFonts w:ascii="Arial" w:cs="Arial" w:eastAsia="Arial" w:hAnsi="Arial"/>
                <w:sz w:val="14"/>
                <w:szCs w:val="14"/>
                <w:b w:val="1"/>
                <w:bCs w:val="1"/>
                <w:color w:val="auto"/>
              </w:rPr>
              <w:t>(In millions)</w:t>
            </w:r>
          </w:p>
        </w:tc>
        <w:tc>
          <w:tcPr>
            <w:tcW w:w="1220" w:type="dxa"/>
            <w:vAlign w:val="bottom"/>
          </w:tcPr>
          <w:p>
            <w:pPr>
              <w:ind w:left="200"/>
              <w:spacing w:after="0" w:line="148" w:lineRule="exact"/>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203"/>
        </w:trPr>
        <w:tc>
          <w:tcPr>
            <w:tcW w:w="52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November 6, 2012</w:t>
            </w:r>
          </w:p>
        </w:tc>
        <w:tc>
          <w:tcPr>
            <w:tcW w:w="3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0.13</w:t>
            </w:r>
          </w:p>
        </w:tc>
        <w:tc>
          <w:tcPr>
            <w:tcW w:w="66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8"/>
              </w:rPr>
              <w:t>December 31, 2012</w:t>
            </w:r>
          </w:p>
        </w:tc>
        <w:tc>
          <w:tcPr>
            <w:tcW w:w="5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21.0</w:t>
            </w:r>
          </w:p>
        </w:tc>
        <w:tc>
          <w:tcPr>
            <w:tcW w:w="6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6"/>
              </w:rPr>
              <w:t>January 18, 2013</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January 30, 2013</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0.13</w:t>
            </w:r>
          </w:p>
        </w:tc>
        <w:tc>
          <w:tcPr>
            <w:tcW w:w="1960" w:type="dxa"/>
            <w:vAlign w:val="bottom"/>
            <w:gridSpan w:val="2"/>
          </w:tcPr>
          <w:p>
            <w:pPr>
              <w:spacing w:after="0"/>
              <w:rPr>
                <w:sz w:val="20"/>
                <w:szCs w:val="20"/>
                <w:color w:val="auto"/>
              </w:rPr>
            </w:pPr>
            <w:r>
              <w:rPr>
                <w:rFonts w:ascii="Arial" w:cs="Arial" w:eastAsia="Arial" w:hAnsi="Arial"/>
                <w:sz w:val="18"/>
                <w:szCs w:val="18"/>
                <w:color w:val="auto"/>
              </w:rPr>
              <w:t>March 28, 2013</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20.9</w:t>
            </w:r>
          </w:p>
        </w:tc>
        <w:tc>
          <w:tcPr>
            <w:tcW w:w="1220" w:type="dxa"/>
            <w:vAlign w:val="bottom"/>
          </w:tcPr>
          <w:p>
            <w:pPr>
              <w:spacing w:after="0"/>
              <w:rPr>
                <w:sz w:val="20"/>
                <w:szCs w:val="20"/>
                <w:color w:val="auto"/>
              </w:rPr>
            </w:pPr>
            <w:r>
              <w:rPr>
                <w:rFonts w:ascii="Arial" w:cs="Arial" w:eastAsia="Arial" w:hAnsi="Arial"/>
                <w:sz w:val="18"/>
                <w:szCs w:val="18"/>
                <w:color w:val="auto"/>
              </w:rPr>
              <w:t>April 19, 2013</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30, 2013</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0.13</w:t>
            </w:r>
          </w:p>
        </w:tc>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28, 2013</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20.9</w:t>
            </w: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July 19, 2013</w:t>
            </w:r>
          </w:p>
        </w:tc>
        <w:tc>
          <w:tcPr>
            <w:tcW w:w="0" w:type="dxa"/>
            <w:vAlign w:val="bottom"/>
          </w:tcPr>
          <w:p>
            <w:pPr>
              <w:spacing w:after="0"/>
              <w:rPr>
                <w:sz w:val="1"/>
                <w:szCs w:val="1"/>
                <w:color w:val="auto"/>
              </w:rPr>
            </w:pPr>
          </w:p>
        </w:tc>
      </w:tr>
      <w:tr>
        <w:trPr>
          <w:trHeight w:val="222"/>
        </w:trPr>
        <w:tc>
          <w:tcPr>
            <w:tcW w:w="5200" w:type="dxa"/>
            <w:vAlign w:val="bottom"/>
            <w:gridSpan w:val="2"/>
          </w:tcPr>
          <w:p>
            <w:pPr>
              <w:spacing w:after="0"/>
              <w:rPr>
                <w:sz w:val="20"/>
                <w:szCs w:val="20"/>
                <w:color w:val="auto"/>
              </w:rPr>
            </w:pPr>
            <w:r>
              <w:rPr>
                <w:rFonts w:ascii="Arial" w:cs="Arial" w:eastAsia="Arial" w:hAnsi="Arial"/>
                <w:sz w:val="18"/>
                <w:szCs w:val="18"/>
                <w:color w:val="auto"/>
              </w:rPr>
              <w:t>July 31, 2013</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0.13</w:t>
            </w:r>
          </w:p>
        </w:tc>
        <w:tc>
          <w:tcPr>
            <w:tcW w:w="1960" w:type="dxa"/>
            <w:vAlign w:val="bottom"/>
            <w:gridSpan w:val="2"/>
          </w:tcPr>
          <w:p>
            <w:pPr>
              <w:spacing w:after="0"/>
              <w:rPr>
                <w:sz w:val="20"/>
                <w:szCs w:val="20"/>
                <w:color w:val="auto"/>
              </w:rPr>
            </w:pPr>
            <w:r>
              <w:rPr>
                <w:rFonts w:ascii="Arial" w:cs="Arial" w:eastAsia="Arial" w:hAnsi="Arial"/>
                <w:sz w:val="18"/>
                <w:szCs w:val="18"/>
                <w:color w:val="auto"/>
              </w:rPr>
              <w:t>September 30, 2013</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20.8</w:t>
            </w:r>
          </w:p>
        </w:tc>
        <w:tc>
          <w:tcPr>
            <w:tcW w:w="1220" w:type="dxa"/>
            <w:vAlign w:val="bottom"/>
          </w:tcPr>
          <w:p>
            <w:pPr>
              <w:spacing w:after="0"/>
              <w:rPr>
                <w:sz w:val="20"/>
                <w:szCs w:val="20"/>
                <w:color w:val="auto"/>
              </w:rPr>
            </w:pPr>
            <w:r>
              <w:rPr>
                <w:rFonts w:ascii="Arial" w:cs="Arial" w:eastAsia="Arial" w:hAnsi="Arial"/>
                <w:sz w:val="18"/>
                <w:szCs w:val="18"/>
                <w:color w:val="auto"/>
                <w:w w:val="86"/>
              </w:rPr>
              <w:t>October 18, 2013</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On November 5, 2013, our board of directors approved the next dividend payment, at the rate of $0.13 per share, and set December 31, 2013 as the record date for determining the shareholders entitled to receive the dividend, which is payable on January 17, 2014.</w:t>
      </w:r>
    </w:p>
    <w:p>
      <w:pPr>
        <w:spacing w:after="0" w:line="51"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Our board of directors also approved on November 5, 2013 an increase in the rate of the quarterly cash dividend to $0.155 per share, which would be payable on April 17, 2014. This increase is subject to shareholder approval at our January 2014 annual general meeting of shareholders.</w:t>
      </w:r>
    </w:p>
    <w:p>
      <w:pPr>
        <w:spacing w:after="0" w:line="4"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As a general long-term guideline, we expect to retain roughly half of our free cash flow (calculated as cash flow from operations less net capital expenditures and other) to support the growth of our business, including possible mergers and acquisitions, and return the other half to our shareholders through share repurchases and dividends. Our actual share repurchase activity and payment of future dividends, if any, may vary quarterly or annually and will be based on several factors including our financial performance, outlook and liquidity.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any off-balance sheet arrangements.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table summarizes our contractual obligations as of September 30, 2013, and the effect such obligations are expected to have on our liquidity and cash flows in future periods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6"/>
              </w:rPr>
              <w:t>Payments Due by Period</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6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3"/>
          </w:tcPr>
          <w:p>
            <w:pPr>
              <w:jc w:val="center"/>
              <w:ind w:right="20"/>
              <w:spacing w:after="0" w:line="129" w:lineRule="exact"/>
              <w:rPr>
                <w:sz w:val="20"/>
                <w:szCs w:val="20"/>
                <w:color w:val="auto"/>
              </w:rPr>
            </w:pPr>
            <w:r>
              <w:rPr>
                <w:rFonts w:ascii="Arial" w:cs="Arial" w:eastAsia="Arial" w:hAnsi="Arial"/>
                <w:sz w:val="14"/>
                <w:szCs w:val="14"/>
                <w:b w:val="1"/>
                <w:bCs w:val="1"/>
                <w:color w:val="auto"/>
                <w:w w:val="86"/>
              </w:rPr>
              <w:t>Less Than</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1-3</w:t>
            </w: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jc w:val="right"/>
              <w:ind w:right="16"/>
              <w:spacing w:after="0" w:line="129" w:lineRule="exact"/>
              <w:rPr>
                <w:sz w:val="20"/>
                <w:szCs w:val="20"/>
                <w:color w:val="auto"/>
              </w:rPr>
            </w:pPr>
            <w:r>
              <w:rPr>
                <w:rFonts w:ascii="Arial" w:cs="Arial" w:eastAsia="Arial" w:hAnsi="Arial"/>
                <w:sz w:val="14"/>
                <w:szCs w:val="14"/>
                <w:b w:val="1"/>
                <w:bCs w:val="1"/>
                <w:color w:val="auto"/>
                <w:w w:val="88"/>
              </w:rPr>
              <w:t>4-5</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0"/>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6660" w:type="dxa"/>
            <w:vAlign w:val="bottom"/>
            <w:gridSpan w:val="4"/>
            <w:vMerge w:val="continue"/>
          </w:tcPr>
          <w:p>
            <w:pPr>
              <w:spacing w:after="0"/>
              <w:rPr>
                <w:sz w:val="14"/>
                <w:szCs w:val="14"/>
                <w:color w:val="auto"/>
              </w:rPr>
            </w:pPr>
          </w:p>
        </w:tc>
        <w:tc>
          <w:tcPr>
            <w:tcW w:w="500" w:type="dxa"/>
            <w:vAlign w:val="bottom"/>
          </w:tcPr>
          <w:p>
            <w:pPr>
              <w:jc w:val="right"/>
              <w:ind w:right="16"/>
              <w:spacing w:after="0" w:line="148" w:lineRule="exact"/>
              <w:rPr>
                <w:sz w:val="20"/>
                <w:szCs w:val="20"/>
                <w:color w:val="auto"/>
              </w:rPr>
            </w:pPr>
            <w:r>
              <w:rPr>
                <w:rFonts w:ascii="Arial" w:cs="Arial" w:eastAsia="Arial" w:hAnsi="Arial"/>
                <w:sz w:val="14"/>
                <w:szCs w:val="14"/>
                <w:b w:val="1"/>
                <w:bCs w:val="1"/>
                <w:color w:val="auto"/>
              </w:rPr>
              <w:t>Total</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85"/>
              </w:rPr>
              <w:t>1 Year</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560"/>
              <w:spacing w:after="0" w:line="148" w:lineRule="exact"/>
              <w:rPr>
                <w:sz w:val="20"/>
                <w:szCs w:val="20"/>
                <w:color w:val="auto"/>
              </w:rPr>
            </w:pPr>
            <w:r>
              <w:rPr>
                <w:rFonts w:ascii="Arial" w:cs="Arial" w:eastAsia="Arial" w:hAnsi="Arial"/>
                <w:sz w:val="14"/>
                <w:szCs w:val="14"/>
                <w:b w:val="1"/>
                <w:bCs w:val="1"/>
                <w:color w:val="auto"/>
                <w:w w:val="89"/>
              </w:rPr>
              <w:t>Years</w:t>
            </w:r>
          </w:p>
        </w:tc>
        <w:tc>
          <w:tcPr>
            <w:tcW w:w="20" w:type="dxa"/>
            <w:vAlign w:val="bottom"/>
          </w:tcPr>
          <w:p>
            <w:pPr>
              <w:spacing w:after="0"/>
              <w:rPr>
                <w:sz w:val="14"/>
                <w:szCs w:val="14"/>
                <w:color w:val="auto"/>
              </w:rPr>
            </w:pPr>
          </w:p>
        </w:tc>
        <w:tc>
          <w:tcPr>
            <w:tcW w:w="660" w:type="dxa"/>
            <w:vAlign w:val="bottom"/>
            <w:gridSpan w:val="3"/>
          </w:tcPr>
          <w:p>
            <w:pPr>
              <w:jc w:val="right"/>
              <w:ind w:right="300"/>
              <w:spacing w:after="0" w:line="148" w:lineRule="exact"/>
              <w:rPr>
                <w:sz w:val="20"/>
                <w:szCs w:val="20"/>
                <w:color w:val="auto"/>
              </w:rPr>
            </w:pPr>
            <w:r>
              <w:rPr>
                <w:rFonts w:ascii="Arial" w:cs="Arial" w:eastAsia="Arial" w:hAnsi="Arial"/>
                <w:sz w:val="14"/>
                <w:szCs w:val="14"/>
                <w:b w:val="1"/>
                <w:bCs w:val="1"/>
                <w:color w:val="auto"/>
                <w:w w:val="89"/>
              </w:rPr>
              <w:t>Years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w w:val="84"/>
              </w:rPr>
              <w:t>5 Years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9"/>
              </w:rPr>
              <w:t>Long-term debt(1)</w:t>
            </w:r>
          </w:p>
        </w:tc>
        <w:tc>
          <w:tcPr>
            <w:tcW w:w="5180" w:type="dxa"/>
            <w:vAlign w:val="bottom"/>
            <w:tcBorders>
              <w:top w:val="single" w:sz="8" w:color="CCEEFF"/>
            </w:tcBorders>
            <w:gridSpan w:val="2"/>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$201.1</w:t>
            </w: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200.0</w:t>
            </w: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tcPr>
          <w:p>
            <w:pPr>
              <w:spacing w:after="0"/>
              <w:rPr>
                <w:sz w:val="20"/>
                <w:szCs w:val="20"/>
                <w:color w:val="auto"/>
              </w:rPr>
            </w:pPr>
            <w:r>
              <w:rPr>
                <w:rFonts w:ascii="Arial" w:cs="Arial" w:eastAsia="Arial" w:hAnsi="Arial"/>
                <w:sz w:val="18"/>
                <w:szCs w:val="18"/>
                <w:color w:val="auto"/>
              </w:rPr>
              <w:t>Pension funding</w:t>
            </w:r>
          </w:p>
        </w:tc>
        <w:tc>
          <w:tcPr>
            <w:tcW w:w="500" w:type="dxa"/>
            <w:vAlign w:val="bottom"/>
          </w:tcPr>
          <w:p>
            <w:pPr>
              <w:jc w:val="right"/>
              <w:spacing w:after="0"/>
              <w:rPr>
                <w:sz w:val="20"/>
                <w:szCs w:val="20"/>
                <w:color w:val="auto"/>
              </w:rPr>
            </w:pPr>
            <w:r>
              <w:rPr>
                <w:rFonts w:ascii="Arial" w:cs="Arial" w:eastAsia="Arial" w:hAnsi="Arial"/>
                <w:sz w:val="18"/>
                <w:szCs w:val="18"/>
                <w:color w:val="auto"/>
              </w:rPr>
              <w:t>20.4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tcPr>
          <w:p>
            <w:pPr>
              <w:spacing w:after="0"/>
              <w:rPr>
                <w:sz w:val="20"/>
                <w:szCs w:val="20"/>
                <w:color w:val="auto"/>
              </w:rPr>
            </w:pPr>
            <w:r>
              <w:rPr>
                <w:rFonts w:ascii="Arial" w:cs="Arial" w:eastAsia="Arial" w:hAnsi="Arial"/>
                <w:sz w:val="18"/>
                <w:szCs w:val="18"/>
                <w:color w:val="auto"/>
              </w:rPr>
              <w:t>Non-cancelable operating leases</w:t>
            </w:r>
          </w:p>
        </w:tc>
        <w:tc>
          <w:tcPr>
            <w:tcW w:w="500" w:type="dxa"/>
            <w:vAlign w:val="bottom"/>
          </w:tcPr>
          <w:p>
            <w:pPr>
              <w:jc w:val="right"/>
              <w:spacing w:after="0"/>
              <w:rPr>
                <w:sz w:val="20"/>
                <w:szCs w:val="20"/>
                <w:color w:val="auto"/>
              </w:rPr>
            </w:pPr>
            <w:r>
              <w:rPr>
                <w:rFonts w:ascii="Arial" w:cs="Arial" w:eastAsia="Arial" w:hAnsi="Arial"/>
                <w:sz w:val="18"/>
                <w:szCs w:val="18"/>
                <w:color w:val="auto"/>
              </w:rPr>
              <w:t>284.5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64.1</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124.0</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w w:val="79"/>
              </w:rPr>
              <w:t>58.8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524.1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278.2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138.5</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79"/>
              </w:rPr>
              <w:t>62.5</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r>
              <w:rPr>
                <w:rFonts w:ascii="Arial" w:cs="Arial" w:eastAsia="Arial" w:hAnsi="Arial"/>
                <w:sz w:val="18"/>
                <w:szCs w:val="18"/>
                <w:u w:val="single" w:color="auto"/>
                <w:color w:val="auto"/>
              </w:rPr>
              <w:t>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September 2013, we borrowed an aggregate of $200.0 million under our revolving credit facility and repaid it in October 2013.</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total amount of unrecognized tax benefits for uncertain tax positions was $130.4 million as of September 30, 2013. Payment of these obligations would result from settlements with taxing authorities. Due to the difficulty in determining the timing of resolution of audits, these obligations are not included in the above table.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Tax Asset Valuation Allowance</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As of September 30, 2013, we had deferred tax assets of $127.2 million, derived primarily from tax credits, net capital and operating loss carryforwards related to some of our subsidiaries, which were offset by valuation allowances due to the uncertainty of realizing any tax benefit for such credits and losses. Releases of the valuation allowances, if any, will be recognized through earnings.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discussion and analysis of our consolidated financial condition and results of operations are based upon our consolidated financial statements, which have been prepared in accordance with U.S. generally accepted accounting principles, or U.S. GAAP. The preparation of these financial statements requires us to make estimates, assumptions and judgments that affect the reported amounts of assets, liabilities, revenue and expenses and related disclosure of contingent liabilities. On a regular basis, we evaluate and may revise our estimates. We base our estimates on historical experience and various other assumptions that we believe to be reasonable under the circumstances, the results of which form the basis for making judgments about the carrying values of assets and liabilities that are not readily apparent. Actual results could differ materially from the estimates under different assumptions or conditions.</w:t>
      </w:r>
    </w:p>
    <w:p>
      <w:pPr>
        <w:spacing w:after="0" w:line="3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believe that the estimates, assumptions and judgments involved in the accounting policies described below have the greatest potential impact on our financial statements, so we consider these to be our critical accounting policies. These policies require that we make estimates in the preparation of our financial statements as of a given date. Our critical accounting policies are as follows:</w:t>
      </w:r>
    </w:p>
    <w:p>
      <w:pPr>
        <w:spacing w:after="0" w:line="59" w:lineRule="exact"/>
        <w:rPr>
          <w:sz w:val="20"/>
          <w:szCs w:val="20"/>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Revenue recognition and contract accounting</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Tax accounting</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Business combinations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Share-based compensation expense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Goodwill, intangible assets and long-lived assets-impairment assessment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Derivative and hedge accounting</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Fair value measurement of short-term interest-bearing investments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Accounts receivable reserves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discuss these policies further below, as well as the estimates and judgments involved. We also have other key accounting policies. We believe that, compared to the critical accounting policies listed above, the other policies either do not generally require us to make estimates and judgments that are as difficult or as subjective, or it is less likely that they would have a material impact on our reported consolidated results of operations for a given period.</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 and Contract Accounting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derive our revenue principally from:</w:t>
      </w:r>
    </w:p>
    <w:p>
      <w:pPr>
        <w:spacing w:after="0" w:line="90" w:lineRule="exact"/>
        <w:rPr>
          <w:sz w:val="20"/>
          <w:szCs w:val="20"/>
          <w:color w:val="auto"/>
        </w:rPr>
      </w:pPr>
    </w:p>
    <w:p>
      <w:pPr>
        <w:ind w:left="660" w:hanging="206"/>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initial sales of licenses to use our products and related services, including modification, implementation, integration and customization services,</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providing managed services in our domain expertise and other related services, and</w:t>
      </w:r>
    </w:p>
    <w:p>
      <w:pPr>
        <w:spacing w:after="0" w:line="90" w:lineRule="exact"/>
        <w:rPr>
          <w:rFonts w:ascii="Arial" w:cs="Arial" w:eastAsia="Arial" w:hAnsi="Arial"/>
          <w:sz w:val="18"/>
          <w:szCs w:val="18"/>
          <w:color w:val="auto"/>
        </w:rPr>
      </w:pPr>
    </w:p>
    <w:p>
      <w:pPr>
        <w:ind w:left="660" w:right="200" w:hanging="206"/>
        <w:spacing w:after="0" w:line="268"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recurring revenue from ongoing support, maintenance and enhancements provided to our customers, and from incremental license fees resulting from increases in a customer’s business volume.</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Revenue is recognized only when all of the following conditions have been met: (i) there is persuasive evidence of an arrangement; (ii) delivery has occurred; (iii) the fee is fixed or determinable; and (iv) collectibility of the fee is reasonably assured. We usually sell our software licenses as part of an overall solution offered to a customer that combines the sale of software licenses with a broad range of services, which normally include significant customization, modification, implementation and integration. Those services are deemed essential to the software. As a result, we generally recognize initial license fee and related service revenue over the course of these long-term projects, using the percentage of completion method of accounting. Subsequent license fee revenue is recognized upon completion of specified conditions in each contract, based on a customer’s subscriber or transaction volume or other measurements when greater than the level specified in the contract for the initial license fee. Revenue from software solutions that do not require significant customization, implementation and modification is recognized upon delivery. Revenue from services that do not involve significant ongoing</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obligations is recognized as services are rendered. In managed services contracts, we typically recognize revenue from the operation of a customer’s system as services are performed based on time elapsed, output produced, volume of data processed or subscriber count, depending on the specific contract terms of the managed services arrangement. Typically, managed services contracts are long-term in duration and are not subject to seasonality. Revenue from ongoing support services is recognized as work is performed. Revenue from third-party hardware sales is recognized upon delivery and installation and revenue from third-party software sales is recognized upon delivery. Maintenance revenue is recognized ratably over the term of the maintenance agreement.</w:t>
      </w:r>
    </w:p>
    <w:p>
      <w:pPr>
        <w:spacing w:after="0" w:line="3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 significant portion of our revenue is recognized over the course of long-term implementation and integration projects under the percentage of completion method of accounting. When total cost estimates exceed revenues in a fixed-price arrangement, the estimated losses are recognized immediately based upon the cost applicable to the project. The percentage of completion method requires the exercise of judgment on a quarterly basis, such as with respect to estimates of progress-to-completion, contract revenue, loss contracts and contract costs. Progress in completing such projects may significantly affect our annual and quarterly operating results.</w:t>
      </w:r>
    </w:p>
    <w:p>
      <w:pPr>
        <w:spacing w:after="0" w:line="62"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We follow very specific and detailed guidelines, several of which are discussed above, in measuring revenue; however, certain judgments affect the application of our revenue recognition policy.</w:t>
      </w:r>
    </w:p>
    <w:p>
      <w:pPr>
        <w:spacing w:after="0" w:line="51"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Our revenue recognition policy takes into consideration the creditworthiness and past transaction history of each customer in determining the probability of collection as a criterion of revenue recognition. This determination requires the exercise of judgment, which affects our revenue recognition. If we determine that collection of a fee is not reasonably assured, we defer the revenue recognition until the time collection becomes reasonably assured.</w:t>
      </w:r>
    </w:p>
    <w:p>
      <w:pPr>
        <w:spacing w:after="0" w:line="2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For arrangements with multiple deliverables within the scope of software revenue recognition guidance, we allocate revenue to each component based upon its relative fair value, which is determined based on the Vendor Specific Objective Evidence (“VSOE”) of fair value for that element. Such determination is judgmental and for most contracts is based on normal pricing and discounting practices for those elements when sold separately in similar arrangements. In the absence of fair value for a delivered element, we use the residual method. The residual method requires that we first allocate revenue based on fair value to the undelivered elements and then the residual revenue is allocated to the delivered elements. If VSOE of any undelivered items does not exist, revenue from the entire arrangement is deferred and recognized at the earlier of (i) delivery of those elements for which VSOE does not exist or (ii) when VSOE can be established. However, in limited cases where maintenance is the only undelivered element without VSOE, the entire arrangement fee is recognized ratably upon commencement of the maintenance services. The residual method is used mainly in multiple element arrangements that include license for the sale of software solutions that do not require significant customization, modification and implementation and maintenance to determine the appropriate value for the license component. Under the guidance for revenue arrangements with multiple deliverables that are outside the scope of the software revenue recognition guidance, we allocate revenue to each element based upon the relative fair value. Fair value would be allocated by using a hierarchy of (1) VSOE, (2) third-party evidence of selling price for that element, or (3) estimated selling price, or ESP, for individual elements of an arrangement when VSOE or third-party evidence of selling price is unavailable. This results in the elimination of the residual method of allocating revenue consideration for non-software arrangements. We determine ESP for the purposes of allocating the consideration to individual elements of an arrangement by considering several external and internal factors including, but not limited to, pricing practices, margin objectives, geographies in which we offer our services and internal costs. The determination of ESP is judgmental and is made through consultation with and approval by management.</w:t>
      </w:r>
    </w:p>
    <w:p>
      <w:pPr>
        <w:spacing w:after="0" w:line="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Revenue from third-party hardware and software sales is recorded at a gross or net amount according to certain indicators. In certain arrangements, we may earn revenue from other third-party services which is recorded at a gross amount as we are the primary obligor under the arrangement. The application of these indicators for gross and net reporting of revenue depends on the relative facts and circumstances of each sale and requires significant judgment.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 Accounting</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our income tax expense in each of the jurisdictions in which we operate. In the ordinary course of a global business, there are many transactions and calculations where the ultimate tax outcome is uncertain. Some of these uncertainties arise as a consequence of revenue sharing and reimbursement arrangements among related entities, the process of identifying items of revenue and expenses that qualify for preferential tax treatment and segregation of foreign and domestic income and expense to avoid double taxation. We also assess temporary differences resulting from differing treatment of items, such as deferred revenue, for tax and accounting differences. These differences result in deferred tax assets and liabilities, which are included within our consolidated balance sheet. We may record a valuation allowance to reduce our deferred tax assets to the amount of future tax benefit that is more likely than not to be realized.</w:t>
      </w:r>
    </w:p>
    <w:p>
      <w:pPr>
        <w:spacing w:after="0" w:line="3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Although we believe that our estimates are reasonable and that we have considered future taxable income and ongoing prudent and feasible tax strategies in estimating our tax outcome and in assessing the need for the valuation allowance, there is no assurance that the final tax outcome and the valuation allowance will not be different than those that are reflected in our historical income tax provisions and accruals. Such differences could have a material effect on our income tax provision, net income and cash balances in the period in which such determination is made.</w:t>
      </w:r>
    </w:p>
    <w:p>
      <w:pPr>
        <w:spacing w:after="0" w:line="32"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We recognize the tax benefit from an uncertain tax position only if the weight of available evidence indicates that it is more likely than not that the position will be sustained on audit, including resolution of related appeals or litigation processes, if any. The tax benefits recognized in the financial statements from such a position should be measured based on the largest benefit that has a greater than 50% likelihood of being realized upon ultimate settlement.</w:t>
      </w:r>
    </w:p>
    <w:p>
      <w:pPr>
        <w:spacing w:after="0" w:line="2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Significant judgment is required in evaluating our uncertain tax positions and determining our provision for income taxes. Although we believe our reserves are reasonable, no assurance can be given that the final tax outcome of these matters will not be different from that which is reflected in our historical income tax provisions and accruals. We adjust these reserves in light of changing facts and circumstances, such as the closing of a tax audit, or changes in tax law. To the extent that the final tax outcome of these matters is different than the amounts recorded, such differences will affect the provision for income taxes in the period in which such determination is made. The provision for income taxes includes the effect of reserve provisions and changes to reserves that are considered appropriate, as well as the related net interest.</w:t>
      </w:r>
    </w:p>
    <w:p>
      <w:pPr>
        <w:spacing w:after="0" w:line="39"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 have filed or are in the process of filing tax returns that are subject to audit by the respective tax authorities. Although the ultimate outcome is unknown, we believe that any adjustments that may result from tax return audits are not likely to have a material, adverse effect on our consolidated results of operations, financial condition or cash flows.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accordance with business combination accounting, we allocate the purchase price of acquired companies to the tangible and intangible assets acquired and liabilities assumed, as well as to in-process research and development based on their estimated fair values. Such valuations require management to make significant estimates and assumptions, especially with respect to intangible assets.</w:t>
      </w:r>
    </w:p>
    <w:p>
      <w:pPr>
        <w:spacing w:after="0" w:line="59"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Although we believe the assumptions and estimates of fair value we have made in the past have been reasonable and appropriate, they are based in part on historical experience and information obtained from the management of the acquired companies and are inherently uncertain. Critical estimates in valuing certain assets acquired and liabilities assumed include, but are not limited to: future expected cash flows from license and service sales, maintenance, customer contracts and acquired developed technologies, expected costs to develop the in-process research and development into commercially viable products and estimated cash flows from the projects when completed and the acquired company’s brand awareness and discount rate. Unanticipated events and circumstances may occur that may affect the accuracy or validity of such assumptions, estimates or actual results.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As discussed above under “Tax Accounting,” we may establish a valuation allowance for certain deferred tax assets and estimate the value of uncertain tax positions of a newly acquired entity. This process requires significant judgment and analysis.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Share-based compensation cost is measured at the grant date based on the value of the award and is recognized as expense over the requisite service periods. We estimate the fair value of stock options using a Black-Scholes valuation model and value restricted stock based on the market value of the underlying shares at the date of grant. We recognize compensation costs using the graded vesting attribution method that results in an accelerated recognition of compensation costs in comparison to the straight line method.</w:t>
      </w:r>
    </w:p>
    <w:p>
      <w:pPr>
        <w:spacing w:after="0" w:line="6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fair value of an award is affected by our stock price on the date of grant and other assumptions, including the estimated volatility of our stock price over the term of the awards and the estimated period of time that we expect employees to hold their stock options. We use a combination of implied volatility of our traded options and historical stock price volatility (“blended volatility”) as the expected volatility assumption required in the Black-Scholes option valuation model. Share-based compensation expense recognized in our consolidated statements of income was reduced for estimated forfeitures.</w:t>
      </w:r>
    </w:p>
    <w:p>
      <w:pPr>
        <w:spacing w:after="0" w:line="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Determining the fair value of share-based awards at the grant date requires the exercise of judgment, including estimating expected dividends. In addition, the exercise of judgment is also required in estimating the amount of share-based awards that are expected to be forfeited. If actual results differ significantly from these estimates, share-based compensation expense and our results of operations could be materially affected. Please see Note 18 to our consolidated financial statements.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Intangible Assets and Long-Lived Assets — Impairment Assessment</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Goodwill is measured as the excess of the cost of a business acquisition over the sum of the amounts assigned to tangible and identifiable intangible assets acquired less liabilities assumed. Goodwill is subject to periodic impairment tests. Goodwill impairment is deemed to exist if the net book value of a reporting unit exceeds its estimated fair value. The goodwill impairment test involves a two-step process. The first step, identifying a potential impairment, compares the fair value of a reporting unit with its carrying amount, including goodwill. If the carrying value of the reporting unit exceeds its fair value, the second step would need to be conducted; otherwise, no further steps are necessary as no potential impairment exists. The second step, measuring the impairment loss, compares the implied fair value of the reporting unit goodwill with the carrying amount of that goodwill. Any excess of the reporting unit goodwill carrying value over the respective implied fair value is recognized as an impairment loss.</w:t>
      </w:r>
    </w:p>
    <w:p>
      <w:pPr>
        <w:spacing w:after="0" w:line="3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perform an annual goodwill impairment test during the fourth quarter of each fiscal year, or more frequently if impairment indicators are present. We operate in one operating segment, and this segment comprises our only reporting unit. In calculating the fair value of the reporting unit, we used our market capitalization and a discounted cash flow methodology. There was no impairment of goodwill in fiscal 2013, 2012 or 2011.</w:t>
      </w:r>
    </w:p>
    <w:p>
      <w:pPr>
        <w:spacing w:after="0" w:line="2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test long-lived assets, including definite life intangible assets, for impairment in the event an indication of impairment exists. Impairment indicators include any significant changes in the manner of our use of the assets or the strategy of our overall business, significant negative industry or economic trends and significant decline in our share price for a sustained period. If the sum of expected future cash flows (undiscounted and without interest charges) of the long-lived assets is less than the carrying amount of such assets, an impairment would be recognized and the assets would be written down to their estimated fair values, based on expected future discounted cash flows. There was no impairment of long-lived assets in fiscal 2013, 2012 or 2011.</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Derivative and Hedge Accounting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fiscal 2013, 2012 and 2011, approximately 70% to 80% of our revenue and 50% to 60% of our operating expenses were denominated in</w:t>
      </w:r>
    </w:p>
    <w:p>
      <w:pPr>
        <w:spacing w:after="0" w:line="38"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U.S. dollars or linked to the U.S. dollar. We enter into foreign exchange forward contracts and options to hedge a significant portion of our foreign currency net exposure resulting from</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459" w:right="2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revenue and expense in major foreign currencies in which we operate, in order to reduce the impact of foreign currency on our results. We also enter into foreign exchange forward contracts and options to reduce the impact of foreign currency on balance sheet items. The effective portion of changes in the fair value of forward exchange contracts and options that are classified as cash flow hedges are recorded in other comprehensive income (loss). We estimate the fair value of such derivative contracts by reference to forward and spot rates quoted in active markets.</w:t>
      </w:r>
    </w:p>
    <w:p>
      <w:pPr>
        <w:spacing w:after="0" w:line="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Establishing and accounting for foreign exchange contracts involve judgments, such as determining the fair value of the contracts, determining the nature of the exposure, assessing its amount and timing, and evaluating the effectiveness of the hedging arrangement.</w:t>
      </w:r>
    </w:p>
    <w:p>
      <w:pPr>
        <w:spacing w:after="0" w:line="51"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Although we believe that our estimates are accurate and meet the requirement of hedge accounting, if actual results differ from these estimates, such difference could cause fluctuation of our recorded revenue and expenses.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Measurement of Short-Term Interest-Bearing Investments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short-term interest-bearing investments are classified as available-for-sale securities and are stated at fair value in our consolidated balance sheets. Unrealized gains or losses are reported as a separate component of accumulated other comprehensive income (loss), net of tax. Such short-term interest-bearing investments consist primarily of money market funds, U.S. government treasuries, corporate bonds and U.S. agency securities. We believe we have conservative investment policy guidelines. Our interest-bearing investments are priced by pricing vendors and are classified as Level 1 or Level 2 investments, since these vendors either provide a quoted market price in an active market or use observable inputs such as quoted market prices for similar instruments, market dealer quotes, market spreads, non-binding market prices that are corroborated by observable market data and other observable market information and discounted cash flow techniques using observable market inputs. For securities with unrealized losses that we intend to sell or it is more likely than not that we will be required to sell the securities before recovery, the entire difference between amortized cost and fair value is recognized in earnings. For securities that we do not intend to sell and it is not more likely than not that we will be required to sell, we used a discounted cash flow analysis to determine the portion of the impairment that relates to credit losses. To the extent that the net present value of the projected cash flows was less than the amortized cost of the security, the difference is considered a credit loss and is recorded through earnings. The inputs on the future performance of the underlying assets used in the cash flow models include prepayments, defaults and loss severity assumptions. The other-than-temporary impairment on our short-term interest-bearing investments was immaterial during fiscal 2013, 2012 and 2011.</w:t>
      </w:r>
    </w:p>
    <w:p>
      <w:pPr>
        <w:spacing w:after="0" w:line="4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Given the relative reliability of the inputs we use to value our investment portfolio, and because substantially all of our valuation inputs are obtained using quoted market price in an active market or observable inputs, we do not believe that the nature of estimates and assumptions affected by levels of subjectivity and judgment was material to the valuation of the investment portfolio as of September 30, 2013.</w:t>
      </w:r>
    </w:p>
    <w:p>
      <w:pPr>
        <w:spacing w:after="0" w:line="59" w:lineRule="exact"/>
        <w:rPr>
          <w:sz w:val="20"/>
          <w:szCs w:val="20"/>
          <w:color w:val="auto"/>
        </w:rPr>
      </w:pPr>
    </w:p>
    <w:p>
      <w:pPr>
        <w:jc w:val="both"/>
        <w:ind w:right="60" w:firstLine="456"/>
        <w:spacing w:after="0" w:line="268" w:lineRule="auto"/>
        <w:rPr>
          <w:sz w:val="20"/>
          <w:szCs w:val="20"/>
          <w:color w:val="auto"/>
        </w:rPr>
      </w:pPr>
      <w:r>
        <w:rPr>
          <w:rFonts w:ascii="Arial" w:cs="Arial" w:eastAsia="Arial" w:hAnsi="Arial"/>
          <w:sz w:val="18"/>
          <w:szCs w:val="18"/>
          <w:color w:val="auto"/>
        </w:rPr>
        <w:t>It is possible that the valuation of the securities will further fluctuate, and as market conditions change, we may determine that unrealized losses, which are currently considered temporary in nature, may become “other than temporary” resulting in additional impairment charges.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Accounts Receivable Reserves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allowance for doubtful accounts is for estimated losses resulting from accounts receivable for which their collection is not reasonably assured. We evaluate accounts receivable to determine if they will ultimately be collected. Significant judgments and estimates are involved in performing this evaluation, which we base on factors that may affect a customer’s ability and intent to pay, such as past experience, credit quality of the customer, age of the receivable balance and current economic conditions. If collection is not reasonably assured at the time the transaction is consummated, we do not recognize revenue until collection becomes reasonably assured. If we estimate that our customers’ ability and intent to make payments have been impaired, additional allowances may be required. We regularly review the allowance for doubtful accounts by considering factors that may affect a customer’s ability to pay, such as historical experience, credit quality, age of the accounts receivable balances, and current economic conditions.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Within the context of these critical accounting policies, we are not currently aware of any reasonably likely events or circumstances that would result in materially different amounts being reported.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96" w:lineRule="exact"/>
        <w:rPr>
          <w:sz w:val="20"/>
          <w:szCs w:val="20"/>
          <w:color w:val="auto"/>
        </w:rPr>
      </w:pPr>
    </w:p>
    <w:p>
      <w:pPr>
        <w:ind w:right="380" w:firstLine="456"/>
        <w:spacing w:after="0" w:line="255" w:lineRule="auto"/>
        <w:rPr>
          <w:sz w:val="20"/>
          <w:szCs w:val="20"/>
          <w:color w:val="auto"/>
        </w:rPr>
      </w:pPr>
      <w:r>
        <w:rPr>
          <w:rFonts w:ascii="Arial" w:cs="Arial" w:eastAsia="Arial" w:hAnsi="Arial"/>
          <w:sz w:val="18"/>
          <w:szCs w:val="18"/>
          <w:color w:val="auto"/>
        </w:rPr>
        <w:t>In July 2013, the Financial Accounting Standards Board, or FASB, issued an accounting standard update, under which an entity must present an unrecognized tax benefit, or a portion of an unrecognized tax benefit, in the financial statements as a reduction to a deferred tax asset for a net operating loss carryforward, a similar tax loss, or a tax credit carryforward, in the absence of certain conditions. This accounting standard update will be effective for us on October 1, 2014, and may result in changes in our financial statements presentation but will not affect the substantive content of our consolidated financial statements.</w:t>
      </w:r>
    </w:p>
    <w:p>
      <w:pPr>
        <w:spacing w:after="0" w:line="62"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In February 2013, the FASB issued an accounting standard update to require reclassification adjustments from other comprehensive income to be presented either in the financial statements or in the notes to the financial statements. This accounting standard update became effective for us in the first quarter of fiscal 2014 and will result in additional disclosures in our financial statements but will not affect the substantive content of our consolidated financial statements.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Standards</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September 2011, the FASB issued a revised accounting standard update intended to simplify how an entity tests goodwill for impairment. The amendment allows an entity to first assess qualitative factors to determine whether it is necessary to perform the two-step quantitative goodwill impairment test. An entity no longer is required to calculate the fair value of a reporting unit unless the entity determines, based on a qualitative assessment, that it is more likely than not that its fair value is less than its carrying amount. This accounting standard update became effective for us in the first quarter of fiscal 2013, and its adoption did not have any impact on the result of our annual goodwill impairment test or our consolidated financial statements.</w:t>
      </w:r>
    </w:p>
    <w:p>
      <w:pPr>
        <w:spacing w:after="0" w:line="3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June 2011, the FASB issued guidance to require an entity to present the components of other comprehensive income either in a single continuous statement of comprehensive income or in two separate but consecutive statements, thus eliminating the option to present the components of other comprehensive income as part of the statement of equity. We adopted this guidance in the first quarter of fiscal 2013 by including the required disclosures in two separate but consecutive statements.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DIRECTORS, SENIOR MANAGEMENT AND EMPLOYEES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Senior Management</w:t>
      </w:r>
    </w:p>
    <w:p>
      <w:pPr>
        <w:spacing w:after="0" w:line="9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We rely on the executive officers of our principal operating subsidiaries to manage our business. In addition, Amdocs Management Limited, our management subsidiary, performs certain executive coordination functions for all of our operating subsidiaries. Bruce K. Anderson, who was Chairman of our board of directors from September 1997 to September 2011 and a director since 1997, resigned from our board of directors effective November 6, 2012. As of November 30, 2013, our directors and officers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52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w w:val="75"/>
              </w:rPr>
              <w:t>Age</w:t>
            </w:r>
          </w:p>
        </w:tc>
        <w:tc>
          <w:tcPr>
            <w:tcW w:w="5460" w:type="dxa"/>
            <w:vAlign w:val="bottom"/>
            <w:gridSpan w:val="3"/>
          </w:tcPr>
          <w:p>
            <w:pPr>
              <w:ind w:left="32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5280" w:type="dxa"/>
            <w:vAlign w:val="bottom"/>
            <w:vMerge w:val="restart"/>
          </w:tcPr>
          <w:p>
            <w:pPr>
              <w:ind w:left="140"/>
              <w:spacing w:after="0"/>
              <w:rPr>
                <w:sz w:val="20"/>
                <w:szCs w:val="20"/>
                <w:color w:val="auto"/>
              </w:rPr>
            </w:pPr>
            <w:r>
              <w:rPr>
                <w:rFonts w:ascii="Arial" w:cs="Arial" w:eastAsia="Arial" w:hAnsi="Arial"/>
                <w:sz w:val="18"/>
                <w:szCs w:val="18"/>
                <w:color w:val="auto"/>
              </w:rPr>
              <w:t>A. Minicucci</w:t>
            </w: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80" w:type="dxa"/>
            <w:vAlign w:val="bottom"/>
          </w:tcPr>
          <w:p>
            <w:pPr>
              <w:spacing w:after="0"/>
              <w:rPr>
                <w:sz w:val="20"/>
                <w:szCs w:val="20"/>
                <w:color w:val="auto"/>
              </w:rPr>
            </w:pPr>
            <w:r>
              <w:rPr>
                <w:rFonts w:ascii="Arial" w:cs="Arial" w:eastAsia="Arial" w:hAnsi="Arial"/>
                <w:sz w:val="16"/>
                <w:szCs w:val="16"/>
                <w:color w:val="auto"/>
                <w:w w:val="74"/>
              </w:rPr>
              <w:t>Robert</w:t>
            </w:r>
          </w:p>
        </w:tc>
        <w:tc>
          <w:tcPr>
            <w:tcW w:w="5280" w:type="dxa"/>
            <w:vAlign w:val="bottom"/>
            <w:vMerge w:val="continue"/>
          </w:tcPr>
          <w:p>
            <w:pPr>
              <w:spacing w:after="0"/>
              <w:rPr>
                <w:sz w:val="16"/>
                <w:szCs w:val="16"/>
                <w:color w:val="auto"/>
              </w:rPr>
            </w:pPr>
          </w:p>
        </w:tc>
        <w:tc>
          <w:tcPr>
            <w:tcW w:w="220" w:type="dxa"/>
            <w:vAlign w:val="bottom"/>
          </w:tcPr>
          <w:p>
            <w:pPr>
              <w:jc w:val="right"/>
              <w:spacing w:after="0" w:line="195" w:lineRule="exact"/>
              <w:rPr>
                <w:sz w:val="20"/>
                <w:szCs w:val="20"/>
                <w:color w:val="auto"/>
              </w:rPr>
            </w:pPr>
            <w:r>
              <w:rPr>
                <w:rFonts w:ascii="Arial" w:cs="Arial" w:eastAsia="Arial" w:hAnsi="Arial"/>
                <w:sz w:val="18"/>
                <w:szCs w:val="18"/>
                <w:color w:val="auto"/>
                <w:w w:val="99"/>
              </w:rPr>
              <w:t>61</w:t>
            </w:r>
          </w:p>
        </w:tc>
        <w:tc>
          <w:tcPr>
            <w:tcW w:w="5460" w:type="dxa"/>
            <w:vAlign w:val="bottom"/>
            <w:gridSpan w:val="3"/>
          </w:tcPr>
          <w:p>
            <w:pPr>
              <w:ind w:left="320"/>
              <w:spacing w:after="0" w:line="195" w:lineRule="exact"/>
              <w:rPr>
                <w:sz w:val="20"/>
                <w:szCs w:val="20"/>
                <w:color w:val="auto"/>
              </w:rPr>
            </w:pPr>
            <w:r>
              <w:rPr>
                <w:rFonts w:ascii="Arial" w:cs="Arial" w:eastAsia="Arial" w:hAnsi="Arial"/>
                <w:sz w:val="18"/>
                <w:szCs w:val="18"/>
                <w:color w:val="auto"/>
              </w:rPr>
              <w:t>Chairman of the Board, Amdocs Limited</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Adrian Gardner(1)</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51</w:t>
            </w:r>
          </w:p>
        </w:tc>
        <w:tc>
          <w:tcPr>
            <w:tcW w:w="5460" w:type="dxa"/>
            <w:vAlign w:val="bottom"/>
            <w:gridSpan w:val="3"/>
          </w:tcPr>
          <w:p>
            <w:pPr>
              <w:ind w:left="320"/>
              <w:spacing w:after="0"/>
              <w:rPr>
                <w:sz w:val="20"/>
                <w:szCs w:val="20"/>
                <w:color w:val="auto"/>
              </w:rPr>
            </w:pPr>
            <w:r>
              <w:rPr>
                <w:rFonts w:ascii="Arial" w:cs="Arial" w:eastAsia="Arial" w:hAnsi="Arial"/>
                <w:sz w:val="18"/>
                <w:szCs w:val="18"/>
                <w:color w:val="auto"/>
              </w:rPr>
              <w:t>Director and Chairman of the Audit Committee, Amdocs Limited</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John T. McLennan(2)</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68</w:t>
            </w:r>
          </w:p>
        </w:tc>
        <w:tc>
          <w:tcPr>
            <w:tcW w:w="5460" w:type="dxa"/>
            <w:vAlign w:val="bottom"/>
            <w:gridSpan w:val="3"/>
          </w:tcPr>
          <w:p>
            <w:pPr>
              <w:ind w:left="320"/>
              <w:spacing w:after="0"/>
              <w:rPr>
                <w:sz w:val="20"/>
                <w:szCs w:val="20"/>
                <w:color w:val="auto"/>
              </w:rPr>
            </w:pPr>
            <w:r>
              <w:rPr>
                <w:rFonts w:ascii="Arial" w:cs="Arial" w:eastAsia="Arial" w:hAnsi="Arial"/>
                <w:sz w:val="18"/>
                <w:szCs w:val="18"/>
                <w:color w:val="auto"/>
                <w:w w:val="87"/>
              </w:rPr>
              <w:t>Director and Chairman of the Management Resources and Compensation</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60" w:type="dxa"/>
            <w:vAlign w:val="bottom"/>
            <w:gridSpan w:val="3"/>
          </w:tcPr>
          <w:p>
            <w:pPr>
              <w:ind w:left="320"/>
              <w:spacing w:after="0"/>
              <w:rPr>
                <w:sz w:val="20"/>
                <w:szCs w:val="20"/>
                <w:color w:val="auto"/>
              </w:rPr>
            </w:pPr>
            <w:r>
              <w:rPr>
                <w:rFonts w:ascii="Arial" w:cs="Arial" w:eastAsia="Arial" w:hAnsi="Arial"/>
                <w:sz w:val="18"/>
                <w:szCs w:val="18"/>
                <w:color w:val="auto"/>
              </w:rPr>
              <w:t>Committee, Amdocs Limited</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Simon Olswang(1)(3)</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69</w:t>
            </w:r>
          </w:p>
        </w:tc>
        <w:tc>
          <w:tcPr>
            <w:tcW w:w="5460" w:type="dxa"/>
            <w:vAlign w:val="bottom"/>
            <w:gridSpan w:val="3"/>
          </w:tcPr>
          <w:p>
            <w:pPr>
              <w:ind w:left="320"/>
              <w:spacing w:after="0"/>
              <w:rPr>
                <w:sz w:val="20"/>
                <w:szCs w:val="20"/>
                <w:color w:val="auto"/>
              </w:rPr>
            </w:pPr>
            <w:r>
              <w:rPr>
                <w:rFonts w:ascii="Arial" w:cs="Arial" w:eastAsia="Arial" w:hAnsi="Arial"/>
                <w:sz w:val="18"/>
                <w:szCs w:val="18"/>
                <w:color w:val="auto"/>
                <w:w w:val="93"/>
              </w:rPr>
              <w:t>Director and Chairman of the Nominating and Corporate Governance</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60" w:type="dxa"/>
            <w:vAlign w:val="bottom"/>
            <w:gridSpan w:val="3"/>
          </w:tcPr>
          <w:p>
            <w:pPr>
              <w:ind w:left="320"/>
              <w:spacing w:after="0"/>
              <w:rPr>
                <w:sz w:val="20"/>
                <w:szCs w:val="20"/>
                <w:color w:val="auto"/>
              </w:rPr>
            </w:pPr>
            <w:r>
              <w:rPr>
                <w:rFonts w:ascii="Arial" w:cs="Arial" w:eastAsia="Arial" w:hAnsi="Arial"/>
                <w:sz w:val="18"/>
                <w:szCs w:val="18"/>
                <w:color w:val="auto"/>
              </w:rPr>
              <w:t>Committee, Amdocs Limited</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Zohar Zisapel(2)(4)</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64</w:t>
            </w:r>
          </w:p>
        </w:tc>
        <w:tc>
          <w:tcPr>
            <w:tcW w:w="5460" w:type="dxa"/>
            <w:vAlign w:val="bottom"/>
            <w:gridSpan w:val="3"/>
          </w:tcPr>
          <w:p>
            <w:pPr>
              <w:ind w:left="320"/>
              <w:spacing w:after="0"/>
              <w:rPr>
                <w:sz w:val="20"/>
                <w:szCs w:val="20"/>
                <w:color w:val="auto"/>
              </w:rPr>
            </w:pPr>
            <w:r>
              <w:rPr>
                <w:rFonts w:ascii="Arial" w:cs="Arial" w:eastAsia="Arial" w:hAnsi="Arial"/>
                <w:sz w:val="18"/>
                <w:szCs w:val="18"/>
                <w:color w:val="auto"/>
                <w:w w:val="93"/>
              </w:rPr>
              <w:t>Director and Chairman of the Technology and Innovation Committee,</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60" w:type="dxa"/>
            <w:vAlign w:val="bottom"/>
            <w:gridSpan w:val="3"/>
          </w:tcPr>
          <w:p>
            <w:pPr>
              <w:ind w:left="320"/>
              <w:spacing w:after="0"/>
              <w:rPr>
                <w:sz w:val="20"/>
                <w:szCs w:val="20"/>
                <w:color w:val="auto"/>
              </w:rPr>
            </w:pPr>
            <w:r>
              <w:rPr>
                <w:rFonts w:ascii="Arial" w:cs="Arial" w:eastAsia="Arial" w:hAnsi="Arial"/>
                <w:sz w:val="18"/>
                <w:szCs w:val="18"/>
                <w:color w:val="auto"/>
              </w:rPr>
              <w:t>Amdocs Limited</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Julian A. Brodsky(1)(3)</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80</w:t>
            </w:r>
          </w:p>
        </w:tc>
        <w:tc>
          <w:tcPr>
            <w:tcW w:w="5460" w:type="dxa"/>
            <w:vAlign w:val="bottom"/>
            <w:gridSpan w:val="3"/>
          </w:tcPr>
          <w:p>
            <w:pPr>
              <w:ind w:left="320"/>
              <w:spacing w:after="0"/>
              <w:rPr>
                <w:sz w:val="20"/>
                <w:szCs w:val="20"/>
                <w:color w:val="auto"/>
              </w:rPr>
            </w:pPr>
            <w:r>
              <w:rPr>
                <w:rFonts w:ascii="Arial" w:cs="Arial" w:eastAsia="Arial" w:hAnsi="Arial"/>
                <w:sz w:val="18"/>
                <w:szCs w:val="18"/>
                <w:color w:val="auto"/>
              </w:rPr>
              <w:t>Director, Amdocs Limited</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James S. Kahan(3)</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66</w:t>
            </w:r>
          </w:p>
        </w:tc>
        <w:tc>
          <w:tcPr>
            <w:tcW w:w="5460" w:type="dxa"/>
            <w:vAlign w:val="bottom"/>
            <w:gridSpan w:val="3"/>
          </w:tcPr>
          <w:p>
            <w:pPr>
              <w:ind w:left="320"/>
              <w:spacing w:after="0"/>
              <w:rPr>
                <w:sz w:val="20"/>
                <w:szCs w:val="20"/>
                <w:color w:val="auto"/>
              </w:rPr>
            </w:pPr>
            <w:r>
              <w:rPr>
                <w:rFonts w:ascii="Arial" w:cs="Arial" w:eastAsia="Arial" w:hAnsi="Arial"/>
                <w:sz w:val="18"/>
                <w:szCs w:val="18"/>
                <w:color w:val="auto"/>
              </w:rPr>
              <w:t>Director, Amdocs Limited</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Richard T.C. LeFave(1)(2)</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61</w:t>
            </w:r>
          </w:p>
        </w:tc>
        <w:tc>
          <w:tcPr>
            <w:tcW w:w="5460" w:type="dxa"/>
            <w:vAlign w:val="bottom"/>
            <w:gridSpan w:val="3"/>
          </w:tcPr>
          <w:p>
            <w:pPr>
              <w:ind w:left="320"/>
              <w:spacing w:after="0"/>
              <w:rPr>
                <w:sz w:val="20"/>
                <w:szCs w:val="20"/>
                <w:color w:val="auto"/>
              </w:rPr>
            </w:pPr>
            <w:r>
              <w:rPr>
                <w:rFonts w:ascii="Arial" w:cs="Arial" w:eastAsia="Arial" w:hAnsi="Arial"/>
                <w:sz w:val="18"/>
                <w:szCs w:val="18"/>
                <w:color w:val="auto"/>
              </w:rPr>
              <w:t>Director, Amdocs Limited</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Giora Yaron(4)</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65</w:t>
            </w:r>
          </w:p>
        </w:tc>
        <w:tc>
          <w:tcPr>
            <w:tcW w:w="5460" w:type="dxa"/>
            <w:vAlign w:val="bottom"/>
            <w:gridSpan w:val="3"/>
          </w:tcPr>
          <w:p>
            <w:pPr>
              <w:ind w:left="320"/>
              <w:spacing w:after="0"/>
              <w:rPr>
                <w:sz w:val="20"/>
                <w:szCs w:val="20"/>
                <w:color w:val="auto"/>
              </w:rPr>
            </w:pPr>
            <w:r>
              <w:rPr>
                <w:rFonts w:ascii="Arial" w:cs="Arial" w:eastAsia="Arial" w:hAnsi="Arial"/>
                <w:sz w:val="18"/>
                <w:szCs w:val="18"/>
                <w:color w:val="auto"/>
              </w:rPr>
              <w:t>Director, Amdocs Limited</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Eli Gelman</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55</w:t>
            </w:r>
          </w:p>
        </w:tc>
        <w:tc>
          <w:tcPr>
            <w:tcW w:w="5460" w:type="dxa"/>
            <w:vAlign w:val="bottom"/>
            <w:gridSpan w:val="3"/>
          </w:tcPr>
          <w:p>
            <w:pPr>
              <w:ind w:left="320"/>
              <w:spacing w:after="0"/>
              <w:rPr>
                <w:sz w:val="20"/>
                <w:szCs w:val="20"/>
                <w:color w:val="auto"/>
              </w:rPr>
            </w:pPr>
            <w:r>
              <w:rPr>
                <w:rFonts w:ascii="Arial" w:cs="Arial" w:eastAsia="Arial" w:hAnsi="Arial"/>
                <w:sz w:val="18"/>
                <w:szCs w:val="18"/>
                <w:color w:val="auto"/>
                <w:w w:val="99"/>
              </w:rPr>
              <w:t>Director, Amdocs Limited; President and Chief Executive Officer,</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60" w:type="dxa"/>
            <w:vAlign w:val="bottom"/>
            <w:gridSpan w:val="3"/>
          </w:tcPr>
          <w:p>
            <w:pPr>
              <w:ind w:left="320"/>
              <w:spacing w:after="0"/>
              <w:rPr>
                <w:sz w:val="20"/>
                <w:szCs w:val="20"/>
                <w:color w:val="auto"/>
              </w:rPr>
            </w:pPr>
            <w:r>
              <w:rPr>
                <w:rFonts w:ascii="Arial" w:cs="Arial" w:eastAsia="Arial" w:hAnsi="Arial"/>
                <w:sz w:val="18"/>
                <w:szCs w:val="18"/>
                <w:color w:val="auto"/>
              </w:rPr>
              <w:t>Amdocs Management Limited</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Tamar Rapaport-Dagim</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42</w:t>
            </w:r>
          </w:p>
        </w:tc>
        <w:tc>
          <w:tcPr>
            <w:tcW w:w="5460" w:type="dxa"/>
            <w:vAlign w:val="bottom"/>
            <w:gridSpan w:val="3"/>
          </w:tcPr>
          <w:p>
            <w:pPr>
              <w:ind w:left="320"/>
              <w:spacing w:after="0"/>
              <w:rPr>
                <w:sz w:val="20"/>
                <w:szCs w:val="20"/>
                <w:color w:val="auto"/>
              </w:rPr>
            </w:pPr>
            <w:r>
              <w:rPr>
                <w:rFonts w:ascii="Arial" w:cs="Arial" w:eastAsia="Arial" w:hAnsi="Arial"/>
                <w:sz w:val="18"/>
                <w:szCs w:val="18"/>
                <w:color w:val="auto"/>
                <w:w w:val="89"/>
              </w:rPr>
              <w:t>Senior Vice President and Chief Financial Officer, Amdocs Management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60" w:type="dxa"/>
            <w:vAlign w:val="bottom"/>
            <w:gridSpan w:val="3"/>
          </w:tcPr>
          <w:p>
            <w:pPr>
              <w:ind w:left="320"/>
              <w:spacing w:after="0"/>
              <w:rPr>
                <w:sz w:val="20"/>
                <w:szCs w:val="20"/>
                <w:color w:val="auto"/>
              </w:rPr>
            </w:pPr>
            <w:r>
              <w:rPr>
                <w:rFonts w:ascii="Arial" w:cs="Arial" w:eastAsia="Arial" w:hAnsi="Arial"/>
                <w:sz w:val="18"/>
                <w:szCs w:val="18"/>
                <w:color w:val="auto"/>
              </w:rPr>
              <w:t>Limited</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Shuky Sheffer</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53</w:t>
            </w:r>
          </w:p>
        </w:tc>
        <w:tc>
          <w:tcPr>
            <w:tcW w:w="5460" w:type="dxa"/>
            <w:vAlign w:val="bottom"/>
            <w:gridSpan w:val="3"/>
          </w:tcPr>
          <w:p>
            <w:pPr>
              <w:ind w:left="320"/>
              <w:spacing w:after="0"/>
              <w:rPr>
                <w:sz w:val="20"/>
                <w:szCs w:val="20"/>
                <w:color w:val="auto"/>
              </w:rPr>
            </w:pPr>
            <w:r>
              <w:rPr>
                <w:rFonts w:ascii="Arial" w:cs="Arial" w:eastAsia="Arial" w:hAnsi="Arial"/>
                <w:sz w:val="18"/>
                <w:szCs w:val="18"/>
                <w:color w:val="auto"/>
                <w:w w:val="96"/>
              </w:rPr>
              <w:t>Senior Vice President and President of Customer Business Group,</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60" w:type="dxa"/>
            <w:vAlign w:val="bottom"/>
            <w:gridSpan w:val="3"/>
          </w:tcPr>
          <w:p>
            <w:pPr>
              <w:ind w:left="320"/>
              <w:spacing w:after="0"/>
              <w:rPr>
                <w:sz w:val="20"/>
                <w:szCs w:val="20"/>
                <w:color w:val="auto"/>
              </w:rPr>
            </w:pPr>
            <w:r>
              <w:rPr>
                <w:rFonts w:ascii="Arial" w:cs="Arial" w:eastAsia="Arial" w:hAnsi="Arial"/>
                <w:sz w:val="18"/>
                <w:szCs w:val="18"/>
                <w:color w:val="auto"/>
              </w:rPr>
              <w:t>Amdocs Management Limited</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Anshoo Gaur</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45</w:t>
            </w:r>
          </w:p>
        </w:tc>
        <w:tc>
          <w:tcPr>
            <w:tcW w:w="5460" w:type="dxa"/>
            <w:vAlign w:val="bottom"/>
            <w:gridSpan w:val="3"/>
          </w:tcPr>
          <w:p>
            <w:pPr>
              <w:ind w:left="320"/>
              <w:spacing w:after="0"/>
              <w:rPr>
                <w:sz w:val="20"/>
                <w:szCs w:val="20"/>
                <w:color w:val="auto"/>
              </w:rPr>
            </w:pPr>
            <w:r>
              <w:rPr>
                <w:rFonts w:ascii="Arial" w:cs="Arial" w:eastAsia="Arial" w:hAnsi="Arial"/>
                <w:sz w:val="18"/>
                <w:szCs w:val="18"/>
                <w:color w:val="auto"/>
              </w:rPr>
              <w:t>Division President, Amdocs Development Center India Pvt. Ltd.</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Elizabeth W. McDermon</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36</w:t>
            </w:r>
          </w:p>
        </w:tc>
        <w:tc>
          <w:tcPr>
            <w:tcW w:w="5460" w:type="dxa"/>
            <w:vAlign w:val="bottom"/>
            <w:gridSpan w:val="3"/>
          </w:tcPr>
          <w:p>
            <w:pPr>
              <w:ind w:left="320"/>
              <w:spacing w:after="0"/>
              <w:rPr>
                <w:sz w:val="20"/>
                <w:szCs w:val="20"/>
                <w:color w:val="auto"/>
              </w:rPr>
            </w:pPr>
            <w:r>
              <w:rPr>
                <w:rFonts w:ascii="Arial" w:cs="Arial" w:eastAsia="Arial" w:hAnsi="Arial"/>
                <w:sz w:val="18"/>
                <w:szCs w:val="18"/>
                <w:color w:val="auto"/>
                <w:w w:val="92"/>
              </w:rPr>
              <w:t>Secretary, Amdocs Limited; Vice President of Corporate Strategy and</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60" w:type="dxa"/>
            <w:vAlign w:val="bottom"/>
            <w:gridSpan w:val="3"/>
          </w:tcPr>
          <w:p>
            <w:pPr>
              <w:ind w:left="320"/>
              <w:spacing w:after="0"/>
              <w:rPr>
                <w:sz w:val="20"/>
                <w:szCs w:val="20"/>
                <w:color w:val="auto"/>
              </w:rPr>
            </w:pPr>
            <w:r>
              <w:rPr>
                <w:rFonts w:ascii="Arial" w:cs="Arial" w:eastAsia="Arial" w:hAnsi="Arial"/>
                <w:sz w:val="18"/>
                <w:szCs w:val="18"/>
                <w:color w:val="auto"/>
              </w:rPr>
              <w:t>Investor Relations, Amdocs Inc.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94361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Member of the Management Resources and Compensation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Member of the Technology and Innovation Committee</w:t>
      </w:r>
    </w:p>
    <w:p>
      <w:pPr>
        <w:spacing w:after="0" w:line="84"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Robert A. Minicucci has been Chairman of the Board of Directors of Amdocs since October 2011 and a director since September 1997. He has been a general partner of Welsh, Carson, Anderson &amp; Stowe, or WCAS, an investment firm that specializes in the acquisition of companies in the information and business services and health care industries, since 1993. Until September 2003, investment partnerships affiliated with WCAS had been among our largest shareholders. From 1992 to 1993, Mr. Minicucci served as Senior Vice President and Chief Financial Officer of First Data Corporation, a provider of information processing and related services for credit card and other payment transactions. From 1991 to 1992, he served as Senior Vice President and Treasurer of the American Express Company. He served for 12 years with Lehman Brothers (and its predecessors) until his resignation as a Managing Director in 1991.</w:t>
      </w:r>
    </w:p>
    <w:p>
      <w:pPr>
        <w:spacing w:after="0" w:line="1" w:lineRule="exact"/>
        <w:rPr>
          <w:sz w:val="20"/>
          <w:szCs w:val="20"/>
          <w:color w:val="auto"/>
        </w:rPr>
      </w:pPr>
    </w:p>
    <w:p>
      <w:pPr>
        <w:ind w:right="1000"/>
        <w:spacing w:after="0" w:line="323" w:lineRule="auto"/>
        <w:rPr>
          <w:sz w:val="20"/>
          <w:szCs w:val="20"/>
          <w:color w:val="auto"/>
        </w:rPr>
      </w:pPr>
      <w:r>
        <w:rPr>
          <w:rFonts w:ascii="Arial" w:cs="Arial" w:eastAsia="Arial" w:hAnsi="Arial"/>
          <w:sz w:val="16"/>
          <w:szCs w:val="16"/>
          <w:color w:val="auto"/>
        </w:rPr>
        <w:t>Mr. Minicucci is also a director of two other publicly-held companies: Alliance Data Systems, Inc. and Retalix Ltd., and several private companies. Mr. Minicucci’s career in information technology investing, including as a director of more than twenty different public and private</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459" w:right="2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companies, and his experience as chief financial officer to a public company and treasurer of another public company, have provided him with strong business acumen and strategic and financial expertise.</w:t>
      </w:r>
    </w:p>
    <w:p>
      <w:pPr>
        <w:spacing w:after="0" w:line="5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Adrian Gardner has been a director of Amdocs since April 1998 and is Chairman of the Audit Committee. As of January 2014, Mr. Gardner will serve as Chief Financial Officer of International Personal Finance plc, an international home credit business. Mr. Gardner was Chief Financial Officer and a director of RSM Tenon Group PLC, a London-based accounting and advisory firm listed on the London Stock Exchange, from October 2011 until the acquisition in August 2013 of its operating subsidiaries by Baker Tilly UK Holdings Limited. Mr. Gardner currently serves as Chief Financial Officer and as a director of the former principal operating subsidiary, which has been renamed Baker Tilly Business Services Limited. From March 2011 to October 2011, Mr. Gardner was a private investor. Mr. Gardner was Chief Financial Officer of PA Consulting Group, a London-based business consulting firm from November 2007 to March 2011. From April until November 2007, Mr. Gardner was a private investor. Mr. Gardner was Chief Financial Officer of ProStrakan Group plc, a pharmaceuticals company based in the United Kingdom and listed on the London Stock Exchange, from 2002 until April 2007 and a director from April 2002 until June 2007. Prior to joining ProStrakan, he was a Managing Director of Lazard LLC, based in London, where he worked with technology and telecommunications-related companies. Prior to joining Lazard in 1989, Mr. Gardner qualified as a chartered accountant with Price Waterhouse (now PricewaterhouseCoopers). Mr. Gardner is a member of the Institute of Chartered Accountants in England &amp; Wales. Mr. Gardner’s extensive experience as an accountant, technology investment banker and chief financial officer enables him to make valuable contributions to our strategic and financial affairs.</w:t>
      </w:r>
    </w:p>
    <w:p>
      <w:pPr>
        <w:spacing w:after="0" w:line="43" w:lineRule="exact"/>
        <w:rPr>
          <w:sz w:val="20"/>
          <w:szCs w:val="20"/>
          <w:color w:val="auto"/>
        </w:rPr>
      </w:pPr>
    </w:p>
    <w:p>
      <w:pPr>
        <w:jc w:val="both"/>
        <w:ind w:right="180" w:firstLine="456"/>
        <w:spacing w:after="0" w:line="302" w:lineRule="auto"/>
        <w:rPr>
          <w:sz w:val="20"/>
          <w:szCs w:val="20"/>
          <w:color w:val="auto"/>
        </w:rPr>
      </w:pPr>
      <w:r>
        <w:rPr>
          <w:rFonts w:ascii="Arial" w:cs="Arial" w:eastAsia="Arial" w:hAnsi="Arial"/>
          <w:sz w:val="15"/>
          <w:szCs w:val="15"/>
          <w:color w:val="auto"/>
        </w:rPr>
        <w:t>John T. McLennan has been a director of Amdocs since November 1999 and is Chairman of the Management Resources and Compensation Committee. From May 2000 until June 2004, he served as Vice-Chair and Chief Executive Officer of Allstream (formerly AT&amp;T Canada). Mr. McLennan founded and was the President of Jenmark Consulting Inc. from 1997 until May 2000. From 1993 to 1997, Mr. McLennan served as the President and Chief Executive Officer of Bell Canada. Prior to that, he held various positions at several telecommunications companies, including BCE Mobile Communications and Cantel Inc.</w:t>
      </w:r>
    </w:p>
    <w:p>
      <w:pPr>
        <w:spacing w:after="0" w:line="3"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Mr. McLennan is also a director of Air Canada Jazz, a publicly-held regional airline company, Chairman of Emera Inc., a Canadian publicly-held energy services company, and director of Nova Scotia Power Inc., a wholly-owned subsidiary of Emera Inc. From 2005 to 2008, Mr. McLennan also served as a director of Medisys Inc., a healthcare management company. We believe Mr. McLennan’s qualifications to sit on our board of directors include his years of experience in the telecommunications industry, including as chief executive officer of a leading Canadian telecommunications provider, and his experience providing strategic advice to complex organizations across a variety of industries, including as a public company director.</w:t>
      </w:r>
    </w:p>
    <w:p>
      <w:pPr>
        <w:spacing w:after="0" w:line="3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Simon Olswang has been a director of Amdocs since November 2004 and is Chairman of the Nominating and Corporate Governance Committee. In 2002, Mr. Olswang retired as Chairman of Olswang, a media and communications law firm in the United Kingdom that he founded in 1981. He is a member of the Advisory Board of Palamon Capital Partners LLP and of the board of directors of Amiad Filtration Systems Limited, an Israeli company listed on the London AIM market, which is active in the clean water industry. In May 2012, Mr. Olswang was appointed a Trustee of Tel Hai Academic College. Mr. Olswang was a member of the board of directors of The British Library until March 2008 and has served as a non-executive director of a number of companies and organizations, including Aegis Group plc, The Press Association and the British Film Institute. Mr. Olswang previously served as Trustee of Langdon College of Further (Special) Education in Salford, of which he is a co-founder. We believe Mr. Olswang’s qualifications to sit on our board of directors include his extensive experience providing strategic and legal advisory services to complex organizations, as well as startups, and his membership of the boards of directors of companies and other bodies active in the media and communications industry.</w:t>
      </w:r>
    </w:p>
    <w:p>
      <w:pPr>
        <w:spacing w:after="0" w:line="39"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Zohar Zisapel has been a director of Amdocs since July 2008 and is the Chairman of the Technology and Innovation Committee. Mr. Zisapel co-founded and was chairman of RAD Data Communications Ltd. from 1982 until August 2012, a privately-held voice and data communications company and part of the RAD Group, a family of independent networking and telecommunications companies. Mr. Zisapel also serves as chairman of Ceragon Networks Ltd. and RADCOM Ltd., each of which is a publicly-traded member of the RAD Group, as a director of Silicom Ltd., a public company, as well as on the boards of directors of several privately-held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companies. Mr. Zisapel previously served as chairman of the Israel Association of Electronic Industries from 1998 until 2001. Mr. Zisapel’s experience as founder, chairman and director of several public and private high technology companies, and his leadership in several government organizations, demonstrate his leadership capability and provide him with valuable insights into the voice and data communications industries.</w:t>
      </w:r>
    </w:p>
    <w:p>
      <w:pPr>
        <w:spacing w:after="0" w:line="2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Julian A. Brodsky has been a director of Amdocs since July 2003. Since 2011, Mr. Brodsky has served as a senior advisor to Comcast Corporation. Mr. Brodsky served as a director and as Vice Chairman of Comcast Corporation from 1989 to 2011. From 1969 to May 2004, Mr. Brodsky was Chairman of Comcast Interactive Capital, LP, a venture fund affiliated with Comcast. He is a director of RBB Fund, Inc. Mr. Brodsky brings to our board of directors deep and extensive knowledge of the cable industry gained through his longstanding executive leadership roles at Comcast, as well as financial expertise in capital markets, accounting and tax matters gained through his experience as Chief Financial Officer of Comcast and as a practicing CPA.</w:t>
      </w:r>
    </w:p>
    <w:p>
      <w:pPr>
        <w:spacing w:after="0" w:line="35"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James S. Kahan has been a director of Amdocs since April 1998. From 1983 until his June 2007 retirement, he worked at SBC, which is now AT&amp;T, and served as a Senior Executive Vice President from 1992 until June 2007. AT&amp;T is our most significant customer. Prior to joining AT&amp;T, Mr. Kahan held various positions at several telecommunications companies, including Western Electric, Bell Laboratories, South Central Bell and AT&amp;T Corp. Mr. Kahan also serves on the board of directors of Live Nation Entertainment, Inc., a publicly-traded live music and ticketing entity, and Frontier Communication Corporation, a publicly-traded provider of rural communication services as well as two private companies. Mr. Kahan’s long service at SBC and AT&amp;T, as well as his management and financial experience at several public and private companies, have provided him with extensive knowledge of the telecommunications industry, particularly with respect to corporate development, mergers and acquisitions and business integration.</w:t>
      </w:r>
    </w:p>
    <w:p>
      <w:pPr>
        <w:spacing w:after="0" w:line="3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Richard T.C. LeFave has been a director of Amdocs since November 2011. Since May 2008, Mr. LeFave has been a Principal at D&amp;L Partners, LLC, an information technology consulting firm. Mr. LeFave served as Chief Information Officer for Nextel Communications, a telecommunications company, from 1999 until its merger with Sprint Corporation in September 2005, after which he served as Chief Information Officer for Sprint Nextel Corporation until May 2008. From 1995 to 1999, Mr. LeFave served as Chief Information Officer for Southern New England Telephone Company, a provider of communications products and services. We believe Mr. LeFave’s qualifications to sit on our board include his extensive experience and leadership in the information technology and telecommunications industry.</w:t>
      </w:r>
    </w:p>
    <w:p>
      <w:pPr>
        <w:spacing w:after="0" w:line="6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Dr. Giora Yaron has been a director of Amdocs since July 2009. Dr. Yaron co-founded Itamar Medical Ltd., a publicly-traded medical technology company, and has been its co-chairman since 1997. Dr. Yaron provides consulting services to Itamar Medical and to various other technology companies. He co-founded P-cube, Pentacom, Qumranet, Exanet and Comsys, privately-held companies sold to multinational corporations. In 2009, Dr. Yaron also co-founded Qwilt, Inc., a privately-held video technology company and serves as one of its directors. Since 2010, Dr. Yaron has been the chairman of The Executive Council of Tel Aviv University, an institution of higher education and the chairman of Ramot (the Tel Aviv University’s technology transfer company). Dr. Yaron also has served on the advisory board of Rafael Advanced Defense Systems, Ltd., a developer of high-tech defense systems, since 2008 and on the advisory board of the Israeli Ministry of Defense since 2011. Dr. Yaron served from 1996 to 2006 as a member of the board of directors of Mercury Interactive, a publicly-traded IT optimization software company acquired by Hewlett-Packard, including as chairman from 2004 to 2006. We believe that Dr. Yaron’s qualifications to sit on our board of directors include his experience as an entrepreneur and the various leadership positions he has held on the boards of directors of software and technology companies.</w:t>
      </w:r>
    </w:p>
    <w:p>
      <w:pPr>
        <w:spacing w:after="0" w:line="4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Eli Gelman has been a director of Amdocs since 2002. On November 15, 2010, Mr. Gelman became the President and Chief Executive Officer of Amdocs Management Limited, our wholly-owned subsidiary. From January 2010 until February 2013, Mr. Gelman served as a director of Retalix, a publicly-held global software company, and from January 2010 to December 2010, he also served as the Chairman of Retalix. From April 2008 to December 2010, Mr. Gelman devoted his time to charitable matters focused on youth education. He served as Executive Vice President of Amdocs Management Limited from October 2002 until April 2008 and as our Chief Operating Officer from October 2006 until April 2008. Prior to October 2002, he was a Senior Vice President,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where he headed our U.S. sales and marketing operations and helped spearhead our entry into the customer care and billing systems market. Before that,</w:t>
      </w:r>
    </w:p>
    <w:p>
      <w:pPr>
        <w:spacing w:after="0" w:line="3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Mr. Gelman was an account manager for our major European and North American installations, and has led several major software development projects. Before joining Amdocs, Mr. Gelman was involved in the development of real-time software systems for communications networks and software projects for NASA. Mr. Gelman’s qualifications to serve on our board of directors include his more than two decades of service to Amdocs and its customers, including as our Chief Operating Officer. With more than 30 years of experience in the software industry, he possesses a vast institutional knowledge and strategic understanding of our organization and industry.</w:t>
      </w:r>
    </w:p>
    <w:p>
      <w:pPr>
        <w:spacing w:after="0" w:line="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Tamar Rapaport-Dagim has been Senior Vice President and Chief Financial Officer of Amdocs Management Limited since November 2007. Ms. Rapaport-Dagim joined Amdocs in 2004 and served as Vice President of Finance from 2004 until 2007. Prior to joining Amdocs, from 2000 to 2004, Ms. Rapaport-Dagim was the Chief Financial Officer of Emblaze, a provider of multimedia solutions over wireless and IP networks. She has also served as controller of Teledata Networks (formerly a subsidiary of ADC Telecommunications) and has held various finance management positions in public accounting.</w:t>
      </w:r>
    </w:p>
    <w:p>
      <w:pPr>
        <w:spacing w:after="0" w:line="32"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Shuky Sheffer has been Senior Vice President and President of the Customer Business Group since October 2013. Mr. Sheffer served as Chief Executive Officer of Retalix Ltd., a global software company, from December 2009 until its acquisition by NCR Corporation in February 2013, and then following the acquisition, as a General Manager of Retalix until September 2013. From 1986 to 2009, Mr. Sheffer served at various managerial positions at Amdocs, most recently as President of the Emerging Markets Divisions. Mr. Sheffer holds a B.A. in Mathematics and Computer Sciences from Tel Aviv University, Israel.</w:t>
      </w:r>
    </w:p>
    <w:p>
      <w:pPr>
        <w:spacing w:after="0" w:line="17"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Anshoo Gaur has been our Division President for India operations since August 2007. From 2006 to 2007, Mr. Gaur was the President of IT Infrastructure Management of EDS/MphasiS, a technology services company. From 2005 to 2006, Mr. Gaur served as the Managing Director of EDS India Enterprise (“EDS”), where he was responsible for India strategy and operations. From 2003 to 2005, Mr. Gaur was the Global Transformation Director for Desktop Services of EDS.</w:t>
      </w:r>
    </w:p>
    <w:p>
      <w:pPr>
        <w:spacing w:after="0" w:line="2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Elizabeth W. McDermon has been Secretary of Amdocs Limited since August 2012. Ms. McDermon joined Amdocs in November 2008 and has been Vice President of Investor Relations since November 2009 and Vice President of Investor Relations and Corporate Strategy since January 2011. From 2000 to 2008, Ms. McDermon was an equity research analyst at Goldman Sachs &amp; Co. covering the telecommunications software, data processing and IT services sectors.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During fiscal 2013, each of our directors who was not our employee, or Non-Employee Directors, received compensation for their services as directors in the form of cash and restricted shares. Each Non-Employee Director received an annual cash payment of $60,000. Each member of our Audit Committee who is a Non-Employee Director and who is not the chairman of such committees received an annual cash payment of $15,000. Each member of our Management Resources and Compensation, Nominating and Corporate Governance and Technology and Innovation Committees who is a Non-Employee Director and who is not a committee chairman received an annual cash payment of $10,000. The Chairman of our Audit Committee received an annual cash payment of $30,000 and the Chairmen of our Management Resources and Compensation, Nominating and Corporate Governance and Technology and Innovation Committees each received an annual cash payment of $20,000. Each Non-Employee Director received an annual grant of restricted shares at a total value of $200,000. The Chairman of the Board of Directors received an additional annual amount equal to $150,000 awarded in the form of restricted shares. All restricted share awards to our Non-Employee Directors are fully vested upon grant. The price per share for the purpose of determining the value of the grants to our Non-Employee Directors was the NYSE closing price of our shares on the last trading day preceding the grant date. We also reimburse all of our Non-Employee Directors for their reasonable travel expenses incurred in connection with attending Board or committee meetings. Cash compensation paid to our Non-Employee Directors is prorated for partial year service.</w:t>
      </w:r>
    </w:p>
    <w:p>
      <w:pPr>
        <w:spacing w:after="0" w:line="4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 total of 16 persons who served either as directors or officers of Amdocs during all or part of fiscal 2013 received remuneration from Amdocs. The aggregate remuneration paid by us to such persons in fiscal 2013 was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approximately $6.2 million, compared to $7.6 million in fiscal 2012 and $13.3 million in fiscal 2011, which includes amounts set aside or accrued to provide cash bonuses, pension, retirement or similar benefits, but does not include amounts expended by us for automobiles made available to such persons, expenses (including business travel, professional and business association dues) or other fringe benefits. During fiscal 2013, we granted to such persons options to purchase an aggregate of 477,341 ordinary shares at a weighted average price of $35.19 per share with vesting generally over four-year terms and expiring ten years from the date of grant, and an aggregate of 302,912 restricted shares typically subject to three to four-year vesting, and in the case of our directors, no vesting restrictions. All options and restricted share awards were granted pursuant to our 1998 Stock Option and Incentive Plan, as amended. See discussion below — “Share Ownership — Employee Stock Option and Incentive Plan.”</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Board Practices</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Ten directors currently serve on our Board of Directors, all of whom were elected at our annual meeting of shareholders on January 31, 2013. All directors hold office until the next annual meeting of our shareholders, which generally is in January or February of each calendar year, or until their respective successors are duly elected and qualified or their positions are earlier vacated by resignation or otherwise.</w:t>
      </w:r>
    </w:p>
    <w:p>
      <w:pPr>
        <w:spacing w:after="0" w:line="59"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executive officers of Amdocs Limited and each of its subsidiaries are elected by the board of directors of the relevant company on an annual basis and serve until the next annual meeting of such board of directors or until their respective successors have been duly elected and qualified or their positions are earlier vacated by resignation or otherwise.</w:t>
      </w:r>
    </w:p>
    <w:p>
      <w:pPr>
        <w:spacing w:after="0" w:line="59"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Other than the employment agreement between us and our President and Chief Executive Officer, which provides for immediate cash severance upon termination of employment, there are currently no service contracts in effect between us and any of our directors providing for immediate cash severance upon termination of their employment.</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Board Committees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Board of Directors maintains four committees as set forth below. Members of each committee are appointed by the Board of Directors.</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The Audit Committee reviews, acts on and reports to the Board of Directors with respect to various auditing and accounting matters, including the selection of our independent registered public accounting firm, the scope of the annual audits, fees to be paid to, and the performance of, such public accounting firm, and assists with the Board of Directors’ oversight of our accounting practices, financial statement integrity and compliance with legal and regulatory requirements, including establishing and maintaining adequate internal control over financial reporting, risk assessment and risk management. The current members of our Audit Committee are Messrs. Gardner (Chair), Brodsky, LeFave and Olswang, all of whom are independent directors, as defined by the rules of the NYSE, and pursuant to the categorical director independence standards adopted by our Board of Directors. The Board of Directors has determined that Mr. Gardner is an “audit committee financial expert” as defined by rules promulgated by the SEC, and that each member of the Audit Committee is financially literate as required by the rules of the NYSE. The Audit Committee written charter is available on our website at </w:t>
      </w:r>
      <w:r>
        <w:rPr>
          <w:rFonts w:ascii="Arial" w:cs="Arial" w:eastAsia="Arial" w:hAnsi="Arial"/>
          <w:sz w:val="16"/>
          <w:szCs w:val="16"/>
          <w:i w:val="1"/>
          <w:iCs w:val="1"/>
          <w:color w:val="auto"/>
        </w:rPr>
        <w:t>www.amdocs.com.</w:t>
      </w:r>
    </w:p>
    <w:p>
      <w:pPr>
        <w:spacing w:after="0" w:line="37"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 xml:space="preserve">The Nominating and Corporate Governance Committee identifies individuals qualified to become members of our Board of Directors, recommends to the Board of Directors the persons to be nominated for election as directors at the annual general meeting of shareholders, develops and makes recommendations to the Board of Directors regarding our corporate governance principles and oversees the evaluations of our Board of Directors. The current members of the Nominating and Corporate Governance Committee are Messrs. Olswang (Chair), Brodsky and Kahan, all of whom are independent directors, as required by the NYSE listing standards, and pursuant to the categorical director independence standards adopted by our Board of Directors. The Nominating and Corporate Governance Committee written charter is available on our website at </w:t>
      </w:r>
      <w:r>
        <w:rPr>
          <w:rFonts w:ascii="Arial" w:cs="Arial" w:eastAsia="Arial" w:hAnsi="Arial"/>
          <w:sz w:val="16"/>
          <w:szCs w:val="16"/>
          <w:i w:val="1"/>
          <w:iCs w:val="1"/>
          <w:color w:val="auto"/>
        </w:rPr>
        <w:t>www.amdocs.com.</w:t>
      </w:r>
      <w:r>
        <w:rPr>
          <w:rFonts w:ascii="Arial" w:cs="Arial" w:eastAsia="Arial" w:hAnsi="Arial"/>
          <w:sz w:val="16"/>
          <w:szCs w:val="16"/>
          <w:color w:val="auto"/>
        </w:rPr>
        <w:t xml:space="preserve"> The Nominating and Corporate Governance Committee has approved corporate governance guidelines that are also available on our website at </w:t>
      </w:r>
      <w:r>
        <w:rPr>
          <w:rFonts w:ascii="Arial" w:cs="Arial" w:eastAsia="Arial" w:hAnsi="Arial"/>
          <w:sz w:val="16"/>
          <w:szCs w:val="16"/>
          <w:i w:val="1"/>
          <w:iCs w:val="1"/>
          <w:color w:val="auto"/>
        </w:rPr>
        <w:t>www.amdocs.com.</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The Management Resources and Compensation Committee discharges the responsibilities of our Board of Directors relating to the compensation of the Chief Executive Officer of Amdocs Management Limited, makes recommendations to our Board of Directors with respect to the compensation of our other executive officers and oversees management succession planning for the executive officers of the Company. The current members of our Management Resources and Compensation Committee are Messrs. McLennan (Chair), LeFave and Zisapel, all of whom are independent directors, as defined by the rules of the NYSE, and pursuant to the categorical director independence standards adopted by our Board of Directors. The Management Resources and Compensation Committee written charter is available on our website at </w:t>
      </w:r>
      <w:r>
        <w:rPr>
          <w:rFonts w:ascii="Arial" w:cs="Arial" w:eastAsia="Arial" w:hAnsi="Arial"/>
          <w:sz w:val="16"/>
          <w:szCs w:val="16"/>
          <w:i w:val="1"/>
          <w:iCs w:val="1"/>
          <w:color w:val="auto"/>
        </w:rPr>
        <w:t>www.amdocs.com.</w:t>
      </w:r>
    </w:p>
    <w:p>
      <w:pPr>
        <w:spacing w:after="0" w:line="3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Technology and Innovation Committee was established to assist the Board of Directors in reviewing our technological development, opportunities and innovation, in connection with the current and future business and markets. The current members of our Technology and Innovation Committee are Messrs. Zisapel (Chair) and Dr. Yaron.</w:t>
      </w:r>
    </w:p>
    <w:p>
      <w:pPr>
        <w:spacing w:after="0" w:line="59"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Our independent directors receive no compensation from us, except in connection with their membership on the Board of Directors and its committees as described above regarding Non-Employee Directors under “— Compensation.”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Workforce Personnel</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following table presents the approximate number of our workforce as of each date indicated, by function and by geographical location (in each of which we operate at multiple sites):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1"/>
              </w:rPr>
              <w:t>As of 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980" w:type="dxa"/>
            <w:vAlign w:val="bottom"/>
          </w:tcPr>
          <w:p>
            <w:pPr>
              <w:spacing w:after="0"/>
              <w:rPr>
                <w:sz w:val="12"/>
                <w:szCs w:val="12"/>
                <w:color w:val="auto"/>
              </w:rPr>
            </w:pPr>
          </w:p>
        </w:tc>
        <w:tc>
          <w:tcPr>
            <w:tcW w:w="54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rPr>
              <w:t>2013</w:t>
            </w:r>
          </w:p>
        </w:tc>
        <w:tc>
          <w:tcPr>
            <w:tcW w:w="94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12"/>
                <w:szCs w:val="12"/>
                <w:color w:val="auto"/>
              </w:rPr>
            </w:pPr>
          </w:p>
        </w:tc>
        <w:tc>
          <w:tcPr>
            <w:tcW w:w="54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96"/>
        </w:trPr>
        <w:tc>
          <w:tcPr>
            <w:tcW w:w="7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Software and Information Technology, Sales and Marketing</w:t>
            </w:r>
          </w:p>
        </w:tc>
        <w:tc>
          <w:tcPr>
            <w:tcW w:w="5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980" w:type="dxa"/>
            <w:vAlign w:val="bottom"/>
          </w:tcPr>
          <w:p>
            <w:pPr>
              <w:ind w:left="220"/>
              <w:spacing w:after="0"/>
              <w:rPr>
                <w:sz w:val="20"/>
                <w:szCs w:val="20"/>
                <w:color w:val="auto"/>
              </w:rPr>
            </w:pPr>
            <w:r>
              <w:rPr>
                <w:rFonts w:ascii="Arial" w:cs="Arial" w:eastAsia="Arial" w:hAnsi="Arial"/>
                <w:sz w:val="18"/>
                <w:szCs w:val="18"/>
                <w:color w:val="auto"/>
              </w:rPr>
              <w:t>North America</w:t>
            </w:r>
          </w:p>
        </w:tc>
        <w:tc>
          <w:tcPr>
            <w:tcW w:w="540" w:type="dxa"/>
            <w:vAlign w:val="bottom"/>
          </w:tcPr>
          <w:p>
            <w:pPr>
              <w:jc w:val="right"/>
              <w:spacing w:after="0"/>
              <w:rPr>
                <w:sz w:val="20"/>
                <w:szCs w:val="20"/>
                <w:color w:val="auto"/>
              </w:rPr>
            </w:pPr>
            <w:r>
              <w:rPr>
                <w:rFonts w:ascii="Arial" w:cs="Arial" w:eastAsia="Arial" w:hAnsi="Arial"/>
                <w:sz w:val="18"/>
                <w:szCs w:val="18"/>
                <w:color w:val="auto"/>
              </w:rPr>
              <w:t>4,669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4,775</w:t>
            </w:r>
          </w:p>
        </w:tc>
        <w:tc>
          <w:tcPr>
            <w:tcW w:w="4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4,836</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Israel</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4,210</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4,334</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220"/>
              <w:spacing w:after="0"/>
              <w:rPr>
                <w:sz w:val="20"/>
                <w:szCs w:val="20"/>
                <w:color w:val="auto"/>
              </w:rPr>
            </w:pPr>
            <w:r>
              <w:rPr>
                <w:rFonts w:ascii="Arial" w:cs="Arial" w:eastAsia="Arial" w:hAnsi="Arial"/>
                <w:sz w:val="18"/>
                <w:szCs w:val="18"/>
                <w:color w:val="auto"/>
              </w:rPr>
              <w:t>India</w:t>
            </w:r>
          </w:p>
        </w:tc>
        <w:tc>
          <w:tcPr>
            <w:tcW w:w="540" w:type="dxa"/>
            <w:vAlign w:val="bottom"/>
          </w:tcPr>
          <w:p>
            <w:pPr>
              <w:jc w:val="right"/>
              <w:spacing w:after="0"/>
              <w:rPr>
                <w:sz w:val="20"/>
                <w:szCs w:val="20"/>
                <w:color w:val="auto"/>
              </w:rPr>
            </w:pPr>
            <w:r>
              <w:rPr>
                <w:rFonts w:ascii="Arial" w:cs="Arial" w:eastAsia="Arial" w:hAnsi="Arial"/>
                <w:sz w:val="18"/>
                <w:szCs w:val="18"/>
                <w:color w:val="auto"/>
              </w:rPr>
              <w:t>7,101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6,681</w:t>
            </w:r>
          </w:p>
        </w:tc>
        <w:tc>
          <w:tcPr>
            <w:tcW w:w="4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6,582</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 of the World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3,144</w:t>
            </w:r>
          </w:p>
        </w:tc>
        <w:tc>
          <w:tcPr>
            <w:tcW w:w="4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2,977</w:t>
            </w:r>
          </w:p>
        </w:tc>
        <w:tc>
          <w:tcPr>
            <w:tcW w:w="4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2,609</w:t>
            </w:r>
          </w:p>
        </w:tc>
        <w:tc>
          <w:tcPr>
            <w:tcW w:w="100" w:type="dxa"/>
            <w:vAlign w:val="bottom"/>
            <w:shd w:val="clear" w:color="auto" w:fill="CCEEFF"/>
          </w:tcPr>
          <w:p>
            <w:pPr>
              <w:spacing w:after="0"/>
              <w:rPr>
                <w:sz w:val="18"/>
                <w:szCs w:val="18"/>
                <w:color w:val="auto"/>
              </w:rPr>
            </w:pPr>
          </w:p>
        </w:tc>
      </w:tr>
      <w:tr>
        <w:trPr>
          <w:trHeight w:val="221"/>
        </w:trPr>
        <w:tc>
          <w:tcPr>
            <w:tcW w:w="7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19,315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18,623</w:t>
            </w:r>
          </w:p>
        </w:tc>
        <w:tc>
          <w:tcPr>
            <w:tcW w:w="4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18,361</w:t>
            </w:r>
          </w:p>
        </w:tc>
        <w:tc>
          <w:tcPr>
            <w:tcW w:w="100" w:type="dxa"/>
            <w:vAlign w:val="bottom"/>
          </w:tcPr>
          <w:p>
            <w:pPr>
              <w:spacing w:after="0"/>
              <w:rPr>
                <w:sz w:val="19"/>
                <w:szCs w:val="19"/>
                <w:color w:val="auto"/>
              </w:rPr>
            </w:pPr>
          </w:p>
        </w:tc>
      </w:tr>
      <w:tr>
        <w:trPr>
          <w:trHeight w:val="218"/>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Management and Administration</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4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4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100" w:type="dxa"/>
            <w:vAlign w:val="bottom"/>
            <w:shd w:val="clear" w:color="auto" w:fill="CCEEFF"/>
          </w:tcPr>
          <w:p>
            <w:pPr>
              <w:spacing w:after="0"/>
              <w:rPr>
                <w:sz w:val="18"/>
                <w:szCs w:val="18"/>
                <w:color w:val="auto"/>
              </w:rPr>
            </w:pPr>
          </w:p>
        </w:tc>
      </w:tr>
      <w:tr>
        <w:trPr>
          <w:trHeight w:val="222"/>
        </w:trPr>
        <w:tc>
          <w:tcPr>
            <w:tcW w:w="7980" w:type="dxa"/>
            <w:vAlign w:val="bottom"/>
          </w:tcPr>
          <w:p>
            <w:pPr>
              <w:spacing w:after="0"/>
              <w:rPr>
                <w:sz w:val="20"/>
                <w:szCs w:val="20"/>
                <w:color w:val="auto"/>
              </w:rPr>
            </w:pPr>
            <w:r>
              <w:rPr>
                <w:rFonts w:ascii="Arial" w:cs="Arial" w:eastAsia="Arial" w:hAnsi="Arial"/>
                <w:sz w:val="18"/>
                <w:szCs w:val="18"/>
                <w:color w:val="auto"/>
              </w:rPr>
              <w:t>Total Workforce</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20,774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20,105</w:t>
            </w:r>
          </w:p>
        </w:tc>
        <w:tc>
          <w:tcPr>
            <w:tcW w:w="4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19,826</w:t>
            </w:r>
          </w:p>
        </w:tc>
        <w:tc>
          <w:tcPr>
            <w:tcW w:w="100" w:type="dxa"/>
            <w:vAlign w:val="bottom"/>
          </w:tcPr>
          <w:p>
            <w:pPr>
              <w:spacing w:after="0"/>
              <w:rPr>
                <w:sz w:val="19"/>
                <w:szCs w:val="19"/>
                <w:color w:val="auto"/>
              </w:rPr>
            </w:pPr>
          </w:p>
        </w:tc>
      </w:tr>
      <w:tr>
        <w:trPr>
          <w:trHeight w:val="20"/>
        </w:trPr>
        <w:tc>
          <w:tcPr>
            <w:tcW w:w="79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a company with global operations, we are required to comply with various labor and immigration laws throughout the world, including laws and regulations in Australia, Brazil, Canada, Cyprus, France, Germany, India, Israel, Japan, Mexico, the Philippines, South Africa, the United Kingdom and the United States. Our employees in certain countries of Europe, and to a limited extent in Canada and Brazil, are protected by mandatory collective bargaining agreements. To date, compliance with such laws has not been a material burden for us. As the number of our employees increases over time in specific countries, our compliance with such regulations could become more burdensome.</w:t>
      </w:r>
    </w:p>
    <w:p>
      <w:pPr>
        <w:spacing w:after="0" w:line="6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principal operating subsidiaries are not party to any collective bargaining agreements. However, our Israeli subsidiaries are subject to certain provisions of general extension orders issued by the Israeli Ministry of Labor and Welfare which derive from various labor related statutes. The most significant of these provisions provide for mandatory pension benefits and wage adjustments in relation to increases in the consumer price index, or CPI. The amount and frequency of these adjustments are modified from time to time.</w:t>
      </w:r>
    </w:p>
    <w:p>
      <w:pPr>
        <w:spacing w:after="0" w:line="62"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A small number of employees in Canada have union representation. In addition, all employees in Brazil, including local senior employees, are represented by unions. Collective bargaining between employers and unions is mandatory, negotiated annually, and covers work conditions, including cost of living increases, minimum wages that exceed government thresholds and overtime pay. We have a works council body in the Netherlands and Germany which represents the employees and with which we work closely to ensure compliance with the applicable local law. We also have an employee representative body in France.</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consider our relationship with our employees to be good and have never experienced an organized labor dispute, strike or work stoppage.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Ownership</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Security Ownership of Directors and Senior Management and Certain Key Employees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2, 2013, the aggregate number of our ordinary shares beneficially owned by our directors and senior management was 2,508,798 shares.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2, 2013, none of our directors or members of senior management beneficially owned 1% or more of our outstanding ordinary shares.</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Beneficial ownership by a person, as of a particular date, assumes the exercise of all options and warrants held by such person that are currently exercisable or are exercisable within 60 days of such date.</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Option and Incentive Plan</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Board of Directors has adopted, and our shareholders have approved, our 1998 Stock Option and Incentive Plan, as amended, which we refer to as the 1998 Plan, pursuant to which up to 62,300,000 of our ordinary shares may be issued.</w:t>
      </w:r>
    </w:p>
    <w:p>
      <w:pPr>
        <w:spacing w:after="0" w:line="5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1998 Plan provides for the grant of restricted shares, stock options and other stock-based awards to our directors, officers, employees and consultants. The purpose of the 1998 Plan is to enable us to attract and retain qualified personnel and to motivate such persons by providing them with an equity participation in Amdocs. As of September 30, 2013, of the 62,300,000 ordinary shares available for issuance under the 1998 Plan, 38,129,116 ordinary shares had been issued as a result of option exercises and restricted share issuances under the provisions of the 1998 Plan, and 12,077,291 ordinary shares remained available for future grants, subject to a sublimit applicable to the award of restricted shares or awards dominated in stock units. As of November 30, 2013, there were outstanding options to purchase an aggregate of 11,956,619 ordinary shares at exercise prices ranging from $16.92 to $39.60 per share.</w:t>
      </w:r>
    </w:p>
    <w:p>
      <w:pPr>
        <w:spacing w:after="0" w:line="39"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1998 Plan is administered by a committee that determines all the terms of the awards (subject to the above), including which employees, directors or consultants are granted awards. The Board of Directors may amend or terminate the 1998 Plan, provided that shareholder approval is required to increase the number of ordinary shares available under the 1998 Plan, to materially increase the benefits accruing to participants, to change the class of employees eligible for participation, to decrease the basis upon which the minimum exercise price of options is determined or to extend the period in which awards may be granted or to grant an option that is exercisable for more than ten years. Ordinary shares subject to restricted stock awards are subject to certain restrictions on sale, transfer or hypothecation. No awards may be granted after January 2016.</w:t>
      </w:r>
    </w:p>
    <w:p>
      <w:pPr>
        <w:spacing w:after="0" w:line="39"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As a result of acquisitions, as of September 30, 2013, we were obligated to issue (and have reserved for issuance) an additional 44,283 ordinary shares upon exercise of options that had previously been granted under the option plans of the acquired companies and were exchanged for options to purchase our ordinary shares. These options have exercise prices ranging from $0.38 to $37.66 per share. No additional options have been or will be granted under these predecessor plans.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380"/>
        <w:spacing w:after="0" w:line="347" w:lineRule="auto"/>
        <w:rPr>
          <w:sz w:val="20"/>
          <w:szCs w:val="20"/>
          <w:color w:val="auto"/>
        </w:rPr>
      </w:pPr>
      <w:r>
        <w:rPr>
          <w:rFonts w:ascii="Arial" w:cs="Arial" w:eastAsia="Arial" w:hAnsi="Arial"/>
          <w:sz w:val="18"/>
          <w:szCs w:val="18"/>
          <w:b w:val="1"/>
          <w:bCs w:val="1"/>
          <w:color w:val="auto"/>
        </w:rPr>
        <w:t>ITEM 7</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MAJOR SHAREHOLDERS AND RELATED PARTY TRANSACTIONS</w:t>
      </w:r>
      <w:r>
        <w:rPr>
          <w:rFonts w:ascii="Arial" w:cs="Arial" w:eastAsia="Arial" w:hAnsi="Arial"/>
          <w:sz w:val="18"/>
          <w:szCs w:val="18"/>
          <w:b w:val="1"/>
          <w:bCs w:val="1"/>
          <w:color w:val="auto"/>
        </w:rPr>
        <w:t xml:space="preserve"> Major Shareholders</w:t>
      </w:r>
    </w:p>
    <w:p>
      <w:pPr>
        <w:spacing w:after="0" w:line="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following table sets forth specified information with respect to the beneficial ownership of the ordinary shares as of December 2, 2013 of (i) any person known by us to be the beneficial owner of more than 5% of our ordinary shares, and (ii) all of our directors and executives officers as a group. Beneficial ownership is determined in accordance with the rules of the SEC and, unless otherwise indicated, includes voting and investment power with respect to all ordinary shares, subject to community property laws, where applicable. The number of ordinary shares used in calculating the percentage beneficial ownership included in the table below is based on 159,969,427 ordinary shares outstanding as of December 2, 2013. Information concerning shareholders is based on periodic public filings made by such shareholders and may not necessarily be accurate as of December 2, 2013. None of our major shareholders have voting rights that are different from those of any other shareholder.</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62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5"/>
              </w:rPr>
              <w:t>Shares</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7640" w:type="dxa"/>
            <w:vAlign w:val="bottom"/>
            <w:vMerge w:val="restart"/>
          </w:tcPr>
          <w:p>
            <w:pPr>
              <w:spacing w:after="0"/>
              <w:rPr>
                <w:sz w:val="12"/>
                <w:szCs w:val="12"/>
                <w:color w:val="auto"/>
              </w:rPr>
            </w:pPr>
          </w:p>
        </w:tc>
        <w:tc>
          <w:tcPr>
            <w:tcW w:w="16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53"/>
        </w:trPr>
        <w:tc>
          <w:tcPr>
            <w:tcW w:w="380" w:type="dxa"/>
            <w:vAlign w:val="bottom"/>
            <w:tcBorders>
              <w:bottom w:val="single" w:sz="8" w:color="auto"/>
            </w:tcBorders>
            <w:vMerge w:val="continue"/>
          </w:tcPr>
          <w:p>
            <w:pPr>
              <w:spacing w:after="0"/>
              <w:rPr>
                <w:sz w:val="12"/>
                <w:szCs w:val="12"/>
                <w:color w:val="auto"/>
              </w:rPr>
            </w:pPr>
          </w:p>
        </w:tc>
        <w:tc>
          <w:tcPr>
            <w:tcW w:w="7640" w:type="dxa"/>
            <w:vAlign w:val="bottom"/>
            <w:vMerge w:val="continue"/>
          </w:tcPr>
          <w:p>
            <w:pPr>
              <w:spacing w:after="0"/>
              <w:rPr>
                <w:sz w:val="12"/>
                <w:szCs w:val="12"/>
                <w:color w:val="auto"/>
              </w:rPr>
            </w:pPr>
          </w:p>
        </w:tc>
        <w:tc>
          <w:tcPr>
            <w:tcW w:w="1620" w:type="dxa"/>
            <w:vAlign w:val="bottom"/>
            <w:gridSpan w:val="2"/>
          </w:tcPr>
          <w:p>
            <w:pPr>
              <w:jc w:val="center"/>
              <w:ind w:right="780"/>
              <w:spacing w:after="0" w:line="148" w:lineRule="exact"/>
              <w:rPr>
                <w:sz w:val="20"/>
                <w:szCs w:val="20"/>
                <w:color w:val="auto"/>
              </w:rPr>
            </w:pPr>
            <w:r>
              <w:rPr>
                <w:rFonts w:ascii="Arial" w:cs="Arial" w:eastAsia="Arial" w:hAnsi="Arial"/>
                <w:sz w:val="14"/>
                <w:szCs w:val="14"/>
                <w:b w:val="1"/>
                <w:bCs w:val="1"/>
                <w:color w:val="auto"/>
                <w:w w:val="85"/>
              </w:rPr>
              <w:t>Owned</w:t>
            </w:r>
          </w:p>
        </w:tc>
        <w:tc>
          <w:tcPr>
            <w:tcW w:w="86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8"/>
              </w:rPr>
              <w:t>Ownership</w:t>
            </w:r>
          </w:p>
        </w:tc>
        <w:tc>
          <w:tcPr>
            <w:tcW w:w="0" w:type="dxa"/>
            <w:vAlign w:val="bottom"/>
          </w:tcPr>
          <w:p>
            <w:pPr>
              <w:spacing w:after="0"/>
              <w:rPr>
                <w:sz w:val="1"/>
                <w:szCs w:val="1"/>
                <w:color w:val="auto"/>
              </w:rPr>
            </w:pPr>
          </w:p>
        </w:tc>
      </w:tr>
      <w:tr>
        <w:trPr>
          <w:trHeight w:val="20"/>
        </w:trPr>
        <w:tc>
          <w:tcPr>
            <w:tcW w:w="80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Manning &amp; Napier Advisors, Inc.(1)</w:t>
            </w:r>
          </w:p>
        </w:tc>
        <w:tc>
          <w:tcPr>
            <w:tcW w:w="840" w:type="dxa"/>
            <w:vAlign w:val="bottom"/>
            <w:shd w:val="clear" w:color="auto" w:fill="000000"/>
          </w:tcPr>
          <w:p>
            <w:pPr>
              <w:spacing w:after="0" w:line="20" w:lineRule="exact"/>
              <w:rPr>
                <w:sz w:val="1"/>
                <w:szCs w:val="1"/>
                <w:color w:val="auto"/>
              </w:rPr>
            </w:pPr>
          </w:p>
        </w:tc>
        <w:tc>
          <w:tcPr>
            <w:tcW w:w="7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20" w:type="dxa"/>
            <w:vAlign w:val="bottom"/>
            <w:gridSpan w:val="2"/>
            <w:vMerge w:val="continue"/>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14,128,523</w:t>
            </w:r>
          </w:p>
        </w:tc>
        <w:tc>
          <w:tcPr>
            <w:tcW w:w="78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16"/>
        </w:trPr>
        <w:tc>
          <w:tcPr>
            <w:tcW w:w="8020" w:type="dxa"/>
            <w:vAlign w:val="bottom"/>
            <w:gridSpan w:val="2"/>
          </w:tcPr>
          <w:p>
            <w:pPr>
              <w:spacing w:after="0"/>
              <w:rPr>
                <w:sz w:val="20"/>
                <w:szCs w:val="20"/>
                <w:color w:val="auto"/>
              </w:rPr>
            </w:pPr>
            <w:r>
              <w:rPr>
                <w:rFonts w:ascii="Arial" w:cs="Arial" w:eastAsia="Arial" w:hAnsi="Arial"/>
                <w:sz w:val="18"/>
                <w:szCs w:val="18"/>
                <w:color w:val="auto"/>
              </w:rPr>
              <w:t>FMR LLC(2)</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13,795,897</w:t>
            </w:r>
          </w:p>
        </w:tc>
        <w:tc>
          <w:tcPr>
            <w:tcW w:w="7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16"/>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 Rowe Price Associates, Inc.(3)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11,719,500</w:t>
            </w:r>
          </w:p>
        </w:tc>
        <w:tc>
          <w:tcPr>
            <w:tcW w:w="7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6"/>
        </w:trPr>
        <w:tc>
          <w:tcPr>
            <w:tcW w:w="8020" w:type="dxa"/>
            <w:vAlign w:val="bottom"/>
            <w:gridSpan w:val="2"/>
          </w:tcPr>
          <w:p>
            <w:pPr>
              <w:spacing w:after="0"/>
              <w:rPr>
                <w:sz w:val="20"/>
                <w:szCs w:val="20"/>
                <w:color w:val="auto"/>
              </w:rPr>
            </w:pPr>
            <w:r>
              <w:rPr>
                <w:rFonts w:ascii="Arial" w:cs="Arial" w:eastAsia="Arial" w:hAnsi="Arial"/>
                <w:sz w:val="18"/>
                <w:szCs w:val="18"/>
                <w:color w:val="auto"/>
              </w:rPr>
              <w:t>Janus Capital Management LLC(4)</w:t>
            </w:r>
          </w:p>
        </w:tc>
        <w:tc>
          <w:tcPr>
            <w:tcW w:w="840" w:type="dxa"/>
            <w:vAlign w:val="bottom"/>
          </w:tcPr>
          <w:p>
            <w:pPr>
              <w:jc w:val="right"/>
              <w:spacing w:after="0"/>
              <w:rPr>
                <w:sz w:val="20"/>
                <w:szCs w:val="20"/>
                <w:color w:val="auto"/>
              </w:rPr>
            </w:pPr>
            <w:r>
              <w:rPr>
                <w:rFonts w:ascii="Arial" w:cs="Arial" w:eastAsia="Arial" w:hAnsi="Arial"/>
                <w:sz w:val="18"/>
                <w:szCs w:val="18"/>
                <w:color w:val="auto"/>
              </w:rPr>
              <w:t>9,906,372</w:t>
            </w:r>
          </w:p>
        </w:tc>
        <w:tc>
          <w:tcPr>
            <w:tcW w:w="7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16"/>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officers as a group (14 persons)(5)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2,508,798</w:t>
            </w:r>
          </w:p>
        </w:tc>
        <w:tc>
          <w:tcPr>
            <w:tcW w:w="7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4361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0" w:lineRule="exact"/>
        <w:rPr>
          <w:sz w:val="20"/>
          <w:szCs w:val="20"/>
          <w:color w:val="auto"/>
        </w:rPr>
      </w:pPr>
    </w:p>
    <w:p>
      <w:pPr>
        <w:ind w:left="460" w:right="20" w:hanging="452"/>
        <w:spacing w:after="0" w:line="253"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a Schedule 13G/A filed by Manning &amp; Napier Advisors, Inc., or Manning &amp; Napier, with the SEC on January 23, 2013, as of December 31, 2012, Manning &amp; Napier had sole voting power over 12,472,333 of our ordinary shares and sole dispositive power over 14,128,523 of our ordinary shares. The address of Manning &amp; Napier is 290 Woodcliff Drive, Fairport, New York 14450.</w:t>
      </w:r>
    </w:p>
    <w:p>
      <w:pPr>
        <w:ind w:left="460" w:hanging="452"/>
        <w:spacing w:after="0" w:line="281"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a Schedule 13G/A filed by FMR LLC with the SEC on February 14, 2013, as of December 31, 2012, FMR LLC had sole power to vote or direct the vote over 948,734 shares and sole power to dispose or direct the disposition of 13,795,897 shares. This includes 12,750,927 shares beneficially owned by Fidelity Management &amp; Research Company (“Fidelity”) in its capacity as an investment advisor; 169 shares beneficially owned by Strategic Advisers, Inc. (“SAI”) in its capacity as an investment advisor; 22,627 shares beneficially owned by Pyramis Global Advisors Trust Company (“PGATC”) as a result of its serving as an investment manager of institutional accounts owning such shares; and 1,022,174 shares over which FIL Limited (“FIL”) has sole dispositive power through its investment advisory and management services to a number of non-U.S. investment companies and institutional investors. Fidelity and SAI are wholly owned subsidiaries of FMR LLC. PGATC is an indirect wholly owned subsidiary of FMR LLC. Partnerships controlled predominantly by members of the family of Edward C. Johnson 3d, Chairman of FMR LLC and FIL or trusts for their benefit, own shares of FIL voting stock. Edward C. Johnson 3d, and members of his family, directly or through trusts, own approximately 49% of the voting power of FMR LLC. The address of Fidelity, FMTC and SAI is 82 Devonshire Street, Boston, Massachusetts 02109. The address of PGATC is 900 Salem Street, Smithfield, Rhode Island 02917. The address of FIL is Pembroke Hall, 42 Crow Lane, Hamilton, Bermuda.</w:t>
      </w:r>
    </w:p>
    <w:p>
      <w:pPr>
        <w:spacing w:after="0" w:line="7" w:lineRule="exact"/>
        <w:rPr>
          <w:rFonts w:ascii="Arial" w:cs="Arial" w:eastAsia="Arial" w:hAnsi="Arial"/>
          <w:sz w:val="16"/>
          <w:szCs w:val="16"/>
          <w:color w:val="auto"/>
        </w:rPr>
      </w:pPr>
    </w:p>
    <w:p>
      <w:pPr>
        <w:ind w:left="460" w:hanging="452"/>
        <w:spacing w:after="0" w:line="250"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a Schedule 13G/A filed by T. Rowe Price Associates, Inc., or T. Rowe Price, with the SEC on February 11, 2013, as of December 31, 2012, T. Rowe Price had sole voting power over 2,413,500 of our ordinary shares and sole dispositive power over 11,719,500 of our ordinary shares. The address of T. Rowe Price is 100 E. Pratt Street, Baltimore, Maryland 21202.</w:t>
      </w:r>
    </w:p>
    <w:p>
      <w:pPr>
        <w:spacing w:after="0" w:line="1" w:lineRule="exact"/>
        <w:rPr>
          <w:rFonts w:ascii="Arial" w:cs="Arial" w:eastAsia="Arial" w:hAnsi="Arial"/>
          <w:sz w:val="18"/>
          <w:szCs w:val="18"/>
          <w:color w:val="auto"/>
        </w:rPr>
      </w:pPr>
    </w:p>
    <w:p>
      <w:pPr>
        <w:ind w:left="460" w:right="40" w:hanging="452"/>
        <w:spacing w:after="0" w:line="292"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a Schedule 13G/A filed by Janus Capital Management LLC, or Janus, with the SEC on February 14, 2013, as of December 31, 2012, Janus has a direct 95.67% ownership stake in INTECH Investment Management, or INTECH, and a direct 77.8% ownership stake in Perkins Investment Management LLC, or Perkins. Due to this ownership structure, holdings for Janus, Perkins and INTECH are aggregated. Janus, Perkins and INTECH are registered investment advisers, each furnishing investment advice to various investment companies registered under Section 8 of the Investment Company Act of 1940 and to individual and institutional clients (collectively, the “Managed Portfolios”). As a result of its role as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459" w:right="2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20"/>
        <w:spacing w:after="0" w:line="303" w:lineRule="auto"/>
        <w:rPr>
          <w:sz w:val="20"/>
          <w:szCs w:val="20"/>
          <w:color w:val="auto"/>
        </w:rPr>
      </w:pPr>
      <w:r>
        <w:rPr>
          <w:rFonts w:ascii="Arial" w:cs="Arial" w:eastAsia="Arial" w:hAnsi="Arial"/>
          <w:sz w:val="15"/>
          <w:szCs w:val="15"/>
          <w:color w:val="auto"/>
        </w:rPr>
        <w:t>investment adviser or sub-adviser to the Managed Portfolios, Janus may be deemed to be the beneficial owner of 9,902,472 ordinary shares held by the Managed Portfolios. However, Janus does not have the right to receive any dividends from, or the proceeds from the sale of, the securities held in the Managed Portfolios and disclaims any ownership associated with such rights. The address of Janus Capital is 51 Detroit Street, Denver, Colorado 80206.</w:t>
      </w:r>
    </w:p>
    <w:p>
      <w:pPr>
        <w:spacing w:after="0" w:line="1" w:lineRule="exact"/>
        <w:rPr>
          <w:sz w:val="20"/>
          <w:szCs w:val="20"/>
          <w:color w:val="auto"/>
        </w:rPr>
      </w:pPr>
    </w:p>
    <w:p>
      <w:pPr>
        <w:ind w:left="460" w:right="380" w:hanging="452"/>
        <w:spacing w:after="0" w:line="261"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options held by such directors and executive officers that are exercisable within 60 days after December 2, 2013. As of such date, none of our directors, senior managers or key employees beneficially own 1% or more of our outstanding ordinary shares.</w:t>
      </w:r>
    </w:p>
    <w:p>
      <w:pPr>
        <w:spacing w:after="0" w:line="5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Ameriprise Financial, Inc. reported beneficial ownership over 6.45% of our ordinary shares in fiscal 2012. Ameriprise Financial, Inc.’s beneficial ownership decreased below 5% in fiscal 2013. Dodge &amp; Cox filed a Schedule 13G on June 7, 2013, reporting that as of May 31, 2013, it had beneficial ownership of 16,453,119 ordinary shares. Dodge &amp; Cox filed a Schedule 13G/A on November 12, 2013, reporting that its beneficial ownership had decreased to 1,482,138 ordinary shares.</w:t>
      </w:r>
    </w:p>
    <w:p>
      <w:pPr>
        <w:spacing w:after="0" w:line="62"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As of December 2, 2013, our ordinary shares were held by 1,028 record holders. Based on a review of the information provided to us by our transfer agent, 672 record holders, holding approximately 99.9% of our outstanding ordinary shares held of record, were residents of the United States.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“Financial Statements” for our audited Consolidated Financial Statements and Financial Statement Schedule filed as part of this Annual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6"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We are involved in various legal proceedings arising in the normal course of our business. Based upon the advice of counsel, we do not believe that the ultimate resolution of these matters will have a material adverse effect on our consolidated financial position, results of operations or cash flows.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On July 31, 2012, our shareholders approved the institution of a quarterly cash dividend program at the rate of $0.13 per share. Our Board of Directors declared the following dividends during fiscal 2013: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w w:val="92"/>
              </w:rPr>
              <w:t>Declaration Date</w:t>
            </w:r>
          </w:p>
        </w:tc>
        <w:tc>
          <w:tcPr>
            <w:tcW w:w="386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7"/>
              </w:rPr>
              <w:t>Dividends Per</w:t>
            </w:r>
          </w:p>
        </w:tc>
        <w:tc>
          <w:tcPr>
            <w:tcW w:w="1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040" w:type="dxa"/>
            <w:vAlign w:val="bottom"/>
            <w:tcBorders>
              <w:bottom w:val="single" w:sz="8" w:color="auto"/>
            </w:tcBorders>
            <w:vMerge w:val="continue"/>
          </w:tcPr>
          <w:p>
            <w:pPr>
              <w:spacing w:after="0"/>
              <w:rPr>
                <w:sz w:val="14"/>
                <w:szCs w:val="14"/>
                <w:color w:val="auto"/>
              </w:rPr>
            </w:pPr>
          </w:p>
        </w:tc>
        <w:tc>
          <w:tcPr>
            <w:tcW w:w="3860" w:type="dxa"/>
            <w:vAlign w:val="bottom"/>
            <w:vMerge w:val="continue"/>
          </w:tcPr>
          <w:p>
            <w:pPr>
              <w:spacing w:after="0"/>
              <w:rPr>
                <w:sz w:val="14"/>
                <w:szCs w:val="14"/>
                <w:color w:val="auto"/>
              </w:rPr>
            </w:pPr>
          </w:p>
        </w:tc>
        <w:tc>
          <w:tcPr>
            <w:tcW w:w="1540" w:type="dxa"/>
            <w:vAlign w:val="bottom"/>
            <w:gridSpan w:val="3"/>
          </w:tcPr>
          <w:p>
            <w:pPr>
              <w:jc w:val="center"/>
              <w:ind w:right="540"/>
              <w:spacing w:after="0" w:line="148" w:lineRule="exact"/>
              <w:rPr>
                <w:sz w:val="20"/>
                <w:szCs w:val="20"/>
                <w:color w:val="auto"/>
              </w:rPr>
            </w:pPr>
            <w:r>
              <w:rPr>
                <w:rFonts w:ascii="Arial" w:cs="Arial" w:eastAsia="Arial" w:hAnsi="Arial"/>
                <w:sz w:val="14"/>
                <w:szCs w:val="14"/>
                <w:b w:val="1"/>
                <w:bCs w:val="1"/>
                <w:color w:val="auto"/>
                <w:w w:val="90"/>
              </w:rPr>
              <w:t>Ordinary Share</w:t>
            </w:r>
          </w:p>
        </w:tc>
        <w:tc>
          <w:tcPr>
            <w:tcW w:w="1560" w:type="dxa"/>
            <w:vAlign w:val="bottom"/>
          </w:tcPr>
          <w:p>
            <w:pPr>
              <w:ind w:left="420"/>
              <w:spacing w:after="0" w:line="148" w:lineRule="exact"/>
              <w:rPr>
                <w:sz w:val="20"/>
                <w:szCs w:val="20"/>
                <w:color w:val="auto"/>
              </w:rPr>
            </w:pPr>
            <w:r>
              <w:rPr>
                <w:rFonts w:ascii="Arial" w:cs="Arial" w:eastAsia="Arial" w:hAnsi="Arial"/>
                <w:sz w:val="14"/>
                <w:szCs w:val="14"/>
                <w:b w:val="1"/>
                <w:bCs w:val="1"/>
                <w:color w:val="auto"/>
              </w:rPr>
              <w:t>Record Date</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Total Amount</w:t>
            </w:r>
          </w:p>
        </w:tc>
        <w:tc>
          <w:tcPr>
            <w:tcW w:w="260" w:type="dxa"/>
            <w:vAlign w:val="bottom"/>
          </w:tcPr>
          <w:p>
            <w:pPr>
              <w:spacing w:after="0"/>
              <w:rPr>
                <w:sz w:val="14"/>
                <w:szCs w:val="14"/>
                <w:color w:val="auto"/>
              </w:rPr>
            </w:pPr>
          </w:p>
        </w:tc>
        <w:tc>
          <w:tcPr>
            <w:tcW w:w="1380" w:type="dxa"/>
            <w:vAlign w:val="bottom"/>
          </w:tcPr>
          <w:p>
            <w:pPr>
              <w:ind w:left="280"/>
              <w:spacing w:after="0" w:line="148" w:lineRule="exact"/>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203"/>
        </w:trPr>
        <w:tc>
          <w:tcPr>
            <w:tcW w:w="49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November 6, 2012</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0.13</w:t>
            </w:r>
          </w:p>
        </w:tc>
        <w:tc>
          <w:tcPr>
            <w:tcW w:w="54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7"/>
              </w:rPr>
              <w:t>December 31, 2012</w:t>
            </w: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92"/>
              </w:rPr>
              <w:t>21.0 million</w:t>
            </w: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7"/>
              </w:rPr>
              <w:t>January 18, 2013</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January 30, 2013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0.13</w:t>
            </w:r>
          </w:p>
        </w:tc>
        <w:tc>
          <w:tcPr>
            <w:tcW w:w="1560" w:type="dxa"/>
            <w:vAlign w:val="bottom"/>
          </w:tcPr>
          <w:p>
            <w:pPr>
              <w:spacing w:after="0"/>
              <w:rPr>
                <w:sz w:val="20"/>
                <w:szCs w:val="20"/>
                <w:color w:val="auto"/>
              </w:rPr>
            </w:pPr>
            <w:r>
              <w:rPr>
                <w:rFonts w:ascii="Arial" w:cs="Arial" w:eastAsia="Arial" w:hAnsi="Arial"/>
                <w:sz w:val="18"/>
                <w:szCs w:val="18"/>
                <w:color w:val="auto"/>
              </w:rPr>
              <w:t>March 28, 2013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0"/>
              <w:spacing w:after="0"/>
              <w:rPr>
                <w:sz w:val="20"/>
                <w:szCs w:val="20"/>
                <w:color w:val="auto"/>
              </w:rPr>
            </w:pPr>
            <w:r>
              <w:rPr>
                <w:rFonts w:ascii="Arial" w:cs="Arial" w:eastAsia="Arial" w:hAnsi="Arial"/>
                <w:sz w:val="18"/>
                <w:szCs w:val="18"/>
                <w:color w:val="auto"/>
              </w:rPr>
              <w:t>20.9 million</w:t>
            </w:r>
          </w:p>
        </w:tc>
        <w:tc>
          <w:tcPr>
            <w:tcW w:w="1640" w:type="dxa"/>
            <w:vAlign w:val="bottom"/>
            <w:gridSpan w:val="2"/>
          </w:tcPr>
          <w:p>
            <w:pPr>
              <w:ind w:left="260"/>
              <w:spacing w:after="0"/>
              <w:rPr>
                <w:sz w:val="20"/>
                <w:szCs w:val="20"/>
                <w:color w:val="auto"/>
              </w:rPr>
            </w:pPr>
            <w:r>
              <w:rPr>
                <w:rFonts w:ascii="Arial" w:cs="Arial" w:eastAsia="Arial" w:hAnsi="Arial"/>
                <w:sz w:val="18"/>
                <w:szCs w:val="18"/>
                <w:color w:val="auto"/>
              </w:rPr>
              <w:t>April 19, 2013</w:t>
            </w: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30, 2013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0.13</w:t>
            </w: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June 28, 2013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20.9 million</w:t>
            </w:r>
          </w:p>
        </w:tc>
        <w:tc>
          <w:tcPr>
            <w:tcW w:w="1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July 19, 2013</w:t>
            </w:r>
          </w:p>
        </w:tc>
        <w:tc>
          <w:tcPr>
            <w:tcW w:w="0" w:type="dxa"/>
            <w:vAlign w:val="bottom"/>
          </w:tcPr>
          <w:p>
            <w:pPr>
              <w:spacing w:after="0"/>
              <w:rPr>
                <w:sz w:val="1"/>
                <w:szCs w:val="1"/>
                <w:color w:val="auto"/>
              </w:rPr>
            </w:pPr>
          </w:p>
        </w:tc>
      </w:tr>
      <w:tr>
        <w:trPr>
          <w:trHeight w:val="222"/>
        </w:trPr>
        <w:tc>
          <w:tcPr>
            <w:tcW w:w="4900" w:type="dxa"/>
            <w:vAlign w:val="bottom"/>
            <w:gridSpan w:val="2"/>
          </w:tcPr>
          <w:p>
            <w:pPr>
              <w:spacing w:after="0"/>
              <w:rPr>
                <w:sz w:val="20"/>
                <w:szCs w:val="20"/>
                <w:color w:val="auto"/>
              </w:rPr>
            </w:pPr>
            <w:r>
              <w:rPr>
                <w:rFonts w:ascii="Arial" w:cs="Arial" w:eastAsia="Arial" w:hAnsi="Arial"/>
                <w:sz w:val="18"/>
                <w:szCs w:val="18"/>
                <w:color w:val="auto"/>
              </w:rPr>
              <w:t>July 31, 2013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0.13</w:t>
            </w:r>
          </w:p>
        </w:tc>
        <w:tc>
          <w:tcPr>
            <w:tcW w:w="1560" w:type="dxa"/>
            <w:vAlign w:val="bottom"/>
          </w:tcPr>
          <w:p>
            <w:pPr>
              <w:spacing w:after="0"/>
              <w:rPr>
                <w:sz w:val="20"/>
                <w:szCs w:val="20"/>
                <w:color w:val="auto"/>
              </w:rPr>
            </w:pPr>
            <w:r>
              <w:rPr>
                <w:rFonts w:ascii="Arial" w:cs="Arial" w:eastAsia="Arial" w:hAnsi="Arial"/>
                <w:sz w:val="18"/>
                <w:szCs w:val="18"/>
                <w:color w:val="auto"/>
                <w:w w:val="94"/>
              </w:rPr>
              <w:t>September 30, 2013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0"/>
              <w:spacing w:after="0"/>
              <w:rPr>
                <w:sz w:val="20"/>
                <w:szCs w:val="20"/>
                <w:color w:val="auto"/>
              </w:rPr>
            </w:pPr>
            <w:r>
              <w:rPr>
                <w:rFonts w:ascii="Arial" w:cs="Arial" w:eastAsia="Arial" w:hAnsi="Arial"/>
                <w:sz w:val="18"/>
                <w:szCs w:val="18"/>
                <w:color w:val="auto"/>
              </w:rPr>
              <w:t>20.8 million</w:t>
            </w:r>
          </w:p>
        </w:tc>
        <w:tc>
          <w:tcPr>
            <w:tcW w:w="1640" w:type="dxa"/>
            <w:vAlign w:val="bottom"/>
            <w:gridSpan w:val="2"/>
          </w:tcPr>
          <w:p>
            <w:pPr>
              <w:ind w:left="260"/>
              <w:spacing w:after="0"/>
              <w:rPr>
                <w:sz w:val="20"/>
                <w:szCs w:val="20"/>
                <w:color w:val="auto"/>
              </w:rPr>
            </w:pPr>
            <w:r>
              <w:rPr>
                <w:rFonts w:ascii="Arial" w:cs="Arial" w:eastAsia="Arial" w:hAnsi="Arial"/>
                <w:sz w:val="18"/>
                <w:szCs w:val="18"/>
                <w:color w:val="auto"/>
                <w:w w:val="97"/>
              </w:rPr>
              <w:t>October 18, 2013</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Our Board of Directors considers on a quarterly basis whether to declare and pay, if any, a dividend in accordance with the terms of the dividend program, subject to applicable Guernsey law and based on several factors including our financial performance, outlook and liquidity. Guernsey law requires that our Board of Directors consider a dividend’s effects on our solvency before it may be declared or paid. While the Board of Directors will have the authority to reduce the quarterly dividend or discontinue the dividend program should it determine that doing so is in the best interests of our shareholders or is necessary pursuant to Guernsey law, any increase to the per share amount or frequency of the dividend would require further shareholder approval.</w:t>
      </w:r>
    </w:p>
    <w:p>
      <w:pPr>
        <w:spacing w:after="0" w:line="3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On November 5, 2013, our Board of Directors approved, subject shareholder approval, an increase in the quarterly dividend payment to $0.155 per share, as well as an amendment to our Articles of Incorporation, that would permit the Board of Directors to increase the per share amount or frequency of dividend payments without shareholder approval.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THE OFFER AND LISTING</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Our ordinary shares have been quoted on the NYSE since 1998 under the symbol “DOX.” The following table sets forth the high and low reported sale prices for our ordinary shares for the periods indicated:</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High</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Low</w:t>
            </w:r>
          </w:p>
        </w:tc>
      </w:tr>
      <w:tr>
        <w:trPr>
          <w:trHeight w:val="196"/>
        </w:trPr>
        <w:tc>
          <w:tcPr>
            <w:tcW w:w="5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Fiscal Year Ended September 30,</w:t>
            </w:r>
          </w:p>
        </w:tc>
        <w:tc>
          <w:tcPr>
            <w:tcW w:w="29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2009</w:t>
            </w:r>
          </w:p>
        </w:tc>
        <w:tc>
          <w:tcPr>
            <w:tcW w:w="3920" w:type="dxa"/>
            <w:vAlign w:val="bottom"/>
            <w:gridSpan w:val="3"/>
          </w:tcPr>
          <w:p>
            <w:pPr>
              <w:jc w:val="center"/>
              <w:ind w:left="2332"/>
              <w:spacing w:after="0"/>
              <w:rPr>
                <w:sz w:val="20"/>
                <w:szCs w:val="20"/>
                <w:color w:val="auto"/>
              </w:rPr>
            </w:pPr>
            <w:r>
              <w:rPr>
                <w:rFonts w:ascii="Arial" w:cs="Arial" w:eastAsia="Arial" w:hAnsi="Arial"/>
                <w:sz w:val="18"/>
                <w:szCs w:val="18"/>
                <w:color w:val="auto"/>
                <w:w w:val="90"/>
              </w:rPr>
              <w:t>$27.71</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$14.61</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920" w:type="dxa"/>
            <w:vAlign w:val="bottom"/>
            <w:gridSpan w:val="3"/>
            <w:shd w:val="clear" w:color="auto" w:fill="CCEEFF"/>
          </w:tcPr>
          <w:p>
            <w:pPr>
              <w:jc w:val="center"/>
              <w:ind w:left="2332"/>
              <w:spacing w:after="0"/>
              <w:rPr>
                <w:sz w:val="20"/>
                <w:szCs w:val="20"/>
                <w:color w:val="auto"/>
              </w:rPr>
            </w:pPr>
            <w:r>
              <w:rPr>
                <w:rFonts w:ascii="Arial" w:cs="Arial" w:eastAsia="Arial" w:hAnsi="Arial"/>
                <w:sz w:val="18"/>
                <w:szCs w:val="18"/>
                <w:color w:val="auto"/>
                <w:w w:val="90"/>
              </w:rPr>
              <w:t>$32.44</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$24.10</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2011</w:t>
            </w:r>
          </w:p>
        </w:tc>
        <w:tc>
          <w:tcPr>
            <w:tcW w:w="3920" w:type="dxa"/>
            <w:vAlign w:val="bottom"/>
            <w:gridSpan w:val="3"/>
          </w:tcPr>
          <w:p>
            <w:pPr>
              <w:jc w:val="center"/>
              <w:ind w:left="2332"/>
              <w:spacing w:after="0"/>
              <w:rPr>
                <w:sz w:val="20"/>
                <w:szCs w:val="20"/>
                <w:color w:val="auto"/>
              </w:rPr>
            </w:pPr>
            <w:r>
              <w:rPr>
                <w:rFonts w:ascii="Arial" w:cs="Arial" w:eastAsia="Arial" w:hAnsi="Arial"/>
                <w:sz w:val="18"/>
                <w:szCs w:val="18"/>
                <w:color w:val="auto"/>
                <w:w w:val="90"/>
              </w:rPr>
              <w:t>$32.00</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$25.41</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3920" w:type="dxa"/>
            <w:vAlign w:val="bottom"/>
            <w:gridSpan w:val="3"/>
            <w:shd w:val="clear" w:color="auto" w:fill="CCEEFF"/>
          </w:tcPr>
          <w:p>
            <w:pPr>
              <w:jc w:val="center"/>
              <w:ind w:left="2332"/>
              <w:spacing w:after="0"/>
              <w:rPr>
                <w:sz w:val="20"/>
                <w:szCs w:val="20"/>
                <w:color w:val="auto"/>
              </w:rPr>
            </w:pPr>
            <w:r>
              <w:rPr>
                <w:rFonts w:ascii="Arial" w:cs="Arial" w:eastAsia="Arial" w:hAnsi="Arial"/>
                <w:sz w:val="18"/>
                <w:szCs w:val="18"/>
                <w:color w:val="auto"/>
                <w:w w:val="90"/>
              </w:rPr>
              <w:t>$33.79</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$25.67</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2013</w:t>
            </w:r>
          </w:p>
        </w:tc>
        <w:tc>
          <w:tcPr>
            <w:tcW w:w="3920" w:type="dxa"/>
            <w:vAlign w:val="bottom"/>
            <w:gridSpan w:val="3"/>
          </w:tcPr>
          <w:p>
            <w:pPr>
              <w:jc w:val="center"/>
              <w:ind w:left="2332"/>
              <w:spacing w:after="0"/>
              <w:rPr>
                <w:sz w:val="20"/>
                <w:szCs w:val="20"/>
                <w:color w:val="auto"/>
              </w:rPr>
            </w:pPr>
            <w:r>
              <w:rPr>
                <w:rFonts w:ascii="Arial" w:cs="Arial" w:eastAsia="Arial" w:hAnsi="Arial"/>
                <w:sz w:val="18"/>
                <w:szCs w:val="18"/>
                <w:color w:val="auto"/>
                <w:w w:val="90"/>
              </w:rPr>
              <w:t>$39.01</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$31.41</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Quarter</w:t>
            </w:r>
          </w:p>
        </w:tc>
        <w:tc>
          <w:tcPr>
            <w:tcW w:w="2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i w:val="1"/>
                <w:iCs w:val="1"/>
                <w:color w:val="auto"/>
              </w:rPr>
              <w:t>Fiscal 2012:</w:t>
            </w:r>
          </w:p>
        </w:tc>
        <w:tc>
          <w:tcPr>
            <w:tcW w:w="2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920" w:type="dxa"/>
            <w:vAlign w:val="bottom"/>
            <w:gridSpan w:val="3"/>
            <w:shd w:val="clear" w:color="auto" w:fill="CCEEFF"/>
          </w:tcPr>
          <w:p>
            <w:pPr>
              <w:jc w:val="center"/>
              <w:ind w:left="2332"/>
              <w:spacing w:after="0"/>
              <w:rPr>
                <w:sz w:val="20"/>
                <w:szCs w:val="20"/>
                <w:color w:val="auto"/>
              </w:rPr>
            </w:pPr>
            <w:r>
              <w:rPr>
                <w:rFonts w:ascii="Arial" w:cs="Arial" w:eastAsia="Arial" w:hAnsi="Arial"/>
                <w:sz w:val="18"/>
                <w:szCs w:val="18"/>
                <w:color w:val="auto"/>
                <w:w w:val="90"/>
              </w:rPr>
              <w:t>$31.06</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$25.67</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Second Quarter</w:t>
            </w:r>
          </w:p>
        </w:tc>
        <w:tc>
          <w:tcPr>
            <w:tcW w:w="3920" w:type="dxa"/>
            <w:vAlign w:val="bottom"/>
            <w:gridSpan w:val="3"/>
          </w:tcPr>
          <w:p>
            <w:pPr>
              <w:jc w:val="center"/>
              <w:ind w:left="2332"/>
              <w:spacing w:after="0"/>
              <w:rPr>
                <w:sz w:val="20"/>
                <w:szCs w:val="20"/>
                <w:color w:val="auto"/>
              </w:rPr>
            </w:pPr>
            <w:r>
              <w:rPr>
                <w:rFonts w:ascii="Arial" w:cs="Arial" w:eastAsia="Arial" w:hAnsi="Arial"/>
                <w:sz w:val="18"/>
                <w:szCs w:val="18"/>
                <w:color w:val="auto"/>
                <w:w w:val="90"/>
              </w:rPr>
              <w:t>$31.90</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$28.22</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920" w:type="dxa"/>
            <w:vAlign w:val="bottom"/>
            <w:gridSpan w:val="3"/>
            <w:shd w:val="clear" w:color="auto" w:fill="CCEEFF"/>
          </w:tcPr>
          <w:p>
            <w:pPr>
              <w:jc w:val="center"/>
              <w:ind w:left="2332"/>
              <w:spacing w:after="0"/>
              <w:rPr>
                <w:sz w:val="20"/>
                <w:szCs w:val="20"/>
                <w:color w:val="auto"/>
              </w:rPr>
            </w:pPr>
            <w:r>
              <w:rPr>
                <w:rFonts w:ascii="Arial" w:cs="Arial" w:eastAsia="Arial" w:hAnsi="Arial"/>
                <w:sz w:val="18"/>
                <w:szCs w:val="18"/>
                <w:color w:val="auto"/>
                <w:w w:val="90"/>
              </w:rPr>
              <w:t>$32.39</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$28.16</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Fourth Quarter</w:t>
            </w:r>
          </w:p>
        </w:tc>
        <w:tc>
          <w:tcPr>
            <w:tcW w:w="3920" w:type="dxa"/>
            <w:vAlign w:val="bottom"/>
            <w:gridSpan w:val="3"/>
          </w:tcPr>
          <w:p>
            <w:pPr>
              <w:jc w:val="center"/>
              <w:ind w:left="2332"/>
              <w:spacing w:after="0"/>
              <w:rPr>
                <w:sz w:val="20"/>
                <w:szCs w:val="20"/>
                <w:color w:val="auto"/>
              </w:rPr>
            </w:pPr>
            <w:r>
              <w:rPr>
                <w:rFonts w:ascii="Arial" w:cs="Arial" w:eastAsia="Arial" w:hAnsi="Arial"/>
                <w:sz w:val="18"/>
                <w:szCs w:val="18"/>
                <w:color w:val="auto"/>
                <w:w w:val="90"/>
              </w:rPr>
              <w:t>$33.79</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$28.41</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Fiscal 2013:</w:t>
            </w:r>
          </w:p>
        </w:tc>
        <w:tc>
          <w:tcPr>
            <w:tcW w:w="2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First Quarter</w:t>
            </w:r>
          </w:p>
        </w:tc>
        <w:tc>
          <w:tcPr>
            <w:tcW w:w="3920" w:type="dxa"/>
            <w:vAlign w:val="bottom"/>
            <w:gridSpan w:val="3"/>
          </w:tcPr>
          <w:p>
            <w:pPr>
              <w:jc w:val="center"/>
              <w:ind w:left="2332"/>
              <w:spacing w:after="0"/>
              <w:rPr>
                <w:sz w:val="20"/>
                <w:szCs w:val="20"/>
                <w:color w:val="auto"/>
              </w:rPr>
            </w:pPr>
            <w:r>
              <w:rPr>
                <w:rFonts w:ascii="Arial" w:cs="Arial" w:eastAsia="Arial" w:hAnsi="Arial"/>
                <w:sz w:val="18"/>
                <w:szCs w:val="18"/>
                <w:color w:val="auto"/>
                <w:w w:val="90"/>
              </w:rPr>
              <w:t>$35.02</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$31.41</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3920" w:type="dxa"/>
            <w:vAlign w:val="bottom"/>
            <w:gridSpan w:val="3"/>
            <w:shd w:val="clear" w:color="auto" w:fill="CCEEFF"/>
          </w:tcPr>
          <w:p>
            <w:pPr>
              <w:jc w:val="center"/>
              <w:ind w:left="2332"/>
              <w:spacing w:after="0"/>
              <w:rPr>
                <w:sz w:val="20"/>
                <w:szCs w:val="20"/>
                <w:color w:val="auto"/>
              </w:rPr>
            </w:pPr>
            <w:r>
              <w:rPr>
                <w:rFonts w:ascii="Arial" w:cs="Arial" w:eastAsia="Arial" w:hAnsi="Arial"/>
                <w:sz w:val="18"/>
                <w:szCs w:val="18"/>
                <w:color w:val="auto"/>
                <w:w w:val="90"/>
              </w:rPr>
              <w:t>$36.73</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$33.84</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Third Quarter</w:t>
            </w:r>
          </w:p>
        </w:tc>
        <w:tc>
          <w:tcPr>
            <w:tcW w:w="3920" w:type="dxa"/>
            <w:vAlign w:val="bottom"/>
            <w:gridSpan w:val="3"/>
          </w:tcPr>
          <w:p>
            <w:pPr>
              <w:jc w:val="center"/>
              <w:ind w:left="2332"/>
              <w:spacing w:after="0"/>
              <w:rPr>
                <w:sz w:val="20"/>
                <w:szCs w:val="20"/>
                <w:color w:val="auto"/>
              </w:rPr>
            </w:pPr>
            <w:r>
              <w:rPr>
                <w:rFonts w:ascii="Arial" w:cs="Arial" w:eastAsia="Arial" w:hAnsi="Arial"/>
                <w:sz w:val="18"/>
                <w:szCs w:val="18"/>
                <w:color w:val="auto"/>
                <w:w w:val="90"/>
              </w:rPr>
              <w:t>$37.22</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$34.07</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3920" w:type="dxa"/>
            <w:vAlign w:val="bottom"/>
            <w:gridSpan w:val="3"/>
            <w:shd w:val="clear" w:color="auto" w:fill="CCEEFF"/>
          </w:tcPr>
          <w:p>
            <w:pPr>
              <w:jc w:val="center"/>
              <w:ind w:left="2332"/>
              <w:spacing w:after="0"/>
              <w:rPr>
                <w:sz w:val="20"/>
                <w:szCs w:val="20"/>
                <w:color w:val="auto"/>
              </w:rPr>
            </w:pPr>
            <w:r>
              <w:rPr>
                <w:rFonts w:ascii="Arial" w:cs="Arial" w:eastAsia="Arial" w:hAnsi="Arial"/>
                <w:sz w:val="18"/>
                <w:szCs w:val="18"/>
                <w:color w:val="auto"/>
                <w:w w:val="90"/>
              </w:rPr>
              <w:t>$39.01</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$36.45</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i w:val="1"/>
                <w:iCs w:val="1"/>
                <w:color w:val="auto"/>
              </w:rPr>
              <w:t>Fiscal 2014:</w:t>
            </w:r>
          </w:p>
        </w:tc>
        <w:tc>
          <w:tcPr>
            <w:tcW w:w="2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First Quarter (through November 30, 2013)</w:t>
            </w:r>
          </w:p>
        </w:tc>
        <w:tc>
          <w:tcPr>
            <w:tcW w:w="3920" w:type="dxa"/>
            <w:vAlign w:val="bottom"/>
            <w:gridSpan w:val="3"/>
            <w:shd w:val="clear" w:color="auto" w:fill="CCEEFF"/>
          </w:tcPr>
          <w:p>
            <w:pPr>
              <w:jc w:val="center"/>
              <w:ind w:left="2332"/>
              <w:spacing w:after="0"/>
              <w:rPr>
                <w:sz w:val="20"/>
                <w:szCs w:val="20"/>
                <w:color w:val="auto"/>
              </w:rPr>
            </w:pPr>
            <w:r>
              <w:rPr>
                <w:rFonts w:ascii="Arial" w:cs="Arial" w:eastAsia="Arial" w:hAnsi="Arial"/>
                <w:sz w:val="18"/>
                <w:szCs w:val="18"/>
                <w:color w:val="auto"/>
                <w:w w:val="90"/>
              </w:rPr>
              <w:t>$40.99</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$36.39</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Most Recent Six Months</w:t>
            </w:r>
          </w:p>
        </w:tc>
        <w:tc>
          <w:tcPr>
            <w:tcW w:w="2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June 2013</w:t>
            </w:r>
          </w:p>
        </w:tc>
        <w:tc>
          <w:tcPr>
            <w:tcW w:w="3920" w:type="dxa"/>
            <w:vAlign w:val="bottom"/>
            <w:gridSpan w:val="3"/>
            <w:shd w:val="clear" w:color="auto" w:fill="CCEEFF"/>
          </w:tcPr>
          <w:p>
            <w:pPr>
              <w:jc w:val="center"/>
              <w:ind w:left="2332"/>
              <w:spacing w:after="0"/>
              <w:rPr>
                <w:sz w:val="20"/>
                <w:szCs w:val="20"/>
                <w:color w:val="auto"/>
              </w:rPr>
            </w:pPr>
            <w:r>
              <w:rPr>
                <w:rFonts w:ascii="Arial" w:cs="Arial" w:eastAsia="Arial" w:hAnsi="Arial"/>
                <w:sz w:val="18"/>
                <w:szCs w:val="18"/>
                <w:color w:val="auto"/>
                <w:w w:val="90"/>
              </w:rPr>
              <w:t>$37.22</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$35.07</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July 2013</w:t>
            </w:r>
          </w:p>
        </w:tc>
        <w:tc>
          <w:tcPr>
            <w:tcW w:w="3920" w:type="dxa"/>
            <w:vAlign w:val="bottom"/>
            <w:gridSpan w:val="3"/>
          </w:tcPr>
          <w:p>
            <w:pPr>
              <w:jc w:val="center"/>
              <w:ind w:left="2332"/>
              <w:spacing w:after="0"/>
              <w:rPr>
                <w:sz w:val="20"/>
                <w:szCs w:val="20"/>
                <w:color w:val="auto"/>
              </w:rPr>
            </w:pPr>
            <w:r>
              <w:rPr>
                <w:rFonts w:ascii="Arial" w:cs="Arial" w:eastAsia="Arial" w:hAnsi="Arial"/>
                <w:sz w:val="18"/>
                <w:szCs w:val="18"/>
                <w:color w:val="auto"/>
                <w:w w:val="90"/>
              </w:rPr>
              <w:t>$38.95</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$36.45</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August 2013</w:t>
            </w:r>
          </w:p>
        </w:tc>
        <w:tc>
          <w:tcPr>
            <w:tcW w:w="3920" w:type="dxa"/>
            <w:vAlign w:val="bottom"/>
            <w:gridSpan w:val="3"/>
            <w:shd w:val="clear" w:color="auto" w:fill="CCEEFF"/>
          </w:tcPr>
          <w:p>
            <w:pPr>
              <w:jc w:val="center"/>
              <w:ind w:left="2332"/>
              <w:spacing w:after="0"/>
              <w:rPr>
                <w:sz w:val="20"/>
                <w:szCs w:val="20"/>
                <w:color w:val="auto"/>
              </w:rPr>
            </w:pPr>
            <w:r>
              <w:rPr>
                <w:rFonts w:ascii="Arial" w:cs="Arial" w:eastAsia="Arial" w:hAnsi="Arial"/>
                <w:sz w:val="18"/>
                <w:szCs w:val="18"/>
                <w:color w:val="auto"/>
                <w:w w:val="90"/>
              </w:rPr>
              <w:t>$39.01</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$36.75</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September 2013</w:t>
            </w:r>
          </w:p>
        </w:tc>
        <w:tc>
          <w:tcPr>
            <w:tcW w:w="3920" w:type="dxa"/>
            <w:vAlign w:val="bottom"/>
            <w:gridSpan w:val="3"/>
          </w:tcPr>
          <w:p>
            <w:pPr>
              <w:jc w:val="center"/>
              <w:ind w:left="2332"/>
              <w:spacing w:after="0"/>
              <w:rPr>
                <w:sz w:val="20"/>
                <w:szCs w:val="20"/>
                <w:color w:val="auto"/>
              </w:rPr>
            </w:pPr>
            <w:r>
              <w:rPr>
                <w:rFonts w:ascii="Arial" w:cs="Arial" w:eastAsia="Arial" w:hAnsi="Arial"/>
                <w:sz w:val="18"/>
                <w:szCs w:val="18"/>
                <w:color w:val="auto"/>
                <w:w w:val="90"/>
              </w:rPr>
              <w:t>$37.78</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$36.60</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October 2013</w:t>
            </w:r>
          </w:p>
        </w:tc>
        <w:tc>
          <w:tcPr>
            <w:tcW w:w="3920" w:type="dxa"/>
            <w:vAlign w:val="bottom"/>
            <w:gridSpan w:val="3"/>
            <w:shd w:val="clear" w:color="auto" w:fill="CCEEFF"/>
          </w:tcPr>
          <w:p>
            <w:pPr>
              <w:jc w:val="center"/>
              <w:ind w:left="2332"/>
              <w:spacing w:after="0"/>
              <w:rPr>
                <w:sz w:val="20"/>
                <w:szCs w:val="20"/>
                <w:color w:val="auto"/>
              </w:rPr>
            </w:pPr>
            <w:r>
              <w:rPr>
                <w:rFonts w:ascii="Arial" w:cs="Arial" w:eastAsia="Arial" w:hAnsi="Arial"/>
                <w:sz w:val="18"/>
                <w:szCs w:val="18"/>
                <w:color w:val="auto"/>
                <w:w w:val="90"/>
              </w:rPr>
              <w:t>$38.76</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$36.39</w:t>
            </w:r>
          </w:p>
        </w:tc>
        <w:tc>
          <w:tcPr>
            <w:tcW w:w="100" w:type="dxa"/>
            <w:vAlign w:val="bottom"/>
            <w:shd w:val="clear" w:color="auto" w:fill="CCEEFF"/>
          </w:tcPr>
          <w:p>
            <w:pPr>
              <w:spacing w:after="0"/>
              <w:rPr>
                <w:sz w:val="18"/>
                <w:szCs w:val="18"/>
                <w:color w:val="auto"/>
              </w:rPr>
            </w:pPr>
          </w:p>
        </w:tc>
      </w:tr>
      <w:tr>
        <w:trPr>
          <w:trHeight w:val="222"/>
        </w:trPr>
        <w:tc>
          <w:tcPr>
            <w:tcW w:w="5980" w:type="dxa"/>
            <w:vAlign w:val="bottom"/>
          </w:tcPr>
          <w:p>
            <w:pPr>
              <w:spacing w:after="0"/>
              <w:rPr>
                <w:sz w:val="20"/>
                <w:szCs w:val="20"/>
                <w:color w:val="auto"/>
              </w:rPr>
            </w:pPr>
            <w:r>
              <w:rPr>
                <w:rFonts w:ascii="Arial" w:cs="Arial" w:eastAsia="Arial" w:hAnsi="Arial"/>
                <w:sz w:val="18"/>
                <w:szCs w:val="18"/>
                <w:color w:val="auto"/>
              </w:rPr>
              <w:t>November 2013</w:t>
            </w:r>
          </w:p>
        </w:tc>
        <w:tc>
          <w:tcPr>
            <w:tcW w:w="3920" w:type="dxa"/>
            <w:vAlign w:val="bottom"/>
            <w:gridSpan w:val="3"/>
          </w:tcPr>
          <w:p>
            <w:pPr>
              <w:jc w:val="center"/>
              <w:ind w:left="2332"/>
              <w:spacing w:after="0"/>
              <w:rPr>
                <w:sz w:val="20"/>
                <w:szCs w:val="20"/>
                <w:color w:val="auto"/>
              </w:rPr>
            </w:pPr>
            <w:r>
              <w:rPr>
                <w:rFonts w:ascii="Arial" w:cs="Arial" w:eastAsia="Arial" w:hAnsi="Arial"/>
                <w:sz w:val="18"/>
                <w:szCs w:val="18"/>
                <w:color w:val="auto"/>
                <w:w w:val="90"/>
              </w:rPr>
              <w:t>$40.99</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$38.09</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ordinary shares have been approved for listing on the Nasdaq Global Select Market. Trading on the NYSE is expected to cease after market close on December 19, 2013 and is expected to commence on Nasdaq on December 20, 2013.</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ADDITIONAL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Memorandum and Articles of Incorporation</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Amdocs Limited is registered as a company with limited liability pursuant to the laws of the Island of Guernsey with company number 19528 and whose registered office situated at Hirzel House, Smith Street, St Peter Port, Guernsey, GY1 2NG. The telephone number at that location is +44-1481-728444.</w:t>
      </w:r>
    </w:p>
    <w:p>
      <w:pPr>
        <w:spacing w:after="0" w:line="4"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Our Memorandum of Incorporation, or the Memorandum, provides that the objects and powers of Amdocs Limited are not restricted and our Articles of Incorporation, or the Articles, provide that our business is to engage in any lawful act or activity for which companies may be organized under the Companies (Guernsey) Law, 2008, as amended, or the Companies Law.</w:t>
      </w:r>
    </w:p>
    <w:p>
      <w:pPr>
        <w:spacing w:after="0" w:line="5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Articles grant the Board of Directors all the powers necessary for managing, directing and supervising the management of the business and affairs of Amdocs Limited.</w:t>
      </w:r>
    </w:p>
    <w:p>
      <w:pPr>
        <w:spacing w:after="0" w:line="5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Article 70(1) of the Articles provides that a director may vote in respect of any contract or arrangement in which such director has an interest notwithstanding such director’s interest and an interested director will not be liable to us for any profit realized through any such contract or arrangement by reason of such director holding</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office of director. Article 71(1) of the Articles provides that the directors shall be paid out of the funds of Amdocs Limited by way of fees such sums as the Board shall reasonably determine. Article 73 of the Articles provides that directors may exercise all the powers of Amdocs Limited to borrow money, and to mortgage or charge its undertaking, property and uncalled capital or any part thereof, and to issue securities whether outright or as security for any debt, liability or obligation of Amdocs Limited for any third party. Such borrowing powers can only be altered through an amendment to the Articles by special resolution. Our Memorandum and Articles do not impose a requirement on the directors to own shares of Amdocs Limited in order to serve as directors, however, the Board of Directors has adopted guidelines for minimum share ownership by the directors, who have until the end of 2013 to be in compliance with the guidelines.</w:t>
      </w:r>
    </w:p>
    <w:p>
      <w:pPr>
        <w:spacing w:after="0" w:line="39"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On January 22, 2009 the Board of Directors was granted a five-year standing authority by the shareholders to issue a maximum of (i) 25,000,000 preferred shares and (ii) 700,000,000 ordinary shares, consisting of voting and non-voting ordinary shares. At our upcoming Annual General Meeting of Shareholders to be held on January 30, 2014, we will seek shareholder approval for an additional five-year standing authority to issue shares at the same levels as the current authorization. As of September 30, 2013, 160,061,975 ordinary shares were outstanding (net of treasury shares) and no non-voting ordinary shares or preferred shares were outstanding. The rights, preferences and restrictions attaching to each class of the shares were not changed by the amendment to our charter documents and are set out in the Memorandum and Articles and are as follows: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Preferred Shares</w:t>
      </w:r>
    </w:p>
    <w:p>
      <w:pPr>
        <w:spacing w:after="0" w:line="90" w:lineRule="exact"/>
        <w:rPr>
          <w:sz w:val="20"/>
          <w:szCs w:val="20"/>
          <w:color w:val="auto"/>
        </w:rPr>
      </w:pPr>
    </w:p>
    <w:p>
      <w:pPr>
        <w:ind w:left="660" w:hanging="206"/>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Issue </w:t>
      </w:r>
      <w:r>
        <w:rPr>
          <w:rFonts w:ascii="Arial" w:cs="Arial" w:eastAsia="Arial" w:hAnsi="Arial"/>
          <w:sz w:val="16"/>
          <w:szCs w:val="16"/>
          <w:color w:val="auto"/>
        </w:rPr>
        <w:t>— the preferred shares may be issued from time to time in one or more series of any number of shares up to the amount authorized.</w:t>
      </w:r>
    </w:p>
    <w:p>
      <w:pPr>
        <w:spacing w:after="0" w:line="113" w:lineRule="exact"/>
        <w:rPr>
          <w:rFonts w:ascii="Arial" w:cs="Arial" w:eastAsia="Arial" w:hAnsi="Arial"/>
          <w:sz w:val="16"/>
          <w:szCs w:val="16"/>
          <w:color w:val="auto"/>
        </w:rPr>
      </w:pPr>
    </w:p>
    <w:p>
      <w:pPr>
        <w:jc w:val="both"/>
        <w:ind w:left="660" w:right="120" w:hanging="206"/>
        <w:spacing w:after="0" w:line="259"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Authorization to Issue Preferred Shares </w:t>
      </w:r>
      <w:r>
        <w:rPr>
          <w:rFonts w:ascii="Arial" w:cs="Arial" w:eastAsia="Arial" w:hAnsi="Arial"/>
          <w:sz w:val="18"/>
          <w:szCs w:val="18"/>
          <w:color w:val="auto"/>
        </w:rPr>
        <w:t>— authority is vested in the directors from time to time to authorize the issue of one or more series of preferred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shares and to provide for the designations, powers, preferences and relative participating, optional or other special rights and qualifications, limitations or restrictions thereon.</w:t>
      </w:r>
    </w:p>
    <w:p>
      <w:pPr>
        <w:spacing w:after="0" w:line="59" w:lineRule="exact"/>
        <w:rPr>
          <w:rFonts w:ascii="Arial" w:cs="Arial" w:eastAsia="Arial" w:hAnsi="Arial"/>
          <w:sz w:val="18"/>
          <w:szCs w:val="18"/>
          <w:color w:val="auto"/>
        </w:rPr>
      </w:pPr>
    </w:p>
    <w:p>
      <w:pPr>
        <w:ind w:left="660" w:right="220" w:hanging="206"/>
        <w:spacing w:after="0" w:line="268"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Relative Rights </w:t>
      </w:r>
      <w:r>
        <w:rPr>
          <w:rFonts w:ascii="Arial" w:cs="Arial" w:eastAsia="Arial" w:hAnsi="Arial"/>
          <w:sz w:val="18"/>
          <w:szCs w:val="18"/>
          <w:color w:val="auto"/>
        </w:rPr>
        <w:t>— all shares of any one series of preferred shares must be identical with each other in all respects, except that shares of any one series</w:t>
      </w:r>
      <w:r>
        <w:rPr>
          <w:rFonts w:ascii="Arial" w:cs="Arial" w:eastAsia="Arial" w:hAnsi="Arial"/>
          <w:sz w:val="18"/>
          <w:szCs w:val="18"/>
          <w:i w:val="1"/>
          <w:iCs w:val="1"/>
          <w:color w:val="auto"/>
        </w:rPr>
        <w:t xml:space="preserve"> </w:t>
      </w:r>
      <w:r>
        <w:rPr>
          <w:rFonts w:ascii="Arial" w:cs="Arial" w:eastAsia="Arial" w:hAnsi="Arial"/>
          <w:sz w:val="18"/>
          <w:szCs w:val="18"/>
          <w:color w:val="auto"/>
        </w:rPr>
        <w:t>issued at different times may differ as to the dates from which dividends shall accrue.</w:t>
      </w:r>
    </w:p>
    <w:p>
      <w:pPr>
        <w:spacing w:after="0" w:line="50" w:lineRule="exact"/>
        <w:rPr>
          <w:rFonts w:ascii="Arial" w:cs="Arial" w:eastAsia="Arial" w:hAnsi="Arial"/>
          <w:sz w:val="18"/>
          <w:szCs w:val="18"/>
          <w:color w:val="auto"/>
        </w:rPr>
      </w:pPr>
    </w:p>
    <w:p>
      <w:pPr>
        <w:ind w:left="660" w:hanging="206"/>
        <w:spacing w:after="0" w:line="25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Liquidation </w:t>
      </w:r>
      <w:r>
        <w:rPr>
          <w:rFonts w:ascii="Arial" w:cs="Arial" w:eastAsia="Arial" w:hAnsi="Arial"/>
          <w:sz w:val="18"/>
          <w:szCs w:val="18"/>
          <w:color w:val="auto"/>
        </w:rPr>
        <w:t>— in the event of any liquidation, dissolution or winding-up of Amdocs Limited, the holders of preferred shares are entitled to a preference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payment and to receive payment (at the rate fixed in any resolution or resolutions adopted by the directors in such case) plus an amount equal to all dividends accumulated to the date of final distribution to such holders. The holders of preferred shares are entitled to no further payment other than that stated above. If upon any liquidation our assets are insufficient to pay in full the amount stated above, then such assets shall be distributed among the holders of preferred shares ratably in accordance with the respective amount such holder would have received if all amounts had been paid in full.</w:t>
      </w:r>
    </w:p>
    <w:p>
      <w:pPr>
        <w:spacing w:after="0" w:line="63" w:lineRule="exact"/>
        <w:rPr>
          <w:rFonts w:ascii="Arial" w:cs="Arial" w:eastAsia="Arial" w:hAnsi="Arial"/>
          <w:sz w:val="18"/>
          <w:szCs w:val="18"/>
          <w:color w:val="auto"/>
        </w:rPr>
      </w:pPr>
    </w:p>
    <w:p>
      <w:pPr>
        <w:ind w:left="660" w:right="220" w:hanging="206"/>
        <w:spacing w:after="0" w:line="370" w:lineRule="auto"/>
        <w:tabs>
          <w:tab w:leader="none" w:pos="660" w:val="left"/>
        </w:tabs>
        <w:numPr>
          <w:ilvl w:val="0"/>
          <w:numId w:val="40"/>
        </w:numPr>
        <w:rPr>
          <w:rFonts w:ascii="Arial" w:cs="Arial" w:eastAsia="Arial" w:hAnsi="Arial"/>
          <w:sz w:val="15"/>
          <w:szCs w:val="15"/>
          <w:color w:val="auto"/>
        </w:rPr>
      </w:pPr>
      <w:r>
        <w:rPr>
          <w:rFonts w:ascii="Arial" w:cs="Arial" w:eastAsia="Arial" w:hAnsi="Arial"/>
          <w:sz w:val="15"/>
          <w:szCs w:val="15"/>
          <w:i w:val="1"/>
          <w:iCs w:val="1"/>
          <w:color w:val="auto"/>
        </w:rPr>
        <w:t xml:space="preserve">Voting Rights </w:t>
      </w:r>
      <w:r>
        <w:rPr>
          <w:rFonts w:ascii="Arial" w:cs="Arial" w:eastAsia="Arial" w:hAnsi="Arial"/>
          <w:sz w:val="15"/>
          <w:szCs w:val="15"/>
          <w:color w:val="auto"/>
        </w:rPr>
        <w:t>— except as otherwise provided for by the directors upon the issue of any new series of preferred shares, the holders of preferred shares</w:t>
      </w:r>
      <w:r>
        <w:rPr>
          <w:rFonts w:ascii="Arial" w:cs="Arial" w:eastAsia="Arial" w:hAnsi="Arial"/>
          <w:sz w:val="15"/>
          <w:szCs w:val="15"/>
          <w:i w:val="1"/>
          <w:iCs w:val="1"/>
          <w:color w:val="auto"/>
        </w:rPr>
        <w:t xml:space="preserve"> </w:t>
      </w:r>
      <w:r>
        <w:rPr>
          <w:rFonts w:ascii="Arial" w:cs="Arial" w:eastAsia="Arial" w:hAnsi="Arial"/>
          <w:sz w:val="15"/>
          <w:szCs w:val="15"/>
          <w:color w:val="auto"/>
        </w:rPr>
        <w:t>have no right or power to vote on any question or in any proceeding or to be represented at, or to receive notice of, any meeting of shareholders.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Ordinary Shares and Non-Voting Ordinary Shares</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Except as otherwise provided by the Memorandum and Articles, the ordinary shares and non-voting ordinary shares are identical and entitle holders thereof to the same rights and privileges.</w:t>
      </w:r>
    </w:p>
    <w:p>
      <w:pPr>
        <w:spacing w:after="0" w:line="51" w:lineRule="exact"/>
        <w:rPr>
          <w:sz w:val="20"/>
          <w:szCs w:val="20"/>
          <w:color w:val="auto"/>
        </w:rPr>
      </w:pPr>
    </w:p>
    <w:p>
      <w:pPr>
        <w:ind w:left="660" w:right="20" w:hanging="206"/>
        <w:spacing w:after="0" w:line="259"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 when and as dividends are declared on our shares, the holders of voting ordinary shares and non-voting shares are entitled to share equally,</w:t>
      </w:r>
      <w:r>
        <w:rPr>
          <w:rFonts w:ascii="Arial" w:cs="Arial" w:eastAsia="Arial" w:hAnsi="Arial"/>
          <w:sz w:val="18"/>
          <w:szCs w:val="18"/>
          <w:i w:val="1"/>
          <w:iCs w:val="1"/>
          <w:color w:val="auto"/>
        </w:rPr>
        <w:t xml:space="preserve"> </w:t>
      </w:r>
      <w:r>
        <w:rPr>
          <w:rFonts w:ascii="Arial" w:cs="Arial" w:eastAsia="Arial" w:hAnsi="Arial"/>
          <w:sz w:val="18"/>
          <w:szCs w:val="18"/>
          <w:color w:val="auto"/>
        </w:rPr>
        <w:t>share for share, in such dividends except that if dividends are declared that are payable in voting ordinary shares or non-voting ordinary shares, dividends must be declared that are payable at the same rate in both classes of shares.</w:t>
      </w:r>
    </w:p>
    <w:p>
      <w:pPr>
        <w:spacing w:after="0" w:line="59" w:lineRule="exact"/>
        <w:rPr>
          <w:rFonts w:ascii="Arial" w:cs="Arial" w:eastAsia="Arial" w:hAnsi="Arial"/>
          <w:sz w:val="18"/>
          <w:szCs w:val="18"/>
          <w:color w:val="auto"/>
        </w:rPr>
      </w:pPr>
    </w:p>
    <w:p>
      <w:pPr>
        <w:ind w:left="660" w:right="380" w:hanging="206"/>
        <w:spacing w:after="0" w:line="268"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Conversion of Non-Voting Ordinary Shares into Voting Ordinary Shares </w:t>
      </w:r>
      <w:r>
        <w:rPr>
          <w:rFonts w:ascii="Arial" w:cs="Arial" w:eastAsia="Arial" w:hAnsi="Arial"/>
          <w:sz w:val="18"/>
          <w:szCs w:val="18"/>
          <w:color w:val="auto"/>
        </w:rPr>
        <w:t>— upon the transfer of non-voting ordinary shares from the original holder</w:t>
      </w:r>
      <w:r>
        <w:rPr>
          <w:rFonts w:ascii="Arial" w:cs="Arial" w:eastAsia="Arial" w:hAnsi="Arial"/>
          <w:sz w:val="18"/>
          <w:szCs w:val="18"/>
          <w:i w:val="1"/>
          <w:iCs w:val="1"/>
          <w:color w:val="auto"/>
        </w:rPr>
        <w:t xml:space="preserve"> </w:t>
      </w:r>
      <w:r>
        <w:rPr>
          <w:rFonts w:ascii="Arial" w:cs="Arial" w:eastAsia="Arial" w:hAnsi="Arial"/>
          <w:sz w:val="18"/>
          <w:szCs w:val="18"/>
          <w:color w:val="auto"/>
        </w:rPr>
        <w:t>thereof to any third party not affiliated with such original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right="280"/>
        <w:spacing w:after="0" w:line="268" w:lineRule="auto"/>
        <w:rPr>
          <w:sz w:val="20"/>
          <w:szCs w:val="20"/>
          <w:color w:val="auto"/>
        </w:rPr>
      </w:pPr>
      <w:r>
        <w:rPr>
          <w:rFonts w:ascii="Arial" w:cs="Arial" w:eastAsia="Arial" w:hAnsi="Arial"/>
          <w:sz w:val="18"/>
          <w:szCs w:val="18"/>
          <w:color w:val="auto"/>
        </w:rPr>
        <w:t>holder, non-voting ordinary shares are redesignated in our books as voting ordinary shares and automatically convert into the same number of voting ordinary shares.</w:t>
      </w:r>
    </w:p>
    <w:p>
      <w:pPr>
        <w:spacing w:after="0" w:line="51" w:lineRule="exact"/>
        <w:rPr>
          <w:sz w:val="20"/>
          <w:szCs w:val="20"/>
          <w:color w:val="auto"/>
        </w:rPr>
      </w:pPr>
    </w:p>
    <w:p>
      <w:pPr>
        <w:ind w:left="660" w:right="220" w:hanging="206"/>
        <w:spacing w:after="0" w:line="332"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 xml:space="preserve">Liquidation </w:t>
      </w:r>
      <w:r>
        <w:rPr>
          <w:rFonts w:ascii="Arial" w:cs="Arial" w:eastAsia="Arial" w:hAnsi="Arial"/>
          <w:sz w:val="16"/>
          <w:szCs w:val="16"/>
          <w:color w:val="auto"/>
        </w:rPr>
        <w:t>— upon any liquidation, dissolution or winding-up, any assets remaining after creditors and the holders of any preferred shares have been</w:t>
      </w:r>
      <w:r>
        <w:rPr>
          <w:rFonts w:ascii="Arial" w:cs="Arial" w:eastAsia="Arial" w:hAnsi="Arial"/>
          <w:sz w:val="16"/>
          <w:szCs w:val="16"/>
          <w:i w:val="1"/>
          <w:iCs w:val="1"/>
          <w:color w:val="auto"/>
        </w:rPr>
        <w:t xml:space="preserve"> </w:t>
      </w:r>
      <w:r>
        <w:rPr>
          <w:rFonts w:ascii="Arial" w:cs="Arial" w:eastAsia="Arial" w:hAnsi="Arial"/>
          <w:sz w:val="16"/>
          <w:szCs w:val="16"/>
          <w:color w:val="auto"/>
        </w:rPr>
        <w:t>paid in full shall be distributed to the holders of voting ordinary shares and non-voting ordinary shares equally share for share.</w:t>
      </w:r>
    </w:p>
    <w:p>
      <w:pPr>
        <w:spacing w:after="0" w:line="4" w:lineRule="exact"/>
        <w:rPr>
          <w:rFonts w:ascii="Arial" w:cs="Arial" w:eastAsia="Arial" w:hAnsi="Arial"/>
          <w:sz w:val="16"/>
          <w:szCs w:val="16"/>
          <w:color w:val="auto"/>
        </w:rPr>
      </w:pPr>
    </w:p>
    <w:p>
      <w:pPr>
        <w:ind w:left="660" w:right="440" w:hanging="206"/>
        <w:spacing w:after="0" w:line="268"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 the holders of voting ordinary shares are entitled to vote on all matters to be voted on by the shareholders, and the holders of non-voting ordinary shares are not entitled to any voting rights.</w:t>
      </w:r>
    </w:p>
    <w:p>
      <w:pPr>
        <w:spacing w:after="0" w:line="5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Preferences </w:t>
      </w:r>
      <w:r>
        <w:rPr>
          <w:rFonts w:ascii="Arial" w:cs="Arial" w:eastAsia="Arial" w:hAnsi="Arial"/>
          <w:sz w:val="18"/>
          <w:szCs w:val="18"/>
          <w:color w:val="auto"/>
        </w:rPr>
        <w:t>— the voting ordinary shares and non-voting ordinary shares are subject to all the powers, rights, privileges, preferences and priorities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shares as are set out in the Articles.</w:t>
      </w:r>
    </w:p>
    <w:p>
      <w:pPr>
        <w:spacing w:after="0" w:line="51"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As regards both preferred shares and voting and non-voting ordinary shares, we have the power to purchase any of our own shares, whether or not they are redeemable and may make a payment out of capital for such purchase. If we repurchase shares off market, the repurchase must be approved by special resolution of our shareholders. If we are making a market acquisition of our own shares, the acquisition must be approved by an ordinary resolution of our shareholders. In practice, we expect that we would continue to effect any future repurchases of our ordinary shares through our subsidiaries.</w:t>
      </w:r>
    </w:p>
    <w:p>
      <w:pPr>
        <w:spacing w:after="0" w:line="32"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The Articles now provide that our directors, officers and other agents will be indemnified by us from and against all liabilities to Amdocs Limited or third parties (including our shareholders) sustained in connection with their performance of their duties, except to the extent prohibited by the Companies Law. Under the Companies Law, Amdocs Limited may not indemnify a director for certain excluded liabilities, which are:</w:t>
      </w:r>
    </w:p>
    <w:p>
      <w:pPr>
        <w:spacing w:after="0" w:line="26" w:lineRule="exact"/>
        <w:rPr>
          <w:sz w:val="20"/>
          <w:szCs w:val="20"/>
          <w:color w:val="auto"/>
        </w:rPr>
      </w:pPr>
    </w:p>
    <w:p>
      <w:pPr>
        <w:ind w:left="660" w:hanging="206"/>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fines imposed in criminal proceedings;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regulatory fines;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expenses incurred in defending criminal proceedings resulting in a conviction;</w:t>
      </w:r>
    </w:p>
    <w:p>
      <w:pPr>
        <w:spacing w:after="0" w:line="90" w:lineRule="exact"/>
        <w:rPr>
          <w:rFonts w:ascii="Arial" w:cs="Arial" w:eastAsia="Arial" w:hAnsi="Arial"/>
          <w:sz w:val="18"/>
          <w:szCs w:val="18"/>
          <w:color w:val="auto"/>
        </w:rPr>
      </w:pPr>
    </w:p>
    <w:p>
      <w:pPr>
        <w:ind w:left="660" w:right="540" w:hanging="206"/>
        <w:spacing w:after="0" w:line="268"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expenses incurred in defending civil proceedings brought by Amdocs Limited or an affiliated company in which judgment is rendered against the director;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expenses incurred in unsuccessfully seeking judicial relief from claims of a breach of duty.</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addition to the excluded liabilities listed above, directors may also not be indemnified by us for liabilities to us or any of our subsidiaries arising out of negligence, default, breach of duty or breach of trust of a director in relation to us or any of our subsidiaries. The Companies Law authorizes Guernsey companies to purchase insurance against such liabilities to companies or to third parties for the benefit of directors. We currently maintain such insurance. Judicial relief is available for an officer charged with a neglect of duty if the court determines that such person acted honestly and reasonably, having regard to all the circumstances of the case.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are no provisions in the Memorandum or Articles that provide for a classified board of directors or for cumulative voting for directors.</w:t>
      </w:r>
    </w:p>
    <w:p>
      <w:pPr>
        <w:spacing w:after="0" w:line="11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If the share capital is divided into different classes of shares, Article 11 of the Articles provides that the rights attached to any class of shares (unless otherwise provided by the terms of issue) may be varied with the consent in writing of the holders of three-fourths of the issued shares of that class or with the sanction of a special resolution of the holders of the shares of that class.</w:t>
      </w:r>
    </w:p>
    <w:p>
      <w:pPr>
        <w:spacing w:after="0" w:line="59"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 special resolution is defined by the Companies Law as being a resolution passed by a majority of shareholders representing not less than 75% of the total voting rights of the shareholders present in person or by proxy.</w:t>
      </w:r>
    </w:p>
    <w:p>
      <w:pPr>
        <w:spacing w:after="0" w:line="5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Rather than attend general or special meetings of our shareholders, shareholders may confer voting authority by proxy to be represented at such meetings. Generally speaking, proxies will not be counted as voting in respect of any matter as to which abstention is indicated, but abstentions will be counted as ordinary shares that are present for purposes of determining whether a quorum is present at a general or special meeting. Nominees who are members of the NYSE, and who, as brokers, hold ordinary shares in “street name” for customers have, by NYSE rules, the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authority to vote on certain items in the absence of instructions from their customers, the beneficial owners of the ordinary shares. If such nominees or brokers indicate that they do not have authority to vote shares as to a particular matter, we will not count those votes in favor of such matter, however, such “broker non-votes” will be counted as ordinary shares that are present for purposes of determining whether a quorum is present.</w:t>
      </w:r>
    </w:p>
    <w:p>
      <w:pPr>
        <w:spacing w:after="0" w:line="2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Provisions in respect of the holding of general meetings and extraordinary general meetings are set out at Articles 22-41 of the Articles. The Articles provide that an annual general meeting must be held once in every calendar year (provided that not more than 15 months have elapsed since the last such meeting) at such time and place as the directors appoint. The shareholders of the Company may waive the requirement to hold an annual general meeting in accordance with the Companies Law. The directors may, whenever they deem fit, convene an extraordinary general meeting. General meetings may be convened by any shareholders holding more than 10% in the aggregate of Amdocs Limited’s share capital. Shareholders may participate in general meetings by video link, telephone conference call or other electronic or telephonic means of communication.</w:t>
      </w:r>
    </w:p>
    <w:p>
      <w:pPr>
        <w:spacing w:after="0" w:line="3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minimum of ten days’ written notice is required in connection with an annual general meeting and a minimum of 14 days’ written notice is required for an extraordinary general meeting, although a general meeting may be called by shorter notice if all shareholders entitled to attend and vote agree. The notice shall specify the place, the day and the hour of the meeting, and in the case of any special business, the general nature of that business and details of any special resolutions, waiver resolutions or unanimous resolutions being proposed at the meeting. The notice must be sent to every shareholder and every director and may be published on a website.</w:t>
      </w:r>
    </w:p>
    <w:p>
      <w:pPr>
        <w:spacing w:after="0" w:line="62"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At general meetings, the Chairman of the Board may choose whether a resolution put to a vote shall be decided by a show of hands or by a poll. However, a poll may be demanded by not less than five shareholders having the right to vote on the resolution or by shareholders representing not less than 10% of the total voting rights of all shareholders having the right to vote on the resolution.</w:t>
      </w:r>
    </w:p>
    <w:p>
      <w:pPr>
        <w:spacing w:after="0" w:line="59"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 shareholder is entitled to appoint another person as his proxy to exercise all or any of his rights to attend and to speak and vote at a meeting of Amdocs Limited.</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Amdocs Limited may pass resolutions by way of written resolution.</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There are no limitations on the rights to own securities, including the rights of non-resident or foreign shareholders to hold or exercise voting rights on the securities.</w:t>
      </w:r>
    </w:p>
    <w:p>
      <w:pPr>
        <w:spacing w:after="0" w:line="51"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There are no provisions in the Memorandum or Articles that would have the effect of delaying, deferring or preventing a change in control of Amdocs Limited and that would operate only with respect to a merger, acquisition or corporate restructuring involving us (or any of our subsidiaries).</w:t>
      </w:r>
    </w:p>
    <w:p>
      <w:pPr>
        <w:spacing w:after="0" w:line="4"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There are no provisions in the Memorandum or Articles governing the ownership threshold above which our shareholder ownership must be disclosed. U.S. federal law, however, requires that all directors, executive officers and holders of 10% or more of the stock of a company that has a class of stock registered under the Securities Exchange Act of 1934, as amended (other than a foreign private issuer, such as Amdocs Limited), disclose such ownership. In addition, holders of more than 5% of a registered equity security of a company (including a foreign private issuer) must disclose such ownership.</w:t>
      </w:r>
    </w:p>
    <w:p>
      <w:pPr>
        <w:spacing w:after="0" w:line="32" w:lineRule="exact"/>
        <w:rPr>
          <w:sz w:val="20"/>
          <w:szCs w:val="20"/>
          <w:color w:val="auto"/>
        </w:rPr>
      </w:pPr>
    </w:p>
    <w:p>
      <w:pPr>
        <w:ind w:right="820" w:firstLine="456"/>
        <w:spacing w:after="0" w:line="391" w:lineRule="auto"/>
        <w:rPr>
          <w:sz w:val="20"/>
          <w:szCs w:val="20"/>
          <w:color w:val="auto"/>
        </w:rPr>
      </w:pPr>
      <w:r>
        <w:rPr>
          <w:rFonts w:ascii="Arial" w:cs="Arial" w:eastAsia="Arial" w:hAnsi="Arial"/>
          <w:sz w:val="18"/>
          <w:szCs w:val="18"/>
          <w:color w:val="auto"/>
        </w:rPr>
        <w:t xml:space="preserve">The directors may reduce our share capital or any other capital subject to us satisfying the solvency requirements set out in the Companies Law. </w:t>
      </w:r>
      <w:r>
        <w:rPr>
          <w:rFonts w:ascii="Arial" w:cs="Arial" w:eastAsia="Arial" w:hAnsi="Arial"/>
          <w:sz w:val="18"/>
          <w:szCs w:val="18"/>
          <w:b w:val="1"/>
          <w:bCs w:val="1"/>
          <w:color w:val="auto"/>
        </w:rPr>
        <w:t>Material Contracts</w:t>
      </w:r>
    </w:p>
    <w:p>
      <w:pPr>
        <w:spacing w:after="0" w:line="1"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On December 20, 2011, we entered into a Credit Agreement among us, certain of our subsidiaries, the lenders from time to time party thereto, JPMorgan Chase Bank, N.A., as administrative agent, J.P. Morgan Europe Limited, as London agent, and JPMorgan Chase Bank, N.A., Toronto branch, as Canadian agent providing for an unsecured $500 million five-year revolving credit facility with a syndicate of banks, which facility is available for general corporate purposes, including acquisitions and repurchases of our ordinary shares that we may consider from time to time.</w:t>
      </w:r>
    </w:p>
    <w:p>
      <w:pPr>
        <w:spacing w:after="0" w:line="32" w:lineRule="exact"/>
        <w:rPr>
          <w:sz w:val="20"/>
          <w:szCs w:val="20"/>
          <w:color w:val="auto"/>
        </w:rPr>
      </w:pPr>
    </w:p>
    <w:p>
      <w:pPr>
        <w:jc w:val="center"/>
        <w:ind w:right="160"/>
        <w:spacing w:after="0" w:line="440" w:lineRule="auto"/>
        <w:rPr>
          <w:sz w:val="20"/>
          <w:szCs w:val="20"/>
          <w:color w:val="auto"/>
        </w:rPr>
      </w:pPr>
      <w:r>
        <w:rPr>
          <w:rFonts w:ascii="Arial" w:cs="Arial" w:eastAsia="Arial" w:hAnsi="Arial"/>
          <w:sz w:val="18"/>
          <w:szCs w:val="18"/>
          <w:color w:val="auto"/>
        </w:rPr>
        <w:t>In the past two years, we have not entered into any other material contracts other than contracts entered into in the ordinary course of our business. 57</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Taxation of the Company</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following is a summary of certain material tax considerations relating to Amdocs and our subsidiaries. To the extent that the discussion is based on tax legislation that has not been subject to judicial or administrative interpretation, there can be no assurance that the views expressed in the discussion will be accepted by the tax authorities in question. The discussion is not intended, and should not be construed, as legal or professional tax advice and is not exhaustive of all possible tax considerations.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effective tax rate was 13.3% for fiscal 2013, compared to 11.4% for fiscal 2012 and 12.4% for fiscal 2011.</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There can be no assurance that our effective tax rate will not change over time as a result of a change in corporate income tax rates or other changes in the tax laws of Guernsey, the jurisdiction in which our holding company is organized, or of the various countries in which we operate. Moreover, our effective tax rate in future years may be adversely affected in the event that a tax authority challenged the manner in which items of income and expense are allocated among us and our subsidiaries. In addition, we and certain of our subsidiaries benefit from certain special tax benefits. The loss of any such tax benefits could have an adverse effect on our effective tax rate.</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Certain Guernsey Tax Considerations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Tax legislation in Guernsey subjects us to the standard rate of corporate income tax for a Guernsey resident company of zero percent.</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Certain Indian Tax Considerations</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operate development centers and a business processing operations center in India. In 2013, the corporate tax rate applicable in India on trading activities was 33.99%. Our Indian business operates under specific favorable tax entitlements that are based upon pre-approved information technology related services activity. As a result, we are entitled to considerable corporate income tax exemptions on all income derived from such pre-approved information technology activity, provided we continue to meet the conditions required for such tax benefits. However, as of April 1, 2011, the Minimum Alternative Tax, or MAT, became applicable to all of our Indian operations. The MAT is levied on book profits at the effective rate of 20% (during the Indian fiscal year commencing on April 1, 2011) and can be carried forward for 10 years to be credited against corporate income taxes. We are subject to a separate tax entitlement under which we are exempt from tax on our tax incentive-eligible activity for the first five years of operations and enjoy a 50% reduction on its corporate income tax for such activity for the following five years. After 10 years of operations, such 50% reduction may be available for an additional five years, subject to further investment-related undertakings that we would be required to make. Under Indian laws, any dividend distribution by our Indian subsidiary would be subject to a dividend distribution tax at the rate of 16.995% to be paid by such subsidiary. The Indian government has published a draft for the replacement of the country’s tax code. This draft, if enacted, would substantially change Indian tax laws, and might reduce or eliminate the availability of these beneficial tax rates for our activities in India.</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Certain Israeli Tax Considerations</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Our Israeli subsidiary, Amdocs (Israel) Limited, operates one of our largest development centers. Discussed below are certain Israeli tax considerations relating to this subsidiary.</w:t>
      </w:r>
    </w:p>
    <w:p>
      <w:pPr>
        <w:spacing w:after="0" w:line="51"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i w:val="1"/>
          <w:iCs w:val="1"/>
          <w:color w:val="auto"/>
        </w:rPr>
        <w:t xml:space="preserve">General Corporate Taxation in Israel. </w:t>
      </w:r>
      <w:r>
        <w:rPr>
          <w:rFonts w:ascii="Arial" w:cs="Arial" w:eastAsia="Arial" w:hAnsi="Arial"/>
          <w:sz w:val="16"/>
          <w:szCs w:val="16"/>
          <w:color w:val="auto"/>
        </w:rPr>
        <w:t>The Companies Tax rate on taxable income is 25%. However, the effective tax rate payable by an Israeli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that derives income from an Approved Enterprise may be considerably less. Starting January 1, 2014, the corporate tax rate in Israel is 26.5%.</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i w:val="1"/>
          <w:iCs w:val="1"/>
          <w:color w:val="auto"/>
        </w:rPr>
        <w:t xml:space="preserve">Law for the Encouragement of Capital Investments, 1959. </w:t>
      </w:r>
      <w:r>
        <w:rPr>
          <w:rFonts w:ascii="Arial" w:cs="Arial" w:eastAsia="Arial" w:hAnsi="Arial"/>
          <w:sz w:val="18"/>
          <w:szCs w:val="18"/>
          <w:color w:val="auto"/>
        </w:rPr>
        <w:t>Certain production and development facilities of our Israeli subsidiary have been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 Enterprise” status pursuant to the Law for the Encouragement of Capital Investments, 1959, or the Investment Law, which provides certain tax and financial benefits to investment programs that have been granted such status.</w:t>
      </w:r>
    </w:p>
    <w:p>
      <w:pPr>
        <w:spacing w:after="0" w:line="5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general, investment programs of our Israeli subsidiary that have already obtained instruments of approval for an Approved Enterprise by the Israeli Investment Center prior to the change in legislation in 2005 continue to be subject to the old provisions of the Investment Law as described below. The revisions that were introduced into the Investment Law in 2005 did not affect our effective tax rate for year ended September 30, 2013 and we do not expect them to have a significant impact on our effective tax rate in fiscal 2014.</w:t>
      </w:r>
    </w:p>
    <w:p>
      <w:pPr>
        <w:spacing w:after="0" w:line="6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provisions of the Investment Law applicable to investment programs approved prior to the effective date of the amendments to the Investment Law provide that capital investments in production facilities (or other eligible assets) may, upon application to the Israeli Investment Center, be designated as an “Approved Enterprise.” Each instrument of approval for an Approved Enterprise relates to a specific investment program delineated both by the financial scope of the investment, including source of funds, and by the physical characteristics of the facility or other assets. The tax benefits available under any instrument of approval relate only to taxable profits attributable to the specific investment program and are contingent upon compliance with the conditions set out in the instrument of approval.</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Tax Benefits. </w:t>
      </w:r>
      <w:r>
        <w:rPr>
          <w:rFonts w:ascii="Arial" w:cs="Arial" w:eastAsia="Arial" w:hAnsi="Arial"/>
          <w:sz w:val="18"/>
          <w:szCs w:val="18"/>
          <w:color w:val="auto"/>
        </w:rPr>
        <w:t>Taxable income derived from an Approved Enterprise is subject to a reduced corporate tax rate of 25% until the earliest of:</w:t>
      </w:r>
    </w:p>
    <w:p>
      <w:pPr>
        <w:spacing w:after="0" w:line="90" w:lineRule="exact"/>
        <w:rPr>
          <w:sz w:val="20"/>
          <w:szCs w:val="20"/>
          <w:color w:val="auto"/>
        </w:rPr>
      </w:pPr>
    </w:p>
    <w:p>
      <w:pPr>
        <w:ind w:left="660" w:right="460" w:hanging="206"/>
        <w:spacing w:after="0" w:line="268"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seven consecutive years (or ten in the case of an FIC (as defined below)) commencing in the year in which the Approved Enterprise first generates taxable income,</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12 years from the year of commencement of production,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14 years from the year of the approval of the Approved Enterprise status.</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Such income is eligible for further reductions in tax rates if we qualify as a Foreign Investors’ Company, or FIC, depending on the percentage of the foreign ownership. Subject to certain conditions, an FIC is a company more than 25% of whose share capital (in terms of shares, rights of profits, voting and appointment of directors) and more than 25% of whose combined share and loan capital is owned by non-Israeli residents. The tax rate is 20% if the foreign investment is 49% or more but less than 74%; 15% if the foreign investment is 74% or more but less than 90%; and 10% if the foreign investment is 90% or more. The determination of foreign ownership is made on the basis of the lowest level of foreign ownership during the tax year. A company that owns an Approved Enterprise approved after April 1, 1986, may elect to forego the entitlement to grants and apply for an alternative package of tax benefits. In addition, a company (like our Israeli subsidiary) with an enterprise outside the National Priority Regions (which is not entitled to grants) may also apply for the alternative benefits. Under the alternative benefits, undistributed income from the Approved Enterprise operations is fully tax exempt (a tax holiday) for a defined period. The tax holiday ranges between two to ten years from the first year of taxable income subject to the limitations as described above, depending principally upon the geographic location within Israel. On expiration of the tax holiday, the Approved Enterprise is eligible for a beneficial tax rate (25% or lower in the case of an FIC, as described above) for the remainder of the otherwise applicable period of benefits.</w:t>
      </w:r>
    </w:p>
    <w:p>
      <w:pPr>
        <w:spacing w:after="0" w:line="4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primary Israeli subsidiary has elected the alternative benefits with respect to its current Approved Enterprise and its enlargements, pursuant to which the Israeli subsidiary enjoys, in relation to its Approved Enterprise operations, certain tax holidays, based on the location of activities within Israel, for a period of two to ten years and, in the case of a two year tax holiday, reduced tax rates for an additional period of up to eight years. In case this Israeli subsidiary pays a dividend, at any time, out of income earned during the tax holiday period in respect of its Approved Enterprise, it will be subject, assuming that the current level of foreign investment in Amdocs is not reduced, to corporate tax at the otherwise applicable rate of 10% of the income from which such dividend has been paid and up to 25% if such foreign investments are reduced (as detailed above). This tax is in addition to the withholding tax on dividends as described below. Specific investment programs of our Israeli subsidiary and the income derived therefrom, are entitled to reduced tax rates for 13 years (instead of the eight-year period referred to above). The tax benefits, available with respect to an Approved Enterprise only to taxable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income attributable to that specific enterprise, are given according to an allocation formula provided for in the Investment Law or in the instrument of approval, and are contingent upon the fulfillment of the conditions stipulated by the Investment Law, the regulations published thereunder and the instruments of approval for the specific investments in the Approved Enterprises. In the event our Israeli subsidiary fails to comply with these conditions, the tax and other benefits could be canceled, in whole or in part, and the subsidiary might be required to refund the amount of the canceled benefits, with the addition of CPI differences and interest. We believe that the Approved Enterprise of our Israeli subsidiary substantially complies with all such conditions currently, but there can be no assurance that it will continue to do so.</w:t>
      </w:r>
    </w:p>
    <w:p>
      <w:pPr>
        <w:spacing w:after="0" w:line="6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recent years changes were introduced to the Encouragements of Capital Investment Act. Among other things, these changes include a prospective cancellation of all tax incentives under existing law. However, under the transition rules, incentive programs commenced prior to 2011 would continue to apply until expired, unless the company elects to apply the regimes provided by the new law. Additionally, the amendments include a tax incentive package that consists of flat tax rates of 10% through 15%, depending on size and location of the taxable entity, for calendar years 2011 through 2012; 7% through 12.5%, depending on size and location of the taxable entity for calendar year 2013, and 9% through 16% for calendar years 2014 forward. These incentives would apply to industrial companies that meet certain criteria.</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Dividends</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Dividends paid out of income derived by an Approved Enterprise are subject to withholding tax at a reduced rate compared to the 30% withholding tax on dividends received from income derived by a non-Approved Enterprise. If we pay a dividend from our Israeli subsidiary, such dividend will likely be comprised of income from both Approved Enterprises and non-Approved Enterprises. As such, we expect the weighted average withholding tax rate applicable to such dividend to be approximately 20%. This withholding tax is in addition to the corporate tax that a company is subject to in the event it pays a dividend out of exempt income earned during the tax holiday period related to its Approved Enterprise status.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Taxation Of Holders Of Ordinary Shares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Certain United States Federal Income Tax Considerations</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following discussion describes the material U.S. federal income tax consequences to a U.S. holder of the ownership or disposition of our ordinary shares. A U.S. holder is:</w:t>
      </w:r>
    </w:p>
    <w:p>
      <w:pPr>
        <w:spacing w:after="0" w:line="51" w:lineRule="exact"/>
        <w:rPr>
          <w:sz w:val="20"/>
          <w:szCs w:val="20"/>
          <w:color w:val="auto"/>
        </w:rPr>
      </w:pPr>
    </w:p>
    <w:p>
      <w:pPr>
        <w:ind w:left="1120" w:hanging="217"/>
        <w:spacing w:after="0"/>
        <w:tabs>
          <w:tab w:leader="none" w:pos="11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corporation created or organized in, or under the laws of, the United States or of any state thereof;</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estate, the income of which is includable in gross income for U.S. federal income tax purposes regardless of its source; or</w:t>
      </w:r>
    </w:p>
    <w:p>
      <w:pPr>
        <w:spacing w:after="0" w:line="90" w:lineRule="exact"/>
        <w:rPr>
          <w:rFonts w:ascii="Arial" w:cs="Arial" w:eastAsia="Arial" w:hAnsi="Arial"/>
          <w:sz w:val="18"/>
          <w:szCs w:val="18"/>
          <w:color w:val="auto"/>
        </w:rPr>
      </w:pPr>
    </w:p>
    <w:p>
      <w:pPr>
        <w:ind w:left="460" w:right="920" w:firstLine="443"/>
        <w:spacing w:after="0" w:line="268" w:lineRule="auto"/>
        <w:tabs>
          <w:tab w:leader="none" w:pos="1196"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trust, if a court within the United States is able to exercise primary supervision over the administration of the trust and one or more U.S. persons has the authority to control all substantial decisions of the trust.</w:t>
      </w:r>
    </w:p>
    <w:p>
      <w:pPr>
        <w:spacing w:after="0" w:line="5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This summary generally considers only U.S. holders that own ordinary shares as capital assets. This summary does not discuss the U.S. federal income tax consequences to a holder of ordinary shares that is not a U.S. holder.</w:t>
      </w:r>
    </w:p>
    <w:p>
      <w:pPr>
        <w:spacing w:after="0" w:line="5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This discussion is based on current provisions of the Internal Revenue Code of 1986, as amended, or the Code, current and proposed Treasury regulations promulgated thereunder, and administrative and judicial decisions as of the date hereof, all of which are subject to change, possibly on a retroactive basis. This discussion does not address all aspects of U.S. federal income taxation that may be relevant to a holder of ordinary shares based on such holder’s particular circumstances (including potential application of the alternative minimum tax), U.S. federal income tax consequences to certain holders that are subject to special treatment (such as taxpayers who are broker-dealers, insurance companies, tax-exempt organizations, financial institutions, holders of securities held as part of a “straddle,” “hedge” or “conversion transaction” with other investments, or holders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owning directly, indirectly or by attribution at least 10% of the ordinary shares), or any aspect of state, local or non-U.S. tax laws. Additionally, this discussion does not consider the tax treatment of persons who hold ordinary shares through a partnership or other pass-through entity or the possible application of U.S. federal gift or estate taxes.</w:t>
      </w:r>
    </w:p>
    <w:p>
      <w:pPr>
        <w:spacing w:after="0" w:line="5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This summary is for general information only and is not binding on the Internal Revenue Service, or the IRS. There can be no assurance that the IRS will not challenge one or more of the statements made herein. U.S. holders are urged to consult their own tax advisers as to the particular tax consequences to them of owning and disposing of our ordinary shares.</w:t>
      </w:r>
    </w:p>
    <w:p>
      <w:pPr>
        <w:spacing w:after="0" w:line="5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In general, a U.S. holder receiving a distribution with respect to the ordinary shares will be required to include such distribution (including the</w:t>
      </w:r>
      <w:r>
        <w:rPr>
          <w:rFonts w:ascii="Arial" w:cs="Arial" w:eastAsia="Arial" w:hAnsi="Arial"/>
          <w:sz w:val="16"/>
          <w:szCs w:val="16"/>
          <w:i w:val="1"/>
          <w:iCs w:val="1"/>
          <w:color w:val="auto"/>
        </w:rPr>
        <w:t xml:space="preserve"> </w:t>
      </w:r>
      <w:r>
        <w:rPr>
          <w:rFonts w:ascii="Arial" w:cs="Arial" w:eastAsia="Arial" w:hAnsi="Arial"/>
          <w:sz w:val="16"/>
          <w:szCs w:val="16"/>
          <w:color w:val="auto"/>
        </w:rPr>
        <w:t>amount of foreign taxes, if any, withheld therefrom) in gross income as a taxable dividend to the extent such distribution is paid from our current or accumulated earnings and profits as determined under U.S. federal income tax principles. Any distributions in excess of such earnings and profits will first be treated, for U.S. federal income tax purposes, as a nontaxable return of capital to the extent of the U.S. holder’s tax basis in the ordinary shares, and then, to the extent in excess of such tax basis, as gain from the sale or exchange of a capital asset. In general, U.S. corporate shareholders will not be entitled to any deduction for distributions received as dividends on the ordinary shares.</w:t>
      </w:r>
    </w:p>
    <w:p>
      <w:pPr>
        <w:spacing w:after="0" w:line="3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Dividend income is generally taxed as ordinary income. However, a maximum U.S. federal income tax rate of 20% currently applies to “qualified dividend income” received by individuals (as well as certain trusts and estates), provided that certain holding period requirements are met. “Qualified dividend income” includes dividends paid on shares of U.S. corporations as well as dividends paid on shares of “qualified foreign corporations,” including shares of a foreign corporation that are readily tradable on an established securities market in the United States. Since our ordinary shares are readily tradable on the NYSE, we believe that dividends paid by us with respect to our ordinary shares should constitute “qualified dividend income” for U.S. federal income tax purposes, provided that the holding period requirements are satisfied and none of the other special exceptions applies. However, dividends paid by us will not qualify for the 20% U.S. federal income tax rate if we are treated, for the tax year in which the dividends are paid or the preceding tax year, as a “passive foreign investment company” for U.S. federal income tax purposes.</w:t>
      </w:r>
    </w:p>
    <w:p>
      <w:pPr>
        <w:spacing w:after="0" w:line="3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The amount of foreign income taxes that may be claimed as a credit against U.S. federal income tax in any year is subject to certain complex limitations and restrictions, which must be determined on an individual basis by each U.S. holder. The limitations set out in the U.S. Internal Revenue Code of 1986, as amended, include, among others, rules that may limit foreign tax credits allowable with respect to specific classes of income to the U.S. federal income taxes otherwise payable with respect to each such class of income. Dividends paid by us generally will be foreign source “passive income” or “financial services income” for U.S. foreign tax credit purposes.</w:t>
      </w:r>
    </w:p>
    <w:p>
      <w:pPr>
        <w:spacing w:after="0" w:line="6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addition, U.S. holders generally will be subject to information reporting requirements with respect to dividends that are paid within the United States or through U.S.-related financial intermediaries, as well as with respect to disposition of our ordinary shares, unless the U.S. holder is an “exempt recipient.” U.S. holders may also be subject to backup withholding (currently at a 28% rate) on such payments, unless the U.S. holder provides a taxpayer identification number and a duly executed IRS Form W-9 or otherwise establishes an exemption. Backup withholding is not an additional tax and the amount of any backup withholding will be allowed as a credit against a U.S. holder’s U.S. federal income tax liability and may entitle such holder to a refund, provided that the required information is timely furnished to the IRS.</w:t>
      </w:r>
    </w:p>
    <w:p>
      <w:pPr>
        <w:spacing w:after="0" w:line="6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 xml:space="preserve">Disposition of Ordinary Shares. </w:t>
      </w:r>
      <w:r>
        <w:rPr>
          <w:rFonts w:ascii="Arial" w:cs="Arial" w:eastAsia="Arial" w:hAnsi="Arial"/>
          <w:sz w:val="16"/>
          <w:szCs w:val="16"/>
          <w:color w:val="auto"/>
        </w:rPr>
        <w:t>Upon the sale, exchange or other disposition of our ordinary shares, a U.S. holder generally will recognize capital gain or</w:t>
      </w:r>
      <w:r>
        <w:rPr>
          <w:rFonts w:ascii="Arial" w:cs="Arial" w:eastAsia="Arial" w:hAnsi="Arial"/>
          <w:sz w:val="16"/>
          <w:szCs w:val="16"/>
          <w:i w:val="1"/>
          <w:iCs w:val="1"/>
          <w:color w:val="auto"/>
        </w:rPr>
        <w:t xml:space="preserve"> </w:t>
      </w:r>
      <w:r>
        <w:rPr>
          <w:rFonts w:ascii="Arial" w:cs="Arial" w:eastAsia="Arial" w:hAnsi="Arial"/>
          <w:sz w:val="16"/>
          <w:szCs w:val="16"/>
          <w:color w:val="auto"/>
        </w:rPr>
        <w:t>loss in an amount equal to the difference between the amount realized on the disposition by such U.S. holder and its tax basis in the ordinary shares. Such capital gain or loss will be long-term capital gain or loss if the U.S. holder has held the ordinary shares for more than one year at the time of the disposition. In the case of a U.S. holder that is an individual, trust or estate, long-term capital gains realized upon a disposition of the ordinary shares generally will be subject to a maximum U.S. federal tax income rate of 20%. Gains realized by a U.S. holder on a sale, exchange or other disposition of ordinary shares generally will be treated as U.S. source income for U.S. foreign tax credit purposes.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i w:val="1"/>
          <w:iCs w:val="1"/>
          <w:color w:val="auto"/>
        </w:rPr>
        <w:t>Medicare Contribution Tax</w:t>
      </w:r>
      <w:r>
        <w:rPr>
          <w:rFonts w:ascii="Arial" w:cs="Arial" w:eastAsia="Arial" w:hAnsi="Arial"/>
          <w:sz w:val="18"/>
          <w:szCs w:val="18"/>
          <w:color w:val="auto"/>
        </w:rPr>
        <w:t>. U.S. holders who are individuals, estates and certain trusts are generally be required to pay a 3.8% Medicare tax on their net</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income (including dividends on and gains from the sale or other disposition of our ordinary shares) or, in the case of trusts and estates, on their net investment income that is not distributed. In each case, the 3.8% Medicare tax applies only to the extent that the U.S. Holder’s total modified adjusted income exceeds certain thresholds.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Additional Information Reporting.</w:t>
      </w:r>
    </w:p>
    <w:p>
      <w:pPr>
        <w:spacing w:after="0" w:line="9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Certain U.S. holders are required to report information with respect to their investment in our ordinary shares not held through a custodial account with a U.S. financial institution to the IRS. In general, U.S. taxpayers holding specified “foreign financial assets” (which generally would include our ordinary shares) with an aggregate value exceeding certain threshold amounts should report information about those assets on IRS Form 8938, which must be attached to the taxpayer’s annual income tax return. Investors who fail to report required information could become subject to substantial penalties.</w:t>
      </w:r>
    </w:p>
    <w:p>
      <w:pPr>
        <w:spacing w:after="0" w:line="3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 xml:space="preserve">Passive Foreign Investment Company Considerations. </w:t>
      </w:r>
      <w:r>
        <w:rPr>
          <w:rFonts w:ascii="Arial" w:cs="Arial" w:eastAsia="Arial" w:hAnsi="Arial"/>
          <w:sz w:val="16"/>
          <w:szCs w:val="16"/>
          <w:color w:val="auto"/>
        </w:rPr>
        <w:t>If, during any taxable year, 75% or more of our gross income consists of certain types of passive</w:t>
      </w:r>
      <w:r>
        <w:rPr>
          <w:rFonts w:ascii="Arial" w:cs="Arial" w:eastAsia="Arial" w:hAnsi="Arial"/>
          <w:sz w:val="16"/>
          <w:szCs w:val="16"/>
          <w:i w:val="1"/>
          <w:iCs w:val="1"/>
          <w:color w:val="auto"/>
        </w:rPr>
        <w:t xml:space="preserve"> </w:t>
      </w:r>
      <w:r>
        <w:rPr>
          <w:rFonts w:ascii="Arial" w:cs="Arial" w:eastAsia="Arial" w:hAnsi="Arial"/>
          <w:sz w:val="16"/>
          <w:szCs w:val="16"/>
          <w:color w:val="auto"/>
        </w:rPr>
        <w:t>income, or the average value during a taxable year of passive assets (generally assets that generate passive income) is 50% or more of the average value of all of our assets, we will be treated as a “passive foreign investment company” under U.S. federal income tax law for such year and succeeding years. If we are treated as a passive foreign investment company, we do not intend to take steps necessary to qualify as a qualified electing fund. However, if we are treated as a passive foreign investment company, a U.S. holder may be subject to increased tax liability upon the sale of our ordinary shares or upon the receipt of certain distributions, unless such U.S. holder makes an election to mark our ordinary shares to market annually.</w:t>
      </w:r>
    </w:p>
    <w:p>
      <w:pPr>
        <w:spacing w:after="0" w:line="39"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Based on an analysis of our financial position, we believe that we have not been a passive foreign investment company for U.S. federal income tax purposes for any preceding taxable year and expect that we will not become a passive foreign investment company during the current taxable year. However, because the tests for determining passive foreign investment company status are applied as of the end of each taxable year and are dependent upon a number of factors, some of which are beyond our control, including the value of our assets, based on the market price of our ordinary shares, and the amount and type of our gross income, we cannot guarantee that we will not become a passive foreign investment company in the future or that the IRS will agree with our conclusion regarding our current passive foreign investment company status. We intend to use reasonable efforts to avoid becoming a passive foreign investment company.</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Certain Guernsey Tax Considerations</w:t>
      </w:r>
    </w:p>
    <w:p>
      <w:pPr>
        <w:spacing w:after="0" w:line="90"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Under the laws of Guernsey as currently in effect, a holder of our ordinary shares who is not a resident of Guernsey and who does not carry on business in Guernsey through a permanent establishment situated there is exempt from Guernsey income tax on dividends paid with respect to the ordinary shares and is not liable for Guernsey income tax on gains realized on sale or disposition of such ordinary shares. In addition, Guernsey does not impose a withholding tax on dividends paid by us to the holders of our ordinary shares. Tax legislation was enacted in Guernsey, effective as of January 1, 2008, to tax Guernsey resident shareholders on actual or deemed distribution of certain profits of a Guernsey company. We do not believe this legislation will affect the taxation of a holder of ordinary shares who is not a resident of Guernsey and who does not carry on business in Guernsey through a permanent establishment situated there.</w:t>
      </w:r>
    </w:p>
    <w:p>
      <w:pPr>
        <w:spacing w:after="0" w:line="2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There are no capital gains, gift or inheritance taxes levied by Guernsey, and the ordinary shares generally are not subject to any transfer taxes, stamp duties or similar charges on issuance or transfer.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Documents On Display</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subject to the reporting requirements of foreign private issuers under the U.S. Securities Exchange Act of 1934. Pursuant to the Exchange Act, we file reports with the SEC, including this Annual Report on Form 20-F. We also submit reports to the SEC, including Form 6-K Reports of Foreign Private Issuers. You may</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read and copy such reports at the SEC’s public Reference Room at 100 F Street, N.E., Room 1580, Washington, D.C. 20549. You may call the SEC at 1-800-SEC-0330 for further information about the Public Reference Room. Such reports are also available to the public on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Some of this information may also be found on our website at </w:t>
      </w:r>
      <w:r>
        <w:rPr>
          <w:rFonts w:ascii="Arial" w:cs="Arial" w:eastAsia="Arial" w:hAnsi="Arial"/>
          <w:sz w:val="18"/>
          <w:szCs w:val="18"/>
          <w:i w:val="1"/>
          <w:iCs w:val="1"/>
          <w:color w:val="auto"/>
        </w:rPr>
        <w:t>www.amdocs.com.</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You may request copies of our reports, at no cost, by writing to or telephoning us as follows: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Amdocs,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Elizabeth W. McDermon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1390 Timberlake Manor Parkway,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Chesterfield, Missouri 63017</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Telephone: 314-212-8328</w:t>
      </w:r>
    </w:p>
    <w:p>
      <w:pPr>
        <w:spacing w:after="0" w:line="159" w:lineRule="exact"/>
        <w:rPr>
          <w:sz w:val="20"/>
          <w:szCs w:val="20"/>
          <w:color w:val="auto"/>
        </w:rPr>
      </w:pPr>
    </w:p>
    <w:p>
      <w:pPr>
        <w:ind w:right="4640"/>
        <w:spacing w:after="0" w:line="347" w:lineRule="auto"/>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QUANTITATIVE AND QUALITATIVE DISCLOSURES ABOUT MARKET RISK</w:t>
      </w:r>
      <w:r>
        <w:rPr>
          <w:rFonts w:ascii="Arial" w:cs="Arial" w:eastAsia="Arial" w:hAnsi="Arial"/>
          <w:sz w:val="18"/>
          <w:szCs w:val="18"/>
          <w:b w:val="1"/>
          <w:bCs w:val="1"/>
          <w:color w:val="auto"/>
        </w:rPr>
        <w:t xml:space="preserve"> Foreign Currency Risk</w:t>
      </w:r>
    </w:p>
    <w:p>
      <w:pPr>
        <w:spacing w:after="0" w:line="2"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We manage our foreign subsidiaries as integral direct components of our operations. The operations of our foreign subsidiaries provide the same type of services with the same type of expenditures throughout the Amdocs group. We have determined that the U.S. dollar is our functional currency. We periodically assess the applicability of the U.S. dollar as our functional currency by reviewing the salient indicators as indicated in the authoritative guidance for foreign currency matters.</w:t>
      </w:r>
    </w:p>
    <w:p>
      <w:pPr>
        <w:spacing w:after="0" w:line="143"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During fiscal 2013, our revenue and operating expenses in the U.S. dollar or linked to the U.S. dollar were approximately 70% to 80% and 50% to 60%, respectively. If more customers will seek contracts in currencies other than the U.S. dollar, the percentage of our revenue and operating expenses in the U.S. dollar or linked to the U.S. dollar may decrease over time and our exposure to fluctuations in currency exchange rates could increase.</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managing our foreign exchange risk, we enter into various foreign exchange contracts. We do not hedge all of our exposure in currencies other than the U.S. dollar, but rather our policy is to hedge significant net exposures in the major foreign currencies in which we operate. We use such contracts to hedge net exposure to changes in foreign currency exchange rates associated with revenue denominated in a foreign currency, primarily Canadian dollars, euros and Australian dollars, and anticipated costs to be incurred in a foreign currency, primarily Israeli shekels, Indian rupees and British pounds. We also use such contracts to hedge the net impact of the variability in exchange rates on certain balance sheet items such as accounts receivable and employee related accruals denominated primarily in Israeli shekels, Canadian dollars, euros and Australian dollars. We seek to minimize the net exposure that the anticipated cash flow from sales of our products and services, cash flow required for our expenses and the net exposure related to our balance sheet items, denominated in a currency other than our functional currency will be affected by changes in exchange rates. Please see Note 6 to our consolidated financial statements.</w:t>
      </w:r>
    </w:p>
    <w:p>
      <w:pPr>
        <w:spacing w:after="0" w:line="118"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table below presents the total volume or notional amounts and fair value of our derivative instruments as of September 30, 2013. Notional values are in U.S. dollars and are translated and calculated based on forward rates as of September 30, 2013, for forward contracts, and based on spot rates as of September 30, 2013 for options.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Fair Value of</w:t>
            </w:r>
          </w:p>
        </w:tc>
      </w:tr>
      <w:tr>
        <w:trPr>
          <w:trHeight w:val="161"/>
        </w:trPr>
        <w:tc>
          <w:tcPr>
            <w:tcW w:w="7540" w:type="dxa"/>
            <w:vAlign w:val="bottom"/>
          </w:tcPr>
          <w:p>
            <w:pPr>
              <w:spacing w:after="0"/>
              <w:rPr>
                <w:sz w:val="14"/>
                <w:szCs w:val="14"/>
                <w:color w:val="auto"/>
              </w:rPr>
            </w:pPr>
          </w:p>
        </w:tc>
        <w:tc>
          <w:tcPr>
            <w:tcW w:w="2100" w:type="dxa"/>
            <w:vAlign w:val="bottom"/>
            <w:gridSpan w:val="3"/>
          </w:tcPr>
          <w:p>
            <w:pPr>
              <w:spacing w:after="0"/>
              <w:rPr>
                <w:sz w:val="20"/>
                <w:szCs w:val="20"/>
                <w:color w:val="auto"/>
              </w:rPr>
            </w:pPr>
            <w:r>
              <w:rPr>
                <w:rFonts w:ascii="Arial" w:cs="Arial" w:eastAsia="Arial" w:hAnsi="Arial"/>
                <w:sz w:val="14"/>
                <w:szCs w:val="14"/>
                <w:b w:val="1"/>
                <w:bCs w:val="1"/>
                <w:color w:val="auto"/>
              </w:rPr>
              <w:t>Notional Value*</w:t>
            </w:r>
          </w:p>
        </w:tc>
        <w:tc>
          <w:tcPr>
            <w:tcW w:w="860" w:type="dxa"/>
            <w:vAlign w:val="bottom"/>
            <w:gridSpan w:val="3"/>
          </w:tcPr>
          <w:p>
            <w:pPr>
              <w:ind w:left="60"/>
              <w:spacing w:after="0"/>
              <w:rPr>
                <w:sz w:val="20"/>
                <w:szCs w:val="20"/>
                <w:color w:val="auto"/>
              </w:rPr>
            </w:pPr>
            <w:r>
              <w:rPr>
                <w:rFonts w:ascii="Arial" w:cs="Arial" w:eastAsia="Arial" w:hAnsi="Arial"/>
                <w:sz w:val="14"/>
                <w:szCs w:val="14"/>
                <w:b w:val="1"/>
                <w:bCs w:val="1"/>
                <w:color w:val="auto"/>
              </w:rPr>
              <w:t>Derivatives</w:t>
            </w:r>
          </w:p>
        </w:tc>
      </w:tr>
      <w:tr>
        <w:trPr>
          <w:trHeight w:val="210"/>
        </w:trPr>
        <w:tc>
          <w:tcPr>
            <w:tcW w:w="7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Foreign exchange contracts (in millions)</w:t>
            </w: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4361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0" w:lineRule="exact"/>
        <w:rPr>
          <w:sz w:val="20"/>
          <w:szCs w:val="20"/>
          <w:color w:val="auto"/>
        </w:rPr>
      </w:pPr>
    </w:p>
    <w:p>
      <w:pPr>
        <w:ind w:left="460" w:right="580" w:hanging="452"/>
        <w:spacing w:after="0" w:line="268"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Gross notional amounts do not quantify risk or represent assets or liabilities of the Company, but are used in the calculation of settlements under the contracts.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interest expenses and income are sensitive to changes in interest rates, as all of our cash reserves and some of our borrowings, are subject to interest rate changes. Our short-term interest-bearing investments are invested in short term conservative debt instruments, primarily U.S. dollar-denominated, and consist mainly of money market funds, U.S. government treasuries, corporate bonds and U.S. agency securities. As of September 30, 2013, there was $200.0 million of short-term outstanding borrowing under our revolving lines of credit, which we repaid in October 2013.</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DESCRIPTION OF SECURITIES OTHER THAN EQUITY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7"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DEFAULTS, DIVIDEND ARREARAGES AND DELINQUENCIES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MATERIAL MODIFICATIONS TO THE RIGHTS OF SECURITY HOLDERS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CONTROLS AND PROCEDURES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With the participation of the Chief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Executive Officer and Chief Financial Officer of Amdocs Management Limited, our management evaluated the effectiveness of our disclosure controls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procedures as of September 30, 2013. The term “disclosure controls and procedures,” as defined in Rules 13a-15(e) and 15d-15(e) under the Exchange Act,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means controls and other procedures of a company that are designed to ensure that information required to be disclosed by a company in the reports that it files or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submits under the Exchange Act is recorded, processed, summarized and reported, within the time period specified in the SEC’s rules and forms. Disclosure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controls and procedures include, without limitation, controls and procedures designed to ensure that information required to be disclosed by a company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reports that it files or submits under the Exchange Act is accumulated and communicated to the company’s management, including its principal executive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officers, as appropriate to allow timely decisions regarding required disclosure. Management recognizes that any controls and procedures, no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matter how well designed and operated, can provide only reasonable assurance of achieving their objectives and management necessarily applies its judgment in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evaluating the cost-benefit relationship of possible controls and procedures. Based on the evaluation of our disclosure controls and procedures as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2013, the Chief Executive Officer and the Chief Financial Officer of Amdocs Management Limited concluded that, as of such date, our disclosure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controls and procedures were effective at the reasonable assurance level. Ernst and Young LLP, the independent registered public accounting firm that audited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financial statements included in this Annual Report on Form 20-F, has issued an attestation report on our internal control over financial reporting as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2013, which is included herein.</w:t>
      </w:r>
    </w:p>
    <w:p>
      <w:pPr>
        <w:spacing w:after="0" w:line="84"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fiscal year ended September 30, 2013 that has materially affected, or is reasonably likely to materially affect, our internal control over financial reporting.</w:t>
      </w:r>
    </w:p>
    <w:p>
      <w:pPr>
        <w:spacing w:after="0" w:line="4"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Management’s report on our internal control over financial reporting (as such defined in Rules 13a-15(f) and 15d-15(f) under the Exchange Act), and the related reports of our independent public accounting firm, are included on pages F-2, F-3 and F-4 of this Annual Report on Form 20-F, and are incorporated herein by reference.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16A. </w:t>
      </w:r>
      <w:r>
        <w:rPr>
          <w:rFonts w:ascii="Arial" w:cs="Arial" w:eastAsia="Arial" w:hAnsi="Arial"/>
          <w:sz w:val="18"/>
          <w:szCs w:val="18"/>
          <w:b w:val="1"/>
          <w:bCs w:val="1"/>
          <w:i w:val="1"/>
          <w:iCs w:val="1"/>
          <w:color w:val="auto"/>
        </w:rPr>
        <w:t>AUDIT COMMITTEE FINANCIAL EXPERT</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Our Board of Directors has determined that there is at least one audit committee financial expert, Adrian Gardner, serving on our Audit Committee. Our Board of Directors has determined that Mr. Gardner is an independent director.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16B. </w:t>
      </w:r>
      <w:r>
        <w:rPr>
          <w:rFonts w:ascii="Arial" w:cs="Arial" w:eastAsia="Arial" w:hAnsi="Arial"/>
          <w:sz w:val="18"/>
          <w:szCs w:val="18"/>
          <w:b w:val="1"/>
          <w:bCs w:val="1"/>
          <w:i w:val="1"/>
          <w:iCs w:val="1"/>
          <w:color w:val="auto"/>
        </w:rPr>
        <w:t>CODE OF ETHICS</w:t>
      </w:r>
    </w:p>
    <w:p>
      <w:pPr>
        <w:spacing w:after="0" w:line="96"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Our Board of Directors has adopted a Code of Ethics and Business Conduct that sets forth legal and ethical standards of conduct for our directors and employees, including our principal executive officer, principal financial officer and other executive officers, of our subsidiaries and other business entities controlled by us worldwide.</w:t>
      </w:r>
    </w:p>
    <w:p>
      <w:pPr>
        <w:spacing w:after="0" w:line="59"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 xml:space="preserve">Our Code of Ethics and Business Conduct is available on our website at </w:t>
      </w:r>
      <w:r>
        <w:rPr>
          <w:rFonts w:ascii="Arial" w:cs="Arial" w:eastAsia="Arial" w:hAnsi="Arial"/>
          <w:sz w:val="18"/>
          <w:szCs w:val="18"/>
          <w:i w:val="1"/>
          <w:iCs w:val="1"/>
          <w:color w:val="auto"/>
        </w:rPr>
        <w:t>www.amdocs.com</w:t>
      </w:r>
      <w:r>
        <w:rPr>
          <w:rFonts w:ascii="Arial" w:cs="Arial" w:eastAsia="Arial" w:hAnsi="Arial"/>
          <w:sz w:val="18"/>
          <w:szCs w:val="18"/>
          <w:color w:val="auto"/>
        </w:rPr>
        <w:t>, or you may request a copy of our code of ethics, at no cost, by writing to or telephoning us as follows: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Amdocs,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Elizabeth W. McDermon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1390 Timberlake Manor Parkway,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Chesterfield, Missouri 63017</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Telephone: 314-212-8328</w:t>
      </w:r>
    </w:p>
    <w:p>
      <w:pPr>
        <w:spacing w:after="0" w:line="84"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We intend to post on our website within five business days all disclosures that are required by law or NYSE rules concerning any amendments to, or waivers from, any provision of the code.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16C. </w:t>
      </w:r>
      <w:r>
        <w:rPr>
          <w:rFonts w:ascii="Arial" w:cs="Arial" w:eastAsia="Arial" w:hAnsi="Arial"/>
          <w:sz w:val="18"/>
          <w:szCs w:val="18"/>
          <w:b w:val="1"/>
          <w:bCs w:val="1"/>
          <w:i w:val="1"/>
          <w:iCs w:val="1"/>
          <w:color w:val="auto"/>
        </w:rPr>
        <w:t>PRINCIPAL ACCOUNTANT FEES AND SERVICES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each of the last three fiscal years, Ernst &amp; Young LLP has acted as our independent registered public accounting firm.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Ernst &amp; Young billed us approximately $3.0 million for audit services for fiscal 2013, including fees associated with the annual audit and reviews of our quarterly financial results submitted on Form 6-K, consultations on various accounting issues and performance of local statutory audits. Ernst &amp; Young billed us approximately $2.9 million for audit services for fiscal 2012.</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Audit-Related Fees</w:t>
      </w:r>
    </w:p>
    <w:p>
      <w:pPr>
        <w:spacing w:after="0" w:line="96"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Ernst &amp; Young billed us approximately $1.7 million for audit-related services for fiscal 2013. Audit-related services principally include SSAE 16 report issuances and due diligence examinations. Ernst &amp; Young billed us approximately $1.2 million for audit-related services for fiscal 2012.</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Ernst &amp; Young billed us approximately $1.6 million for tax advice, including fees associated with tax compliance, tax advice and tax planning services for fiscal 2013. Ernst &amp; Young billed us approximately $1.6 million for tax advice in fiscal 2012.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Fees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Ernst &amp; Young did not bill us for services other than Audit Fees, Audit-Related Fees and Tax Fees described above for fiscal 2013 or fiscal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for Non-Audit Services</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Audit Committee has adopted policies and procedures relating to the approval of all audit and non-audit services that are to be performed by our independent registered public accounting firm. These policies generally</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20"/>
          </w:cols>
          <w:pgMar w:left="240" w:top="459" w:right="3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provide that we will not engage our independent registered public accounting firm to render audit or non-audit services unless the service is specifically approved in advance by the Audit Committee or the engagement is entered into pursuant to the pre-approval procedure described below.</w:t>
      </w:r>
    </w:p>
    <w:p>
      <w:pPr>
        <w:spacing w:after="0" w:line="4"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From time to time, the Audit Committee may pre-approve specified types of services that are expected to be provided to us by our independent registered public accounting firm during the next 12 months. Any such pre-approval is detailed as to the particular service or type of services to be provided and is also generally subject to a maximum dollar amount. In fiscal 2013, our Audit Committee approved all of the services provided by Ernst &amp; Young.</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16D. </w:t>
      </w:r>
      <w:r>
        <w:rPr>
          <w:rFonts w:ascii="Arial" w:cs="Arial" w:eastAsia="Arial" w:hAnsi="Arial"/>
          <w:sz w:val="18"/>
          <w:szCs w:val="18"/>
          <w:b w:val="1"/>
          <w:bCs w:val="1"/>
          <w:i w:val="1"/>
          <w:iCs w:val="1"/>
          <w:color w:val="auto"/>
        </w:rPr>
        <w:t>EXEMPTION FROM THE LISTING STANDARDS FOR AUDIT COMMITTEES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16E. </w:t>
      </w:r>
      <w:r>
        <w:rPr>
          <w:rFonts w:ascii="Arial" w:cs="Arial" w:eastAsia="Arial" w:hAnsi="Arial"/>
          <w:sz w:val="18"/>
          <w:szCs w:val="18"/>
          <w:b w:val="1"/>
          <w:bCs w:val="1"/>
          <w:i w:val="1"/>
          <w:iCs w:val="1"/>
          <w:color w:val="auto"/>
        </w:rPr>
        <w:t>PURCHASES OF EQUITY SECURITIES BY THE ISSUER AND AFFILIATED PURCHASERS</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following table provides information about purchases by us and our affiliated purchasers during the fiscal year ended September 30, 2013 of equity securities that are registered by us pursuant to Section 12 of the Exchange Act: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1"/>
              </w:rPr>
              <w:t>(c)</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Total Number of</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(a)</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1"/>
              </w:rPr>
              <w:t>Shares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Maximum Number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Total Number</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Purchased as Part</w:t>
            </w:r>
          </w:p>
        </w:tc>
        <w:tc>
          <w:tcPr>
            <w:tcW w:w="420" w:type="dxa"/>
            <w:vAlign w:val="bottom"/>
          </w:tcPr>
          <w:p>
            <w:pPr>
              <w:spacing w:after="0"/>
              <w:rPr>
                <w:sz w:val="12"/>
                <w:szCs w:val="12"/>
                <w:color w:val="auto"/>
              </w:rPr>
            </w:pPr>
          </w:p>
        </w:tc>
        <w:tc>
          <w:tcPr>
            <w:tcW w:w="18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Approximate 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75"/>
              </w:rPr>
              <w:t>of</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gridSpan w:val="2"/>
          </w:tcPr>
          <w:p>
            <w:pPr>
              <w:jc w:val="right"/>
              <w:ind w:right="1260"/>
              <w:spacing w:after="0" w:line="149" w:lineRule="exact"/>
              <w:rPr>
                <w:sz w:val="20"/>
                <w:szCs w:val="20"/>
                <w:color w:val="auto"/>
              </w:rPr>
            </w:pPr>
            <w:r>
              <w:rPr>
                <w:rFonts w:ascii="Arial" w:cs="Arial" w:eastAsia="Arial" w:hAnsi="Arial"/>
                <w:sz w:val="14"/>
                <w:szCs w:val="14"/>
                <w:b w:val="1"/>
                <w:bCs w:val="1"/>
                <w:color w:val="auto"/>
              </w:rPr>
              <w:t>(b)</w:t>
            </w:r>
          </w:p>
        </w:tc>
        <w:tc>
          <w:tcPr>
            <w:tcW w:w="14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of Publicly</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of Shares that</w:t>
            </w:r>
          </w:p>
        </w:tc>
        <w:tc>
          <w:tcPr>
            <w:tcW w:w="0" w:type="dxa"/>
            <w:vAlign w:val="bottom"/>
          </w:tcPr>
          <w:p>
            <w:pPr>
              <w:spacing w:after="0"/>
              <w:rPr>
                <w:sz w:val="1"/>
                <w:szCs w:val="1"/>
                <w:color w:val="auto"/>
              </w:rPr>
            </w:pPr>
          </w:p>
        </w:tc>
      </w:tr>
      <w:tr>
        <w:trPr>
          <w:trHeight w:val="149"/>
        </w:trPr>
        <w:tc>
          <w:tcPr>
            <w:tcW w:w="41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Period</w:t>
            </w: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1"/>
              </w:rPr>
              <w:t>Shares</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gridSpan w:val="2"/>
          </w:tcPr>
          <w:p>
            <w:pPr>
              <w:jc w:val="right"/>
              <w:ind w:right="940"/>
              <w:spacing w:after="0" w:line="149" w:lineRule="exact"/>
              <w:rPr>
                <w:sz w:val="20"/>
                <w:szCs w:val="20"/>
                <w:color w:val="auto"/>
              </w:rPr>
            </w:pPr>
            <w:r>
              <w:rPr>
                <w:rFonts w:ascii="Arial" w:cs="Arial" w:eastAsia="Arial" w:hAnsi="Arial"/>
                <w:sz w:val="14"/>
                <w:szCs w:val="14"/>
                <w:b w:val="1"/>
                <w:bCs w:val="1"/>
                <w:color w:val="auto"/>
                <w:w w:val="87"/>
              </w:rPr>
              <w:t>Average Price</w:t>
            </w:r>
          </w:p>
        </w:tc>
        <w:tc>
          <w:tcPr>
            <w:tcW w:w="14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Announced Plans</w:t>
            </w:r>
          </w:p>
        </w:tc>
        <w:tc>
          <w:tcPr>
            <w:tcW w:w="420" w:type="dxa"/>
            <w:vAlign w:val="bottom"/>
          </w:tcPr>
          <w:p>
            <w:pPr>
              <w:spacing w:after="0"/>
              <w:rPr>
                <w:sz w:val="12"/>
                <w:szCs w:val="12"/>
                <w:color w:val="auto"/>
              </w:rPr>
            </w:pPr>
          </w:p>
        </w:tc>
        <w:tc>
          <w:tcPr>
            <w:tcW w:w="180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86"/>
              </w:rPr>
              <w:t>May Yet Be Purchased Under</w:t>
            </w:r>
          </w:p>
        </w:tc>
        <w:tc>
          <w:tcPr>
            <w:tcW w:w="0" w:type="dxa"/>
            <w:vAlign w:val="bottom"/>
          </w:tcPr>
          <w:p>
            <w:pPr>
              <w:spacing w:after="0"/>
              <w:rPr>
                <w:sz w:val="1"/>
                <w:szCs w:val="1"/>
                <w:color w:val="auto"/>
              </w:rPr>
            </w:pPr>
          </w:p>
        </w:tc>
      </w:tr>
      <w:tr>
        <w:trPr>
          <w:trHeight w:val="148"/>
        </w:trPr>
        <w:tc>
          <w:tcPr>
            <w:tcW w:w="4160" w:type="dxa"/>
            <w:vAlign w:val="bottom"/>
            <w:gridSpan w:val="4"/>
            <w:vMerge w:val="continue"/>
          </w:tcPr>
          <w:p>
            <w:pPr>
              <w:spacing w:after="0"/>
              <w:rPr>
                <w:sz w:val="12"/>
                <w:szCs w:val="12"/>
                <w:color w:val="auto"/>
              </w:rPr>
            </w:pPr>
          </w:p>
        </w:tc>
        <w:tc>
          <w:tcPr>
            <w:tcW w:w="128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83"/>
              </w:rPr>
              <w:t>Purchased</w:t>
            </w:r>
          </w:p>
        </w:tc>
        <w:tc>
          <w:tcPr>
            <w:tcW w:w="420" w:type="dxa"/>
            <w:vAlign w:val="bottom"/>
          </w:tcPr>
          <w:p>
            <w:pPr>
              <w:spacing w:after="0"/>
              <w:rPr>
                <w:sz w:val="12"/>
                <w:szCs w:val="12"/>
                <w:color w:val="auto"/>
              </w:rPr>
            </w:pPr>
          </w:p>
        </w:tc>
        <w:tc>
          <w:tcPr>
            <w:tcW w:w="18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Paid per Share(1)</w:t>
            </w:r>
          </w:p>
        </w:tc>
        <w:tc>
          <w:tcPr>
            <w:tcW w:w="1480" w:type="dxa"/>
            <w:vAlign w:val="bottom"/>
            <w:gridSpan w:val="2"/>
          </w:tcPr>
          <w:p>
            <w:pPr>
              <w:jc w:val="center"/>
              <w:ind w:right="420"/>
              <w:spacing w:after="0" w:line="148" w:lineRule="exact"/>
              <w:rPr>
                <w:sz w:val="20"/>
                <w:szCs w:val="20"/>
                <w:color w:val="auto"/>
              </w:rPr>
            </w:pPr>
            <w:r>
              <w:rPr>
                <w:rFonts w:ascii="Arial" w:cs="Arial" w:eastAsia="Arial" w:hAnsi="Arial"/>
                <w:sz w:val="14"/>
                <w:szCs w:val="14"/>
                <w:b w:val="1"/>
                <w:bCs w:val="1"/>
                <w:color w:val="auto"/>
                <w:w w:val="88"/>
              </w:rPr>
              <w:t>or Programs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7"/>
              </w:rPr>
              <w:t>the Plans or Programs(2)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10/1/12-10/31/12</w:t>
            </w:r>
          </w:p>
        </w:tc>
        <w:tc>
          <w:tcPr>
            <w:tcW w:w="26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561,644</w:t>
            </w: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32.71</w:t>
            </w:r>
          </w:p>
        </w:tc>
        <w:tc>
          <w:tcPr>
            <w:tcW w:w="8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561,644</w:t>
            </w: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184,402,813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11/1/12-11/30/12</w:t>
            </w:r>
          </w:p>
        </w:tc>
        <w:tc>
          <w:tcPr>
            <w:tcW w:w="266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1,112,843</w:t>
            </w:r>
          </w:p>
        </w:tc>
        <w:tc>
          <w:tcPr>
            <w:tcW w:w="50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32.65</w:t>
            </w:r>
          </w:p>
        </w:tc>
        <w:tc>
          <w:tcPr>
            <w:tcW w:w="84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1,112,843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648,064,456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12/1/12-12/31/12</w:t>
            </w:r>
          </w:p>
        </w:tc>
        <w:tc>
          <w:tcPr>
            <w:tcW w:w="26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1,448,162</w:t>
            </w: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w:t>
            </w:r>
          </w:p>
        </w:tc>
        <w:tc>
          <w:tcPr>
            <w:tcW w:w="8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1,448,162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599,112,456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01/1/13-01/31/13</w:t>
            </w:r>
          </w:p>
        </w:tc>
        <w:tc>
          <w:tcPr>
            <w:tcW w:w="26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1,325,752</w:t>
            </w:r>
          </w:p>
        </w:tc>
        <w:tc>
          <w:tcPr>
            <w:tcW w:w="420" w:type="dxa"/>
            <w:vAlign w:val="bottom"/>
          </w:tcPr>
          <w:p>
            <w:pPr>
              <w:spacing w:after="0"/>
              <w:rPr>
                <w:sz w:val="18"/>
                <w:szCs w:val="18"/>
                <w:color w:val="auto"/>
              </w:rPr>
            </w:pPr>
          </w:p>
        </w:tc>
        <w:tc>
          <w:tcPr>
            <w:tcW w:w="50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34.74</w:t>
            </w:r>
          </w:p>
        </w:tc>
        <w:tc>
          <w:tcPr>
            <w:tcW w:w="84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1,325,752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553,049,836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02/1/13-02/28/13</w:t>
            </w:r>
          </w:p>
        </w:tc>
        <w:tc>
          <w:tcPr>
            <w:tcW w:w="26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1,477,892</w:t>
            </w: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35.93</w:t>
            </w:r>
          </w:p>
        </w:tc>
        <w:tc>
          <w:tcPr>
            <w:tcW w:w="8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1,477,892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499,951,184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03/1/13-03/31/13</w:t>
            </w:r>
          </w:p>
        </w:tc>
        <w:tc>
          <w:tcPr>
            <w:tcW w:w="26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266,231</w:t>
            </w:r>
          </w:p>
        </w:tc>
        <w:tc>
          <w:tcPr>
            <w:tcW w:w="420" w:type="dxa"/>
            <w:vAlign w:val="bottom"/>
          </w:tcPr>
          <w:p>
            <w:pPr>
              <w:spacing w:after="0"/>
              <w:rPr>
                <w:sz w:val="18"/>
                <w:szCs w:val="18"/>
                <w:color w:val="auto"/>
              </w:rPr>
            </w:pPr>
          </w:p>
        </w:tc>
        <w:tc>
          <w:tcPr>
            <w:tcW w:w="50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36.05</w:t>
            </w:r>
          </w:p>
        </w:tc>
        <w:tc>
          <w:tcPr>
            <w:tcW w:w="84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266,231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490,352,620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04/1/13-04/30/13</w:t>
            </w:r>
          </w:p>
        </w:tc>
        <w:tc>
          <w:tcPr>
            <w:tcW w:w="26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120,515</w:t>
            </w: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w:t>
            </w:r>
          </w:p>
        </w:tc>
        <w:tc>
          <w:tcPr>
            <w:tcW w:w="8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120,515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486,179,993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05/1/13-05/31/13</w:t>
            </w:r>
          </w:p>
        </w:tc>
        <w:tc>
          <w:tcPr>
            <w:tcW w:w="26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712,504</w:t>
            </w:r>
          </w:p>
        </w:tc>
        <w:tc>
          <w:tcPr>
            <w:tcW w:w="420" w:type="dxa"/>
            <w:vAlign w:val="bottom"/>
          </w:tcPr>
          <w:p>
            <w:pPr>
              <w:spacing w:after="0"/>
              <w:rPr>
                <w:sz w:val="18"/>
                <w:szCs w:val="18"/>
                <w:color w:val="auto"/>
              </w:rPr>
            </w:pPr>
          </w:p>
        </w:tc>
        <w:tc>
          <w:tcPr>
            <w:tcW w:w="50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36.06</w:t>
            </w:r>
          </w:p>
        </w:tc>
        <w:tc>
          <w:tcPr>
            <w:tcW w:w="84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712,504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460,488,883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06/1/13-06/30/13</w:t>
            </w:r>
          </w:p>
        </w:tc>
        <w:tc>
          <w:tcPr>
            <w:tcW w:w="26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778,565</w:t>
            </w: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35.77</w:t>
            </w:r>
          </w:p>
        </w:tc>
        <w:tc>
          <w:tcPr>
            <w:tcW w:w="8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778,565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432,637,814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07/1/13-07/31/13</w:t>
            </w:r>
          </w:p>
        </w:tc>
        <w:tc>
          <w:tcPr>
            <w:tcW w:w="266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432,637,814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08/1/13-08/31/13</w:t>
            </w:r>
          </w:p>
        </w:tc>
        <w:tc>
          <w:tcPr>
            <w:tcW w:w="26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1,336,699</w:t>
            </w: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38.25</w:t>
            </w:r>
          </w:p>
        </w:tc>
        <w:tc>
          <w:tcPr>
            <w:tcW w:w="8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1,336,699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381,508,540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09/1/13-09/30/13</w:t>
            </w:r>
          </w:p>
        </w:tc>
        <w:tc>
          <w:tcPr>
            <w:tcW w:w="26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1,228,982</w:t>
            </w:r>
          </w:p>
        </w:tc>
        <w:tc>
          <w:tcPr>
            <w:tcW w:w="420" w:type="dxa"/>
            <w:vAlign w:val="bottom"/>
          </w:tcPr>
          <w:p>
            <w:pPr>
              <w:spacing w:after="0"/>
              <w:rPr>
                <w:sz w:val="19"/>
                <w:szCs w:val="19"/>
                <w:color w:val="auto"/>
              </w:rPr>
            </w:pPr>
          </w:p>
        </w:tc>
        <w:tc>
          <w:tcPr>
            <w:tcW w:w="50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37.14</w:t>
            </w:r>
          </w:p>
        </w:tc>
        <w:tc>
          <w:tcPr>
            <w:tcW w:w="84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1,228,982</w:t>
            </w:r>
          </w:p>
        </w:tc>
        <w:tc>
          <w:tcPr>
            <w:tcW w:w="4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335,866,150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10,369,789</w:t>
            </w: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35.38</w:t>
            </w:r>
          </w:p>
        </w:tc>
        <w:tc>
          <w:tcPr>
            <w:tcW w:w="8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10,369,789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335,866,150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6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Excludes broker and transaction fees.</w:t>
      </w:r>
    </w:p>
    <w:p>
      <w:pPr>
        <w:spacing w:after="0" w:line="211" w:lineRule="exact"/>
        <w:rPr>
          <w:rFonts w:ascii="Arial" w:cs="Arial" w:eastAsia="Arial" w:hAnsi="Arial"/>
          <w:sz w:val="18"/>
          <w:szCs w:val="18"/>
          <w:color w:val="auto"/>
        </w:rPr>
      </w:pPr>
    </w:p>
    <w:p>
      <w:pPr>
        <w:ind w:left="460" w:right="140" w:hanging="452"/>
        <w:spacing w:after="0" w:line="294"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 February 2011, our board of directors adopted a share repurchase plan authorizing the repurchase of up to $1 billion of our outstanding ordinary shares over the following 24 months. In November 2012, our board of directors adopted an additional share repurchase plan authorizing the repurchase of up to $500.0 million of our outstanding ordinary shares. The November 2012 plan has no expiration date. The authorizations permit us to purchase our ordinary shares in open market or privately negotiated transactions at times and prices we consider appropriate. In February 2013, we completed the repurchase of the remaining authorized amount under the February 2011 plan and started executing repurchases under the November 2012 plan.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16F. </w:t>
      </w:r>
      <w:r>
        <w:rPr>
          <w:rFonts w:ascii="Arial" w:cs="Arial" w:eastAsia="Arial" w:hAnsi="Arial"/>
          <w:sz w:val="18"/>
          <w:szCs w:val="18"/>
          <w:b w:val="1"/>
          <w:bCs w:val="1"/>
          <w:i w:val="1"/>
          <w:iCs w:val="1"/>
          <w:color w:val="auto"/>
        </w:rPr>
        <w:t>CHANGE IN REGISTRANT’S CERTIFYING ACCOUNTANT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16G. </w:t>
      </w:r>
      <w:r>
        <w:rPr>
          <w:rFonts w:ascii="Arial" w:cs="Arial" w:eastAsia="Arial" w:hAnsi="Arial"/>
          <w:sz w:val="18"/>
          <w:szCs w:val="18"/>
          <w:b w:val="1"/>
          <w:bCs w:val="1"/>
          <w:i w:val="1"/>
          <w:iCs w:val="1"/>
          <w:color w:val="auto"/>
        </w:rPr>
        <w:t>CORPORATE GOVERNANCE</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believe there are no significant ways that our corporate governance practices differ from those followed by U.S. domestic companies under the NYSE listing standards. For further information regarding our corporate governance practices, please refer to our Notice and Proxy Statement to be mailed to our shareholders in December 2013, and to our website at www.amdocs.com.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16H. </w:t>
      </w:r>
      <w:r>
        <w:rPr>
          <w:rFonts w:ascii="Arial" w:cs="Arial" w:eastAsia="Arial" w:hAnsi="Arial"/>
          <w:sz w:val="18"/>
          <w:szCs w:val="18"/>
          <w:b w:val="1"/>
          <w:bCs w:val="1"/>
          <w:i w:val="1"/>
          <w:iCs w:val="1"/>
          <w:color w:val="auto"/>
        </w:rPr>
        <w:t>MINE SAFETY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17. </w:t>
      </w:r>
      <w:r>
        <w:rPr>
          <w:rFonts w:ascii="Arial" w:cs="Arial" w:eastAsia="Arial" w:hAnsi="Arial"/>
          <w:sz w:val="18"/>
          <w:szCs w:val="18"/>
          <w:b w:val="1"/>
          <w:bCs w:val="1"/>
          <w:i w:val="1"/>
          <w:iCs w:val="1"/>
          <w:color w:val="auto"/>
        </w:rPr>
        <w:t>FINANCIAL STATEMENTS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18. </w:t>
      </w:r>
      <w:r>
        <w:rPr>
          <w:rFonts w:ascii="Arial" w:cs="Arial" w:eastAsia="Arial" w:hAnsi="Arial"/>
          <w:sz w:val="18"/>
          <w:szCs w:val="18"/>
          <w:b w:val="1"/>
          <w:bCs w:val="1"/>
          <w:i w:val="1"/>
          <w:iCs w:val="1"/>
          <w:color w:val="auto"/>
        </w:rPr>
        <w:t>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And Schedule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Financial Statements and Financial Statement Schedule of Amdocs Limited, with respect to financial results for the fiscal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2013, 2012 and 2011, are included at the end of this Annual Report: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Audited Financial Statements of Amdocs Limited</w:t>
      </w:r>
    </w:p>
    <w:p>
      <w:pPr>
        <w:spacing w:after="0" w:line="9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Reports of Independent Registered Public Accounting Firm</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Consolidated Balance Sheets as of September 30, 2013 and 2012</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Consolidated Statements of Income for the fiscal years ended September 30, 2013, 2012 and 2011</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Consolidated Statements of Comprehensive Income for the fiscal years ended September 30, 2013, 2012 and 2011</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Consolidated Statements of Cash Flows for the fiscal years ended September 30, 2013, 2012 and 2011</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Notes to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Schedules of Amdocs Limited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Valuation and Qualifying Accounts</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other schedules have been omitted since they are either not required or not applicable, or the information has otherwise been included.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19. </w:t>
      </w:r>
      <w:r>
        <w:rPr>
          <w:rFonts w:ascii="Arial" w:cs="Arial" w:eastAsia="Arial" w:hAnsi="Arial"/>
          <w:sz w:val="18"/>
          <w:szCs w:val="18"/>
          <w:b w:val="1"/>
          <w:bCs w:val="1"/>
          <w:i w:val="1"/>
          <w:i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exhibits listed on the Exhibit Index hereof are filed herewith in response to this Item.</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80"/>
          </w:cols>
          <w:pgMar w:left="240" w:top="459" w:right="3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00" w:lineRule="exact"/>
        <w:rPr>
          <w:sz w:val="20"/>
          <w:szCs w:val="20"/>
          <w:color w:val="auto"/>
        </w:rPr>
      </w:pPr>
    </w:p>
    <w:p>
      <w:pPr>
        <w:spacing w:after="0" w:line="241"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E</w:t>
      </w:r>
      <w:r>
        <w:rPr>
          <w:rFonts w:ascii="Arial" w:cs="Arial" w:eastAsia="Arial" w:hAnsi="Arial"/>
          <w:sz w:val="14"/>
          <w:szCs w:val="14"/>
          <w:color w:val="auto"/>
        </w:rPr>
        <w:t>LIZABETH</w:t>
      </w:r>
      <w:r>
        <w:rPr>
          <w:rFonts w:ascii="Arial" w:cs="Arial" w:eastAsia="Arial" w:hAnsi="Arial"/>
          <w:sz w:val="18"/>
          <w:szCs w:val="18"/>
          <w:color w:val="auto"/>
        </w:rPr>
        <w:t xml:space="preserve"> W. M</w:t>
      </w:r>
      <w:r>
        <w:rPr>
          <w:rFonts w:ascii="Arial" w:cs="Arial" w:eastAsia="Arial" w:hAnsi="Arial"/>
          <w:sz w:val="14"/>
          <w:szCs w:val="14"/>
          <w:color w:val="auto"/>
        </w:rPr>
        <w:t>C</w:t>
      </w:r>
      <w:r>
        <w:rPr>
          <w:rFonts w:ascii="Arial" w:cs="Arial" w:eastAsia="Arial" w:hAnsi="Arial"/>
          <w:sz w:val="18"/>
          <w:szCs w:val="18"/>
          <w:color w:val="auto"/>
        </w:rPr>
        <w:t>D</w:t>
      </w:r>
      <w:r>
        <w:rPr>
          <w:rFonts w:ascii="Arial" w:cs="Arial" w:eastAsia="Arial" w:hAnsi="Arial"/>
          <w:sz w:val="14"/>
          <w:szCs w:val="14"/>
          <w:color w:val="auto"/>
        </w:rPr>
        <w:t>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10795</wp:posOffset>
            </wp:positionV>
            <wp:extent cx="288988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Elizabeth W. McDermon</w:t>
      </w:r>
    </w:p>
    <w:p>
      <w:pPr>
        <w:spacing w:after="0" w:line="15" w:lineRule="exact"/>
        <w:rPr>
          <w:sz w:val="20"/>
          <w:szCs w:val="20"/>
          <w:color w:val="auto"/>
        </w:rPr>
      </w:pPr>
    </w:p>
    <w:p>
      <w:pPr>
        <w:ind w:left="6900"/>
        <w:spacing w:after="0"/>
        <w:rPr>
          <w:sz w:val="20"/>
          <w:szCs w:val="20"/>
          <w:color w:val="auto"/>
        </w:rPr>
      </w:pPr>
      <w:r>
        <w:rPr>
          <w:rFonts w:ascii="Arial" w:cs="Arial" w:eastAsia="Arial" w:hAnsi="Arial"/>
          <w:sz w:val="18"/>
          <w:szCs w:val="18"/>
          <w:i w:val="1"/>
          <w:iCs w:val="1"/>
          <w:color w:val="auto"/>
        </w:rPr>
        <w:t>Secretary and Authorized Signatory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December 9, 2013</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240" w:top="459" w:right="5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60" w:type="dxa"/>
            <w:vAlign w:val="bottom"/>
            <w:gridSpan w:val="3"/>
          </w:tcPr>
          <w:p>
            <w:pPr>
              <w:ind w:left="458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2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5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181"/>
        </w:trPr>
        <w:tc>
          <w:tcPr>
            <w:tcW w:w="20" w:type="dxa"/>
            <w:vAlign w:val="bottom"/>
          </w:tcPr>
          <w:p>
            <w:pPr>
              <w:spacing w:after="0"/>
              <w:rPr>
                <w:sz w:val="15"/>
                <w:szCs w:val="15"/>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5420" w:type="dxa"/>
            <w:vAlign w:val="bottom"/>
          </w:tcPr>
          <w:p>
            <w:pPr>
              <w:spacing w:after="0"/>
              <w:rPr>
                <w:sz w:val="15"/>
                <w:szCs w:val="15"/>
                <w:color w:val="auto"/>
              </w:rPr>
            </w:pPr>
          </w:p>
        </w:tc>
        <w:tc>
          <w:tcPr>
            <w:tcW w:w="554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460" w:type="dxa"/>
            <w:vAlign w:val="bottom"/>
            <w:gridSpan w:val="2"/>
          </w:tcPr>
          <w:p>
            <w:pPr>
              <w:spacing w:after="0" w:line="195" w:lineRule="exact"/>
              <w:rPr>
                <w:sz w:val="20"/>
                <w:szCs w:val="20"/>
                <w:color w:val="auto"/>
              </w:rPr>
            </w:pPr>
            <w:r>
              <w:rPr>
                <w:rFonts w:ascii="Arial" w:cs="Arial" w:eastAsia="Arial" w:hAnsi="Arial"/>
                <w:sz w:val="18"/>
                <w:szCs w:val="18"/>
                <w:color w:val="auto"/>
              </w:rPr>
              <w:t>1.1</w:t>
            </w:r>
          </w:p>
        </w:tc>
        <w:tc>
          <w:tcPr>
            <w:tcW w:w="5420" w:type="dxa"/>
            <w:vAlign w:val="bottom"/>
          </w:tcPr>
          <w:p>
            <w:pPr>
              <w:ind w:left="580"/>
              <w:spacing w:after="0" w:line="195" w:lineRule="exact"/>
              <w:rPr>
                <w:sz w:val="20"/>
                <w:szCs w:val="20"/>
                <w:color w:val="auto"/>
              </w:rPr>
            </w:pPr>
            <w:r>
              <w:rPr>
                <w:rFonts w:ascii="Arial" w:cs="Arial" w:eastAsia="Arial" w:hAnsi="Arial"/>
                <w:sz w:val="18"/>
                <w:szCs w:val="18"/>
                <w:color w:val="auto"/>
                <w:w w:val="91"/>
              </w:rPr>
              <w:t>Amended and Restated Memorandum of Incorporation of Amdocs</w:t>
            </w:r>
          </w:p>
        </w:tc>
        <w:tc>
          <w:tcPr>
            <w:tcW w:w="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Limited</w:t>
            </w:r>
          </w:p>
        </w:tc>
        <w:tc>
          <w:tcPr>
            <w:tcW w:w="4840" w:type="dxa"/>
            <w:vAlign w:val="bottom"/>
          </w:tcPr>
          <w:p>
            <w:pPr>
              <w:spacing w:after="0" w:line="195" w:lineRule="exact"/>
              <w:rPr>
                <w:sz w:val="20"/>
                <w:szCs w:val="20"/>
                <w:color w:val="auto"/>
              </w:rPr>
            </w:pPr>
            <w:r>
              <w:rPr>
                <w:rFonts w:ascii="Arial" w:cs="Arial" w:eastAsia="Arial" w:hAnsi="Arial"/>
                <w:sz w:val="18"/>
                <w:szCs w:val="18"/>
                <w:color w:val="auto"/>
                <w:w w:val="87"/>
              </w:rPr>
              <w:t>(incorporated by reference to Exhibits 99.1 to Amdocs’ Form 6-K filed</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January 26, 2009)</w:t>
            </w:r>
          </w:p>
        </w:tc>
      </w:tr>
      <w:tr>
        <w:trPr>
          <w:trHeight w:val="216"/>
        </w:trPr>
        <w:tc>
          <w:tcPr>
            <w:tcW w:w="460" w:type="dxa"/>
            <w:vAlign w:val="bottom"/>
            <w:gridSpan w:val="2"/>
          </w:tcPr>
          <w:p>
            <w:pPr>
              <w:spacing w:after="0"/>
              <w:rPr>
                <w:sz w:val="20"/>
                <w:szCs w:val="20"/>
                <w:color w:val="auto"/>
              </w:rPr>
            </w:pPr>
            <w:r>
              <w:rPr>
                <w:rFonts w:ascii="Arial" w:cs="Arial" w:eastAsia="Arial" w:hAnsi="Arial"/>
                <w:sz w:val="18"/>
                <w:szCs w:val="18"/>
                <w:color w:val="auto"/>
              </w:rPr>
              <w:t>1.2</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4"/>
              </w:rPr>
              <w:t>Amended and Restated Articles of Incorporation of Amdocs Limited (incorporated by reference to Exhibit 1.2 to Amdocs’ Annual Report on</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Form 20-F, filed December 7, 2010)</w:t>
            </w:r>
          </w:p>
        </w:tc>
      </w:tr>
      <w:tr>
        <w:trPr>
          <w:trHeight w:val="216"/>
        </w:trPr>
        <w:tc>
          <w:tcPr>
            <w:tcW w:w="460" w:type="dxa"/>
            <w:vAlign w:val="bottom"/>
            <w:gridSpan w:val="2"/>
          </w:tcPr>
          <w:p>
            <w:pPr>
              <w:spacing w:after="0"/>
              <w:rPr>
                <w:sz w:val="20"/>
                <w:szCs w:val="20"/>
                <w:color w:val="auto"/>
              </w:rPr>
            </w:pPr>
            <w:r>
              <w:rPr>
                <w:rFonts w:ascii="Arial" w:cs="Arial" w:eastAsia="Arial" w:hAnsi="Arial"/>
                <w:sz w:val="18"/>
                <w:szCs w:val="18"/>
                <w:color w:val="auto"/>
              </w:rPr>
              <w:t>2.a.1</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0"/>
              </w:rPr>
              <w:t>Indenture, dated March 5, 2004, between Amdocs Limited and The Bank of New York, as trustee, for 0.50% Convertible Senior Notes due 2024</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(incorporated by reference to Exhibit 99.1 to Amdocs’ Form 6-K, filed March 5, 2004)</w:t>
            </w:r>
          </w:p>
        </w:tc>
      </w:tr>
      <w:tr>
        <w:trPr>
          <w:trHeight w:val="216"/>
        </w:trPr>
        <w:tc>
          <w:tcPr>
            <w:tcW w:w="460" w:type="dxa"/>
            <w:vAlign w:val="bottom"/>
            <w:gridSpan w:val="2"/>
          </w:tcPr>
          <w:p>
            <w:pPr>
              <w:spacing w:after="0"/>
              <w:rPr>
                <w:sz w:val="20"/>
                <w:szCs w:val="20"/>
                <w:color w:val="auto"/>
              </w:rPr>
            </w:pPr>
            <w:r>
              <w:rPr>
                <w:rFonts w:ascii="Arial" w:cs="Arial" w:eastAsia="Arial" w:hAnsi="Arial"/>
                <w:sz w:val="18"/>
                <w:szCs w:val="18"/>
                <w:color w:val="auto"/>
              </w:rPr>
              <w:t>2.a.2</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Registration Rights Agreement, dated March 5, 2004, among Amdocs Limited and Morgan Stanley &amp; Co. Incorporated, Goldman, Sachs &amp; Co.</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3"/>
              </w:rPr>
              <w:t>and Merrill Lynch, Pierce Fenner &amp; Smith Incorporated (incorporated by reference to Exhibit 99.2 to Amdocs’ Form 6-K, filed March 5, 2004)</w:t>
            </w:r>
          </w:p>
        </w:tc>
      </w:tr>
      <w:tr>
        <w:trPr>
          <w:trHeight w:val="216"/>
        </w:trPr>
        <w:tc>
          <w:tcPr>
            <w:tcW w:w="460" w:type="dxa"/>
            <w:vAlign w:val="bottom"/>
            <w:gridSpan w:val="2"/>
          </w:tcPr>
          <w:p>
            <w:pPr>
              <w:spacing w:after="0"/>
              <w:rPr>
                <w:sz w:val="20"/>
                <w:szCs w:val="20"/>
                <w:color w:val="auto"/>
              </w:rPr>
            </w:pPr>
            <w:r>
              <w:rPr>
                <w:rFonts w:ascii="Arial" w:cs="Arial" w:eastAsia="Arial" w:hAnsi="Arial"/>
                <w:sz w:val="18"/>
                <w:szCs w:val="18"/>
                <w:color w:val="auto"/>
              </w:rPr>
              <w:t>4.b.1</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4"/>
              </w:rPr>
              <w:t>Further Amended and Restated Information Technology Services Agreement, dated September 1, 2007, between Amdocs, Inc. and AT&amp;T</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4"/>
              </w:rPr>
              <w:t>Services, Inc. (confidential material has been redacted and complete exhibits have been separately filed with the Securities and Exchange</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3"/>
              </w:rPr>
              <w:t>Commission) (incorporated by reference to Exhibit 99.3 to Amdocs’ Report of Foreign Private Issuer on Form 6-K dated December 3, 2007)</w:t>
            </w:r>
          </w:p>
        </w:tc>
      </w:tr>
      <w:tr>
        <w:trPr>
          <w:trHeight w:val="216"/>
        </w:trPr>
        <w:tc>
          <w:tcPr>
            <w:tcW w:w="460" w:type="dxa"/>
            <w:vAlign w:val="bottom"/>
            <w:gridSpan w:val="2"/>
          </w:tcPr>
          <w:p>
            <w:pPr>
              <w:spacing w:after="0"/>
              <w:rPr>
                <w:sz w:val="20"/>
                <w:szCs w:val="20"/>
                <w:color w:val="auto"/>
              </w:rPr>
            </w:pPr>
            <w:r>
              <w:rPr>
                <w:rFonts w:ascii="Arial" w:cs="Arial" w:eastAsia="Arial" w:hAnsi="Arial"/>
                <w:sz w:val="18"/>
                <w:szCs w:val="18"/>
                <w:color w:val="auto"/>
              </w:rPr>
              <w:t>4.b.2</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Master Agreement for Software and Services between Amdocs, Inc. and SBC Operations, Inc., effective July 7, 1998 (confidential material has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been redacted and complete exhibits have been separately filed with the Securities and Exchange Commission) (incorporated by reference to</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7"/>
              </w:rPr>
              <w:t>Exhibit 10.13 to Amdocs’ Amendment No. 1 to Registration Statement on Form F-1, dated May 21, 1999, Registration No. 333-75151)</w:t>
            </w:r>
          </w:p>
        </w:tc>
      </w:tr>
      <w:tr>
        <w:trPr>
          <w:trHeight w:val="216"/>
        </w:trPr>
        <w:tc>
          <w:tcPr>
            <w:tcW w:w="460" w:type="dxa"/>
            <w:vAlign w:val="bottom"/>
            <w:gridSpan w:val="2"/>
          </w:tcPr>
          <w:p>
            <w:pPr>
              <w:spacing w:after="0"/>
              <w:rPr>
                <w:sz w:val="20"/>
                <w:szCs w:val="20"/>
                <w:color w:val="auto"/>
              </w:rPr>
            </w:pPr>
            <w:r>
              <w:rPr>
                <w:rFonts w:ascii="Arial" w:cs="Arial" w:eastAsia="Arial" w:hAnsi="Arial"/>
                <w:sz w:val="18"/>
                <w:szCs w:val="18"/>
                <w:color w:val="auto"/>
              </w:rPr>
              <w:t>4.b.3</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3"/>
              </w:rPr>
              <w:t>Software Master Agreement between Amdocs Software Systems Limited and SBC Services, Inc., effective December 10, 2003 (confidential</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material has been redacted and complete exhibits have been separately filed with the Securities and Exchange Commission) (incorporated by</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9"/>
              </w:rPr>
              <w:t>reference to Exhibit 99.2 to Amdocs’ Amendment No. 1 to Registration Statement on Form F-3, dated September 21, 2004, Registration No. 333-</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20" w:type="dxa"/>
            <w:vAlign w:val="bottom"/>
          </w:tcPr>
          <w:p>
            <w:pPr>
              <w:ind w:left="580"/>
              <w:spacing w:after="0"/>
              <w:rPr>
                <w:sz w:val="20"/>
                <w:szCs w:val="20"/>
                <w:color w:val="auto"/>
              </w:rPr>
            </w:pPr>
            <w:r>
              <w:rPr>
                <w:rFonts w:ascii="Arial" w:cs="Arial" w:eastAsia="Arial" w:hAnsi="Arial"/>
                <w:sz w:val="18"/>
                <w:szCs w:val="18"/>
                <w:color w:val="auto"/>
              </w:rPr>
              <w:t>114344)</w:t>
            </w:r>
          </w:p>
        </w:tc>
        <w:tc>
          <w:tcPr>
            <w:tcW w:w="700" w:type="dxa"/>
            <w:vAlign w:val="bottom"/>
          </w:tcPr>
          <w:p>
            <w:pPr>
              <w:spacing w:after="0"/>
              <w:rPr>
                <w:sz w:val="18"/>
                <w:szCs w:val="18"/>
                <w:color w:val="auto"/>
              </w:rPr>
            </w:pPr>
          </w:p>
        </w:tc>
        <w:tc>
          <w:tcPr>
            <w:tcW w:w="4840" w:type="dxa"/>
            <w:vAlign w:val="bottom"/>
          </w:tcPr>
          <w:p>
            <w:pPr>
              <w:spacing w:after="0"/>
              <w:rPr>
                <w:sz w:val="18"/>
                <w:szCs w:val="18"/>
                <w:color w:val="auto"/>
              </w:rPr>
            </w:pPr>
          </w:p>
        </w:tc>
      </w:tr>
      <w:tr>
        <w:trPr>
          <w:trHeight w:val="216"/>
        </w:trPr>
        <w:tc>
          <w:tcPr>
            <w:tcW w:w="460" w:type="dxa"/>
            <w:vAlign w:val="bottom"/>
            <w:gridSpan w:val="2"/>
          </w:tcPr>
          <w:p>
            <w:pPr>
              <w:spacing w:after="0"/>
              <w:rPr>
                <w:sz w:val="20"/>
                <w:szCs w:val="20"/>
                <w:color w:val="auto"/>
              </w:rPr>
            </w:pPr>
            <w:r>
              <w:rPr>
                <w:rFonts w:ascii="Arial" w:cs="Arial" w:eastAsia="Arial" w:hAnsi="Arial"/>
                <w:sz w:val="18"/>
                <w:szCs w:val="18"/>
                <w:color w:val="auto"/>
              </w:rPr>
              <w:t>4.b.4</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0"/>
              </w:rPr>
              <w:t>Agreement between Amdocs, Inc. and SBC Services, Inc. for Software and Professional Services, effective August 7, 2003 (confidential material</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9"/>
              </w:rPr>
              <w:t>has been redacted and complete exhibits have been separately filed with the Securities and Exchange Commission) (incorporated by reference to</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2"/>
              </w:rPr>
              <w:t>Exhibit 99.3 to Amdocs’ Amendment No. 1 to Registration Statement on Form F-3, dated September 21, 2004, Registration No. 333-114344)</w:t>
            </w:r>
          </w:p>
        </w:tc>
      </w:tr>
      <w:tr>
        <w:trPr>
          <w:trHeight w:val="216"/>
        </w:trPr>
        <w:tc>
          <w:tcPr>
            <w:tcW w:w="460" w:type="dxa"/>
            <w:vAlign w:val="bottom"/>
            <w:gridSpan w:val="2"/>
          </w:tcPr>
          <w:p>
            <w:pPr>
              <w:spacing w:after="0"/>
              <w:rPr>
                <w:sz w:val="20"/>
                <w:szCs w:val="20"/>
                <w:color w:val="auto"/>
              </w:rPr>
            </w:pPr>
            <w:r>
              <w:rPr>
                <w:rFonts w:ascii="Arial" w:cs="Arial" w:eastAsia="Arial" w:hAnsi="Arial"/>
                <w:sz w:val="18"/>
                <w:szCs w:val="18"/>
                <w:color w:val="auto"/>
              </w:rPr>
              <w:t>4.b.5</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8"/>
              </w:rPr>
              <w:t>Further Amended and Restated Information Technology Services Agreement, dated as of December 31, 2009, by and between AT&amp;T Services, Inc.</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2"/>
              </w:rPr>
              <w:t>and Amdocs Inc. (confidential material has been redacted and complete exhibits have been separately filed with the Securities and Exchange</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3"/>
              </w:rPr>
              <w:t>Commission) (incorporated by reference to Exhibit 99.1 to Amdocs’ Report of Foreign Private Issuer on Form 6-K dated November 1, 2010)</w:t>
            </w:r>
          </w:p>
        </w:tc>
      </w:tr>
      <w:tr>
        <w:trPr>
          <w:trHeight w:val="216"/>
        </w:trPr>
        <w:tc>
          <w:tcPr>
            <w:tcW w:w="460" w:type="dxa"/>
            <w:vAlign w:val="bottom"/>
            <w:gridSpan w:val="2"/>
          </w:tcPr>
          <w:p>
            <w:pPr>
              <w:spacing w:after="0"/>
              <w:rPr>
                <w:sz w:val="20"/>
                <w:szCs w:val="20"/>
                <w:color w:val="auto"/>
              </w:rPr>
            </w:pPr>
            <w:r>
              <w:rPr>
                <w:rFonts w:ascii="Arial" w:cs="Arial" w:eastAsia="Arial" w:hAnsi="Arial"/>
                <w:sz w:val="18"/>
                <w:szCs w:val="18"/>
                <w:color w:val="auto"/>
              </w:rPr>
              <w:t>4.b.6</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9"/>
              </w:rPr>
              <w:t>Credit Agreement, dated as of December 20, 2011, among Amdocs Limited, certain of its subsidiaries, the lenders from time to time party thereto,</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0"/>
              </w:rPr>
              <w:t>JPMorgan Chase Bank, N.A., as administrative agent, J.P. Morgan Europe Limited, as London agent, and JPMorgan Chase Bank, N.A., Toronto</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0"/>
              </w:rPr>
              <w:t>branch, as Canadian agent (incorporated by reference to Exhibit 99.1 to Amdocs’ Report of Foreign Private Issuer on Form 6-K dated December</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20" w:type="dxa"/>
            <w:vAlign w:val="bottom"/>
          </w:tcPr>
          <w:p>
            <w:pPr>
              <w:ind w:left="580"/>
              <w:spacing w:after="0"/>
              <w:rPr>
                <w:sz w:val="20"/>
                <w:szCs w:val="20"/>
                <w:color w:val="auto"/>
              </w:rPr>
            </w:pPr>
            <w:r>
              <w:rPr>
                <w:rFonts w:ascii="Arial" w:cs="Arial" w:eastAsia="Arial" w:hAnsi="Arial"/>
                <w:sz w:val="18"/>
                <w:szCs w:val="18"/>
                <w:color w:val="auto"/>
              </w:rPr>
              <w:t>22, 2011)</w:t>
            </w:r>
          </w:p>
        </w:tc>
        <w:tc>
          <w:tcPr>
            <w:tcW w:w="700" w:type="dxa"/>
            <w:vAlign w:val="bottom"/>
          </w:tcPr>
          <w:p>
            <w:pPr>
              <w:spacing w:after="0"/>
              <w:rPr>
                <w:sz w:val="18"/>
                <w:szCs w:val="18"/>
                <w:color w:val="auto"/>
              </w:rPr>
            </w:pPr>
          </w:p>
        </w:tc>
        <w:tc>
          <w:tcPr>
            <w:tcW w:w="4840" w:type="dxa"/>
            <w:vAlign w:val="bottom"/>
          </w:tcPr>
          <w:p>
            <w:pPr>
              <w:spacing w:after="0"/>
              <w:rPr>
                <w:sz w:val="18"/>
                <w:szCs w:val="18"/>
                <w:color w:val="auto"/>
              </w:rPr>
            </w:pPr>
          </w:p>
        </w:tc>
      </w:tr>
      <w:tr>
        <w:trPr>
          <w:trHeight w:val="216"/>
        </w:trPr>
        <w:tc>
          <w:tcPr>
            <w:tcW w:w="460" w:type="dxa"/>
            <w:vAlign w:val="bottom"/>
            <w:gridSpan w:val="2"/>
          </w:tcPr>
          <w:p>
            <w:pPr>
              <w:spacing w:after="0"/>
              <w:rPr>
                <w:sz w:val="20"/>
                <w:szCs w:val="20"/>
                <w:color w:val="auto"/>
              </w:rPr>
            </w:pPr>
            <w:r>
              <w:rPr>
                <w:rFonts w:ascii="Arial" w:cs="Arial" w:eastAsia="Arial" w:hAnsi="Arial"/>
                <w:sz w:val="18"/>
                <w:szCs w:val="18"/>
                <w:color w:val="auto"/>
              </w:rPr>
              <w:t>4.c.1</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2"/>
              </w:rPr>
              <w:t>Amdocs Limited 1998 Stock Option and Incentive Plan, as amended (incorporated by reference to Appendix C to Amdocs’ Report of Foreign</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Private Issuer on Form 6-K filed December 22, 2011)</w:t>
            </w:r>
          </w:p>
        </w:tc>
      </w:tr>
    </w:tbl>
    <w:p>
      <w:pPr>
        <w:ind w:left="1040" w:hanging="1032"/>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Subsidiaries of Amdocs Limited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0" w:type="dxa"/>
            <w:vAlign w:val="bottom"/>
          </w:tcPr>
          <w:p>
            <w:pPr>
              <w:jc w:val="right"/>
              <w:ind w:right="272"/>
              <w:spacing w:after="0"/>
              <w:rPr>
                <w:sz w:val="20"/>
                <w:szCs w:val="20"/>
                <w:color w:val="auto"/>
              </w:rPr>
            </w:pPr>
            <w:r>
              <w:rPr>
                <w:rFonts w:ascii="Arial" w:cs="Arial" w:eastAsia="Arial" w:hAnsi="Arial"/>
                <w:sz w:val="18"/>
                <w:szCs w:val="18"/>
                <w:color w:val="auto"/>
                <w:w w:val="85"/>
              </w:rPr>
              <w:t>12.1</w:t>
            </w:r>
          </w:p>
        </w:tc>
        <w:tc>
          <w:tcPr>
            <w:tcW w:w="5840" w:type="dxa"/>
            <w:vAlign w:val="bottom"/>
          </w:tcPr>
          <w:p>
            <w:pPr>
              <w:ind w:left="360"/>
              <w:spacing w:after="0"/>
              <w:rPr>
                <w:sz w:val="20"/>
                <w:szCs w:val="20"/>
                <w:color w:val="auto"/>
              </w:rPr>
            </w:pPr>
            <w:r>
              <w:rPr>
                <w:rFonts w:ascii="Arial" w:cs="Arial" w:eastAsia="Arial" w:hAnsi="Arial"/>
                <w:sz w:val="18"/>
                <w:szCs w:val="18"/>
                <w:color w:val="auto"/>
                <w:w w:val="90"/>
              </w:rPr>
              <w:t>Certification of Chief Executive Officer pursuant to Rule 13a-14(a)/15d-14(a)</w:t>
            </w:r>
          </w:p>
        </w:tc>
      </w:tr>
      <w:tr>
        <w:trPr>
          <w:trHeight w:val="216"/>
        </w:trPr>
        <w:tc>
          <w:tcPr>
            <w:tcW w:w="680" w:type="dxa"/>
            <w:vAlign w:val="bottom"/>
          </w:tcPr>
          <w:p>
            <w:pPr>
              <w:jc w:val="right"/>
              <w:ind w:right="272"/>
              <w:spacing w:after="0"/>
              <w:rPr>
                <w:sz w:val="20"/>
                <w:szCs w:val="20"/>
                <w:color w:val="auto"/>
              </w:rPr>
            </w:pPr>
            <w:r>
              <w:rPr>
                <w:rFonts w:ascii="Arial" w:cs="Arial" w:eastAsia="Arial" w:hAnsi="Arial"/>
                <w:sz w:val="18"/>
                <w:szCs w:val="18"/>
                <w:color w:val="auto"/>
                <w:w w:val="85"/>
              </w:rPr>
              <w:t>12.2</w:t>
            </w:r>
          </w:p>
        </w:tc>
        <w:tc>
          <w:tcPr>
            <w:tcW w:w="5840" w:type="dxa"/>
            <w:vAlign w:val="bottom"/>
          </w:tcPr>
          <w:p>
            <w:pPr>
              <w:ind w:left="360"/>
              <w:spacing w:after="0"/>
              <w:rPr>
                <w:sz w:val="20"/>
                <w:szCs w:val="20"/>
                <w:color w:val="auto"/>
              </w:rPr>
            </w:pPr>
            <w:r>
              <w:rPr>
                <w:rFonts w:ascii="Arial" w:cs="Arial" w:eastAsia="Arial" w:hAnsi="Arial"/>
                <w:sz w:val="18"/>
                <w:szCs w:val="18"/>
                <w:color w:val="auto"/>
                <w:w w:val="90"/>
              </w:rPr>
              <w:t>Certification of Chief Financial Officer pursuant to Rule 13a-14(a)/15d-14(a)</w:t>
            </w:r>
          </w:p>
        </w:tc>
      </w:tr>
      <w:tr>
        <w:trPr>
          <w:trHeight w:val="216"/>
        </w:trPr>
        <w:tc>
          <w:tcPr>
            <w:tcW w:w="680" w:type="dxa"/>
            <w:vAlign w:val="bottom"/>
          </w:tcPr>
          <w:p>
            <w:pPr>
              <w:jc w:val="right"/>
              <w:ind w:right="272"/>
              <w:spacing w:after="0"/>
              <w:rPr>
                <w:sz w:val="20"/>
                <w:szCs w:val="20"/>
                <w:color w:val="auto"/>
              </w:rPr>
            </w:pPr>
            <w:r>
              <w:rPr>
                <w:rFonts w:ascii="Arial" w:cs="Arial" w:eastAsia="Arial" w:hAnsi="Arial"/>
                <w:sz w:val="18"/>
                <w:szCs w:val="18"/>
                <w:color w:val="auto"/>
                <w:w w:val="85"/>
              </w:rPr>
              <w:t>13.1</w:t>
            </w:r>
          </w:p>
        </w:tc>
        <w:tc>
          <w:tcPr>
            <w:tcW w:w="5840" w:type="dxa"/>
            <w:vAlign w:val="bottom"/>
          </w:tcPr>
          <w:p>
            <w:pPr>
              <w:ind w:left="360"/>
              <w:spacing w:after="0"/>
              <w:rPr>
                <w:sz w:val="20"/>
                <w:szCs w:val="20"/>
                <w:color w:val="auto"/>
              </w:rPr>
            </w:pPr>
            <w:r>
              <w:rPr>
                <w:rFonts w:ascii="Arial" w:cs="Arial" w:eastAsia="Arial" w:hAnsi="Arial"/>
                <w:sz w:val="18"/>
                <w:szCs w:val="18"/>
                <w:color w:val="auto"/>
              </w:rPr>
              <w:t>Certification of Chief Executive Officer pursuant to 18 U.S.C. 1350</w:t>
            </w:r>
          </w:p>
        </w:tc>
      </w:tr>
      <w:tr>
        <w:trPr>
          <w:trHeight w:val="216"/>
        </w:trPr>
        <w:tc>
          <w:tcPr>
            <w:tcW w:w="680" w:type="dxa"/>
            <w:vAlign w:val="bottom"/>
          </w:tcPr>
          <w:p>
            <w:pPr>
              <w:jc w:val="right"/>
              <w:ind w:right="272"/>
              <w:spacing w:after="0"/>
              <w:rPr>
                <w:sz w:val="20"/>
                <w:szCs w:val="20"/>
                <w:color w:val="auto"/>
              </w:rPr>
            </w:pPr>
            <w:r>
              <w:rPr>
                <w:rFonts w:ascii="Arial" w:cs="Arial" w:eastAsia="Arial" w:hAnsi="Arial"/>
                <w:sz w:val="18"/>
                <w:szCs w:val="18"/>
                <w:color w:val="auto"/>
                <w:w w:val="85"/>
              </w:rPr>
              <w:t>13.2</w:t>
            </w:r>
          </w:p>
        </w:tc>
        <w:tc>
          <w:tcPr>
            <w:tcW w:w="5840" w:type="dxa"/>
            <w:vAlign w:val="bottom"/>
          </w:tcPr>
          <w:p>
            <w:pPr>
              <w:ind w:left="360"/>
              <w:spacing w:after="0"/>
              <w:rPr>
                <w:sz w:val="20"/>
                <w:szCs w:val="20"/>
                <w:color w:val="auto"/>
              </w:rPr>
            </w:pPr>
            <w:r>
              <w:rPr>
                <w:rFonts w:ascii="Arial" w:cs="Arial" w:eastAsia="Arial" w:hAnsi="Arial"/>
                <w:sz w:val="18"/>
                <w:szCs w:val="18"/>
                <w:color w:val="auto"/>
              </w:rPr>
              <w:t>Certification of Chief Financial Officer pursuant to 18 U.S.C. 1350</w:t>
            </w:r>
          </w:p>
        </w:tc>
      </w:tr>
      <w:tr>
        <w:trPr>
          <w:trHeight w:val="222"/>
        </w:trPr>
        <w:tc>
          <w:tcPr>
            <w:tcW w:w="680" w:type="dxa"/>
            <w:vAlign w:val="bottom"/>
          </w:tcPr>
          <w:p>
            <w:pPr>
              <w:jc w:val="right"/>
              <w:ind w:right="272"/>
              <w:spacing w:after="0"/>
              <w:rPr>
                <w:sz w:val="20"/>
                <w:szCs w:val="20"/>
                <w:color w:val="auto"/>
              </w:rPr>
            </w:pPr>
            <w:r>
              <w:rPr>
                <w:rFonts w:ascii="Arial" w:cs="Arial" w:eastAsia="Arial" w:hAnsi="Arial"/>
                <w:sz w:val="18"/>
                <w:szCs w:val="18"/>
                <w:color w:val="auto"/>
                <w:w w:val="85"/>
              </w:rPr>
              <w:t>14.1</w:t>
            </w:r>
          </w:p>
        </w:tc>
        <w:tc>
          <w:tcPr>
            <w:tcW w:w="5840" w:type="dxa"/>
            <w:vAlign w:val="bottom"/>
          </w:tcPr>
          <w:p>
            <w:pPr>
              <w:ind w:left="360"/>
              <w:spacing w:after="0"/>
              <w:rPr>
                <w:sz w:val="20"/>
                <w:szCs w:val="20"/>
                <w:color w:val="auto"/>
              </w:rPr>
            </w:pPr>
            <w:r>
              <w:rPr>
                <w:rFonts w:ascii="Arial" w:cs="Arial" w:eastAsia="Arial" w:hAnsi="Arial"/>
                <w:sz w:val="18"/>
                <w:szCs w:val="18"/>
                <w:color w:val="auto"/>
              </w:rPr>
              <w:t>Consent of Ernst &amp; Young LLP</w:t>
            </w:r>
          </w:p>
        </w:tc>
      </w:tr>
      <w:tr>
        <w:trPr>
          <w:trHeight w:val="365"/>
        </w:trPr>
        <w:tc>
          <w:tcPr>
            <w:tcW w:w="680" w:type="dxa"/>
            <w:vAlign w:val="bottom"/>
          </w:tcPr>
          <w:p>
            <w:pPr>
              <w:spacing w:after="0"/>
              <w:rPr>
                <w:sz w:val="24"/>
                <w:szCs w:val="24"/>
                <w:color w:val="auto"/>
              </w:rPr>
            </w:pPr>
          </w:p>
        </w:tc>
        <w:tc>
          <w:tcPr>
            <w:tcW w:w="5840" w:type="dxa"/>
            <w:vAlign w:val="bottom"/>
          </w:tcPr>
          <w:p>
            <w:pPr>
              <w:ind w:left="4940"/>
              <w:spacing w:after="0"/>
              <w:rPr>
                <w:sz w:val="20"/>
                <w:szCs w:val="20"/>
                <w:color w:val="auto"/>
              </w:rPr>
            </w:pPr>
            <w:r>
              <w:rPr>
                <w:rFonts w:ascii="Arial" w:cs="Arial" w:eastAsia="Arial" w:hAnsi="Arial"/>
                <w:sz w:val="18"/>
                <w:szCs w:val="18"/>
                <w:color w:val="auto"/>
              </w:rPr>
              <w:t>69</w:t>
            </w:r>
          </w:p>
        </w:tc>
      </w:tr>
    </w:tbl>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5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0" w:type="dxa"/>
            <w:vAlign w:val="bottom"/>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5420" w:type="dxa"/>
            <w:vAlign w:val="bottom"/>
          </w:tcPr>
          <w:p>
            <w:pPr>
              <w:spacing w:after="0"/>
              <w:rPr>
                <w:sz w:val="15"/>
                <w:szCs w:val="15"/>
                <w:color w:val="auto"/>
              </w:rPr>
            </w:pPr>
          </w:p>
        </w:tc>
        <w:tc>
          <w:tcPr>
            <w:tcW w:w="530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460" w:type="dxa"/>
            <w:vAlign w:val="bottom"/>
            <w:gridSpan w:val="2"/>
          </w:tcPr>
          <w:p>
            <w:pPr>
              <w:jc w:val="right"/>
              <w:spacing w:after="0" w:line="195" w:lineRule="exact"/>
              <w:rPr>
                <w:sz w:val="20"/>
                <w:szCs w:val="20"/>
                <w:color w:val="auto"/>
              </w:rPr>
            </w:pPr>
            <w:r>
              <w:rPr>
                <w:rFonts w:ascii="Arial" w:cs="Arial" w:eastAsia="Arial" w:hAnsi="Arial"/>
                <w:sz w:val="18"/>
                <w:szCs w:val="18"/>
                <w:color w:val="auto"/>
                <w:w w:val="84"/>
              </w:rPr>
              <w:t>100.1</w:t>
            </w:r>
          </w:p>
        </w:tc>
        <w:tc>
          <w:tcPr>
            <w:tcW w:w="5420" w:type="dxa"/>
            <w:vAlign w:val="bottom"/>
          </w:tcPr>
          <w:p>
            <w:pPr>
              <w:ind w:left="580"/>
              <w:spacing w:after="0" w:line="195" w:lineRule="exact"/>
              <w:rPr>
                <w:sz w:val="20"/>
                <w:szCs w:val="20"/>
                <w:color w:val="auto"/>
              </w:rPr>
            </w:pPr>
            <w:r>
              <w:rPr>
                <w:rFonts w:ascii="Arial" w:cs="Arial" w:eastAsia="Arial" w:hAnsi="Arial"/>
                <w:sz w:val="18"/>
                <w:szCs w:val="18"/>
                <w:color w:val="auto"/>
                <w:w w:val="92"/>
              </w:rPr>
              <w:t>The following financial information from Amdocs Limited’s Annual</w:t>
            </w:r>
          </w:p>
        </w:tc>
        <w:tc>
          <w:tcPr>
            <w:tcW w:w="70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w w:val="80"/>
              </w:rPr>
              <w:t>Report on</w:t>
            </w:r>
          </w:p>
        </w:tc>
        <w:tc>
          <w:tcPr>
            <w:tcW w:w="4600" w:type="dxa"/>
            <w:vAlign w:val="bottom"/>
          </w:tcPr>
          <w:p>
            <w:pPr>
              <w:ind w:left="80"/>
              <w:spacing w:after="0" w:line="195" w:lineRule="exact"/>
              <w:rPr>
                <w:sz w:val="20"/>
                <w:szCs w:val="20"/>
                <w:color w:val="auto"/>
              </w:rPr>
            </w:pPr>
            <w:r>
              <w:rPr>
                <w:rFonts w:ascii="Arial" w:cs="Arial" w:eastAsia="Arial" w:hAnsi="Arial"/>
                <w:sz w:val="18"/>
                <w:szCs w:val="18"/>
                <w:color w:val="auto"/>
                <w:w w:val="88"/>
              </w:rPr>
              <w:t>Form 20-F for the year ended September 30, 2013, formatted in</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720" w:type="dxa"/>
            <w:vAlign w:val="bottom"/>
            <w:gridSpan w:val="3"/>
          </w:tcPr>
          <w:p>
            <w:pPr>
              <w:ind w:left="580"/>
              <w:spacing w:after="0"/>
              <w:rPr>
                <w:sz w:val="20"/>
                <w:szCs w:val="20"/>
                <w:color w:val="auto"/>
              </w:rPr>
            </w:pPr>
            <w:r>
              <w:rPr>
                <w:rFonts w:ascii="Arial" w:cs="Arial" w:eastAsia="Arial" w:hAnsi="Arial"/>
                <w:sz w:val="18"/>
                <w:szCs w:val="18"/>
                <w:color w:val="auto"/>
                <w:w w:val="92"/>
              </w:rPr>
              <w:t>Extensible Business Reporting Language (XBRL): (i) Consolidated Balance Sheets as of September 30, 2013 and 2012, (ii) Consolidated</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720" w:type="dxa"/>
            <w:vAlign w:val="bottom"/>
            <w:gridSpan w:val="3"/>
          </w:tcPr>
          <w:p>
            <w:pPr>
              <w:ind w:left="580"/>
              <w:spacing w:after="0"/>
              <w:rPr>
                <w:sz w:val="20"/>
                <w:szCs w:val="20"/>
                <w:color w:val="auto"/>
              </w:rPr>
            </w:pPr>
            <w:r>
              <w:rPr>
                <w:rFonts w:ascii="Arial" w:cs="Arial" w:eastAsia="Arial" w:hAnsi="Arial"/>
                <w:sz w:val="18"/>
                <w:szCs w:val="18"/>
                <w:color w:val="auto"/>
                <w:w w:val="88"/>
              </w:rPr>
              <w:t>Statements of Income for the years ended September 30, 2013, 2012 and 2011, (iii) Consolidated Statements of Comprehensive Income for the</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720" w:type="dxa"/>
            <w:vAlign w:val="bottom"/>
            <w:gridSpan w:val="3"/>
          </w:tcPr>
          <w:p>
            <w:pPr>
              <w:ind w:left="580"/>
              <w:spacing w:after="0"/>
              <w:rPr>
                <w:sz w:val="20"/>
                <w:szCs w:val="20"/>
                <w:color w:val="auto"/>
              </w:rPr>
            </w:pPr>
            <w:r>
              <w:rPr>
                <w:rFonts w:ascii="Arial" w:cs="Arial" w:eastAsia="Arial" w:hAnsi="Arial"/>
                <w:sz w:val="18"/>
                <w:szCs w:val="18"/>
                <w:color w:val="auto"/>
                <w:w w:val="86"/>
              </w:rPr>
              <w:t>years ended September 30, 2013, 2012 and 2011, (iv) the Consolidated Statements of Cash Flows for the years ended September 30, 2013, 2012</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720" w:type="dxa"/>
            <w:vAlign w:val="bottom"/>
            <w:gridSpan w:val="3"/>
          </w:tcPr>
          <w:p>
            <w:pPr>
              <w:ind w:left="580"/>
              <w:spacing w:after="0"/>
              <w:rPr>
                <w:sz w:val="20"/>
                <w:szCs w:val="20"/>
                <w:color w:val="auto"/>
              </w:rPr>
            </w:pPr>
            <w:r>
              <w:rPr>
                <w:rFonts w:ascii="Arial" w:cs="Arial" w:eastAsia="Arial" w:hAnsi="Arial"/>
                <w:sz w:val="18"/>
                <w:szCs w:val="18"/>
                <w:color w:val="auto"/>
              </w:rPr>
              <w:t>and 2011, and (iv) Notes to Consolidated Financial Statements</w:t>
            </w:r>
          </w:p>
        </w:tc>
      </w:tr>
      <w:tr>
        <w:trPr>
          <w:trHeight w:val="36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20" w:type="dxa"/>
            <w:vAlign w:val="bottom"/>
          </w:tcPr>
          <w:p>
            <w:pPr>
              <w:ind w:left="5160"/>
              <w:spacing w:after="0"/>
              <w:rPr>
                <w:sz w:val="20"/>
                <w:szCs w:val="20"/>
                <w:color w:val="auto"/>
              </w:rPr>
            </w:pPr>
            <w:r>
              <w:rPr>
                <w:rFonts w:ascii="Arial" w:cs="Arial" w:eastAsia="Arial" w:hAnsi="Arial"/>
                <w:sz w:val="18"/>
                <w:szCs w:val="18"/>
                <w:color w:val="auto"/>
              </w:rPr>
              <w:t>70</w:t>
            </w:r>
          </w:p>
        </w:tc>
        <w:tc>
          <w:tcPr>
            <w:tcW w:w="700" w:type="dxa"/>
            <w:vAlign w:val="bottom"/>
          </w:tcPr>
          <w:p>
            <w:pPr>
              <w:spacing w:after="0"/>
              <w:rPr>
                <w:sz w:val="24"/>
                <w:szCs w:val="24"/>
                <w:color w:val="auto"/>
              </w:rPr>
            </w:pPr>
          </w:p>
        </w:tc>
        <w:tc>
          <w:tcPr>
            <w:tcW w:w="4600" w:type="dxa"/>
            <w:vAlign w:val="bottom"/>
          </w:tcPr>
          <w:p>
            <w:pPr>
              <w:spacing w:after="0"/>
              <w:rPr>
                <w:sz w:val="24"/>
                <w:szCs w:val="24"/>
                <w:color w:val="auto"/>
              </w:rPr>
            </w:pPr>
          </w:p>
        </w:tc>
      </w:tr>
    </w:tbl>
    <w:p>
      <w:pPr>
        <w:sectPr>
          <w:pgSz w:w="11900" w:h="16838" w:orient="portrait"/>
          <w:cols w:equalWidth="0" w:num="1">
            <w:col w:w="11180"/>
          </w:cols>
          <w:pgMar w:left="240" w:top="459" w:right="4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940" w:type="dxa"/>
            <w:vAlign w:val="bottom"/>
            <w:gridSpan w:val="11"/>
            <w:vMerge w:val="restart"/>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88"/>
        </w:trPr>
        <w:tc>
          <w:tcPr>
            <w:tcW w:w="10940" w:type="dxa"/>
            <w:vAlign w:val="bottom"/>
            <w:gridSpan w:val="11"/>
            <w:vMerge w:val="continue"/>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20" w:type="dxa"/>
            <w:vAlign w:val="bottom"/>
          </w:tcPr>
          <w:p>
            <w:pPr>
              <w:spacing w:after="0"/>
              <w:rPr>
                <w:sz w:val="15"/>
                <w:szCs w:val="15"/>
                <w:color w:val="auto"/>
              </w:rPr>
            </w:pPr>
          </w:p>
        </w:tc>
        <w:tc>
          <w:tcPr>
            <w:tcW w:w="10720" w:type="dxa"/>
            <w:vAlign w:val="bottom"/>
            <w:gridSpan w:val="10"/>
          </w:tcPr>
          <w:p>
            <w:pPr>
              <w:spacing w:after="0" w:line="184" w:lineRule="exact"/>
              <w:rPr>
                <w:rFonts w:ascii="Arial" w:cs="Arial" w:eastAsia="Arial" w:hAnsi="Arial"/>
                <w:sz w:val="18"/>
                <w:szCs w:val="18"/>
                <w:color w:val="0000EE"/>
              </w:rPr>
            </w:pPr>
            <w:hyperlink w:anchor="page72">
              <w:r>
                <w:rPr>
                  <w:rFonts w:ascii="Arial" w:cs="Arial" w:eastAsia="Arial" w:hAnsi="Arial"/>
                  <w:sz w:val="18"/>
                  <w:szCs w:val="18"/>
                  <w:color w:val="0000EE"/>
                </w:rPr>
                <w:t>Management’s Report on Internal Control Over Financial Reporting</w:t>
              </w:r>
            </w:hyperlink>
          </w:p>
        </w:tc>
        <w:tc>
          <w:tcPr>
            <w:tcW w:w="380" w:type="dxa"/>
            <w:vAlign w:val="bottom"/>
          </w:tcPr>
          <w:p>
            <w:pPr>
              <w:jc w:val="right"/>
              <w:spacing w:after="0" w:line="184"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47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Reports of Independent Registered Public Accounting Firm</w:t>
              </w:r>
            </w:hyperlink>
          </w:p>
        </w:tc>
        <w:tc>
          <w:tcPr>
            <w:tcW w:w="5940" w:type="dxa"/>
            <w:vAlign w:val="bottom"/>
            <w:gridSpan w:val="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720" w:type="dxa"/>
            <w:vAlign w:val="bottom"/>
            <w:gridSpan w:val="10"/>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Consolidated Balance Sheets as of September 30, 2013 and 2012</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690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76">
              <w:r>
                <w:rPr>
                  <w:rFonts w:ascii="Arial" w:cs="Arial" w:eastAsia="Arial" w:hAnsi="Arial"/>
                  <w:sz w:val="18"/>
                  <w:szCs w:val="18"/>
                  <w:color w:val="0000EE"/>
                  <w:w w:val="87"/>
                </w:rPr>
                <w:t>Consolidated Statements of Income for the fiscal years ended September 30, 2013, 2012 and 2011</w:t>
              </w:r>
            </w:hyperlink>
          </w:p>
        </w:tc>
        <w:tc>
          <w:tcPr>
            <w:tcW w:w="3820" w:type="dxa"/>
            <w:vAlign w:val="bottom"/>
            <w:gridSpan w:val="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720" w:type="dxa"/>
            <w:vAlign w:val="bottom"/>
            <w:gridSpan w:val="10"/>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Consolidated Statements of Comprehensive Income for the fiscal years ended September 30, 2013, 2012 and 2011</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840" w:type="dxa"/>
            <w:vAlign w:val="bottom"/>
            <w:gridSpan w:val="5"/>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720" w:type="dxa"/>
            <w:vAlign w:val="bottom"/>
            <w:gridSpan w:val="10"/>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Consolidated Statements of Changes in Shareholders’ Equity for the fiscal years ended September 30, 2013, 2012 and 2011</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87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Consolidated Statements of Cash Flows for the fiscal years ended September 30, 2013, 2012 and 2011</w:t>
              </w:r>
            </w:hyperlink>
          </w:p>
        </w:tc>
        <w:tc>
          <w:tcPr>
            <w:tcW w:w="200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3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80">
              <w:r>
                <w:rPr>
                  <w:rFonts w:ascii="Arial" w:cs="Arial" w:eastAsia="Arial" w:hAnsi="Arial"/>
                  <w:sz w:val="18"/>
                  <w:szCs w:val="18"/>
                  <w:color w:val="0000EE"/>
                  <w:w w:val="87"/>
                </w:rPr>
                <w:t>Notes to the Consolidated Financial Statements</w:t>
              </w:r>
            </w:hyperlink>
          </w:p>
        </w:tc>
        <w:tc>
          <w:tcPr>
            <w:tcW w:w="3840" w:type="dxa"/>
            <w:vAlign w:val="bottom"/>
            <w:tcBorders>
              <w:top w:val="single" w:sz="8" w:color="0000EE"/>
            </w:tcBorders>
            <w:gridSpan w:val="5"/>
          </w:tcPr>
          <w:p>
            <w:pPr>
              <w:spacing w:after="0"/>
              <w:rPr>
                <w:sz w:val="17"/>
                <w:szCs w:val="17"/>
                <w:color w:val="auto"/>
              </w:rPr>
            </w:pPr>
          </w:p>
        </w:tc>
        <w:tc>
          <w:tcPr>
            <w:tcW w:w="3540" w:type="dxa"/>
            <w:vAlign w:val="bottom"/>
            <w:gridSpan w:val="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7"/>
              </w:rPr>
              <w:t>F-10</w:t>
            </w:r>
          </w:p>
        </w:tc>
        <w:tc>
          <w:tcPr>
            <w:tcW w:w="0" w:type="dxa"/>
            <w:vAlign w:val="bottom"/>
          </w:tcPr>
          <w:p>
            <w:pPr>
              <w:spacing w:after="0"/>
              <w:rPr>
                <w:sz w:val="1"/>
                <w:szCs w:val="1"/>
                <w:color w:val="auto"/>
              </w:rPr>
            </w:pPr>
          </w:p>
        </w:tc>
      </w:tr>
      <w:tr>
        <w:trPr>
          <w:trHeight w:val="228"/>
        </w:trPr>
        <w:tc>
          <w:tcPr>
            <w:tcW w:w="10940" w:type="dxa"/>
            <w:vAlign w:val="bottom"/>
            <w:gridSpan w:val="11"/>
          </w:tcPr>
          <w:p>
            <w:pPr>
              <w:spacing w:after="0"/>
              <w:rPr>
                <w:sz w:val="20"/>
                <w:szCs w:val="20"/>
                <w:color w:val="auto"/>
              </w:rPr>
            </w:pPr>
            <w:r>
              <w:rPr>
                <w:rFonts w:ascii="Arial" w:cs="Arial" w:eastAsia="Arial" w:hAnsi="Arial"/>
                <w:sz w:val="18"/>
                <w:szCs w:val="18"/>
                <w:b w:val="1"/>
                <w:bCs w:val="1"/>
                <w:color w:val="auto"/>
              </w:rPr>
              <w:t>Financial Statement Schedule</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20" w:type="dxa"/>
            <w:vAlign w:val="bottom"/>
          </w:tcPr>
          <w:p>
            <w:pPr>
              <w:spacing w:after="0"/>
              <w:rPr>
                <w:sz w:val="15"/>
                <w:szCs w:val="15"/>
                <w:color w:val="auto"/>
              </w:rPr>
            </w:pPr>
          </w:p>
        </w:tc>
        <w:tc>
          <w:tcPr>
            <w:tcW w:w="10720" w:type="dxa"/>
            <w:vAlign w:val="bottom"/>
            <w:gridSpan w:val="10"/>
          </w:tcPr>
          <w:p>
            <w:pPr>
              <w:spacing w:after="0" w:line="184" w:lineRule="exact"/>
              <w:rPr>
                <w:rFonts w:ascii="Arial" w:cs="Arial" w:eastAsia="Arial" w:hAnsi="Arial"/>
                <w:sz w:val="18"/>
                <w:szCs w:val="18"/>
                <w:color w:val="0000EE"/>
              </w:rPr>
            </w:pPr>
            <w:hyperlink w:anchor="page106">
              <w:r>
                <w:rPr>
                  <w:rFonts w:ascii="Arial" w:cs="Arial" w:eastAsia="Arial" w:hAnsi="Arial"/>
                  <w:sz w:val="18"/>
                  <w:szCs w:val="18"/>
                  <w:color w:val="0000EE"/>
                </w:rPr>
                <w:t>Valuation and Qualifying Accounts</w:t>
              </w:r>
            </w:hyperlink>
          </w:p>
        </w:tc>
        <w:tc>
          <w:tcPr>
            <w:tcW w:w="380" w:type="dxa"/>
            <w:vAlign w:val="bottom"/>
          </w:tcPr>
          <w:p>
            <w:pPr>
              <w:jc w:val="right"/>
              <w:spacing w:after="0" w:line="184" w:lineRule="exact"/>
              <w:rPr>
                <w:sz w:val="20"/>
                <w:szCs w:val="20"/>
                <w:color w:val="auto"/>
              </w:rPr>
            </w:pPr>
            <w:r>
              <w:rPr>
                <w:rFonts w:ascii="Arial" w:cs="Arial" w:eastAsia="Arial" w:hAnsi="Arial"/>
                <w:sz w:val="18"/>
                <w:szCs w:val="18"/>
                <w:color w:val="auto"/>
                <w:w w:val="97"/>
              </w:rPr>
              <w:t>F-36</w:t>
            </w:r>
          </w:p>
        </w:tc>
        <w:tc>
          <w:tcPr>
            <w:tcW w:w="0" w:type="dxa"/>
            <w:vAlign w:val="bottom"/>
          </w:tcPr>
          <w:p>
            <w:pPr>
              <w:spacing w:after="0"/>
              <w:rPr>
                <w:sz w:val="1"/>
                <w:szCs w:val="1"/>
                <w:color w:val="auto"/>
              </w:rPr>
            </w:pPr>
          </w:p>
        </w:tc>
      </w:tr>
      <w:tr>
        <w:trPr>
          <w:trHeight w:val="383"/>
        </w:trPr>
        <w:tc>
          <w:tcPr>
            <w:tcW w:w="220" w:type="dxa"/>
            <w:vAlign w:val="bottom"/>
          </w:tcPr>
          <w:p>
            <w:pPr>
              <w:spacing w:after="0"/>
              <w:rPr>
                <w:sz w:val="24"/>
                <w:szCs w:val="24"/>
                <w:color w:val="auto"/>
              </w:rPr>
            </w:pPr>
          </w:p>
        </w:tc>
        <w:tc>
          <w:tcPr>
            <w:tcW w:w="2480" w:type="dxa"/>
            <w:vAlign w:val="bottom"/>
            <w:tcBorders>
              <w:top w:val="single" w:sz="8" w:color="0000EE"/>
            </w:tcBorders>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40" w:type="dxa"/>
            <w:vAlign w:val="bottom"/>
            <w:gridSpan w:val="5"/>
          </w:tcPr>
          <w:p>
            <w:pPr>
              <w:ind w:left="600"/>
              <w:spacing w:after="0"/>
              <w:rPr>
                <w:sz w:val="20"/>
                <w:szCs w:val="20"/>
                <w:color w:val="auto"/>
              </w:rPr>
            </w:pPr>
            <w:r>
              <w:rPr>
                <w:rFonts w:ascii="Arial" w:cs="Arial" w:eastAsia="Arial" w:hAnsi="Arial"/>
                <w:sz w:val="18"/>
                <w:szCs w:val="18"/>
                <w:color w:val="auto"/>
              </w:rPr>
              <w:t>F-1</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7"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The management of the Company is responsible for establishing and maintaining adequate internal control over financial reporting for the Company. Internal control over financial reporting is a process designed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7" w:lineRule="exact"/>
        <w:rPr>
          <w:sz w:val="20"/>
          <w:szCs w:val="20"/>
          <w:color w:val="auto"/>
        </w:rPr>
      </w:pPr>
    </w:p>
    <w:p>
      <w:pPr>
        <w:ind w:left="660" w:right="740" w:hanging="206"/>
        <w:spacing w:after="0" w:line="268"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50" w:lineRule="exact"/>
        <w:rPr>
          <w:rFonts w:ascii="Arial" w:cs="Arial" w:eastAsia="Arial" w:hAnsi="Arial"/>
          <w:sz w:val="18"/>
          <w:szCs w:val="18"/>
          <w:color w:val="auto"/>
        </w:rPr>
      </w:pPr>
    </w:p>
    <w:p>
      <w:pPr>
        <w:ind w:left="660" w:right="420" w:hanging="206"/>
        <w:spacing w:after="0" w:line="259"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59"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59"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Company’s management assessed the effectiveness of the Company’s internal control over financial reporting as of September 30, 2013. In making this assessment, the Company’s management used the criteria set forth by the Committee of Sponsoring Organizations of the Treadway Commission (1992 framework) (COSO) in Internal Control-Integrated Framework.</w:t>
      </w:r>
    </w:p>
    <w:p>
      <w:pPr>
        <w:spacing w:after="0" w:line="59"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Based on its assessment, management concluded that, as of September 30, 2013, the Company’s internal control over financial reporting is effective based on those criteria.</w:t>
      </w:r>
    </w:p>
    <w:p>
      <w:pPr>
        <w:spacing w:after="0" w:line="5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financial statements and internal control over financial reporting have been audited by Ernst &amp; Young LLP, an independent registered public accounting firm which has issued an attestation report on the Company’s internal control over financial reporting included elsewhere in this Annual Report on Form 20-F.</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Amdocs Limited</w:t>
      </w:r>
    </w:p>
    <w:p>
      <w:pPr>
        <w:spacing w:after="0" w:line="8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have audited the accompanying consolidated balance sheets of Amdocs Limited as of September 30, 2013 and 2012, and the related consolidated statements of income, comprehensive income, changes in shareholders’ equity, and cash flows for each of the three years in the period ended September 30, 2013. Our audits also included the financial statement schedule listed in the Index at Item 18 of Part III. These financial statements and schedule are the responsibility of the Company’s management. Our responsibility is to express an opinion on these financial statements and schedule based on our audits.</w:t>
      </w:r>
    </w:p>
    <w:p>
      <w:pPr>
        <w:spacing w:after="0" w:line="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6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Amdocs Limited at September 30, 2013 and 2012, and the consolidated results of its operations and its cash flows for each of the three years in the period ended September 30, 2013,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32"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Amdocs Limited’s internal control over financial reporting as of September 30, 2013, based on criteria established in Internal Control-Integrated Framework issued by the Committee of Sponsoring Organizations of the Treadway Commission (1992 framework) and our report dated December 9, 2013 expressed an unqualified opinion thereon.</w:t>
      </w:r>
    </w:p>
    <w:p>
      <w:pPr>
        <w:spacing w:after="0" w:line="107"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9, 2013</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Amdocs Limited</w:t>
      </w:r>
    </w:p>
    <w:p>
      <w:pPr>
        <w:spacing w:after="0" w:line="84"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have audited Amdocs Limited’s internal control over financial reporting as of September 30, 2013, based on criteria established in Internal Control — Integrated Framework issued by the Committee of Sponsoring Organizations of the Treadway Commission (1992 framework) (the COSO criteria). Amdocs Limited’s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3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5"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9"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our opinion, Amdocs Limited maintained, in all material respects, effective internal control over financial reporting as of September 30, 2013, based on the COSO criteria.</w:t>
      </w:r>
    </w:p>
    <w:p>
      <w:pPr>
        <w:spacing w:after="0" w:line="51"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Amdocs Limited as of September 30, 2013 and 2012, and the related consolidated statements of income, comprehensive income, changes in shareholders’ equity, and cash flows for each of the three years in the period ended September 30, 2013 of Amdocs Limited and our report dated December 9, 2013 expressed an unqualified opinion thereon.</w:t>
      </w:r>
    </w:p>
    <w:p>
      <w:pPr>
        <w:spacing w:after="0" w:line="143"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9, 2013</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As of September 30,</w:t>
            </w:r>
          </w:p>
        </w:tc>
      </w:tr>
      <w:tr>
        <w:trPr>
          <w:trHeight w:val="142"/>
        </w:trPr>
        <w:tc>
          <w:tcPr>
            <w:tcW w:w="20" w:type="dxa"/>
            <w:vAlign w:val="bottom"/>
          </w:tcPr>
          <w:p>
            <w:pPr>
              <w:spacing w:after="0"/>
              <w:rPr>
                <w:sz w:val="12"/>
                <w:szCs w:val="12"/>
                <w:color w:val="auto"/>
              </w:rPr>
            </w:pPr>
          </w:p>
        </w:tc>
        <w:tc>
          <w:tcPr>
            <w:tcW w:w="90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2013</w:t>
            </w:r>
          </w:p>
        </w:tc>
        <w:tc>
          <w:tcPr>
            <w:tcW w:w="5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000" w:type="dxa"/>
            <w:vAlign w:val="bottom"/>
            <w:shd w:val="clear" w:color="auto" w:fill="CCEEFF"/>
          </w:tcPr>
          <w:p>
            <w:pPr>
              <w:ind w:left="5320"/>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1,014,192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879,158</w:t>
            </w:r>
          </w:p>
        </w:tc>
      </w:tr>
      <w:tr>
        <w:trPr>
          <w:trHeight w:val="216"/>
        </w:trPr>
        <w:tc>
          <w:tcPr>
            <w:tcW w:w="2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Short-term interest-bearing investments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312,188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239,019</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678,219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687,223</w:t>
            </w:r>
          </w:p>
        </w:tc>
      </w:tr>
      <w:tr>
        <w:trPr>
          <w:trHeight w:val="216"/>
        </w:trPr>
        <w:tc>
          <w:tcPr>
            <w:tcW w:w="2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Deferred income taxes and taxes receivable</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125,880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109,282</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151,595</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126,388</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2,282,074</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2,041,070</w:t>
            </w:r>
          </w:p>
        </w:tc>
      </w:tr>
      <w:tr>
        <w:trPr>
          <w:trHeight w:val="217"/>
        </w:trPr>
        <w:tc>
          <w:tcPr>
            <w:tcW w:w="20" w:type="dxa"/>
            <w:vAlign w:val="bottom"/>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Equipment and leasehold improvements, net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275,544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277,907</w:t>
            </w:r>
          </w:p>
        </w:tc>
      </w:tr>
      <w:tr>
        <w:trPr>
          <w:trHeight w:val="216"/>
        </w:trPr>
        <w:tc>
          <w:tcPr>
            <w:tcW w:w="2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113,966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127,266</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1,818,334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1,741,786</w:t>
            </w:r>
          </w:p>
        </w:tc>
      </w:tr>
      <w:tr>
        <w:trPr>
          <w:trHeight w:val="216"/>
        </w:trPr>
        <w:tc>
          <w:tcPr>
            <w:tcW w:w="2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156,726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141,278</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279,169</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315,916</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4,925,813</w:t>
            </w:r>
          </w:p>
        </w:tc>
        <w:tc>
          <w:tcPr>
            <w:tcW w:w="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4,645,223</w:t>
            </w: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740"/>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132,709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167,630</w:t>
            </w:r>
          </w:p>
        </w:tc>
      </w:tr>
      <w:tr>
        <w:trPr>
          <w:trHeight w:val="216"/>
        </w:trPr>
        <w:tc>
          <w:tcPr>
            <w:tcW w:w="2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322,539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306,892</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personnel costs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228,520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216,301</w:t>
            </w:r>
          </w:p>
        </w:tc>
      </w:tr>
      <w:tr>
        <w:trPr>
          <w:trHeight w:val="216"/>
        </w:trPr>
        <w:tc>
          <w:tcPr>
            <w:tcW w:w="2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Short-term financing arrangements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200,000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200,000</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151,112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145,184</w:t>
            </w:r>
          </w:p>
        </w:tc>
      </w:tr>
      <w:tr>
        <w:trPr>
          <w:trHeight w:val="223"/>
        </w:trPr>
        <w:tc>
          <w:tcPr>
            <w:tcW w:w="20" w:type="dxa"/>
            <w:vAlign w:val="bottom"/>
          </w:tcPr>
          <w:p>
            <w:pPr>
              <w:spacing w:after="0"/>
              <w:rPr>
                <w:sz w:val="19"/>
                <w:szCs w:val="19"/>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Deferred income taxes and taxes payable</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39,376</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29,551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1,074,256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1,065,558</w:t>
            </w:r>
          </w:p>
        </w:tc>
      </w:tr>
      <w:tr>
        <w:trPr>
          <w:trHeight w:val="216"/>
        </w:trPr>
        <w:tc>
          <w:tcPr>
            <w:tcW w:w="2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Deferred income taxes and taxes payable</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315,965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301,795</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liabilities</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260,809</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244,668</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000" w:type="dxa"/>
            <w:vAlign w:val="bottom"/>
          </w:tcPr>
          <w:p>
            <w:pPr>
              <w:ind w:left="42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1,651,030</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1,612,021</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Preferred Shares — Authorized 25,000 shares; £0.01 par value; 0 shares issued and outstanding</w:t>
            </w:r>
          </w:p>
        </w:tc>
        <w:tc>
          <w:tcPr>
            <w:tcW w:w="10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1"/>
              </w:rPr>
              <w:t>Ordinary Shares — Authorized 700,000 shares; £0.01 par value; 259,668 and 251,690 issued and 160,062 and 162,454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outstanding, in 2013 and 2012, respectively</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4,199</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4,077</w:t>
            </w:r>
          </w:p>
        </w:tc>
      </w:tr>
      <w:tr>
        <w:trPr>
          <w:trHeight w:val="216"/>
        </w:trPr>
        <w:tc>
          <w:tcPr>
            <w:tcW w:w="2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2,878,898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2,625,250</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Treasury stock, at cost — 99,606 and 89,236 ordinary shares in 2013 and 2012, respectively</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(2,785,071)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(2,418,010)</w:t>
            </w:r>
          </w:p>
        </w:tc>
      </w:tr>
      <w:tr>
        <w:trPr>
          <w:trHeight w:val="216"/>
        </w:trPr>
        <w:tc>
          <w:tcPr>
            <w:tcW w:w="2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(25,501)</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3,176,125</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2,847,386</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000" w:type="dxa"/>
            <w:vAlign w:val="bottom"/>
          </w:tcPr>
          <w:p>
            <w:pPr>
              <w:ind w:left="420"/>
              <w:spacing w:after="0"/>
              <w:rPr>
                <w:sz w:val="20"/>
                <w:szCs w:val="20"/>
                <w:color w:val="auto"/>
              </w:rPr>
            </w:pPr>
            <w:r>
              <w:rPr>
                <w:rFonts w:ascii="Arial" w:cs="Arial" w:eastAsia="Arial" w:hAnsi="Arial"/>
                <w:sz w:val="18"/>
                <w:szCs w:val="18"/>
                <w:b w:val="1"/>
                <w:bCs w:val="1"/>
                <w:color w:val="auto"/>
              </w:rPr>
              <w:t>Total shareholders’ equity</w:t>
            </w: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3,274,783</w:t>
            </w:r>
          </w:p>
        </w:tc>
        <w:tc>
          <w:tcPr>
            <w:tcW w:w="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3,033,202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4,925,813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4,645,223</w:t>
            </w: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0"/>
              </w:rPr>
              <w:t>Year Ended September 30,</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License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81,613</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120,443</w:t>
            </w:r>
          </w:p>
        </w:tc>
        <w:tc>
          <w:tcPr>
            <w:tcW w:w="4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119,237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3,264,241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3,126,460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3,058,491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3,345,854</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3,246,903</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3,177,728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2,602</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3,523</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2,164,450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2,081,945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2,066,740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240,266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242,063</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221,886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418,574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424,671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Amortization of purchased intangible assets and other</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38,410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52,229</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2,864,302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2,804,431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2,773,364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8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481,552</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442,472</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404,364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8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475,477</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441,524</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395,707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63,038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50,153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412,439</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391,371</w:t>
            </w:r>
          </w:p>
        </w:tc>
        <w:tc>
          <w:tcPr>
            <w:tcW w:w="46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346,665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4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 earnings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60" w:type="dxa"/>
            <w:vAlign w:val="bottom"/>
            <w:gridSpan w:val="2"/>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2.53</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2.31</w:t>
            </w:r>
          </w:p>
        </w:tc>
        <w:tc>
          <w:tcPr>
            <w:tcW w:w="4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weighted average number of shares outstanding</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161,330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168,275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 weighted average number of shares outstanding</w:t>
            </w: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163,118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169,437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186,559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dividends declared per ordinary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6"/>
              </w:rPr>
              <w:t>Year Ended September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8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2013</w:t>
            </w:r>
          </w:p>
        </w:tc>
        <w:tc>
          <w:tcPr>
            <w:tcW w:w="1120" w:type="dxa"/>
            <w:vAlign w:val="bottom"/>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Pr>
          <w:p>
            <w:pPr>
              <w:spacing w:after="0"/>
              <w:rPr>
                <w:sz w:val="12"/>
                <w:szCs w:val="12"/>
                <w:color w:val="auto"/>
              </w:rPr>
            </w:pPr>
          </w:p>
        </w:tc>
        <w:tc>
          <w:tcPr>
            <w:tcW w:w="680" w:type="dxa"/>
            <w:vAlign w:val="bottom"/>
          </w:tcPr>
          <w:p>
            <w:pPr>
              <w:jc w:val="right"/>
              <w:ind w:right="135"/>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5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$412,439</w:t>
            </w:r>
          </w:p>
        </w:tc>
        <w:tc>
          <w:tcPr>
            <w:tcW w:w="4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$391,371</w:t>
            </w:r>
          </w:p>
        </w:tc>
        <w:tc>
          <w:tcPr>
            <w:tcW w:w="4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$346,665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Other comprehensive income (loss), net of tax:</w:t>
            </w:r>
          </w:p>
        </w:tc>
        <w:tc>
          <w:tcPr>
            <w:tcW w:w="1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Unrealized gains (losses) on foreign currency hedging contracts(1)</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22,638</w:t>
            </w:r>
          </w:p>
        </w:tc>
        <w:tc>
          <w:tcPr>
            <w:tcW w:w="15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(3,505)</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ind w:left="200"/>
              <w:spacing w:after="0"/>
              <w:rPr>
                <w:sz w:val="20"/>
                <w:szCs w:val="20"/>
                <w:color w:val="auto"/>
              </w:rPr>
            </w:pPr>
            <w:r>
              <w:rPr>
                <w:rFonts w:ascii="Arial" w:cs="Arial" w:eastAsia="Arial" w:hAnsi="Arial"/>
                <w:sz w:val="18"/>
                <w:szCs w:val="18"/>
                <w:color w:val="auto"/>
              </w:rPr>
              <w:t>Unrealized gains (losses) on short-term interest-bearing investments(2)</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1560" w:type="dxa"/>
            <w:vAlign w:val="bottom"/>
            <w:gridSpan w:val="3"/>
          </w:tcPr>
          <w:p>
            <w:pPr>
              <w:jc w:val="right"/>
              <w:ind w:right="440"/>
              <w:spacing w:after="0"/>
              <w:rPr>
                <w:sz w:val="20"/>
                <w:szCs w:val="20"/>
                <w:color w:val="auto"/>
              </w:rPr>
            </w:pPr>
            <w:r>
              <w:rPr>
                <w:rFonts w:ascii="Arial" w:cs="Arial" w:eastAsia="Arial" w:hAnsi="Arial"/>
                <w:sz w:val="18"/>
                <w:szCs w:val="18"/>
                <w:color w:val="auto"/>
              </w:rPr>
              <w:t>2,077</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Unrealized gains (losses) on defined benefit plan(3)</w:t>
            </w:r>
          </w:p>
        </w:tc>
        <w:tc>
          <w:tcPr>
            <w:tcW w:w="15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w:t>
            </w: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(4,417)</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0"/>
        </w:trPr>
        <w:tc>
          <w:tcPr>
            <w:tcW w:w="6820" w:type="dxa"/>
            <w:vAlign w:val="bottom"/>
            <w:gridSpan w:val="3"/>
            <w:vMerge w:val="restart"/>
          </w:tcPr>
          <w:p>
            <w:pPr>
              <w:spacing w:after="0"/>
              <w:rPr>
                <w:sz w:val="20"/>
                <w:szCs w:val="20"/>
                <w:color w:val="auto"/>
              </w:rPr>
            </w:pPr>
            <w:r>
              <w:rPr>
                <w:rFonts w:ascii="Arial" w:cs="Arial" w:eastAsia="Arial" w:hAnsi="Arial"/>
                <w:sz w:val="18"/>
                <w:szCs w:val="18"/>
                <w:color w:val="auto"/>
              </w:rPr>
              <w:t>Other comprehensive income (loss), net of tax</w:t>
            </w:r>
          </w:p>
        </w:tc>
        <w:tc>
          <w:tcPr>
            <w:tcW w:w="15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20" w:type="dxa"/>
            <w:vAlign w:val="bottom"/>
            <w:gridSpan w:val="3"/>
            <w:vMerge w:val="continue"/>
          </w:tcPr>
          <w:p>
            <w:pPr>
              <w:spacing w:after="0"/>
              <w:rPr>
                <w:sz w:val="19"/>
                <w:szCs w:val="19"/>
                <w:color w:val="auto"/>
              </w:rPr>
            </w:pPr>
          </w:p>
        </w:tc>
        <w:tc>
          <w:tcPr>
            <w:tcW w:w="15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26,133</w:t>
            </w:r>
          </w:p>
        </w:tc>
        <w:tc>
          <w:tcPr>
            <w:tcW w:w="44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(5,845)</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(21,608)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5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438,572</w:t>
            </w:r>
          </w:p>
        </w:tc>
        <w:tc>
          <w:tcPr>
            <w:tcW w:w="15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385,526</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325,057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53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Net of tax (expense) benefit of $(7,413), $2,489 and $1,589 for the fiscal years ended September 30, 2013, 2012 and 2011, respectively.</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Net of tax (expense) benefit of $(49), $(40) and $24 for the fiscal years ended September 30, 2013, 2012 and 2011, respectively.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Net of tax (expense) benefit of $(1,196), $1,598 and $145 for the fiscal years ended September 30, 2013, 2012 and 2011,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Accumulated</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Other</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320" w:type="dxa"/>
            <w:vAlign w:val="bottom"/>
            <w:gridSpan w:val="6"/>
            <w:vMerge w:val="restart"/>
          </w:tcPr>
          <w:p>
            <w:pPr>
              <w:jc w:val="right"/>
              <w:ind w:right="112"/>
              <w:spacing w:after="0"/>
              <w:rPr>
                <w:sz w:val="20"/>
                <w:szCs w:val="20"/>
                <w:color w:val="auto"/>
              </w:rPr>
            </w:pPr>
            <w:r>
              <w:rPr>
                <w:rFonts w:ascii="Arial" w:cs="Arial" w:eastAsia="Arial" w:hAnsi="Arial"/>
                <w:sz w:val="14"/>
                <w:szCs w:val="14"/>
                <w:b w:val="1"/>
                <w:bCs w:val="1"/>
                <w:color w:val="auto"/>
              </w:rPr>
              <w:t>Ordinary Shares</w:t>
            </w:r>
          </w:p>
        </w:tc>
        <w:tc>
          <w:tcPr>
            <w:tcW w:w="280" w:type="dxa"/>
            <w:vAlign w:val="bottom"/>
          </w:tcPr>
          <w:p>
            <w:pPr>
              <w:spacing w:after="0"/>
              <w:rPr>
                <w:sz w:val="12"/>
                <w:szCs w:val="12"/>
                <w:color w:val="auto"/>
              </w:rPr>
            </w:pPr>
          </w:p>
        </w:tc>
        <w:tc>
          <w:tcPr>
            <w:tcW w:w="82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39"/>
        </w:trPr>
        <w:tc>
          <w:tcPr>
            <w:tcW w:w="4560" w:type="dxa"/>
            <w:vAlign w:val="bottom"/>
          </w:tcPr>
          <w:p>
            <w:pPr>
              <w:spacing w:after="0"/>
              <w:rPr>
                <w:sz w:val="11"/>
                <w:szCs w:val="11"/>
                <w:color w:val="auto"/>
              </w:rPr>
            </w:pPr>
          </w:p>
        </w:tc>
        <w:tc>
          <w:tcPr>
            <w:tcW w:w="1320" w:type="dxa"/>
            <w:vAlign w:val="bottom"/>
            <w:tcBorders>
              <w:bottom w:val="single" w:sz="8" w:color="auto"/>
            </w:tcBorders>
            <w:gridSpan w:val="6"/>
            <w:vMerge w:val="continue"/>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260"/>
              <w:spacing w:after="0" w:line="114" w:lineRule="exact"/>
              <w:rPr>
                <w:sz w:val="20"/>
                <w:szCs w:val="20"/>
                <w:color w:val="auto"/>
              </w:rPr>
            </w:pPr>
            <w:r>
              <w:rPr>
                <w:rFonts w:ascii="Arial" w:cs="Arial" w:eastAsia="Arial" w:hAnsi="Arial"/>
                <w:sz w:val="12"/>
                <w:szCs w:val="12"/>
                <w:b w:val="1"/>
                <w:bCs w:val="1"/>
                <w:color w:val="auto"/>
              </w:rPr>
              <w:t>Paid-in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400"/>
              <w:spacing w:after="0" w:line="114" w:lineRule="exact"/>
              <w:rPr>
                <w:sz w:val="20"/>
                <w:szCs w:val="20"/>
                <w:color w:val="auto"/>
              </w:rPr>
            </w:pPr>
            <w:r>
              <w:rPr>
                <w:rFonts w:ascii="Arial" w:cs="Arial" w:eastAsia="Arial" w:hAnsi="Arial"/>
                <w:sz w:val="12"/>
                <w:szCs w:val="12"/>
                <w:b w:val="1"/>
                <w:bCs w:val="1"/>
                <w:color w:val="auto"/>
              </w:rPr>
              <w:t>Treasury</w:t>
            </w:r>
          </w:p>
        </w:tc>
        <w:tc>
          <w:tcPr>
            <w:tcW w:w="80" w:type="dxa"/>
            <w:vAlign w:val="bottom"/>
          </w:tcPr>
          <w:p>
            <w:pPr>
              <w:spacing w:after="0"/>
              <w:rPr>
                <w:sz w:val="11"/>
                <w:szCs w:val="11"/>
                <w:color w:val="auto"/>
              </w:rPr>
            </w:pPr>
          </w:p>
        </w:tc>
        <w:tc>
          <w:tcPr>
            <w:tcW w:w="1200" w:type="dxa"/>
            <w:vAlign w:val="bottom"/>
            <w:gridSpan w:val="2"/>
          </w:tcPr>
          <w:p>
            <w:pPr>
              <w:jc w:val="center"/>
              <w:ind w:right="380"/>
              <w:spacing w:after="0" w:line="114" w:lineRule="exact"/>
              <w:rPr>
                <w:sz w:val="20"/>
                <w:szCs w:val="20"/>
                <w:color w:val="auto"/>
              </w:rPr>
            </w:pPr>
            <w:r>
              <w:rPr>
                <w:rFonts w:ascii="Arial" w:cs="Arial" w:eastAsia="Arial" w:hAnsi="Arial"/>
                <w:sz w:val="12"/>
                <w:szCs w:val="12"/>
                <w:b w:val="1"/>
                <w:bCs w:val="1"/>
                <w:color w:val="auto"/>
                <w:w w:val="99"/>
              </w:rPr>
              <w:t>Income</w:t>
            </w:r>
          </w:p>
        </w:tc>
        <w:tc>
          <w:tcPr>
            <w:tcW w:w="80" w:type="dxa"/>
            <w:vAlign w:val="bottom"/>
          </w:tcPr>
          <w:p>
            <w:pPr>
              <w:spacing w:after="0"/>
              <w:rPr>
                <w:sz w:val="11"/>
                <w:szCs w:val="11"/>
                <w:color w:val="auto"/>
              </w:rPr>
            </w:pPr>
          </w:p>
        </w:tc>
        <w:tc>
          <w:tcPr>
            <w:tcW w:w="900" w:type="dxa"/>
            <w:vAlign w:val="bottom"/>
            <w:gridSpan w:val="2"/>
          </w:tcPr>
          <w:p>
            <w:pPr>
              <w:jc w:val="right"/>
              <w:ind w:right="380"/>
              <w:spacing w:after="0" w:line="114" w:lineRule="exact"/>
              <w:rPr>
                <w:sz w:val="20"/>
                <w:szCs w:val="20"/>
                <w:color w:val="auto"/>
              </w:rPr>
            </w:pPr>
            <w:r>
              <w:rPr>
                <w:rFonts w:ascii="Arial" w:cs="Arial" w:eastAsia="Arial" w:hAnsi="Arial"/>
                <w:sz w:val="12"/>
                <w:szCs w:val="12"/>
                <w:b w:val="1"/>
                <w:bCs w:val="1"/>
                <w:color w:val="auto"/>
                <w:w w:val="98"/>
              </w:rPr>
              <w:t>Retained</w:t>
            </w:r>
          </w:p>
        </w:tc>
        <w:tc>
          <w:tcPr>
            <w:tcW w:w="1020" w:type="dxa"/>
            <w:vAlign w:val="bottom"/>
            <w:gridSpan w:val="3"/>
          </w:tcPr>
          <w:p>
            <w:pPr>
              <w:jc w:val="center"/>
              <w:ind w:right="100"/>
              <w:spacing w:after="0" w:line="114" w:lineRule="exact"/>
              <w:rPr>
                <w:sz w:val="20"/>
                <w:szCs w:val="20"/>
                <w:color w:val="auto"/>
              </w:rPr>
            </w:pPr>
            <w:r>
              <w:rPr>
                <w:rFonts w:ascii="Arial" w:cs="Arial" w:eastAsia="Arial" w:hAnsi="Arial"/>
                <w:sz w:val="12"/>
                <w:szCs w:val="12"/>
                <w:b w:val="1"/>
                <w:bCs w:val="1"/>
                <w:color w:val="auto"/>
                <w:w w:val="99"/>
              </w:rPr>
              <w:t>Shareholders’</w:t>
            </w:r>
          </w:p>
        </w:tc>
        <w:tc>
          <w:tcPr>
            <w:tcW w:w="0" w:type="dxa"/>
            <w:vAlign w:val="bottom"/>
          </w:tcPr>
          <w:p>
            <w:pPr>
              <w:spacing w:after="0"/>
              <w:rPr>
                <w:sz w:val="1"/>
                <w:szCs w:val="1"/>
                <w:color w:val="auto"/>
              </w:rPr>
            </w:pPr>
          </w:p>
        </w:tc>
      </w:tr>
      <w:tr>
        <w:trPr>
          <w:trHeight w:val="156"/>
        </w:trPr>
        <w:tc>
          <w:tcPr>
            <w:tcW w:w="4560" w:type="dxa"/>
            <w:vAlign w:val="bottom"/>
          </w:tcPr>
          <w:p>
            <w:pPr>
              <w:spacing w:after="0"/>
              <w:rPr>
                <w:sz w:val="13"/>
                <w:szCs w:val="13"/>
                <w:color w:val="auto"/>
              </w:rPr>
            </w:pPr>
          </w:p>
        </w:tc>
        <w:tc>
          <w:tcPr>
            <w:tcW w:w="680" w:type="dxa"/>
            <w:vAlign w:val="bottom"/>
            <w:gridSpan w:val="3"/>
          </w:tcPr>
          <w:p>
            <w:pPr>
              <w:jc w:val="right"/>
              <w:ind w:right="240"/>
              <w:spacing w:after="0" w:line="155"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3"/>
                <w:szCs w:val="13"/>
                <w:color w:val="auto"/>
              </w:rPr>
            </w:pPr>
          </w:p>
        </w:tc>
        <w:tc>
          <w:tcPr>
            <w:tcW w:w="5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0"/>
              </w:rPr>
              <w:t>Amount</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3"/>
                <w:szCs w:val="13"/>
                <w:color w:val="auto"/>
              </w:rPr>
            </w:pPr>
          </w:p>
        </w:tc>
        <w:tc>
          <w:tcPr>
            <w:tcW w:w="1200" w:type="dxa"/>
            <w:vAlign w:val="bottom"/>
            <w:gridSpan w:val="2"/>
          </w:tcPr>
          <w:p>
            <w:pPr>
              <w:jc w:val="center"/>
              <w:ind w:right="380"/>
              <w:spacing w:after="0" w:line="155" w:lineRule="exact"/>
              <w:rPr>
                <w:sz w:val="20"/>
                <w:szCs w:val="20"/>
                <w:color w:val="auto"/>
              </w:rPr>
            </w:pPr>
            <w:r>
              <w:rPr>
                <w:rFonts w:ascii="Arial" w:cs="Arial" w:eastAsia="Arial" w:hAnsi="Arial"/>
                <w:sz w:val="14"/>
                <w:szCs w:val="14"/>
                <w:b w:val="1"/>
                <w:bCs w:val="1"/>
                <w:color w:val="auto"/>
                <w:w w:val="80"/>
              </w:rPr>
              <w:t>(Loss)</w:t>
            </w:r>
          </w:p>
        </w:tc>
        <w:tc>
          <w:tcPr>
            <w:tcW w:w="80" w:type="dxa"/>
            <w:vAlign w:val="bottom"/>
          </w:tcPr>
          <w:p>
            <w:pPr>
              <w:spacing w:after="0"/>
              <w:rPr>
                <w:sz w:val="13"/>
                <w:szCs w:val="13"/>
                <w:color w:val="auto"/>
              </w:rPr>
            </w:pPr>
          </w:p>
        </w:tc>
        <w:tc>
          <w:tcPr>
            <w:tcW w:w="90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w w:val="83"/>
              </w:rPr>
              <w:t>Earnings</w:t>
            </w:r>
          </w:p>
        </w:tc>
        <w:tc>
          <w:tcPr>
            <w:tcW w:w="160" w:type="dxa"/>
            <w:vAlign w:val="bottom"/>
          </w:tcPr>
          <w:p>
            <w:pPr>
              <w:spacing w:after="0"/>
              <w:rPr>
                <w:sz w:val="13"/>
                <w:szCs w:val="13"/>
                <w:color w:val="auto"/>
              </w:rPr>
            </w:pPr>
          </w:p>
        </w:tc>
        <w:tc>
          <w:tcPr>
            <w:tcW w:w="86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2"/>
        </w:trPr>
        <w:tc>
          <w:tcPr>
            <w:tcW w:w="45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October 1, 2010</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193,049</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3,956</w:t>
            </w:r>
          </w:p>
        </w:tc>
        <w:tc>
          <w:tcPr>
            <w:tcW w:w="2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2,402,163</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(1,309,161)</w:t>
            </w:r>
          </w:p>
        </w:tc>
        <w:tc>
          <w:tcPr>
            <w:tcW w:w="3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1,952</w:t>
            </w:r>
          </w:p>
        </w:tc>
        <w:tc>
          <w:tcPr>
            <w:tcW w:w="3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2,130,470</w:t>
            </w:r>
          </w:p>
        </w:tc>
        <w:tc>
          <w:tcPr>
            <w:tcW w:w="3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3,229,380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income</w:t>
            </w:r>
          </w:p>
        </w:tc>
        <w:tc>
          <w:tcPr>
            <w:tcW w:w="6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346,665</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346,665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560" w:type="dxa"/>
            <w:vAlign w:val="bottom"/>
          </w:tcPr>
          <w:p>
            <w:pPr>
              <w:ind w:left="220"/>
              <w:spacing w:after="0" w:line="149" w:lineRule="exact"/>
              <w:rPr>
                <w:sz w:val="20"/>
                <w:szCs w:val="20"/>
                <w:color w:val="auto"/>
              </w:rPr>
            </w:pPr>
            <w:r>
              <w:rPr>
                <w:rFonts w:ascii="Arial" w:cs="Arial" w:eastAsia="Arial" w:hAnsi="Arial"/>
                <w:sz w:val="14"/>
                <w:szCs w:val="14"/>
                <w:color w:val="auto"/>
              </w:rPr>
              <w:t>Other comprehensive loss</w:t>
            </w:r>
          </w:p>
        </w:tc>
        <w:tc>
          <w:tcPr>
            <w:tcW w:w="6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(21,608)</w:t>
            </w:r>
          </w:p>
        </w:tc>
        <w:tc>
          <w:tcPr>
            <w:tcW w:w="80" w:type="dxa"/>
            <w:vAlign w:val="bottom"/>
          </w:tcPr>
          <w:p>
            <w:pPr>
              <w:spacing w:after="0"/>
              <w:rPr>
                <w:sz w:val="13"/>
                <w:szCs w:val="13"/>
                <w:color w:val="auto"/>
              </w:rPr>
            </w:pPr>
          </w:p>
        </w:tc>
        <w:tc>
          <w:tcPr>
            <w:tcW w:w="9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(21,608)</w:t>
            </w:r>
          </w:p>
        </w:tc>
        <w:tc>
          <w:tcPr>
            <w:tcW w:w="0" w:type="dxa"/>
            <w:vAlign w:val="bottom"/>
          </w:tcPr>
          <w:p>
            <w:pPr>
              <w:spacing w:after="0"/>
              <w:rPr>
                <w:sz w:val="1"/>
                <w:szCs w:val="1"/>
                <w:color w:val="auto"/>
              </w:rPr>
            </w:pPr>
          </w:p>
        </w:tc>
      </w:tr>
      <w:tr>
        <w:trPr>
          <w:trHeight w:val="149"/>
        </w:trPr>
        <w:tc>
          <w:tcPr>
            <w:tcW w:w="45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Comprehensive income</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325,057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line="149" w:lineRule="exact"/>
              <w:rPr>
                <w:sz w:val="20"/>
                <w:szCs w:val="20"/>
                <w:color w:val="auto"/>
              </w:rPr>
            </w:pPr>
            <w:r>
              <w:rPr>
                <w:rFonts w:ascii="Arial" w:cs="Arial" w:eastAsia="Arial" w:hAnsi="Arial"/>
                <w:sz w:val="14"/>
                <w:szCs w:val="14"/>
                <w:color w:val="auto"/>
              </w:rPr>
              <w:t>Employee stock options exercised</w:t>
            </w: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2,590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42</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56,417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56,459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shares</w:t>
            </w:r>
          </w:p>
        </w:tc>
        <w:tc>
          <w:tcPr>
            <w:tcW w:w="6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(21,866)</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(624,241)</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(624,241)</w:t>
            </w:r>
          </w:p>
        </w:tc>
        <w:tc>
          <w:tcPr>
            <w:tcW w:w="0" w:type="dxa"/>
            <w:vAlign w:val="bottom"/>
          </w:tcPr>
          <w:p>
            <w:pPr>
              <w:spacing w:after="0"/>
              <w:rPr>
                <w:sz w:val="1"/>
                <w:szCs w:val="1"/>
                <w:color w:val="auto"/>
              </w:rPr>
            </w:pPr>
          </w:p>
        </w:tc>
      </w:tr>
      <w:tr>
        <w:trPr>
          <w:trHeight w:val="149"/>
        </w:trPr>
        <w:tc>
          <w:tcPr>
            <w:tcW w:w="4560" w:type="dxa"/>
            <w:vAlign w:val="bottom"/>
          </w:tcPr>
          <w:p>
            <w:pPr>
              <w:spacing w:after="0" w:line="149" w:lineRule="exact"/>
              <w:rPr>
                <w:sz w:val="20"/>
                <w:szCs w:val="20"/>
                <w:color w:val="auto"/>
              </w:rPr>
            </w:pPr>
            <w:r>
              <w:rPr>
                <w:rFonts w:ascii="Arial" w:cs="Arial" w:eastAsia="Arial" w:hAnsi="Arial"/>
                <w:sz w:val="14"/>
                <w:szCs w:val="14"/>
                <w:color w:val="auto"/>
              </w:rPr>
              <w:t>Issuance of restricted stock, net of forfeitures</w:t>
            </w: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919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Equity-based compensation expense related to employees</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36,631</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36,631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4"/>
                <w:szCs w:val="14"/>
                <w:b w:val="1"/>
                <w:bCs w:val="1"/>
                <w:color w:val="auto"/>
              </w:rPr>
              <w:t>Balance as of September 30, 2011</w:t>
            </w: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560" w:type="dxa"/>
            <w:vAlign w:val="bottom"/>
            <w:vMerge w:val="continue"/>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w w:val="98"/>
              </w:rPr>
              <w:t>174,692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4,013</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w w:val="89"/>
              </w:rPr>
              <w:t>2,495,211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w w:val="92"/>
              </w:rPr>
              <w:t>(1,933,402)</w:t>
            </w:r>
          </w:p>
        </w:tc>
        <w:tc>
          <w:tcPr>
            <w:tcW w:w="80" w:type="dxa"/>
            <w:vAlign w:val="bottom"/>
          </w:tcPr>
          <w:p>
            <w:pPr>
              <w:spacing w:after="0"/>
              <w:rPr>
                <w:sz w:val="13"/>
                <w:szCs w:val="13"/>
                <w:color w:val="auto"/>
              </w:rPr>
            </w:pPr>
          </w:p>
        </w:tc>
        <w:tc>
          <w:tcPr>
            <w:tcW w:w="120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(19,656)</w:t>
            </w:r>
          </w:p>
        </w:tc>
        <w:tc>
          <w:tcPr>
            <w:tcW w:w="8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w w:val="93"/>
              </w:rPr>
              <w:t>2,477,135</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3,023,301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ind w:left="220"/>
              <w:spacing w:after="0" w:line="149" w:lineRule="exact"/>
              <w:rPr>
                <w:sz w:val="20"/>
                <w:szCs w:val="20"/>
                <w:color w:val="auto"/>
              </w:rPr>
            </w:pPr>
            <w:r>
              <w:rPr>
                <w:rFonts w:ascii="Arial" w:cs="Arial" w:eastAsia="Arial" w:hAnsi="Arial"/>
                <w:sz w:val="14"/>
                <w:szCs w:val="14"/>
                <w:color w:val="auto"/>
              </w:rPr>
              <w:t>Net income</w:t>
            </w:r>
          </w:p>
        </w:tc>
        <w:tc>
          <w:tcPr>
            <w:tcW w:w="6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391,371</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391,371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 comprehensive loss</w:t>
            </w:r>
          </w:p>
        </w:tc>
        <w:tc>
          <w:tcPr>
            <w:tcW w:w="6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(5,845)</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(5,845)</w:t>
            </w:r>
          </w:p>
        </w:tc>
        <w:tc>
          <w:tcPr>
            <w:tcW w:w="0" w:type="dxa"/>
            <w:vAlign w:val="bottom"/>
          </w:tcPr>
          <w:p>
            <w:pPr>
              <w:spacing w:after="0"/>
              <w:rPr>
                <w:sz w:val="1"/>
                <w:szCs w:val="1"/>
                <w:color w:val="auto"/>
              </w:rPr>
            </w:pPr>
          </w:p>
        </w:tc>
      </w:tr>
      <w:tr>
        <w:trPr>
          <w:trHeight w:val="156"/>
        </w:trPr>
        <w:tc>
          <w:tcPr>
            <w:tcW w:w="4560" w:type="dxa"/>
            <w:vAlign w:val="bottom"/>
          </w:tcPr>
          <w:p>
            <w:pPr>
              <w:ind w:left="220"/>
              <w:spacing w:after="0" w:line="155" w:lineRule="exact"/>
              <w:rPr>
                <w:sz w:val="20"/>
                <w:szCs w:val="20"/>
                <w:color w:val="auto"/>
              </w:rPr>
            </w:pPr>
            <w:r>
              <w:rPr>
                <w:rFonts w:ascii="Arial" w:cs="Arial" w:eastAsia="Arial" w:hAnsi="Arial"/>
                <w:sz w:val="14"/>
                <w:szCs w:val="14"/>
                <w:color w:val="auto"/>
              </w:rPr>
              <w:t>Comprehensive income</w:t>
            </w: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385,526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Employee stock options exercised</w:t>
            </w: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3,585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86,610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86,666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line="149" w:lineRule="exact"/>
              <w:rPr>
                <w:sz w:val="20"/>
                <w:szCs w:val="20"/>
                <w:color w:val="auto"/>
              </w:rPr>
            </w:pPr>
            <w:r>
              <w:rPr>
                <w:rFonts w:ascii="Arial" w:cs="Arial" w:eastAsia="Arial" w:hAnsi="Arial"/>
                <w:sz w:val="14"/>
                <w:szCs w:val="14"/>
                <w:color w:val="auto"/>
              </w:rPr>
              <w:t>Repurchase of shares</w:t>
            </w:r>
          </w:p>
        </w:tc>
        <w:tc>
          <w:tcPr>
            <w:tcW w:w="6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(16,288)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(484,608)</w:t>
            </w:r>
          </w:p>
        </w:tc>
        <w:tc>
          <w:tcPr>
            <w:tcW w:w="80" w:type="dxa"/>
            <w:vAlign w:val="bottom"/>
          </w:tcPr>
          <w:p>
            <w:pPr>
              <w:spacing w:after="0"/>
              <w:rPr>
                <w:sz w:val="12"/>
                <w:szCs w:val="12"/>
                <w:color w:val="auto"/>
              </w:rPr>
            </w:pPr>
          </w:p>
        </w:tc>
        <w:tc>
          <w:tcPr>
            <w:tcW w:w="12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(484,608)</w:t>
            </w:r>
          </w:p>
        </w:tc>
        <w:tc>
          <w:tcPr>
            <w:tcW w:w="0" w:type="dxa"/>
            <w:vAlign w:val="bottom"/>
          </w:tcPr>
          <w:p>
            <w:pPr>
              <w:spacing w:after="0"/>
              <w:rPr>
                <w:sz w:val="1"/>
                <w:szCs w:val="1"/>
                <w:color w:val="auto"/>
              </w:rPr>
            </w:pPr>
          </w:p>
        </w:tc>
      </w:tr>
      <w:tr>
        <w:trPr>
          <w:trHeight w:val="149"/>
        </w:trPr>
        <w:tc>
          <w:tcPr>
            <w:tcW w:w="4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dividends declared ($0.13 per ordinary share)</w:t>
            </w:r>
          </w:p>
        </w:tc>
        <w:tc>
          <w:tcPr>
            <w:tcW w:w="6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(21,120)</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(21,120)</w:t>
            </w:r>
          </w:p>
        </w:tc>
        <w:tc>
          <w:tcPr>
            <w:tcW w:w="0" w:type="dxa"/>
            <w:vAlign w:val="bottom"/>
          </w:tcPr>
          <w:p>
            <w:pPr>
              <w:spacing w:after="0"/>
              <w:rPr>
                <w:sz w:val="1"/>
                <w:szCs w:val="1"/>
                <w:color w:val="auto"/>
              </w:rPr>
            </w:pPr>
          </w:p>
        </w:tc>
      </w:tr>
      <w:tr>
        <w:trPr>
          <w:trHeight w:val="149"/>
        </w:trPr>
        <w:tc>
          <w:tcPr>
            <w:tcW w:w="4560" w:type="dxa"/>
            <w:vAlign w:val="bottom"/>
          </w:tcPr>
          <w:p>
            <w:pPr>
              <w:spacing w:after="0" w:line="149" w:lineRule="exact"/>
              <w:rPr>
                <w:sz w:val="20"/>
                <w:szCs w:val="20"/>
                <w:color w:val="auto"/>
              </w:rPr>
            </w:pPr>
            <w:r>
              <w:rPr>
                <w:rFonts w:ascii="Arial" w:cs="Arial" w:eastAsia="Arial" w:hAnsi="Arial"/>
                <w:sz w:val="14"/>
                <w:szCs w:val="14"/>
                <w:color w:val="auto"/>
              </w:rPr>
              <w:t>Issuance of restricted stock, net of forfeitures</w:t>
            </w: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465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Equity-based compensation expense related to employees</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43,429</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43,429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4"/>
                <w:szCs w:val="14"/>
                <w:b w:val="1"/>
                <w:bCs w:val="1"/>
                <w:color w:val="auto"/>
              </w:rPr>
              <w:t>Balance as of September 30, 2012</w:t>
            </w: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560" w:type="dxa"/>
            <w:vAlign w:val="bottom"/>
            <w:vMerge w:val="continue"/>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w w:val="98"/>
              </w:rPr>
              <w:t>162,454</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4,077</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w w:val="89"/>
              </w:rPr>
              <w:t>2,625,250</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w w:val="92"/>
              </w:rPr>
              <w:t>(2,418,010)</w:t>
            </w:r>
          </w:p>
        </w:tc>
        <w:tc>
          <w:tcPr>
            <w:tcW w:w="80" w:type="dxa"/>
            <w:vAlign w:val="bottom"/>
          </w:tcPr>
          <w:p>
            <w:pPr>
              <w:spacing w:after="0"/>
              <w:rPr>
                <w:sz w:val="13"/>
                <w:szCs w:val="13"/>
                <w:color w:val="auto"/>
              </w:rPr>
            </w:pPr>
          </w:p>
        </w:tc>
        <w:tc>
          <w:tcPr>
            <w:tcW w:w="120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(25,501)</w:t>
            </w:r>
          </w:p>
        </w:tc>
        <w:tc>
          <w:tcPr>
            <w:tcW w:w="8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w w:val="93"/>
              </w:rPr>
              <w:t>2,847,386</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3,033,202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ind w:left="220"/>
              <w:spacing w:after="0" w:line="149" w:lineRule="exact"/>
              <w:rPr>
                <w:sz w:val="20"/>
                <w:szCs w:val="20"/>
                <w:color w:val="auto"/>
              </w:rPr>
            </w:pPr>
            <w:r>
              <w:rPr>
                <w:rFonts w:ascii="Arial" w:cs="Arial" w:eastAsia="Arial" w:hAnsi="Arial"/>
                <w:sz w:val="14"/>
                <w:szCs w:val="14"/>
                <w:color w:val="auto"/>
              </w:rPr>
              <w:t>Net income</w:t>
            </w:r>
          </w:p>
        </w:tc>
        <w:tc>
          <w:tcPr>
            <w:tcW w:w="6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412,439</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412,439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 comprehensive income</w:t>
            </w:r>
          </w:p>
        </w:tc>
        <w:tc>
          <w:tcPr>
            <w:tcW w:w="6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26,133</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26,133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560" w:type="dxa"/>
            <w:vAlign w:val="bottom"/>
          </w:tcPr>
          <w:p>
            <w:pPr>
              <w:ind w:left="220"/>
              <w:spacing w:after="0" w:line="155" w:lineRule="exact"/>
              <w:rPr>
                <w:sz w:val="20"/>
                <w:szCs w:val="20"/>
                <w:color w:val="auto"/>
              </w:rPr>
            </w:pPr>
            <w:r>
              <w:rPr>
                <w:rFonts w:ascii="Arial" w:cs="Arial" w:eastAsia="Arial" w:hAnsi="Arial"/>
                <w:sz w:val="14"/>
                <w:szCs w:val="14"/>
                <w:color w:val="auto"/>
              </w:rPr>
              <w:t>Comprehensive income</w:t>
            </w: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438,572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Employee stock options exercised</w:t>
            </w: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7,243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213,308</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213,420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line="149" w:lineRule="exact"/>
              <w:rPr>
                <w:sz w:val="20"/>
                <w:szCs w:val="20"/>
                <w:color w:val="auto"/>
              </w:rPr>
            </w:pPr>
            <w:r>
              <w:rPr>
                <w:rFonts w:ascii="Arial" w:cs="Arial" w:eastAsia="Arial" w:hAnsi="Arial"/>
                <w:sz w:val="14"/>
                <w:szCs w:val="14"/>
                <w:color w:val="auto"/>
              </w:rPr>
              <w:t>Repurchase of shares</w:t>
            </w:r>
          </w:p>
        </w:tc>
        <w:tc>
          <w:tcPr>
            <w:tcW w:w="6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(10,370)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(367,061)</w:t>
            </w:r>
          </w:p>
        </w:tc>
        <w:tc>
          <w:tcPr>
            <w:tcW w:w="80" w:type="dxa"/>
            <w:vAlign w:val="bottom"/>
          </w:tcPr>
          <w:p>
            <w:pPr>
              <w:spacing w:after="0"/>
              <w:rPr>
                <w:sz w:val="12"/>
                <w:szCs w:val="12"/>
                <w:color w:val="auto"/>
              </w:rPr>
            </w:pPr>
          </w:p>
        </w:tc>
        <w:tc>
          <w:tcPr>
            <w:tcW w:w="12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(367,061)</w:t>
            </w:r>
          </w:p>
        </w:tc>
        <w:tc>
          <w:tcPr>
            <w:tcW w:w="0" w:type="dxa"/>
            <w:vAlign w:val="bottom"/>
          </w:tcPr>
          <w:p>
            <w:pPr>
              <w:spacing w:after="0"/>
              <w:rPr>
                <w:sz w:val="1"/>
                <w:szCs w:val="1"/>
                <w:color w:val="auto"/>
              </w:rPr>
            </w:pPr>
          </w:p>
        </w:tc>
      </w:tr>
      <w:tr>
        <w:trPr>
          <w:trHeight w:val="149"/>
        </w:trPr>
        <w:tc>
          <w:tcPr>
            <w:tcW w:w="4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dividends declared ($0.52 per ordinary share)</w:t>
            </w:r>
          </w:p>
        </w:tc>
        <w:tc>
          <w:tcPr>
            <w:tcW w:w="6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(83,700)</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(83,700)</w:t>
            </w:r>
          </w:p>
        </w:tc>
        <w:tc>
          <w:tcPr>
            <w:tcW w:w="0" w:type="dxa"/>
            <w:vAlign w:val="bottom"/>
          </w:tcPr>
          <w:p>
            <w:pPr>
              <w:spacing w:after="0"/>
              <w:rPr>
                <w:sz w:val="1"/>
                <w:szCs w:val="1"/>
                <w:color w:val="auto"/>
              </w:rPr>
            </w:pPr>
          </w:p>
        </w:tc>
      </w:tr>
      <w:tr>
        <w:trPr>
          <w:trHeight w:val="149"/>
        </w:trPr>
        <w:tc>
          <w:tcPr>
            <w:tcW w:w="4560" w:type="dxa"/>
            <w:vAlign w:val="bottom"/>
          </w:tcPr>
          <w:p>
            <w:pPr>
              <w:spacing w:after="0" w:line="149" w:lineRule="exact"/>
              <w:rPr>
                <w:sz w:val="20"/>
                <w:szCs w:val="20"/>
                <w:color w:val="auto"/>
              </w:rPr>
            </w:pPr>
            <w:r>
              <w:rPr>
                <w:rFonts w:ascii="Arial" w:cs="Arial" w:eastAsia="Arial" w:hAnsi="Arial"/>
                <w:sz w:val="14"/>
                <w:szCs w:val="14"/>
                <w:color w:val="auto"/>
              </w:rPr>
              <w:t>Issuance of restricted stock, net of forfeitures</w:t>
            </w: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735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Equity-based compensation expense related to employees</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40,340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40,340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4"/>
                <w:szCs w:val="14"/>
                <w:b w:val="1"/>
                <w:bCs w:val="1"/>
                <w:color w:val="auto"/>
              </w:rPr>
              <w:t>Balance as of September 30, 2013</w:t>
            </w: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560" w:type="dxa"/>
            <w:vAlign w:val="bottom"/>
            <w:vMerge w:val="continue"/>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w w:val="98"/>
              </w:rPr>
              <w:t>160,062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4,199</w:t>
            </w:r>
          </w:p>
        </w:tc>
        <w:tc>
          <w:tcPr>
            <w:tcW w:w="280" w:type="dxa"/>
            <w:vAlign w:val="bottom"/>
          </w:tcPr>
          <w:p>
            <w:pPr>
              <w:spacing w:after="0"/>
              <w:rPr>
                <w:sz w:val="13"/>
                <w:szCs w:val="13"/>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w w:val="89"/>
              </w:rPr>
              <w:t>2,878,898</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w w:val="92"/>
              </w:rPr>
              <w:t>(2,785,071)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632</w:t>
            </w:r>
          </w:p>
        </w:tc>
        <w:tc>
          <w:tcPr>
            <w:tcW w:w="3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w w:val="93"/>
              </w:rPr>
              <w:t>3,176,125</w:t>
            </w:r>
          </w:p>
        </w:tc>
        <w:tc>
          <w:tcPr>
            <w:tcW w:w="300" w:type="dxa"/>
            <w:vAlign w:val="bottom"/>
          </w:tcPr>
          <w:p>
            <w:pPr>
              <w:spacing w:after="0"/>
              <w:rPr>
                <w:sz w:val="13"/>
                <w:szCs w:val="13"/>
                <w:color w:val="auto"/>
              </w:rPr>
            </w:pPr>
          </w:p>
        </w:tc>
        <w:tc>
          <w:tcPr>
            <w:tcW w:w="160" w:type="dxa"/>
            <w:vAlign w:val="bottom"/>
          </w:tcPr>
          <w:p>
            <w:pPr>
              <w:jc w:val="right"/>
              <w:ind w:right="46"/>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3,274,783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September 30, 2013, 2012 and 2011, accumulated other comprehensive income (loss) is comprised of unrealized gain (loss) on derivatives, net of tax, of $4,696, $(17,942) and $(14,437), unrealized gain (loss) on short-term interest-bearing investments, net of tax, of $244, $54 and $(2,023) and unrealized (loss) on defined benefit plan, net of tax, of $(4,308), $(7,613) and $(3,196).</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September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412,439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391,371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346,665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140,776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159,614</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181,477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Equity-based compensation expense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40,340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43,429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12,485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(4,857)</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Excess tax benefit from equity-based compensation</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200"/>
              <w:spacing w:after="0"/>
              <w:rPr>
                <w:sz w:val="20"/>
                <w:szCs w:val="20"/>
                <w:color w:val="auto"/>
              </w:rPr>
            </w:pPr>
            <w:r>
              <w:rPr>
                <w:rFonts w:ascii="Arial" w:cs="Arial" w:eastAsia="Arial" w:hAnsi="Arial"/>
                <w:sz w:val="18"/>
                <w:szCs w:val="18"/>
                <w:color w:val="auto"/>
              </w:rPr>
              <w:t>Gain on sale of investments</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(9,172)</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from short-term interest-bearing investments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3,041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29,999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(106,551)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1,601</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29,384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19,734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200"/>
              <w:spacing w:after="0"/>
              <w:rPr>
                <w:sz w:val="20"/>
                <w:szCs w:val="20"/>
                <w:color w:val="auto"/>
              </w:rPr>
            </w:pPr>
            <w:r>
              <w:rPr>
                <w:rFonts w:ascii="Arial" w:cs="Arial" w:eastAsia="Arial" w:hAnsi="Arial"/>
                <w:sz w:val="18"/>
                <w:szCs w:val="18"/>
                <w:color w:val="auto"/>
              </w:rPr>
              <w:t>Accounts payable, accrued expenses and accrued personnel</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(4,104)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60,200</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(46,976)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(55,811)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200"/>
              <w:spacing w:after="0"/>
              <w:rPr>
                <w:sz w:val="20"/>
                <w:szCs w:val="20"/>
                <w:color w:val="auto"/>
              </w:rPr>
            </w:pPr>
            <w:r>
              <w:rPr>
                <w:rFonts w:ascii="Arial" w:cs="Arial" w:eastAsia="Arial" w:hAnsi="Arial"/>
                <w:sz w:val="18"/>
                <w:szCs w:val="18"/>
                <w:color w:val="auto"/>
              </w:rPr>
              <w:t>Income taxes payable, net</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(5,268)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14,305</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(2,654)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10,876</w:t>
            </w:r>
          </w:p>
        </w:tc>
        <w:tc>
          <w:tcPr>
            <w:tcW w:w="0" w:type="dxa"/>
            <w:vAlign w:val="bottom"/>
          </w:tcPr>
          <w:p>
            <w:pPr>
              <w:spacing w:after="0"/>
              <w:rPr>
                <w:sz w:val="1"/>
                <w:szCs w:val="1"/>
                <w:color w:val="auto"/>
              </w:rPr>
            </w:pPr>
          </w:p>
        </w:tc>
      </w:tr>
      <w:tr>
        <w:trPr>
          <w:trHeight w:val="230"/>
        </w:trPr>
        <w:tc>
          <w:tcPr>
            <w:tcW w:w="834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670,547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514,069</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535,492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Payments for purchase of equipment and leasehold improvements, net</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(106,724)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(122,053)</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(109,779)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311,677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440,145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Purchase of short-term interest-bearing investments</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(386,876)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(337,989)</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(521,999)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cash paid for acquisitions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(112,405)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(162,964)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Cash received from sale of investments</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11,172</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(8,564)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(18,076)</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(297,129)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(17,289)</w:t>
            </w:r>
          </w:p>
        </w:tc>
        <w:tc>
          <w:tcPr>
            <w:tcW w:w="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(221,671)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Borrowings under financing arrangements</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200,000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200,000</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Payments under financing arrangements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(200,000)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(250,000)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Repurchase of shares</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(367,061)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(484,608)</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(624,241)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stock options exercised</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213,430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86,674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Payments of dividends</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(84,008)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Payments under capital lease, short-term financing arrangements and other</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(238,384)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(448,993)</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(518,645)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135,034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47,787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(204,824)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879,158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831,371</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1,036,195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1,014,192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879,158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831,371</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Supplementary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3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Interest and Income Taxes Paid</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Cash paid for:</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net of refunds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38,441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36,909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20" w:type="dxa"/>
            <w:vAlign w:val="bottom"/>
          </w:tcPr>
          <w:p>
            <w:pPr>
              <w:ind w:left="200"/>
              <w:spacing w:after="0"/>
              <w:rPr>
                <w:sz w:val="20"/>
                <w:szCs w:val="20"/>
                <w:color w:val="auto"/>
              </w:rPr>
            </w:pPr>
            <w:r>
              <w:rPr>
                <w:rFonts w:ascii="Arial" w:cs="Arial" w:eastAsia="Arial" w:hAnsi="Arial"/>
                <w:sz w:val="18"/>
                <w:szCs w:val="18"/>
                <w:color w:val="auto"/>
              </w:rPr>
              <w:t>Interest</w:t>
            </w: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468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408</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bl>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Entity</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Amdocs Limited (the “Company”) is a leading provider of software and services for communications, media and entertainment industry service providers. The Company and its subsidiaries operate in one segment, providing integrated products and services. The Company designs, develops, markets, supports, implements and operates customer experience systems primarily for leading wireless, wireline, cable and satellite service providers throughout the world. Amdocs also offers a full range of advertising and media solutions for local marketing service providers and search and directory publishers.</w:t>
      </w:r>
    </w:p>
    <w:p>
      <w:pPr>
        <w:spacing w:after="0" w:line="32"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Company is a Guernsey corporation, which directly or indirectly holds numerous wholly-owned subsidiaries around the world. The majority of the Company’s customers are in North America, Europe, Latin America and the Asia-Pacific region. The Company’s main development facilities are located in Brazil, Canada, Cyprus, India, Ireland, Israel and the United States.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consolidated financial statements are prepared in accordance with U.S. generally accepted accounting principles, or U.S. GAAP.</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Consolidation</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transactions and balances have been eliminated in consolidation.</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dates of the financial statements, and the reported amounts of revenue and expenses during the reporting period. Actual results could differ from those estimates.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From time to time, certain immaterial amounts in prior years’ financial statements may be reclassified to conform to the current year’s presentation.</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Functional Currency</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manages its foreign subsidiaries as integral direct components of its operations. The operations of the Company’s foreign subsidiaries provide the same type of services with the same type of expenditures throughout the Amdocs group. The Company has determined that its functional currency is the U.S. dollar. The Company periodically assesses the applicability of the U.S. dollar as the Company’s functional currency by reviewing the salient indicators as indicated in the authoritative guidance for foreign currency matters.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Cash and cash equivalents consist of cash and interest-bearing investments with insignificant interest rate risk and maturities from acquisition date of 90 days or less.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right="20" w:firstLine="456"/>
        <w:spacing w:after="0" w:line="307" w:lineRule="auto"/>
        <w:rPr>
          <w:sz w:val="20"/>
          <w:szCs w:val="20"/>
          <w:color w:val="auto"/>
        </w:rPr>
      </w:pPr>
      <w:r>
        <w:rPr>
          <w:rFonts w:ascii="Arial" w:cs="Arial" w:eastAsia="Arial" w:hAnsi="Arial"/>
          <w:sz w:val="15"/>
          <w:szCs w:val="15"/>
          <w:color w:val="auto"/>
        </w:rPr>
        <w:t>The Company classifies all of its short-term interest-bearing investments as available-for-sale securities. Such short-term interest-bearing investments consist primarily of money market funds, U.S. government treasuries, corporate bonds and U.S. agency securities, which are stated at market value. Unrealized gains and losses are comprised of the difference between market value and amortized costs of such securities and are reflected, net of tax, as “accumulated other comprehensive income (loss)” in shareholders’ equity, unless a security is other than temporarily impaired. The Company recognizes an impairment charge in earnings when a decline in the fair value of its investments below the cost basis is judged to be other-than-temporary. For securities with an unrealized loss that the Company intends to sell, or it is more likely than not that the Company will be required to sell before recovery of their amortized cost basis, the entire difference between amortized cost and fair value is recognized in earnings. For securities that do not meet these criteria, the amount of impairment recognized in earnings is limited to the amount related to credit losses, while other declines in fair value related to other factors are recognized in other comprehensive income (loss). The Company uses a discounted cash flow analysis to determine the portion of the impairment that relates to the credit losses. To the extent that the net present value of the projected cash flows is less than the amortized cost of the security, the difference is considered credit loss. Realized gains and losses on short-term interest-bearing investments are included in earnings and are derived using the first in first out (FIFO) method for determining the cost of securities.</w:t>
      </w:r>
    </w:p>
    <w:p>
      <w:pPr>
        <w:spacing w:after="0" w:line="11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Equipment and Leasehold Improvements</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Equipment and leasehold improvements are stated at cost. Assets under capital leases are recorded at the present value of the future minimum lease payments at the date of acquisition. Depreciation is computed using the straight-line method over the estimated useful life of the asset, which primarily ranges from three to ten years and includes the amortization of assets under capitalized leases. Leasehold improvements are amortized over the shorter of the estimated useful lives or the term of the related lease.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capitalizes certain expenditures for software that is internally developed for use in the business, which is classified as computer equipment.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Amortization of internal use software begins when the software is ready for service and continues on the straight-line method over the estimated useful life.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Intangible Assets and Long-Lived Assets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Goodwill and intangible assets deemed to have indefinite lives are subject to an annual impairment test or more frequently if impairment indicators are present. Goodwill impairment is deemed to exist if the net book value of a reporting unit exceeds its estimated fair value. The goodwill impairment test involves a two-step process. The first step, identifying a potential impairment, compares the fair value of a reporting unit with its carrying amount, including goodwill. If the carrying value of the reporting unit exceeds its fair value, the second step would need to be conducted; otherwise, no further steps are necessary as no potential impairment exists. The second step, measuring the impairment loss, compares the implied fair value of the reporting unit goodwill with the carrying amount of that goodwill. Any excess of the reporting unit goodwill carrying value over the respective implied fair value is recognized as an impairment loss.</w:t>
      </w:r>
    </w:p>
    <w:p>
      <w:pPr>
        <w:spacing w:after="0" w:line="39"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total purchase price of business acquisitions accounted for using the purchase method is allocated first to identifiable assets and liabilities based on estimated fair values. The excess of the purchase price over the fair value of net assets of purchased businesses is recorded as goodwill.</w:t>
      </w:r>
    </w:p>
    <w:p>
      <w:pPr>
        <w:spacing w:after="0" w:line="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Other definite-life intangible assets consist primarily of core technology, customer relationships and trademarks. Core technology and trademarks acquired by the Company are amortized over their estimated useful lives on a straight-line basis.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ind w:right="620" w:firstLine="456"/>
        <w:spacing w:after="0" w:line="306" w:lineRule="auto"/>
        <w:rPr>
          <w:sz w:val="20"/>
          <w:szCs w:val="20"/>
          <w:color w:val="auto"/>
        </w:rPr>
      </w:pPr>
      <w:r>
        <w:rPr>
          <w:rFonts w:ascii="Arial" w:cs="Arial" w:eastAsia="Arial" w:hAnsi="Arial"/>
          <w:sz w:val="16"/>
          <w:szCs w:val="16"/>
          <w:color w:val="auto"/>
        </w:rPr>
        <w:t>Some of the acquired customer relationships are amortized over their estimated useful lives in proportion to the economic benefits realized. This accounting policy generally results in accelerated amortization of such customer relationships as compared to the straight-line method. All other acquired customer relationships are amortized over their estimated useful lives on a straight-line basis.</w:t>
      </w:r>
    </w:p>
    <w:p>
      <w:pPr>
        <w:spacing w:after="0" w:line="2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tests long-lived assets, including definite life intangible assets, for impairment whenever events or changes in circumstances indicate that the carrying amount of such assets may not be recoverable. Determination of recoverability of long-lived assets is based on an estimate of the undiscounted future cash flows resulting from the use of the cash generating unit and its eventual disposition. Measurement of an impairment loss for long-lived assets, including definite life intangible assets that management expects to hold and use is based on the fair value of the cash generating unit. Long-lived assets, including definite life intangible assets, to be disposed of are reported at the lower of carrying amount or fair value less costs to sell.</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Comprehensive income, net of related taxes where applicable, includes, in addition to net income:</w:t>
      </w:r>
    </w:p>
    <w:p>
      <w:pPr>
        <w:spacing w:after="0" w:line="90" w:lineRule="exact"/>
        <w:rPr>
          <w:sz w:val="20"/>
          <w:szCs w:val="20"/>
          <w:color w:val="auto"/>
        </w:rPr>
      </w:pPr>
    </w:p>
    <w:p>
      <w:pPr>
        <w:ind w:left="1140" w:hanging="219"/>
        <w:spacing w:after="0"/>
        <w:tabs>
          <w:tab w:leader="none" w:pos="1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unrealized gains and losses on available-for-sale securities;</w:t>
      </w:r>
    </w:p>
    <w:p>
      <w:pPr>
        <w:spacing w:after="0" w:line="90" w:lineRule="exact"/>
        <w:rPr>
          <w:rFonts w:ascii="Arial" w:cs="Arial" w:eastAsia="Arial" w:hAnsi="Arial"/>
          <w:sz w:val="18"/>
          <w:szCs w:val="18"/>
          <w:color w:val="auto"/>
        </w:rPr>
      </w:pPr>
    </w:p>
    <w:p>
      <w:pPr>
        <w:ind w:left="1180" w:hanging="259"/>
        <w:spacing w:after="0"/>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unrealized gains and losses in respect of derivative instruments designated as a cash flow hedge; and</w:t>
      </w:r>
    </w:p>
    <w:p>
      <w:pPr>
        <w:spacing w:after="0" w:line="90" w:lineRule="exact"/>
        <w:rPr>
          <w:rFonts w:ascii="Arial" w:cs="Arial" w:eastAsia="Arial" w:hAnsi="Arial"/>
          <w:sz w:val="18"/>
          <w:szCs w:val="18"/>
          <w:color w:val="auto"/>
        </w:rPr>
      </w:pPr>
    </w:p>
    <w:p>
      <w:pPr>
        <w:ind w:left="1220" w:hanging="299"/>
        <w:spacing w:after="0"/>
        <w:tabs>
          <w:tab w:leader="none" w:pos="12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unrealized gains and losses on defined benefit plans.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Treasury Stock</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Company repurchases its ordinary shares from time to time on the open market or in other transactions and holds such shares as treasury stock. The Company presents the cost to repurchase treasury stock as a reduction of shareholders’ equity.</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Company records deferred income taxes to reflect the net tax effects of temporary differences between the carrying amounts of assets and liabilities for financial reporting and tax purposes. Deferred taxes are computed based on tax rates anticipated to be in effect when the deferred taxes are expected to be paid or realized. A valuation allowance is provided for deferred tax assets if it is more likely than not, the Company will not be able to realize their benefit.</w:t>
      </w:r>
    </w:p>
    <w:p>
      <w:pPr>
        <w:spacing w:after="0" w:line="2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Deferred tax liabilities and assets are classified as current or noncurrent based on the classification of the related asset or liability for financial reporting, or according to the expected reversal dates of the specific temporary differences if not related to an asset or liability for financial reporting, and also include anticipated withholding taxes due on subsidiaries’ earnings when paid as dividends to the Company.</w:t>
      </w:r>
    </w:p>
    <w:p>
      <w:pPr>
        <w:spacing w:after="0" w:line="59"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Company recognizes the tax benefit from an uncertain tax position only if the weight of available evidence indicates that it is more likely than not that the position will be sustained on audit, including resolution of related appeals or litigation processes, if any. The tax benefits recognized in the financial statements from such a position is measured based on the largest benefit that has a greater than 50% likelihood of being realized upon ultimate settlement. The Company will classify the liability for unrecognized tax benefits as current to the extent that the Company anticipates payment of cash within one year. Interest and penalties related to uncertain tax positions are recognized in the provision for income taxes. Please see Note 11 to the consolidated financial statements.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Revenue is recognized only when all of the following conditions have been met: (i) there is persuasive evidence of an arrangement; (ii) delivery has occurred; (iii) the fee is fixed or determinable; and (iv) collectibility of the fee is reasonably assured. The Company usually sells its software licenses as part of an overall solution offered to a customer that combines the sale of software licenses with a broad range of services, which normally include significant customization, modification, implementation and integration. Those services are deemed essential to the software. As a result, combined license and service revenue is generally recognized over the course of these long-term projects, using the percentage of completion method of accounting. When total cost estimates for these types of arrangements exceed revenues in a fixed-price arrangement, the estimated losses are recognized immediately based upon the cost applicable to the delivering unit.</w:t>
      </w:r>
    </w:p>
    <w:p>
      <w:pPr>
        <w:spacing w:after="0" w:line="6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Initial license fee for software revenue is recognized as work is performed, under the percentage of completion method of accounting. Subsequent license fee revenue is recognized upon completion of specified conditions in each contract, based on a customer’s subscriber level or transaction volume or other measurements when greater than the level specified in the contract for the initial license fee.</w:t>
      </w:r>
    </w:p>
    <w:p>
      <w:pPr>
        <w:spacing w:after="0" w:line="59"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Service revenue that involves significant ongoing obligations, including fees for software customization, modification, implementation and integration as part of a long-term contract, is recognized as work is performed, under the percentage of completion method of accounting. Revenue from software solutions that do not require significant customization, implementation and modification is recognized upon delivery. Service revenue that does not involve significant ongoing obligations is recognized as services are rendered.</w:t>
      </w:r>
    </w:p>
    <w:p>
      <w:pPr>
        <w:spacing w:after="0" w:line="6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Fees are generally considered fixed and determinable unless a significant portion (more than 10%) of the license and related service fee is due more than 12 months after delivery, in which case license and related services fees are recognized when payments are due.</w:t>
      </w:r>
    </w:p>
    <w:p>
      <w:pPr>
        <w:spacing w:after="0" w:line="5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managed services contracts and in other long term contracts, revenue from the operation of a customer’s system is recognized either as services are performed based on time elapsed, output produced, volume of data processed or subscriber count, depending on the specific contract terms of the managed services arrangement. Typically, managed services contracts are long term in duration and are not subject to seasonality. Revenue from ongoing support services is recognized as work is performed.</w:t>
      </w:r>
    </w:p>
    <w:p>
      <w:pPr>
        <w:spacing w:after="0" w:line="62"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Revenue from third-party hardware sales is recognized upon delivery and installation, and revenue from third-party software sales is recognized upon delivery. Revenue from third-party hardware and software sales is recorded at gross amount for transactions in which the Company is the primary obligor under the arrangement as well as, in some cases, possesses other attributes such as latitude in determining prices and selecting suppliers. In specific circumstances where the Company does not meet the above criteria, particularly when the contract stipulates that the Company is not the primary obligor, the Company recognizes revenue on a net basis. Revenue from third-party sales is included in service revenue and was less than 10% of total revenue in each of fiscal 2013, 2012 and 2011. In certain arrangements, the Company may earn revenue from other third-party services which is recorded at a gross amount as the Company is the primary obligor under the arrangement.</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Maintenance revenue is recognized ratably over the term of the maintenance agreement, which in most cases is one year.</w:t>
      </w:r>
    </w:p>
    <w:p>
      <w:pPr>
        <w:spacing w:after="0" w:line="90" w:lineRule="exact"/>
        <w:rPr>
          <w:sz w:val="20"/>
          <w:szCs w:val="20"/>
          <w:color w:val="auto"/>
        </w:rPr>
      </w:pPr>
    </w:p>
    <w:p>
      <w:pPr>
        <w:ind w:right="40" w:firstLine="456"/>
        <w:spacing w:after="0" w:line="357" w:lineRule="auto"/>
        <w:rPr>
          <w:sz w:val="20"/>
          <w:szCs w:val="20"/>
          <w:color w:val="auto"/>
        </w:rPr>
      </w:pPr>
      <w:r>
        <w:rPr>
          <w:rFonts w:ascii="Arial" w:cs="Arial" w:eastAsia="Arial" w:hAnsi="Arial"/>
          <w:sz w:val="15"/>
          <w:szCs w:val="15"/>
          <w:color w:val="auto"/>
        </w:rPr>
        <w:t>As a result of a significant portion of the Company’s revenue being subject to the percentage of completion accounting method, the Company’s annual and quarterly operating results may be significantly affected by the size and timing of customer projects and the Company’s progress in completing such projects.</w:t>
      </w:r>
    </w:p>
    <w:p>
      <w:pPr>
        <w:jc w:val="both"/>
        <w:ind w:right="100" w:firstLine="456"/>
        <w:spacing w:after="0" w:line="306" w:lineRule="auto"/>
        <w:rPr>
          <w:sz w:val="20"/>
          <w:szCs w:val="20"/>
          <w:color w:val="auto"/>
        </w:rPr>
      </w:pPr>
      <w:r>
        <w:rPr>
          <w:rFonts w:ascii="Arial" w:cs="Arial" w:eastAsia="Arial" w:hAnsi="Arial"/>
          <w:sz w:val="16"/>
          <w:szCs w:val="16"/>
          <w:color w:val="auto"/>
        </w:rPr>
        <w:t>Many of the Company’s agreements include multiple deliverables. The Company’s multiple element arrangements are comprised of a variety of different combinations of the deliverables mentioned above. For multiple element arrangements within the scope of software revenue recognition guidance, the Company allocates revenue to each element based upon its relative fair value as determined by Vendor Specific Objective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380"/>
          </w:cols>
          <w:pgMar w:left="240" w:top="459" w:right="2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Evidence (“VSOE”). In the absence of fair value for a delivered element the Company uses the residual method. The residual method requires that the Company first allocate revenue to the fair value of the undelivered elements and residual revenue to delivered elements. If VSOE of any undelivered items does not exist, revenue from the entire arrangement is deferred and recognized at the earlier of (i) delivery of those elements for which VSOE does not exist or (ii) when VSOE can be established. However, in limited cases where maintenance is the only undelivered element without VSOE, the entire arrangement fee is recognized ratably upon commencement of the maintenance services. The residual method is used mainly in multiple element arrangements that include license for the sale of software solutions that do not require significant customization, modification, implementation and integration and maintenance to determine the appropriate value for the license component. Under the guidance for revenue arrangements with multiple deliverables that are outside the scope of the software revenue recognition guidance, the Company allocates revenue to each element based upon the relative fair value. Fair value would be allocated by using a hierarchy of 1) VSOE,</w:t>
      </w:r>
    </w:p>
    <w:p>
      <w:pPr>
        <w:spacing w:after="0" w:line="4" w:lineRule="exact"/>
        <w:rPr>
          <w:sz w:val="20"/>
          <w:szCs w:val="20"/>
          <w:color w:val="auto"/>
        </w:rPr>
      </w:pPr>
    </w:p>
    <w:p>
      <w:pPr>
        <w:ind w:right="40" w:firstLine="8"/>
        <w:spacing w:after="0" w:line="292" w:lineRule="auto"/>
        <w:tabs>
          <w:tab w:leader="none" w:pos="19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third-party evidence of selling price for that element, or 3) estimated selling price, or ESP, for individual elements of an arrangement when VSOE or third-party evidence of selling price is unavailable. This results in the elimination of the residual method of allocating revenue consideration. The Company determines ESP for the purposes of allocating the consideration to individual elements of an arrangement by considering several external and internal factors including, but not limited to, pricing practices, margin objectives, geographies in which the Company offers its services and internal costs. The determination of ESP is judgmental and is made through consultation with and approval by management.</w:t>
      </w:r>
    </w:p>
    <w:p>
      <w:pPr>
        <w:spacing w:after="0" w:line="3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certain circumstances where the Company enters into a contract with a customer for the provision of managed services for a defined period of time, the Company defers certain direct costs incurred at the inception of the contract. These costs include time and expense incurred in association with the origination of a contract. In addition, if the revenue for a delivered item is not recognized because it is not separable from the undelivered item, then the Company also defers the cost of the delivered item. The deferred costs are amortized on a straight-line basis over the managed services period, or over the recognition period of the undelivered item. Revenue associated with these capitalized costs is deferred and is recognized over the same period.</w:t>
      </w:r>
    </w:p>
    <w:p>
      <w:pPr>
        <w:spacing w:after="0" w:line="3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Deferred revenue represents billings to customers for licenses and services for which revenue has not been recognized. Deferred revenue that is expected to be recognized beyond the next 12 months is considered long-term deferred revenue. Unbilled accounts receivable include all revenue amounts that had not been billed as of the balance sheet date due to contractual or other arrangements with customers. Unbilled accounts receivable that are expected to be billed beyond the next 12 months are considered long-term unbilled receivables.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License and Cost of Service</w:t>
      </w:r>
    </w:p>
    <w:p>
      <w:pPr>
        <w:spacing w:after="0" w:line="9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Cost of license and cost of service consist of all costs associated with providing software licenses and services to customers, including identified losses on contracts. Estimated losses on contracts accounted for using the percentage of completion method of accounting are recognized in the period in which the loss is identified. Cost of license includes license fees and royalty payments to software suppliers.</w:t>
      </w:r>
    </w:p>
    <w:p>
      <w:pPr>
        <w:spacing w:after="0" w:line="59"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Cost of service also includes costs of third-party products associated with reselling third-party computer hardware and software products to customers and other third-party services, when the related revenue is recorded at the gross amount. Customers purchasing third-party products and services from the Company generally do so in conjunction with the purchase of the Company’s software and services.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Research and development expenditures consist of costs incurred in the development of new software modules and product offerings, either as part of the Company’s internal product development programs, which are sold, leased or otherwise marketed. Research and development costs are expensed as incurred.</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Based on the Company’s product development process, technological feasibility is established upon completion of a detailed program design or, in the absence thereof, completion of a working model. Costs incurred by the Company after achieving technological feasibility and before the product is ready for customer release have been insignificant.</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Company measures and recognizes the compensation expense for all equity-based payments to employees and directors based on their estimated fair values. The Company estimates the fair value of employee stock options at the date of grant using a Black-Scholes valuation model and values restricted stock based on the market value of the underlying shares at the date of grant. The Company recognizes compensation costs using the graded vesting attribution method that results in an accelerated recognition of compensation costs in comparison to the straight-line method.</w:t>
      </w:r>
    </w:p>
    <w:p>
      <w:pPr>
        <w:spacing w:after="0" w:line="32"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The Company uses a combination of implied volatility of the Company’s traded options and historical stock price volatility (“blended volatility”) as the expected volatility assumption required in the Black-Scholes option valuation model. As equity-based compensation expense recognized in the Company’s consolidated statements of income is based on awards ultimately expected to vest, it has been reduced for estimated forfeitures.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Financial instruments that potentially subject the Company to concentration of credit risk consist principally of cash and cash equivalents, short-term interest-bearing investments, and trade receivables. Cash and cash equivalents are maintained with several financial institutions. Generally, these deposits may be redeemed upon demand and are maintained with financial institutions with reputable credit and therefore bear minimal credit risk. The Company seeks to mitigate its credit risks by spreading such risks across multiple financial institutions and monitoring the risk profiles of these counterparties. The Company has conservative investment policy guidelines under which it invests its excess cash primarily in highly liquid U.S. dollar-denominated securities. The Company’s revenue is generated primarily in North America. To a lesser extent, revenue is generated in Europe, the Asia-Pacific region and Latin America. Most of the Company’s customers are among the largest communications and directory publishing companies in the world (or are owned by them). The Company’s business is subject to the effects of general global economic conditions and market conditions in the communications industry. The Company performs ongoing credit analyses of its customer base and generally does not require collateral.</w:t>
      </w:r>
    </w:p>
    <w:p>
      <w:pPr>
        <w:spacing w:after="0" w:line="39"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The Company evaluates accounts receivable to determine if they will ultimately be collected. Significant judgments and estimates are involved in performing this evaluation, which are based on factors that may affect a customer’s ability to pay, such as past experience, credit quality of the customer, age of the receivable balance and current economic conditions. The allowance for doubtful accounts is for estimated losses resulting from accounts receivable for which their collection is not reasonably probable. As of September 30, 2013, the Company had one customer with an account receivable balance of more than 10% of total accounts receivable, amounting to 25%, which was lower than its respective portion of total revenue. As of September 30, 2012, the Company had two customers with accounts receivable balances of 10% or more of total accounts receivable, aggregating 28%, which was lower than their aggregate portion of total revenue.</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Basic earnings per share is calculated using the weighted average number of shares outstanding during the period. Diluted earnings per share is computed on the basis of the weighted average number of shares outstanding, the effect of dilutive outstanding equity-based awards using the treasury stock method and the effect of dilutive outstanding convertible notes using the if-converted method.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Derivatives and Hedging</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Company carries out transactions involving foreign currency exchange derivative financial instruments. The transactions are designed to hedge the Company’s exposure in currencies other than the U.S. dollar. The Company recognizes derivative instruments as either assets or liabilities and measures those instruments at fair value. If a derivative meets the definition of a cash flow hedge and is so designated, changes in the fair value of the derivative are recognized in other comprehensive income (loss) until the hedged item is recognized in earnings. The ineffective portion of a derivative designated as a cash flow hedge is recognized in earnings. If a derivative does not meet the definition of a cash flow hedge, the changes in the fair value are included in earnings.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90" w:lineRule="exact"/>
        <w:rPr>
          <w:sz w:val="20"/>
          <w:szCs w:val="20"/>
          <w:color w:val="auto"/>
        </w:rPr>
      </w:pPr>
    </w:p>
    <w:p>
      <w:pPr>
        <w:ind w:right="380" w:firstLine="456"/>
        <w:spacing w:after="0" w:line="255" w:lineRule="auto"/>
        <w:rPr>
          <w:sz w:val="20"/>
          <w:szCs w:val="20"/>
          <w:color w:val="auto"/>
        </w:rPr>
      </w:pPr>
      <w:r>
        <w:rPr>
          <w:rFonts w:ascii="Arial" w:cs="Arial" w:eastAsia="Arial" w:hAnsi="Arial"/>
          <w:sz w:val="18"/>
          <w:szCs w:val="18"/>
          <w:color w:val="auto"/>
        </w:rPr>
        <w:t>In July 2013, the Financial Accounting Standards Board, or FASB, issued an accounting standard update, under which an entity must present an unrecognized tax benefit, or a portion of an unrecognized tax benefit, in the financial statements as a reduction to a deferred tax asset for a net operating loss carryforward, a similar tax loss, or a tax credit carryforward, in the absence of certain conditions. This accounting standard update will be effective for the Company on October 1, 2014, and may result in changes in the Company’s financial statements presentation but will not affect the substantive content of the Company’s consolidated financial statements.</w:t>
      </w:r>
    </w:p>
    <w:p>
      <w:pPr>
        <w:spacing w:after="0" w:line="6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February 2013, the FASB issued an accounting standard update to require reclassification adjustments from other comprehensive income to be presented either in the financial statements or in the notes to the financial statements. This accounting standard update became effective for the Company in the first quarter of fiscal 2014 and will result in additional disclosures in the Company’s financial statements but will not affect the substantive content of the Company’s consolidated financial statements.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September 2011, the FASB issued a revised accounting standard update intended to simplify how an entity tests goodwill for impairment. The amendment allows an entity to first assess qualitative factors to determine whether it is necessary to perform the two-step quantitative goodwill impairment test. An entity no longer is required to calculate the fair value of a reporting unit unless the entity determines, based on a qualitative assessment, that it is more likely than not that its fair value is less than its carrying amount. This accounting standard update became effective for the Company in the first quarter of fiscal 2013, and its adoption did not have any impact on the result of the Company’s annual goodwill impairment test or its consolidated financial statements.</w:t>
      </w:r>
    </w:p>
    <w:p>
      <w:pPr>
        <w:spacing w:after="0" w:line="3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June 2011, the FASB issued guidance to require an entity to present the components of other comprehensive income either in a single continuous statement of comprehensive income or in two separate but consecutive statements, thus eliminating the option to present the components of other comprehensive income as part of the statement of equity. The Company adopted this guidance in the first quarter of fiscal 2013 by including the required disclosures in two separate but consecutive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Entities acquired by the Company during the last three fiscal years have been consolidated into the Company’s results of operations since their respective acquisition dates. These acquisitions, individually and in the aggregate, were not material in any fiscal year.</w:t>
      </w:r>
    </w:p>
    <w:p>
      <w:pPr>
        <w:spacing w:after="0" w:line="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During fiscal 2013, the Company acquired Actix International Limited (“Actix”), a provider of software for mobile network optimization, for $112,405, net of cash. Please see Note 9 to the consolidated financial statements.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96"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The Company accounts for certain assets and liabilities at fair value. Fair value is the price that would be received from selling an asset or that would be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32"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The hierarchy below lists three levels of fair value based on the extent to which inputs used in measuring fair value are observable in the market. The Company categorizes each of its fair value measurements in one of these three levels based on the lowest level input that is significant to the fair value measurement in its entirety.</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three levels of inputs that may be used to measure fair value are as follows:</w:t>
      </w:r>
    </w:p>
    <w:p>
      <w:pPr>
        <w:spacing w:after="0" w:line="90" w:lineRule="exact"/>
        <w:rPr>
          <w:sz w:val="20"/>
          <w:szCs w:val="20"/>
          <w:color w:val="auto"/>
        </w:rPr>
      </w:pPr>
    </w:p>
    <w:p>
      <w:pPr>
        <w:ind w:left="900"/>
        <w:spacing w:after="0"/>
        <w:tabs>
          <w:tab w:leader="none" w:pos="162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90" w:lineRule="exact"/>
        <w:rPr>
          <w:sz w:val="20"/>
          <w:szCs w:val="20"/>
          <w:color w:val="auto"/>
        </w:rPr>
      </w:pPr>
    </w:p>
    <w:p>
      <w:pPr>
        <w:ind w:left="460" w:firstLine="438"/>
        <w:spacing w:after="0" w:line="256"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Observable inputs other than quoted prices included in Level 1, such as quoted prices for similar assets or liabilities in active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quoted prices for identical or similar assets or liabilities in markets with insufficient volume or infrequent transactions (less active markets), or other inputs that are observable (model-derived valuations in which significant inputs are observable) or can be derived principally from, or corroborated by, observable market data; and</w:t>
      </w:r>
    </w:p>
    <w:p>
      <w:pPr>
        <w:spacing w:after="0" w:line="62" w:lineRule="exact"/>
        <w:rPr>
          <w:sz w:val="20"/>
          <w:szCs w:val="20"/>
          <w:color w:val="auto"/>
        </w:rPr>
      </w:pPr>
    </w:p>
    <w:p>
      <w:pPr>
        <w:ind w:left="900"/>
        <w:spacing w:after="0"/>
        <w:tabs>
          <w:tab w:leader="none" w:pos="162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6"/>
          <w:szCs w:val="16"/>
          <w:color w:val="auto"/>
        </w:rPr>
        <w:t>Unobservable inputs that are supported by little or no market activity that is significant to the fair value of the assets or liabilities.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the Company’s assets and liabilities measured at fair value on a recurring basis as of September 30, 2013 and 2012:</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84"/>
              </w:rPr>
              <w:t>As of September 30, 2013</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74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Level 1</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620"/>
              <w:spacing w:after="0" w:line="142" w:lineRule="exact"/>
              <w:rPr>
                <w:sz w:val="20"/>
                <w:szCs w:val="20"/>
                <w:color w:val="auto"/>
              </w:rPr>
            </w:pPr>
            <w:r>
              <w:rPr>
                <w:rFonts w:ascii="Arial" w:cs="Arial" w:eastAsia="Arial" w:hAnsi="Arial"/>
                <w:sz w:val="14"/>
                <w:szCs w:val="14"/>
                <w:b w:val="1"/>
                <w:bCs w:val="1"/>
                <w:color w:val="auto"/>
                <w:w w:val="84"/>
              </w:rPr>
              <w:t>Level 2</w:t>
            </w:r>
          </w:p>
        </w:tc>
        <w:tc>
          <w:tcPr>
            <w:tcW w:w="66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3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Money market funds</w:t>
            </w:r>
          </w:p>
        </w:tc>
        <w:tc>
          <w:tcPr>
            <w:tcW w:w="3840" w:type="dxa"/>
            <w:vAlign w:val="bottom"/>
            <w:gridSpan w:val="3"/>
          </w:tcPr>
          <w:p>
            <w:pPr>
              <w:jc w:val="right"/>
              <w:ind w:right="80"/>
              <w:spacing w:after="0"/>
              <w:rPr>
                <w:sz w:val="20"/>
                <w:szCs w:val="20"/>
                <w:color w:val="auto"/>
              </w:rPr>
            </w:pPr>
            <w:r>
              <w:rPr>
                <w:rFonts w:ascii="Arial" w:cs="Arial" w:eastAsia="Arial" w:hAnsi="Arial"/>
                <w:sz w:val="18"/>
                <w:szCs w:val="18"/>
                <w:color w:val="auto"/>
              </w:rPr>
              <w:t>$565,216</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$565,216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government treasuries</w:t>
            </w:r>
          </w:p>
        </w:tc>
        <w:tc>
          <w:tcPr>
            <w:tcW w:w="3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198,164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198,164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Corporate bonds</w:t>
            </w:r>
          </w:p>
        </w:tc>
        <w:tc>
          <w:tcPr>
            <w:tcW w:w="3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81,727</w:t>
            </w:r>
          </w:p>
        </w:tc>
        <w:tc>
          <w:tcPr>
            <w:tcW w:w="660" w:type="dxa"/>
            <w:vAlign w:val="bottom"/>
          </w:tcPr>
          <w:p>
            <w:pPr>
              <w:jc w:val="right"/>
              <w:spacing w:after="0"/>
              <w:rPr>
                <w:sz w:val="20"/>
                <w:szCs w:val="20"/>
                <w:color w:val="auto"/>
              </w:rPr>
            </w:pPr>
            <w:r>
              <w:rPr>
                <w:rFonts w:ascii="Arial" w:cs="Arial" w:eastAsia="Arial" w:hAnsi="Arial"/>
                <w:sz w:val="18"/>
                <w:szCs w:val="18"/>
                <w:color w:val="auto"/>
              </w:rPr>
              <w:t>81,727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agency securities</w:t>
            </w:r>
          </w:p>
        </w:tc>
        <w:tc>
          <w:tcPr>
            <w:tcW w:w="3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25,529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Commercial paper and certificates of deposit</w:t>
            </w:r>
          </w:p>
        </w:tc>
        <w:tc>
          <w:tcPr>
            <w:tcW w:w="3840" w:type="dxa"/>
            <w:vAlign w:val="bottom"/>
            <w:gridSpan w:val="3"/>
          </w:tcPr>
          <w:p>
            <w:pPr>
              <w:jc w:val="right"/>
              <w:ind w:right="80"/>
              <w:spacing w:after="0"/>
              <w:rPr>
                <w:sz w:val="20"/>
                <w:szCs w:val="20"/>
                <w:color w:val="auto"/>
              </w:rPr>
            </w:pPr>
            <w:r>
              <w:rPr>
                <w:rFonts w:ascii="Arial" w:cs="Arial" w:eastAsia="Arial" w:hAnsi="Arial"/>
                <w:sz w:val="18"/>
                <w:szCs w:val="18"/>
                <w:color w:val="auto"/>
              </w:rPr>
              <w:t>6,189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3,901</w:t>
            </w:r>
          </w:p>
        </w:tc>
        <w:tc>
          <w:tcPr>
            <w:tcW w:w="660" w:type="dxa"/>
            <w:vAlign w:val="bottom"/>
          </w:tcPr>
          <w:p>
            <w:pPr>
              <w:jc w:val="right"/>
              <w:spacing w:after="0"/>
              <w:rPr>
                <w:sz w:val="20"/>
                <w:szCs w:val="20"/>
                <w:color w:val="auto"/>
              </w:rPr>
            </w:pPr>
            <w:r>
              <w:rPr>
                <w:rFonts w:ascii="Arial" w:cs="Arial" w:eastAsia="Arial" w:hAnsi="Arial"/>
                <w:sz w:val="18"/>
                <w:szCs w:val="18"/>
                <w:color w:val="auto"/>
              </w:rPr>
              <w:t>10,090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Government-guaranteed debt</w:t>
            </w:r>
          </w:p>
        </w:tc>
        <w:tc>
          <w:tcPr>
            <w:tcW w:w="3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6,846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Supranational and sovereign debt</w:t>
            </w:r>
          </w:p>
        </w:tc>
        <w:tc>
          <w:tcPr>
            <w:tcW w:w="3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6,311</w:t>
            </w:r>
          </w:p>
        </w:tc>
        <w:tc>
          <w:tcPr>
            <w:tcW w:w="660" w:type="dxa"/>
            <w:vAlign w:val="bottom"/>
          </w:tcPr>
          <w:p>
            <w:pPr>
              <w:jc w:val="right"/>
              <w:spacing w:after="0"/>
              <w:rPr>
                <w:sz w:val="20"/>
                <w:szCs w:val="20"/>
                <w:color w:val="auto"/>
              </w:rPr>
            </w:pPr>
            <w:r>
              <w:rPr>
                <w:rFonts w:ascii="Arial" w:cs="Arial" w:eastAsia="Arial" w:hAnsi="Arial"/>
                <w:sz w:val="18"/>
                <w:szCs w:val="18"/>
                <w:color w:val="auto"/>
              </w:rPr>
              <w:t>6,311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Mortgages (including agencies and corporate)</w:t>
            </w:r>
          </w:p>
        </w:tc>
        <w:tc>
          <w:tcPr>
            <w:tcW w:w="3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879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spacing w:after="0"/>
              <w:rPr>
                <w:sz w:val="20"/>
                <w:szCs w:val="20"/>
                <w:color w:val="auto"/>
              </w:rPr>
            </w:pPr>
            <w:r>
              <w:rPr>
                <w:rFonts w:ascii="Arial" w:cs="Arial" w:eastAsia="Arial" w:hAnsi="Arial"/>
                <w:sz w:val="18"/>
                <w:szCs w:val="18"/>
                <w:color w:val="auto"/>
              </w:rPr>
              <w:t>Total available-for-sale securities</w:t>
            </w:r>
          </w:p>
        </w:tc>
        <w:tc>
          <w:tcPr>
            <w:tcW w:w="3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60" w:type="dxa"/>
            <w:vAlign w:val="bottom"/>
            <w:gridSpan w:val="2"/>
            <w:vMerge w:val="continue"/>
          </w:tcPr>
          <w:p>
            <w:pPr>
              <w:spacing w:after="0"/>
              <w:rPr>
                <w:sz w:val="19"/>
                <w:szCs w:val="19"/>
                <w:color w:val="auto"/>
              </w:rPr>
            </w:pPr>
          </w:p>
        </w:tc>
        <w:tc>
          <w:tcPr>
            <w:tcW w:w="310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769,569</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125,193</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894,762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2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 net</w:t>
            </w:r>
          </w:p>
        </w:tc>
        <w:tc>
          <w:tcPr>
            <w:tcW w:w="3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7,538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3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60" w:type="dxa"/>
            <w:vAlign w:val="bottom"/>
            <w:gridSpan w:val="2"/>
            <w:vMerge w:val="continue"/>
          </w:tcPr>
          <w:p>
            <w:pPr>
              <w:spacing w:after="0"/>
              <w:rPr>
                <w:sz w:val="19"/>
                <w:szCs w:val="19"/>
                <w:color w:val="auto"/>
              </w:rPr>
            </w:pPr>
          </w:p>
        </w:tc>
        <w:tc>
          <w:tcPr>
            <w:tcW w:w="3840" w:type="dxa"/>
            <w:vAlign w:val="bottom"/>
            <w:gridSpan w:val="3"/>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769,569</w:t>
            </w:r>
          </w:p>
        </w:tc>
        <w:tc>
          <w:tcPr>
            <w:tcW w:w="5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132,731</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902,300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840" w:type="dxa"/>
            <w:vAlign w:val="bottom"/>
            <w:gridSpan w:val="3"/>
          </w:tcPr>
          <w:p>
            <w:pPr>
              <w:jc w:val="right"/>
              <w:ind w:right="2680"/>
              <w:spacing w:after="0"/>
              <w:rPr>
                <w:sz w:val="20"/>
                <w:szCs w:val="20"/>
                <w:color w:val="auto"/>
              </w:rPr>
            </w:pPr>
            <w:r>
              <w:rPr>
                <w:rFonts w:ascii="Arial" w:cs="Arial" w:eastAsia="Arial" w:hAnsi="Arial"/>
                <w:sz w:val="18"/>
                <w:szCs w:val="18"/>
                <w:color w:val="auto"/>
              </w:rPr>
              <w:t>F-17</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89"/>
              </w:rPr>
              <w:t>As of September 30, 2012</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76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Level 1</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w w:val="88"/>
              </w:rPr>
              <w:t>Level 2</w:t>
            </w:r>
          </w:p>
        </w:tc>
        <w:tc>
          <w:tcPr>
            <w:tcW w:w="100" w:type="dxa"/>
            <w:vAlign w:val="bottom"/>
          </w:tcPr>
          <w:p>
            <w:pPr>
              <w:spacing w:after="0"/>
              <w:rPr>
                <w:sz w:val="12"/>
                <w:szCs w:val="12"/>
                <w:color w:val="auto"/>
              </w:rPr>
            </w:pPr>
          </w:p>
        </w:tc>
        <w:tc>
          <w:tcPr>
            <w:tcW w:w="68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Money market funds</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$485,012</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$485,012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government treasuries</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93,387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93,387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Corporate bonds</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60,923</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60,923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agency securities</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27,756</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Commercial paper and certificates of deposit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6,155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1,501</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7,656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Government-guaranteed debt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32,689</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Supranational and sovereign debt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11,644</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11,644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Mortgages (including agencies and corporate)</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5,134</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Asset backed obligations</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3,417</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3,417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584,554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143,064</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727,618</w:t>
            </w: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Arial" w:cs="Arial" w:eastAsia="Arial" w:hAnsi="Arial"/>
                <w:sz w:val="18"/>
                <w:szCs w:val="18"/>
                <w:color w:val="auto"/>
              </w:rPr>
              <w:t>Derivative financial instruments, net</w:t>
            </w: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40" w:type="dxa"/>
            <w:vAlign w:val="bottom"/>
            <w:gridSpan w:val="2"/>
            <w:vMerge w:val="continue"/>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(23,928)</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(23,928)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584,554</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119,136</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703,690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Available-for-sale securities that are classified as Level 2 assets are priced using observable data that may include quoted market prices for similar instruments, market dealer quotes, market spreads, non-binding market prices that are corroborated by observable market data and other observable market information and discounted cash flow techniques. The Company’s derivative instruments are classified as Level 2 as they represent foreign currency forward and option contracts valued primarily based on observable inputs including forward rates and yield curves. The Company did not have any transfers between Level 1 and Level 2 fair value measurements during fiscal 2013 or fiscal 2012.</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carrying amounts of cash and cash equivalents, accounts receivable, accounts payable, accrued personnel costs, short-term financing arrangements and other current liabilities approximate their fair value because of the relatively short maturity of these items.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380"/>
          </w:cols>
          <w:pgMar w:left="240" w:top="459" w:right="2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Available-For-Sale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Available-for-sale securities consist of the following interest-bearing investments: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As of September 30, 2013</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ind w:right="57"/>
              <w:spacing w:after="0" w:line="129" w:lineRule="exact"/>
              <w:rPr>
                <w:sz w:val="20"/>
                <w:szCs w:val="20"/>
                <w:color w:val="auto"/>
              </w:rPr>
            </w:pPr>
            <w:r>
              <w:rPr>
                <w:rFonts w:ascii="Arial" w:cs="Arial" w:eastAsia="Arial" w:hAnsi="Arial"/>
                <w:sz w:val="14"/>
                <w:szCs w:val="14"/>
                <w:b w:val="1"/>
                <w:bCs w:val="1"/>
                <w:color w:val="auto"/>
                <w:w w:val="83"/>
              </w:rPr>
              <w:t>Gross</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Gross</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3"/>
              </w:rPr>
              <w:t>Amortized</w:t>
            </w:r>
          </w:p>
        </w:tc>
        <w:tc>
          <w:tcPr>
            <w:tcW w:w="52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Unrealized</w:t>
            </w:r>
          </w:p>
        </w:tc>
        <w:tc>
          <w:tcPr>
            <w:tcW w:w="52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80" w:type="dxa"/>
            <w:vAlign w:val="bottom"/>
          </w:tcPr>
          <w:p>
            <w:pPr>
              <w:jc w:val="right"/>
              <w:ind w:right="122"/>
              <w:spacing w:after="0"/>
              <w:rPr>
                <w:sz w:val="20"/>
                <w:szCs w:val="20"/>
                <w:color w:val="auto"/>
              </w:rPr>
            </w:pPr>
            <w:r>
              <w:rPr>
                <w:rFonts w:ascii="Arial" w:cs="Arial" w:eastAsia="Arial" w:hAnsi="Arial"/>
                <w:sz w:val="14"/>
                <w:szCs w:val="14"/>
                <w:b w:val="1"/>
                <w:bCs w:val="1"/>
                <w:color w:val="auto"/>
              </w:rPr>
              <w:t>Cost</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57"/>
              <w:spacing w:after="0"/>
              <w:rPr>
                <w:sz w:val="20"/>
                <w:szCs w:val="20"/>
                <w:color w:val="auto"/>
              </w:rPr>
            </w:pPr>
            <w:r>
              <w:rPr>
                <w:rFonts w:ascii="Arial" w:cs="Arial" w:eastAsia="Arial" w:hAnsi="Arial"/>
                <w:sz w:val="14"/>
                <w:szCs w:val="14"/>
                <w:b w:val="1"/>
                <w:bCs w:val="1"/>
                <w:color w:val="auto"/>
                <w:w w:val="87"/>
              </w:rPr>
              <w:t>Gains</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20" w:type="dxa"/>
            <w:vAlign w:val="bottom"/>
          </w:tcPr>
          <w:p>
            <w:pPr>
              <w:spacing w:after="0"/>
              <w:rPr>
                <w:sz w:val="18"/>
                <w:szCs w:val="18"/>
                <w:color w:val="auto"/>
              </w:rPr>
            </w:pPr>
          </w:p>
        </w:tc>
        <w:tc>
          <w:tcPr>
            <w:tcW w:w="51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Money market funds</w:t>
            </w:r>
          </w:p>
        </w:tc>
        <w:tc>
          <w:tcPr>
            <w:tcW w:w="19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$565,216</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$565,216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U.S. government treasuries</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198,031</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133</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198,164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81,599</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81,727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U.S. agency securities</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25,529</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25,529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paper and certificates of deposit</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10,090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Government-guaranteed debt</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6,766</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6,846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Supranational and sovereign debt</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6,318</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Mortgages (including agencies and corporate)</w:t>
            </w:r>
          </w:p>
        </w:tc>
        <w:tc>
          <w:tcPr>
            <w:tcW w:w="19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5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Total(1)</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894,507</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894,762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37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100" w:hanging="452"/>
        <w:spacing w:after="0" w:line="256"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Available-for-sale securities with maturities longer than 90 days from the date of acquisition were classified as short term interest-bearing investments and available-for-sale securities with maturities of 90 days or less from the date of acquisition were included in cash and cash equivalents on the Company’s balance sheet. As of September 30, 2013, $312,188 of securities were classified as short term interest-bearing investments and $582,574 of securities were classified as cash and cash equivalents.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w w:val="88"/>
              </w:rPr>
              <w:t>As of September 30, 2012</w:t>
            </w:r>
          </w:p>
        </w:tc>
        <w:tc>
          <w:tcPr>
            <w:tcW w:w="5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50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ind w:right="57"/>
              <w:spacing w:after="0" w:line="129" w:lineRule="exact"/>
              <w:rPr>
                <w:sz w:val="20"/>
                <w:szCs w:val="20"/>
                <w:color w:val="auto"/>
              </w:rPr>
            </w:pPr>
            <w:r>
              <w:rPr>
                <w:rFonts w:ascii="Arial" w:cs="Arial" w:eastAsia="Arial" w:hAnsi="Arial"/>
                <w:sz w:val="14"/>
                <w:szCs w:val="14"/>
                <w:b w:val="1"/>
                <w:bCs w:val="1"/>
                <w:color w:val="auto"/>
                <w:w w:val="88"/>
              </w:rPr>
              <w:t>Gross</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ind w:right="56"/>
              <w:spacing w:after="0" w:line="129" w:lineRule="exact"/>
              <w:rPr>
                <w:sz w:val="20"/>
                <w:szCs w:val="20"/>
                <w:color w:val="auto"/>
              </w:rPr>
            </w:pPr>
            <w:r>
              <w:rPr>
                <w:rFonts w:ascii="Arial" w:cs="Arial" w:eastAsia="Arial" w:hAnsi="Arial"/>
                <w:sz w:val="14"/>
                <w:szCs w:val="14"/>
                <w:b w:val="1"/>
                <w:bCs w:val="1"/>
                <w:color w:val="auto"/>
                <w:w w:val="88"/>
              </w:rPr>
              <w:t>Gross</w:t>
            </w: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50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w w:val="90"/>
              </w:rPr>
              <w:t>Amortized</w:t>
            </w:r>
          </w:p>
        </w:tc>
        <w:tc>
          <w:tcPr>
            <w:tcW w:w="50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Unrealized</w:t>
            </w:r>
          </w:p>
        </w:tc>
        <w:tc>
          <w:tcPr>
            <w:tcW w:w="52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Unrealized</w:t>
            </w: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150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Cost</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57"/>
              <w:spacing w:after="0"/>
              <w:rPr>
                <w:sz w:val="20"/>
                <w:szCs w:val="20"/>
                <w:color w:val="auto"/>
              </w:rPr>
            </w:pPr>
            <w:r>
              <w:rPr>
                <w:rFonts w:ascii="Arial" w:cs="Arial" w:eastAsia="Arial" w:hAnsi="Arial"/>
                <w:sz w:val="14"/>
                <w:szCs w:val="14"/>
                <w:b w:val="1"/>
                <w:bCs w:val="1"/>
                <w:color w:val="auto"/>
                <w:w w:val="92"/>
              </w:rPr>
              <w:t>Gains</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36"/>
              <w:spacing w:after="0"/>
              <w:rPr>
                <w:sz w:val="20"/>
                <w:szCs w:val="20"/>
                <w:color w:val="auto"/>
              </w:rPr>
            </w:pPr>
            <w:r>
              <w:rPr>
                <w:rFonts w:ascii="Arial" w:cs="Arial" w:eastAsia="Arial" w:hAnsi="Arial"/>
                <w:sz w:val="14"/>
                <w:szCs w:val="14"/>
                <w:b w:val="1"/>
                <w:bCs w:val="1"/>
                <w:color w:val="auto"/>
                <w:w w:val="78"/>
              </w:rPr>
              <w:t>Losses</w:t>
            </w:r>
          </w:p>
        </w:tc>
        <w:tc>
          <w:tcPr>
            <w:tcW w:w="54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71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Money market funds</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$485,012</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$485,012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U.S. government treasuries</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93,255</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132</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93,387</w:t>
            </w:r>
          </w:p>
        </w:tc>
        <w:tc>
          <w:tcPr>
            <w:tcW w:w="100" w:type="dxa"/>
            <w:vAlign w:val="bottom"/>
          </w:tcPr>
          <w:p>
            <w:pPr>
              <w:spacing w:after="0"/>
              <w:rPr>
                <w:sz w:val="18"/>
                <w:szCs w:val="18"/>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60,350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60,923</w:t>
            </w:r>
          </w:p>
        </w:tc>
        <w:tc>
          <w:tcPr>
            <w:tcW w:w="100" w:type="dxa"/>
            <w:vAlign w:val="bottom"/>
            <w:shd w:val="clear" w:color="auto" w:fill="CCEEFF"/>
          </w:tcPr>
          <w:p>
            <w:pPr>
              <w:spacing w:after="0"/>
              <w:rPr>
                <w:sz w:val="18"/>
                <w:szCs w:val="18"/>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U.S. agency securities</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27,637</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119</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27,756</w:t>
            </w:r>
          </w:p>
        </w:tc>
        <w:tc>
          <w:tcPr>
            <w:tcW w:w="100" w:type="dxa"/>
            <w:vAlign w:val="bottom"/>
          </w:tcPr>
          <w:p>
            <w:pPr>
              <w:spacing w:after="0"/>
              <w:rPr>
                <w:sz w:val="18"/>
                <w:szCs w:val="18"/>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paper and certificates of deposit</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7,656</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7,656</w:t>
            </w:r>
          </w:p>
        </w:tc>
        <w:tc>
          <w:tcPr>
            <w:tcW w:w="100" w:type="dxa"/>
            <w:vAlign w:val="bottom"/>
            <w:shd w:val="clear" w:color="auto" w:fill="CCEEFF"/>
          </w:tcPr>
          <w:p>
            <w:pPr>
              <w:spacing w:after="0"/>
              <w:rPr>
                <w:sz w:val="18"/>
                <w:szCs w:val="18"/>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Government-guaranteed debt</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32,484</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205</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32,689</w:t>
            </w:r>
          </w:p>
        </w:tc>
        <w:tc>
          <w:tcPr>
            <w:tcW w:w="100" w:type="dxa"/>
            <w:vAlign w:val="bottom"/>
          </w:tcPr>
          <w:p>
            <w:pPr>
              <w:spacing w:after="0"/>
              <w:rPr>
                <w:sz w:val="18"/>
                <w:szCs w:val="18"/>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Supranational and sovereign debt</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11,628</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11,644</w:t>
            </w:r>
          </w:p>
        </w:tc>
        <w:tc>
          <w:tcPr>
            <w:tcW w:w="100" w:type="dxa"/>
            <w:vAlign w:val="bottom"/>
            <w:shd w:val="clear" w:color="auto" w:fill="CCEEFF"/>
          </w:tcPr>
          <w:p>
            <w:pPr>
              <w:spacing w:after="0"/>
              <w:rPr>
                <w:sz w:val="18"/>
                <w:szCs w:val="18"/>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Mortgages (including agencies and corporate)</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5,780</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646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5,134</w:t>
            </w:r>
          </w:p>
        </w:tc>
        <w:tc>
          <w:tcPr>
            <w:tcW w:w="100" w:type="dxa"/>
            <w:vAlign w:val="bottom"/>
          </w:tcPr>
          <w:p>
            <w:pPr>
              <w:spacing w:after="0"/>
              <w:rPr>
                <w:sz w:val="18"/>
                <w:szCs w:val="18"/>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backed obligations</w:t>
            </w: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5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3,417</w:t>
            </w:r>
          </w:p>
        </w:tc>
        <w:tc>
          <w:tcPr>
            <w:tcW w:w="100" w:type="dxa"/>
            <w:vAlign w:val="bottom"/>
            <w:shd w:val="clear" w:color="auto" w:fill="CCEEFF"/>
          </w:tcPr>
          <w:p>
            <w:pPr>
              <w:spacing w:after="0"/>
              <w:rPr>
                <w:sz w:val="18"/>
                <w:szCs w:val="18"/>
                <w:color w:val="auto"/>
              </w:rPr>
            </w:pPr>
          </w:p>
        </w:tc>
      </w:tr>
      <w:tr>
        <w:trPr>
          <w:trHeight w:val="222"/>
        </w:trPr>
        <w:tc>
          <w:tcPr>
            <w:tcW w:w="7120" w:type="dxa"/>
            <w:vAlign w:val="bottom"/>
            <w:gridSpan w:val="2"/>
          </w:tcPr>
          <w:p>
            <w:pPr>
              <w:spacing w:after="0"/>
              <w:rPr>
                <w:sz w:val="20"/>
                <w:szCs w:val="20"/>
                <w:color w:val="auto"/>
              </w:rPr>
            </w:pPr>
            <w:r>
              <w:rPr>
                <w:rFonts w:ascii="Arial" w:cs="Arial" w:eastAsia="Arial" w:hAnsi="Arial"/>
                <w:sz w:val="18"/>
                <w:szCs w:val="18"/>
                <w:color w:val="auto"/>
              </w:rPr>
              <w:t>Total(2)</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727,602</w:t>
            </w: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1,045</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1,029</w:t>
            </w:r>
          </w:p>
        </w:tc>
        <w:tc>
          <w:tcPr>
            <w:tcW w:w="1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727,618</w:t>
            </w:r>
          </w:p>
        </w:tc>
        <w:tc>
          <w:tcPr>
            <w:tcW w:w="100" w:type="dxa"/>
            <w:vAlign w:val="bottom"/>
          </w:tcPr>
          <w:p>
            <w:pPr>
              <w:spacing w:after="0"/>
              <w:rPr>
                <w:sz w:val="19"/>
                <w:szCs w:val="19"/>
                <w:color w:val="auto"/>
              </w:rPr>
            </w:pPr>
          </w:p>
        </w:tc>
      </w:tr>
      <w:tr>
        <w:trPr>
          <w:trHeight w:val="20"/>
        </w:trPr>
        <w:tc>
          <w:tcPr>
            <w:tcW w:w="15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500" w:type="dxa"/>
            <w:vAlign w:val="bottom"/>
            <w:tcBorders>
              <w:bottom w:val="single" w:sz="8" w:color="auto"/>
            </w:tcBorders>
          </w:tcPr>
          <w:p>
            <w:pPr>
              <w:spacing w:after="0"/>
              <w:rPr>
                <w:sz w:val="8"/>
                <w:szCs w:val="8"/>
                <w:color w:val="auto"/>
              </w:rPr>
            </w:pPr>
          </w:p>
        </w:tc>
        <w:tc>
          <w:tcPr>
            <w:tcW w:w="5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240" w:hanging="452"/>
        <w:spacing w:after="0" w:line="268"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As of September 30, 2012, $239,019 of securities were classified as short term interest-bearing investments and $488,599 of securities were classified as cash and cash equivalents.</w:t>
      </w:r>
    </w:p>
    <w:p>
      <w:pPr>
        <w:spacing w:after="0" w:line="51"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As of September 30, 2013, the unrealized losses attributable to the Company’s available-for-sale securities were primarily due to credit market conditions and interest rate movements. The Company assessed whether such unrealized losses for the investments in its portfolio were other-than-temporary. Based on this assessment, the Company recognized an immaterial credit loss in fiscal 2013, 2012 and 2011.</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9600" w:type="dxa"/>
            <w:vAlign w:val="bottom"/>
          </w:tcPr>
          <w:p>
            <w:pPr>
              <w:jc w:val="center"/>
              <w:ind w:left="832"/>
              <w:spacing w:after="0"/>
              <w:rPr>
                <w:sz w:val="20"/>
                <w:szCs w:val="20"/>
                <w:color w:val="auto"/>
              </w:rPr>
            </w:pPr>
            <w:r>
              <w:rPr>
                <w:rFonts w:ascii="Arial" w:cs="Arial" w:eastAsia="Arial" w:hAnsi="Arial"/>
                <w:sz w:val="18"/>
                <w:szCs w:val="18"/>
                <w:b w:val="1"/>
                <w:bCs w:val="1"/>
                <w:color w:val="auto"/>
              </w:rPr>
              <w:t>AMDOCS LIMITED</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85"/>
        </w:trPr>
        <w:tc>
          <w:tcPr>
            <w:tcW w:w="9600" w:type="dxa"/>
            <w:vAlign w:val="bottom"/>
          </w:tcPr>
          <w:p>
            <w:pPr>
              <w:jc w:val="center"/>
              <w:ind w:left="812"/>
              <w:spacing w:after="0"/>
              <w:rPr>
                <w:sz w:val="20"/>
                <w:szCs w:val="20"/>
                <w:color w:val="auto"/>
              </w:rPr>
            </w:pPr>
            <w:r>
              <w:rPr>
                <w:rFonts w:ascii="Arial" w:cs="Arial" w:eastAsia="Arial" w:hAnsi="Arial"/>
                <w:sz w:val="18"/>
                <w:szCs w:val="18"/>
                <w:b w:val="1"/>
                <w:bCs w:val="1"/>
                <w:color w:val="auto"/>
                <w:w w:val="96"/>
              </w:rPr>
              <w:t>NOTES TO THE CONSOLIDATED FINANCIAL STATEMENTS — (Continued)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8"/>
        </w:trPr>
        <w:tc>
          <w:tcPr>
            <w:tcW w:w="9600" w:type="dxa"/>
            <w:vAlign w:val="bottom"/>
          </w:tcPr>
          <w:p>
            <w:pPr>
              <w:jc w:val="center"/>
              <w:ind w:left="832"/>
              <w:spacing w:after="0"/>
              <w:rPr>
                <w:sz w:val="20"/>
                <w:szCs w:val="20"/>
                <w:color w:val="auto"/>
              </w:rPr>
            </w:pPr>
            <w:r>
              <w:rPr>
                <w:rFonts w:ascii="Arial" w:cs="Arial" w:eastAsia="Arial" w:hAnsi="Arial"/>
                <w:sz w:val="18"/>
                <w:szCs w:val="18"/>
                <w:b w:val="1"/>
                <w:bCs w:val="1"/>
                <w:color w:val="auto"/>
                <w:w w:val="86"/>
              </w:rPr>
              <w:t>(dollar and share amounts in thousands, except per share data)</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9"/>
        </w:trPr>
        <w:tc>
          <w:tcPr>
            <w:tcW w:w="9600" w:type="dxa"/>
            <w:vAlign w:val="bottom"/>
          </w:tcPr>
          <w:p>
            <w:pPr>
              <w:spacing w:after="0"/>
              <w:rPr>
                <w:sz w:val="20"/>
                <w:szCs w:val="20"/>
                <w:color w:val="auto"/>
              </w:rPr>
            </w:pPr>
            <w:r>
              <w:rPr>
                <w:rFonts w:ascii="Arial" w:cs="Arial" w:eastAsia="Arial" w:hAnsi="Arial"/>
                <w:sz w:val="18"/>
                <w:szCs w:val="18"/>
                <w:color w:val="auto"/>
              </w:rPr>
              <w:t>As of September 30, 2013, the Company’s available-for-sale securities had the following maturity dates: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9"/>
        </w:trPr>
        <w:tc>
          <w:tcPr>
            <w:tcW w:w="9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9"/>
              </w:rPr>
              <w:t>Market Value</w:t>
            </w:r>
          </w:p>
        </w:tc>
      </w:tr>
      <w:tr>
        <w:trPr>
          <w:trHeight w:val="210"/>
        </w:trPr>
        <w:tc>
          <w:tcPr>
            <w:tcW w:w="9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Due within one year</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716,893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1 to 2 years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112,012</w:t>
            </w:r>
          </w:p>
        </w:tc>
        <w:tc>
          <w:tcPr>
            <w:tcW w:w="100" w:type="dxa"/>
            <w:vAlign w:val="bottom"/>
          </w:tcPr>
          <w:p>
            <w:pPr>
              <w:spacing w:after="0"/>
              <w:rPr>
                <w:sz w:val="18"/>
                <w:szCs w:val="18"/>
                <w:color w:val="auto"/>
              </w:rPr>
            </w:pPr>
          </w:p>
        </w:tc>
      </w:tr>
      <w:tr>
        <w:trPr>
          <w:trHeight w:val="216"/>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2 to 3 years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59,467</w:t>
            </w:r>
          </w:p>
        </w:tc>
        <w:tc>
          <w:tcPr>
            <w:tcW w:w="100" w:type="dxa"/>
            <w:vAlign w:val="bottom"/>
            <w:shd w:val="clear" w:color="auto" w:fill="CCEEFF"/>
          </w:tcPr>
          <w:p>
            <w:pPr>
              <w:spacing w:after="0"/>
              <w:rPr>
                <w:sz w:val="18"/>
                <w:szCs w:val="18"/>
                <w:color w:val="auto"/>
              </w:rPr>
            </w:pP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3 to 4 years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5,314</w:t>
            </w:r>
          </w:p>
        </w:tc>
        <w:tc>
          <w:tcPr>
            <w:tcW w:w="100" w:type="dxa"/>
            <w:vAlign w:val="bottom"/>
          </w:tcPr>
          <w:p>
            <w:pPr>
              <w:spacing w:after="0"/>
              <w:rPr>
                <w:sz w:val="18"/>
                <w:szCs w:val="18"/>
                <w:color w:val="auto"/>
              </w:rPr>
            </w:pPr>
          </w:p>
        </w:tc>
      </w:tr>
      <w:tr>
        <w:trPr>
          <w:trHeight w:val="216"/>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100" w:type="dxa"/>
            <w:vAlign w:val="bottom"/>
            <w:shd w:val="clear" w:color="auto" w:fill="CCEEFF"/>
          </w:tcPr>
          <w:p>
            <w:pPr>
              <w:spacing w:after="0"/>
              <w:rPr>
                <w:sz w:val="18"/>
                <w:szCs w:val="18"/>
                <w:color w:val="auto"/>
              </w:rPr>
            </w:pPr>
          </w:p>
        </w:tc>
      </w:tr>
      <w:tr>
        <w:trPr>
          <w:trHeight w:val="222"/>
        </w:trPr>
        <w:tc>
          <w:tcPr>
            <w:tcW w:w="9600" w:type="dxa"/>
            <w:vAlign w:val="bottom"/>
          </w:tcPr>
          <w:p>
            <w:pPr>
              <w:spacing w:after="0"/>
              <w:rPr>
                <w:sz w:val="19"/>
                <w:szCs w:val="19"/>
                <w:color w:val="auto"/>
              </w:rPr>
            </w:pPr>
          </w:p>
        </w:tc>
        <w:tc>
          <w:tcPr>
            <w:tcW w:w="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894,762</w:t>
            </w:r>
          </w:p>
        </w:tc>
        <w:tc>
          <w:tcPr>
            <w:tcW w:w="100" w:type="dxa"/>
            <w:vAlign w:val="bottom"/>
          </w:tcPr>
          <w:p>
            <w:pPr>
              <w:spacing w:after="0"/>
              <w:rPr>
                <w:sz w:val="19"/>
                <w:szCs w:val="19"/>
                <w:color w:val="auto"/>
              </w:rPr>
            </w:pPr>
          </w:p>
        </w:tc>
      </w:tr>
      <w:tr>
        <w:trPr>
          <w:trHeight w:val="20"/>
        </w:trPr>
        <w:tc>
          <w:tcPr>
            <w:tcW w:w="9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Derivative Financial Instruments</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Company’s risk management strategy includes the use of derivative financial instruments to reduce the volatility of earnings and cash flows associated with changes in foreign currency exchange rates. The Company does not enter into derivative transactions for trading purposes.</w:t>
      </w:r>
    </w:p>
    <w:p>
      <w:pPr>
        <w:spacing w:after="0" w:line="4"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Company’s derivatives expose it to credit risks from possible non-performance by counterparties. The Company utilizes standard counterparty master netting agreements that net certain foreign currency transactions in the event of the insolvency of one of the parties to the transaction. These master netting arrangements permit the Company to net amounts due from the Company to a counterparty with amounts due to the Company from the same counterparty. The Company has elected to present the related assets and liabilities on a gross basis. Taking into account the Company’s right to net certain gains with losses, the maximum amount of loss due to credit risk that the Company would incur if all counterparties to the derivative financial instruments failed completely to perform, according to the terms of the contracts, based on the gross fair value of the Company’s derivative contracts that are favorable to the Company, was approximately $20,702 as of September 30, 2013. The Company has limited its credit risk by entering into derivative transactions exclusively with investment-grade rated financial institutions and monitors the creditworthiness of these financial institutions on an ongoing basis.</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classifies cash flows from its derivative transactions as cash flows from operating activities in the consolidated statements of cash flow.</w:t>
      </w:r>
    </w:p>
    <w:p>
      <w:pPr>
        <w:spacing w:after="0" w:line="11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table below presents the total volume or notional amounts of the Company’s derivative instruments as of September 30, 2013. Notional values are in U.S. dollars and are translated and calculated based on forward rates as of September 30, 2013 for forward contracts, and based on spot rates as of September 30, 2013 for options.</w:t>
      </w:r>
    </w:p>
    <w:p>
      <w:pPr>
        <w:spacing w:after="0" w:line="122" w:lineRule="exact"/>
        <w:rPr>
          <w:sz w:val="20"/>
          <w:szCs w:val="20"/>
          <w:color w:val="auto"/>
        </w:rPr>
      </w:pPr>
    </w:p>
    <w:p>
      <w:pPr>
        <w:ind w:left="9940"/>
        <w:spacing w:after="0"/>
        <w:rPr>
          <w:sz w:val="20"/>
          <w:szCs w:val="20"/>
          <w:color w:val="auto"/>
        </w:rPr>
      </w:pPr>
      <w:r>
        <w:rPr>
          <w:rFonts w:ascii="Arial" w:cs="Arial" w:eastAsia="Arial" w:hAnsi="Arial"/>
          <w:sz w:val="14"/>
          <w:szCs w:val="14"/>
          <w:b w:val="1"/>
          <w:bCs w:val="1"/>
          <w:u w:val="single" w:color="auto"/>
          <w:color w:val="auto"/>
        </w:rPr>
        <w:t>Notional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0</wp:posOffset>
            </wp:positionV>
            <wp:extent cx="6663690" cy="146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663690" cy="146050"/>
                    </a:xfrm>
                    <a:prstGeom prst="rect">
                      <a:avLst/>
                    </a:prstGeom>
                    <a:noFill/>
                  </pic:spPr>
                </pic:pic>
              </a:graphicData>
            </a:graphic>
          </wp:anchor>
        </w:drawing>
      </w:r>
    </w:p>
    <w:p>
      <w:pPr>
        <w:ind w:left="460"/>
        <w:spacing w:after="0"/>
        <w:tabs>
          <w:tab w:leader="none" w:pos="9920" w:val="left"/>
          <w:tab w:leader="none" w:pos="10280" w:val="left"/>
        </w:tabs>
        <w:rPr>
          <w:sz w:val="20"/>
          <w:szCs w:val="20"/>
          <w:color w:val="auto"/>
        </w:rPr>
      </w:pPr>
      <w:r>
        <w:rPr>
          <w:rFonts w:ascii="Arial" w:cs="Arial" w:eastAsia="Arial" w:hAnsi="Arial"/>
          <w:sz w:val="18"/>
          <w:szCs w:val="18"/>
          <w:color w:val="auto"/>
        </w:rPr>
        <w:t>Foreign exchange contracts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850,665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94361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18" w:lineRule="exact"/>
        <w:rPr>
          <w:sz w:val="20"/>
          <w:szCs w:val="20"/>
          <w:color w:val="auto"/>
        </w:rPr>
      </w:pPr>
    </w:p>
    <w:p>
      <w:pPr>
        <w:ind w:left="460" w:right="520" w:hanging="452"/>
        <w:spacing w:after="0" w:line="268"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Gross notional amounts do not quantify risk or represent assets or liabilities of the Company, but are used in the calculation of settlements under the contracts.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360"/>
          </w:cols>
          <w:pgMar w:left="240" w:top="459" w:right="2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Company records all derivative instruments on the balance sheet at fair value. For further information, please see Note 4 to the consolidated financial statements. The fair value of the open foreign exchange contracts recorded by the Company on its consolidated balance sheets as of September 30, 2013 and September 30, 2012, as an asset or a liability is as follows: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192"/>
              <w:spacing w:after="0"/>
              <w:rPr>
                <w:sz w:val="20"/>
                <w:szCs w:val="20"/>
                <w:color w:val="auto"/>
              </w:rPr>
            </w:pPr>
            <w:r>
              <w:rPr>
                <w:rFonts w:ascii="Arial" w:cs="Arial" w:eastAsia="Arial" w:hAnsi="Arial"/>
                <w:sz w:val="14"/>
                <w:szCs w:val="14"/>
                <w:b w:val="1"/>
                <w:bCs w:val="1"/>
                <w:color w:val="auto"/>
                <w:w w:val="91"/>
              </w:rPr>
              <w:t>As of</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Derivatives designated as hedging instruments</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21,595</w:t>
            </w: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3,134</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(11,641)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(20,087)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(5,567)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7,521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(21,945)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2,688</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(2,671)</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(1,983)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Net fair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(23,928)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order to reduce the impact of changes in foreign currency exchange rates on its results, the Company enters into foreign currency exchange forward and option contracts to purchase and sell foreign currencies to hedge a significant portion of its foreign currency net exposure resulting from revenue and expense transactions denominated in currencies other than the U.S. dollar. The Company designates these contracts for accounting purposes as cash flow hedges. The Company currently hedges its exposure to the variability in future cash flows for a maximum period of two years (a significant portion of the forward and option contracts outstanding as of September 30, 2013 is expected to mature within the next 12 months).</w:t>
      </w:r>
    </w:p>
    <w:p>
      <w:pPr>
        <w:spacing w:after="0" w:line="3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effective portion of the gain or loss on the derivative instruments is initially recorded as a component of other comprehensive income (loss), a separate component of shareholders’ equity, and subsequently reclassified into earnings in the same line item as the related forecasted transaction and in the same period or periods during which the hedged exposure affects earnings. The cash flow hedges are evaluated for effectiveness at least quarterly. As the critical terms of the forward contract or option and the hedged transaction are matched at inception, the hedge effectiveness is assessed generally based on changes in the fair value for cash flow hedges, as compared to the changes in the fair value of the cash flows associated with the underlying hedged transactions. Hedge ineffectiveness, if any, and hedge components, such as time value, excluded from assessment of effectiveness testing for hedges of estimated revenue from customers, are recognized immediately in interest and other expense, net.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effect of the Company’s cash flow hedging instruments in the consolidated statements of income for the fiscal years ended September 30, 2013, 2012 and 2011, respectively, which partially offsets the foreign currency impact from the underlying exposures, is summarized as follows:</w:t>
      </w:r>
    </w:p>
    <w:p>
      <w:pPr>
        <w:spacing w:after="0" w:line="5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20" w:type="dxa"/>
            <w:vAlign w:val="bottom"/>
            <w:gridSpan w:val="9"/>
          </w:tcPr>
          <w:p>
            <w:pPr>
              <w:jc w:val="center"/>
              <w:ind w:right="200"/>
              <w:spacing w:after="0"/>
              <w:rPr>
                <w:sz w:val="20"/>
                <w:szCs w:val="20"/>
                <w:color w:val="auto"/>
              </w:rPr>
            </w:pPr>
            <w:r>
              <w:rPr>
                <w:rFonts w:ascii="Arial" w:cs="Arial" w:eastAsia="Arial" w:hAnsi="Arial"/>
                <w:sz w:val="14"/>
                <w:szCs w:val="14"/>
                <w:b w:val="1"/>
                <w:bCs w:val="1"/>
                <w:color w:val="auto"/>
                <w:w w:val="84"/>
              </w:rPr>
              <w:t>Gains (Losses) Reclassified from</w:t>
            </w:r>
          </w:p>
        </w:tc>
        <w:tc>
          <w:tcPr>
            <w:tcW w:w="0" w:type="dxa"/>
            <w:vAlign w:val="bottom"/>
          </w:tcPr>
          <w:p>
            <w:pPr>
              <w:spacing w:after="0"/>
              <w:rPr>
                <w:sz w:val="1"/>
                <w:szCs w:val="1"/>
                <w:color w:val="auto"/>
              </w:rPr>
            </w:pPr>
          </w:p>
        </w:tc>
      </w:tr>
      <w:tr>
        <w:trPr>
          <w:trHeight w:val="149"/>
        </w:trPr>
        <w:tc>
          <w:tcPr>
            <w:tcW w:w="7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20" w:type="dxa"/>
            <w:vAlign w:val="bottom"/>
            <w:gridSpan w:val="9"/>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Other Comprehensive Income</w:t>
            </w:r>
          </w:p>
        </w:tc>
        <w:tc>
          <w:tcPr>
            <w:tcW w:w="0" w:type="dxa"/>
            <w:vAlign w:val="bottom"/>
          </w:tcPr>
          <w:p>
            <w:pPr>
              <w:spacing w:after="0"/>
              <w:rPr>
                <w:sz w:val="1"/>
                <w:szCs w:val="1"/>
                <w:color w:val="auto"/>
              </w:rPr>
            </w:pPr>
          </w:p>
        </w:tc>
      </w:tr>
      <w:tr>
        <w:trPr>
          <w:trHeight w:val="149"/>
        </w:trPr>
        <w:tc>
          <w:tcPr>
            <w:tcW w:w="7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7"/>
              </w:rPr>
              <w:t>(Loss) (Effective Portion)</w:t>
            </w: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Year Ended September 30,</w:t>
            </w:r>
          </w:p>
        </w:tc>
        <w:tc>
          <w:tcPr>
            <w:tcW w:w="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60"/>
              <w:spacing w:after="0" w:line="142" w:lineRule="exact"/>
              <w:rPr>
                <w:sz w:val="20"/>
                <w:szCs w:val="20"/>
                <w:color w:val="auto"/>
              </w:rPr>
            </w:pPr>
            <w:r>
              <w:rPr>
                <w:rFonts w:ascii="Arial" w:cs="Arial" w:eastAsia="Arial" w:hAnsi="Arial"/>
                <w:sz w:val="14"/>
                <w:szCs w:val="14"/>
                <w:b w:val="1"/>
                <w:bCs w:val="1"/>
                <w:color w:val="auto"/>
                <w:w w:val="96"/>
              </w:rPr>
              <w:t>2013</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center"/>
              <w:ind w:right="16"/>
              <w:spacing w:after="0" w:line="142" w:lineRule="exact"/>
              <w:rPr>
                <w:sz w:val="20"/>
                <w:szCs w:val="20"/>
                <w:color w:val="auto"/>
              </w:rPr>
            </w:pPr>
            <w:r>
              <w:rPr>
                <w:rFonts w:ascii="Arial" w:cs="Arial" w:eastAsia="Arial" w:hAnsi="Arial"/>
                <w:sz w:val="14"/>
                <w:szCs w:val="14"/>
                <w:b w:val="1"/>
                <w:bCs w:val="1"/>
                <w:color w:val="auto"/>
                <w:w w:val="83"/>
              </w:rPr>
              <w:t>2012</w:t>
            </w:r>
          </w:p>
        </w:tc>
        <w:tc>
          <w:tcPr>
            <w:tcW w:w="480" w:type="dxa"/>
            <w:vAlign w:val="bottom"/>
          </w:tcPr>
          <w:p>
            <w:pPr>
              <w:spacing w:after="0"/>
              <w:rPr>
                <w:sz w:val="12"/>
                <w:szCs w:val="12"/>
                <w:color w:val="auto"/>
              </w:rPr>
            </w:pPr>
          </w:p>
        </w:tc>
        <w:tc>
          <w:tcPr>
            <w:tcW w:w="62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Line item in statements of income:</w:t>
            </w: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220"/>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3,091</w:t>
            </w:r>
          </w:p>
        </w:tc>
        <w:tc>
          <w:tcPr>
            <w:tcW w:w="48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w w:val="91"/>
              </w:rPr>
              <w:t>$ (2,410)</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service</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(2,945)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(21,504)</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11,244</w:t>
            </w:r>
          </w:p>
        </w:tc>
        <w:tc>
          <w:tcPr>
            <w:tcW w:w="0" w:type="dxa"/>
            <w:vAlign w:val="bottom"/>
          </w:tcPr>
          <w:p>
            <w:pPr>
              <w:spacing w:after="0"/>
              <w:rPr>
                <w:sz w:val="1"/>
                <w:szCs w:val="1"/>
                <w:color w:val="auto"/>
              </w:rPr>
            </w:pPr>
          </w:p>
        </w:tc>
      </w:tr>
      <w:tr>
        <w:trPr>
          <w:trHeight w:val="216"/>
        </w:trPr>
        <w:tc>
          <w:tcPr>
            <w:tcW w:w="758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803</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(2,928)</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2,477</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(3,395)</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2,220</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(1,547)</w:t>
            </w:r>
          </w:p>
        </w:tc>
        <w:tc>
          <w:tcPr>
            <w:tcW w:w="5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(24,736)</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13,531</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activity related to the changes in net unrealized gains (losses) on cash flow hedges recorded in accumulated other comprehensive income (loss), net of tax, is as follows:</w:t>
      </w:r>
    </w:p>
    <w:p>
      <w:pPr>
        <w:spacing w:after="0" w:line="11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3"/>
              </w:rPr>
              <w:t>Year Ended September 30,</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2"/>
                <w:szCs w:val="12"/>
                <w:color w:val="auto"/>
              </w:rPr>
            </w:pPr>
          </w:p>
        </w:tc>
        <w:tc>
          <w:tcPr>
            <w:tcW w:w="1240" w:type="dxa"/>
            <w:vAlign w:val="bottom"/>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unrealized (losses) gains on cash flow hedges, net of tax, beginning of period</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(17,942)</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(14,437)</w:t>
            </w:r>
          </w:p>
        </w:tc>
        <w:tc>
          <w:tcPr>
            <w:tcW w:w="5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Changes associated with hedging transactions, net of tax</w:t>
            </w: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20,035</w:t>
            </w:r>
          </w:p>
        </w:tc>
        <w:tc>
          <w:tcPr>
            <w:tcW w:w="1760" w:type="dxa"/>
            <w:vAlign w:val="bottom"/>
            <w:gridSpan w:val="3"/>
          </w:tcPr>
          <w:p>
            <w:pPr>
              <w:jc w:val="right"/>
              <w:ind w:right="460"/>
              <w:spacing w:after="0"/>
              <w:rPr>
                <w:sz w:val="20"/>
                <w:szCs w:val="20"/>
                <w:color w:val="auto"/>
              </w:rPr>
            </w:pPr>
            <w:r>
              <w:rPr>
                <w:rFonts w:ascii="Arial" w:cs="Arial" w:eastAsia="Arial" w:hAnsi="Arial"/>
                <w:sz w:val="18"/>
                <w:szCs w:val="18"/>
                <w:color w:val="auto"/>
              </w:rPr>
              <w:t>(26,108)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(8,483)</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losses (gains) into earnings, net of tax</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22,603</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(11,956)</w:t>
            </w:r>
          </w:p>
        </w:tc>
        <w:tc>
          <w:tcPr>
            <w:tcW w:w="0" w:type="dxa"/>
            <w:vAlign w:val="bottom"/>
          </w:tcPr>
          <w:p>
            <w:pPr>
              <w:spacing w:after="0"/>
              <w:rPr>
                <w:sz w:val="1"/>
                <w:szCs w:val="1"/>
                <w:color w:val="auto"/>
              </w:rPr>
            </w:pPr>
          </w:p>
        </w:tc>
      </w:tr>
      <w:tr>
        <w:trPr>
          <w:trHeight w:val="20"/>
        </w:trPr>
        <w:tc>
          <w:tcPr>
            <w:tcW w:w="7240" w:type="dxa"/>
            <w:vAlign w:val="bottom"/>
            <w:vMerge w:val="restart"/>
          </w:tcPr>
          <w:p>
            <w:pPr>
              <w:spacing w:after="0"/>
              <w:rPr>
                <w:sz w:val="20"/>
                <w:szCs w:val="20"/>
                <w:color w:val="auto"/>
              </w:rPr>
            </w:pPr>
            <w:r>
              <w:rPr>
                <w:rFonts w:ascii="Arial" w:cs="Arial" w:eastAsia="Arial" w:hAnsi="Arial"/>
                <w:sz w:val="18"/>
                <w:szCs w:val="18"/>
                <w:color w:val="auto"/>
              </w:rPr>
              <w:t>Net unrealized gains (losses) on cash flow hedges, net of tax, end of period</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4,696</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(17,942)</w:t>
            </w: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(14,437)</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Gains (losses) from cash flow hedges recognized in other comprehensive income (loss), net of taxes, during the fiscal years ended September 30, 2013, 2012 and 2011 were $28,504, $(30,730) and $(8,497), or $20,035, $(26,108) and $(8,483), respectively.</w:t>
      </w:r>
    </w:p>
    <w:p>
      <w:pPr>
        <w:spacing w:after="0" w:line="5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Of the net gains related to derivatives designated as cash flow hedges and recorded in accumulated other comprehensive income (loss) as of September 30, 2013, a net gain of $6,870 will be reclassified into earnings during fiscal 2014 and will partially offset the foreign currency impact from the underlying exposures. The amount ultimately realized in earnings will likely differ due to future changes in foreign exchange rates.</w:t>
      </w:r>
    </w:p>
    <w:p>
      <w:pPr>
        <w:spacing w:after="0" w:line="2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ineffective portion of the change in fair value of a cash flow hedge, including the time value portion excluded from effectiveness testing for the fiscal years ended September 30, 2013, 2012 and 2011, was not material.</w:t>
      </w:r>
    </w:p>
    <w:p>
      <w:pPr>
        <w:spacing w:after="0" w:line="5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Cash flow hedges are required to be discontinued in the event it becomes probable that the underlying forecasted hedged transaction will not occur. The Company did not discontinue any cash flow hedges during any of the periods presented nor does the Company anticipate any such discontinuance in the normal course of business.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Risk Management Derivatives</w:t>
      </w:r>
    </w:p>
    <w:p>
      <w:pPr>
        <w:spacing w:after="0" w:line="90" w:lineRule="exact"/>
        <w:rPr>
          <w:sz w:val="20"/>
          <w:szCs w:val="20"/>
          <w:color w:val="auto"/>
        </w:rPr>
      </w:pPr>
    </w:p>
    <w:p>
      <w:pPr>
        <w:ind w:right="640" w:firstLine="456"/>
        <w:spacing w:after="0" w:line="370" w:lineRule="auto"/>
        <w:rPr>
          <w:sz w:val="20"/>
          <w:szCs w:val="20"/>
          <w:color w:val="auto"/>
        </w:rPr>
      </w:pPr>
      <w:r>
        <w:rPr>
          <w:rFonts w:ascii="Arial" w:cs="Arial" w:eastAsia="Arial" w:hAnsi="Arial"/>
          <w:sz w:val="15"/>
          <w:szCs w:val="15"/>
          <w:color w:val="auto"/>
        </w:rPr>
        <w:t>The Company also enters into foreign currency exchange forward and option contracts that are not designated as hedging instruments under hedge accounting and are used to reduce the impact of foreign currency on certain balance sheet exposures and certain revenue and expense transactions.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These instruments are generally short-term in nature, with typical maturities of less than 12 months, and are subject to fluctuations in foreign exchange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rates.</w:t>
      </w:r>
    </w:p>
    <w:p>
      <w:pPr>
        <w:spacing w:after="0" w:line="8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effect of the Company’s derivative instruments not designated as hedging instruments in the consolidated statements of income for the fiscal years ended September 30, 2013, 2012 and 2011, respectively, which partially offsets the foreign currency impact from the underlying exposure, is summarized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7"/>
          </w:tcPr>
          <w:p>
            <w:pPr>
              <w:jc w:val="center"/>
              <w:ind w:right="43"/>
              <w:spacing w:after="0"/>
              <w:rPr>
                <w:sz w:val="20"/>
                <w:szCs w:val="20"/>
                <w:color w:val="auto"/>
              </w:rPr>
            </w:pPr>
            <w:r>
              <w:rPr>
                <w:rFonts w:ascii="Arial" w:cs="Arial" w:eastAsia="Arial" w:hAnsi="Arial"/>
                <w:sz w:val="14"/>
                <w:szCs w:val="14"/>
                <w:b w:val="1"/>
                <w:bCs w:val="1"/>
                <w:color w:val="auto"/>
                <w:w w:val="83"/>
              </w:rPr>
              <w:t>Gains (Losses)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8"/>
          </w:tcPr>
          <w:p>
            <w:pPr>
              <w:jc w:val="center"/>
              <w:spacing w:after="0" w:line="149" w:lineRule="exact"/>
              <w:rPr>
                <w:sz w:val="20"/>
                <w:szCs w:val="20"/>
                <w:color w:val="auto"/>
              </w:rPr>
            </w:pPr>
            <w:r>
              <w:rPr>
                <w:rFonts w:ascii="Arial" w:cs="Arial" w:eastAsia="Arial" w:hAnsi="Arial"/>
                <w:sz w:val="14"/>
                <w:szCs w:val="14"/>
                <w:b w:val="1"/>
                <w:bCs w:val="1"/>
                <w:color w:val="auto"/>
                <w:w w:val="85"/>
              </w:rPr>
              <w:t>Recognized in Income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gridSpan w:val="13"/>
          </w:tcPr>
          <w:p>
            <w:pPr>
              <w:jc w:val="center"/>
              <w:ind w:right="700"/>
              <w:spacing w:after="0"/>
              <w:rPr>
                <w:sz w:val="20"/>
                <w:szCs w:val="20"/>
                <w:color w:val="auto"/>
              </w:rPr>
            </w:pPr>
            <w:r>
              <w:rPr>
                <w:rFonts w:ascii="Arial" w:cs="Arial" w:eastAsia="Arial" w:hAnsi="Arial"/>
                <w:sz w:val="14"/>
                <w:szCs w:val="14"/>
                <w:b w:val="1"/>
                <w:bCs w:val="1"/>
                <w:color w:val="auto"/>
                <w:w w:val="87"/>
              </w:rPr>
              <w:t>Year Ended September 30,</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Line item in statements of income:</w:t>
            </w: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680" w:type="dxa"/>
            <w:vAlign w:val="bottom"/>
          </w:tcPr>
          <w:p>
            <w:pPr>
              <w:ind w:left="220"/>
              <w:spacing w:after="0"/>
              <w:rPr>
                <w:sz w:val="20"/>
                <w:szCs w:val="20"/>
                <w:color w:val="auto"/>
              </w:rPr>
            </w:pPr>
            <w:r>
              <w:rPr>
                <w:rFonts w:ascii="Arial" w:cs="Arial" w:eastAsia="Arial" w:hAnsi="Arial"/>
                <w:sz w:val="18"/>
                <w:szCs w:val="18"/>
                <w:color w:val="auto"/>
              </w:rPr>
              <w:t>Revenue</w:t>
            </w:r>
          </w:p>
        </w:tc>
        <w:tc>
          <w:tcPr>
            <w:tcW w:w="660" w:type="dxa"/>
            <w:vAlign w:val="bottom"/>
            <w:gridSpan w:val="3"/>
          </w:tcPr>
          <w:p>
            <w:pPr>
              <w:jc w:val="right"/>
              <w:ind w:right="2"/>
              <w:spacing w:after="0"/>
              <w:rPr>
                <w:sz w:val="20"/>
                <w:szCs w:val="20"/>
                <w:color w:val="auto"/>
              </w:rPr>
            </w:pPr>
            <w:r>
              <w:rPr>
                <w:rFonts w:ascii="Arial" w:cs="Arial" w:eastAsia="Arial" w:hAnsi="Arial"/>
                <w:sz w:val="18"/>
                <w:szCs w:val="18"/>
                <w:color w:val="auto"/>
              </w:rPr>
              <w:t>$   362</w:t>
            </w:r>
          </w:p>
        </w:tc>
        <w:tc>
          <w:tcPr>
            <w:tcW w:w="640" w:type="dxa"/>
            <w:vAlign w:val="bottom"/>
            <w:gridSpan w:val="3"/>
          </w:tcPr>
          <w:p>
            <w:pPr>
              <w:jc w:val="right"/>
              <w:ind w:right="5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18"/>
                <w:szCs w:val="18"/>
                <w:color w:val="auto"/>
                <w:w w:val="85"/>
              </w:rPr>
              <w:t>(302)</w:t>
            </w:r>
          </w:p>
        </w:tc>
        <w:tc>
          <w:tcPr>
            <w:tcW w:w="80" w:type="dxa"/>
            <w:vAlign w:val="bottom"/>
          </w:tcPr>
          <w:p>
            <w:pPr>
              <w:spacing w:after="0"/>
              <w:rPr>
                <w:sz w:val="18"/>
                <w:szCs w:val="18"/>
                <w:color w:val="auto"/>
              </w:rPr>
            </w:pPr>
          </w:p>
        </w:tc>
        <w:tc>
          <w:tcPr>
            <w:tcW w:w="820" w:type="dxa"/>
            <w:vAlign w:val="bottom"/>
            <w:gridSpan w:val="4"/>
          </w:tcPr>
          <w:p>
            <w:pPr>
              <w:jc w:val="right"/>
              <w:ind w:right="40"/>
              <w:spacing w:after="0"/>
              <w:rPr>
                <w:sz w:val="20"/>
                <w:szCs w:val="20"/>
                <w:color w:val="auto"/>
              </w:rPr>
            </w:pPr>
            <w:r>
              <w:rPr>
                <w:rFonts w:ascii="Arial" w:cs="Arial" w:eastAsia="Arial" w:hAnsi="Arial"/>
                <w:sz w:val="18"/>
                <w:szCs w:val="18"/>
                <w:color w:val="auto"/>
              </w:rPr>
              <w:t>$(2,060)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service</w:t>
            </w:r>
          </w:p>
        </w:tc>
        <w:tc>
          <w:tcPr>
            <w:tcW w:w="660" w:type="dxa"/>
            <w:vAlign w:val="bottom"/>
            <w:gridSpan w:val="3"/>
            <w:shd w:val="clear" w:color="auto" w:fill="CCEEFF"/>
          </w:tcPr>
          <w:p>
            <w:pPr>
              <w:jc w:val="right"/>
              <w:ind w:right="2"/>
              <w:spacing w:after="0"/>
              <w:rPr>
                <w:sz w:val="20"/>
                <w:szCs w:val="20"/>
                <w:color w:val="auto"/>
              </w:rPr>
            </w:pPr>
            <w:r>
              <w:rPr>
                <w:rFonts w:ascii="Arial" w:cs="Arial" w:eastAsia="Arial" w:hAnsi="Arial"/>
                <w:sz w:val="18"/>
                <w:szCs w:val="18"/>
                <w:color w:val="auto"/>
              </w:rPr>
              <w:t>4,666</w:t>
            </w:r>
          </w:p>
        </w:tc>
        <w:tc>
          <w:tcPr>
            <w:tcW w:w="1260" w:type="dxa"/>
            <w:vAlign w:val="bottom"/>
            <w:gridSpan w:val="7"/>
            <w:shd w:val="clear" w:color="auto" w:fill="CCEEFF"/>
          </w:tcPr>
          <w:p>
            <w:pPr>
              <w:jc w:val="right"/>
              <w:ind w:right="220"/>
              <w:spacing w:after="0"/>
              <w:rPr>
                <w:sz w:val="20"/>
                <w:szCs w:val="20"/>
                <w:color w:val="auto"/>
              </w:rPr>
            </w:pPr>
            <w:r>
              <w:rPr>
                <w:rFonts w:ascii="Arial" w:cs="Arial" w:eastAsia="Arial" w:hAnsi="Arial"/>
                <w:sz w:val="18"/>
                <w:szCs w:val="18"/>
                <w:color w:val="auto"/>
              </w:rPr>
              <w:t>(1,548)</w:t>
            </w:r>
          </w:p>
        </w:tc>
        <w:tc>
          <w:tcPr>
            <w:tcW w:w="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68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660" w:type="dxa"/>
            <w:vAlign w:val="bottom"/>
            <w:gridSpan w:val="3"/>
          </w:tcPr>
          <w:p>
            <w:pPr>
              <w:jc w:val="right"/>
              <w:ind w:right="2"/>
              <w:spacing w:after="0"/>
              <w:rPr>
                <w:sz w:val="20"/>
                <w:szCs w:val="20"/>
                <w:color w:val="auto"/>
              </w:rPr>
            </w:pPr>
            <w:r>
              <w:rPr>
                <w:rFonts w:ascii="Arial" w:cs="Arial" w:eastAsia="Arial" w:hAnsi="Arial"/>
                <w:sz w:val="18"/>
                <w:szCs w:val="18"/>
                <w:color w:val="auto"/>
              </w:rPr>
              <w:t>1,136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18"/>
                <w:szCs w:val="18"/>
                <w:color w:val="auto"/>
                <w:w w:val="85"/>
              </w:rPr>
              <w:t>(319)</w:t>
            </w:r>
          </w:p>
        </w:tc>
        <w:tc>
          <w:tcPr>
            <w:tcW w:w="80" w:type="dxa"/>
            <w:vAlign w:val="bottom"/>
          </w:tcPr>
          <w:p>
            <w:pPr>
              <w:spacing w:after="0"/>
              <w:rPr>
                <w:sz w:val="18"/>
                <w:szCs w:val="18"/>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660" w:type="dxa"/>
            <w:vAlign w:val="bottom"/>
            <w:gridSpan w:val="3"/>
            <w:shd w:val="clear" w:color="auto" w:fill="CCEEFF"/>
          </w:tcPr>
          <w:p>
            <w:pPr>
              <w:jc w:val="right"/>
              <w:ind w:right="2"/>
              <w:spacing w:after="0"/>
              <w:rPr>
                <w:sz w:val="20"/>
                <w:szCs w:val="20"/>
                <w:color w:val="auto"/>
              </w:rPr>
            </w:pPr>
            <w:r>
              <w:rPr>
                <w:rFonts w:ascii="Arial" w:cs="Arial" w:eastAsia="Arial" w:hAnsi="Arial"/>
                <w:sz w:val="18"/>
                <w:szCs w:val="18"/>
                <w:color w:val="auto"/>
              </w:rPr>
              <w:t>1,276</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5"/>
              </w:rPr>
              <w:t>(518)</w:t>
            </w:r>
          </w:p>
        </w:tc>
        <w:tc>
          <w:tcPr>
            <w:tcW w:w="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680" w:type="dxa"/>
            <w:vAlign w:val="bottom"/>
          </w:tcPr>
          <w:p>
            <w:pPr>
              <w:ind w:left="220"/>
              <w:spacing w:after="0"/>
              <w:rPr>
                <w:sz w:val="20"/>
                <w:szCs w:val="20"/>
                <w:color w:val="auto"/>
              </w:rPr>
            </w:pPr>
            <w:r>
              <w:rPr>
                <w:rFonts w:ascii="Arial" w:cs="Arial" w:eastAsia="Arial" w:hAnsi="Arial"/>
                <w:sz w:val="18"/>
                <w:szCs w:val="18"/>
                <w:color w:val="auto"/>
              </w:rPr>
              <w:t>Interest and other expense, net</w:t>
            </w:r>
          </w:p>
        </w:tc>
        <w:tc>
          <w:tcPr>
            <w:tcW w:w="660" w:type="dxa"/>
            <w:vAlign w:val="bottom"/>
            <w:gridSpan w:val="3"/>
          </w:tcPr>
          <w:p>
            <w:pPr>
              <w:jc w:val="right"/>
              <w:ind w:right="2"/>
              <w:spacing w:after="0"/>
              <w:rPr>
                <w:sz w:val="20"/>
                <w:szCs w:val="20"/>
                <w:color w:val="auto"/>
              </w:rPr>
            </w:pPr>
            <w:r>
              <w:rPr>
                <w:rFonts w:ascii="Arial" w:cs="Arial" w:eastAsia="Arial" w:hAnsi="Arial"/>
                <w:sz w:val="18"/>
                <w:szCs w:val="18"/>
                <w:color w:val="auto"/>
              </w:rPr>
              <w:t>4,145</w:t>
            </w:r>
          </w:p>
        </w:tc>
        <w:tc>
          <w:tcPr>
            <w:tcW w:w="1260" w:type="dxa"/>
            <w:vAlign w:val="bottom"/>
            <w:gridSpan w:val="7"/>
          </w:tcPr>
          <w:p>
            <w:pPr>
              <w:jc w:val="right"/>
              <w:ind w:right="220"/>
              <w:spacing w:after="0"/>
              <w:rPr>
                <w:sz w:val="20"/>
                <w:szCs w:val="20"/>
                <w:color w:val="auto"/>
              </w:rPr>
            </w:pPr>
            <w:r>
              <w:rPr>
                <w:rFonts w:ascii="Arial" w:cs="Arial" w:eastAsia="Arial" w:hAnsi="Arial"/>
                <w:sz w:val="18"/>
                <w:szCs w:val="18"/>
                <w:color w:val="auto"/>
              </w:rPr>
              <w:t>(1,250)</w:t>
            </w:r>
          </w:p>
        </w:tc>
        <w:tc>
          <w:tcPr>
            <w:tcW w:w="80" w:type="dxa"/>
            <w:vAlign w:val="bottom"/>
          </w:tcPr>
          <w:p>
            <w:pPr>
              <w:spacing w:after="0"/>
              <w:rPr>
                <w:sz w:val="18"/>
                <w:szCs w:val="18"/>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1,713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506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0"/>
        </w:trPr>
        <w:tc>
          <w:tcPr>
            <w:tcW w:w="8140" w:type="dxa"/>
            <w:vAlign w:val="bottom"/>
            <w:gridSpan w:val="2"/>
            <w:vMerge w:val="restart"/>
          </w:tcPr>
          <w:p>
            <w:pPr>
              <w:ind w:left="460"/>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140" w:type="dxa"/>
            <w:vAlign w:val="bottom"/>
            <w:gridSpan w:val="2"/>
            <w:vMerge w:val="continue"/>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10,406</w:t>
            </w:r>
          </w:p>
        </w:tc>
        <w:tc>
          <w:tcPr>
            <w:tcW w:w="80" w:type="dxa"/>
            <w:vAlign w:val="bottom"/>
          </w:tcPr>
          <w:p>
            <w:pPr>
              <w:spacing w:after="0"/>
              <w:rPr>
                <w:sz w:val="19"/>
                <w:szCs w:val="19"/>
                <w:color w:val="auto"/>
              </w:rPr>
            </w:pPr>
          </w:p>
        </w:tc>
        <w:tc>
          <w:tcPr>
            <w:tcW w:w="1260" w:type="dxa"/>
            <w:vAlign w:val="bottom"/>
            <w:gridSpan w:val="7"/>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(3,431)</w:t>
            </w:r>
          </w:p>
        </w:tc>
        <w:tc>
          <w:tcPr>
            <w:tcW w:w="80" w:type="dxa"/>
            <w:vAlign w:val="bottom"/>
          </w:tcPr>
          <w:p>
            <w:pPr>
              <w:spacing w:after="0"/>
              <w:rPr>
                <w:sz w:val="19"/>
                <w:szCs w:val="19"/>
                <w:color w:val="auto"/>
              </w:rPr>
            </w:pPr>
          </w:p>
        </w:tc>
        <w:tc>
          <w:tcPr>
            <w:tcW w:w="820" w:type="dxa"/>
            <w:vAlign w:val="bottom"/>
            <w:gridSpan w:val="4"/>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(2,062)</w:t>
            </w:r>
          </w:p>
        </w:tc>
        <w:tc>
          <w:tcPr>
            <w:tcW w:w="0" w:type="dxa"/>
            <w:vAlign w:val="bottom"/>
          </w:tcPr>
          <w:p>
            <w:pPr>
              <w:spacing w:after="0"/>
              <w:rPr>
                <w:sz w:val="1"/>
                <w:szCs w:val="1"/>
                <w:color w:val="auto"/>
              </w:rPr>
            </w:pPr>
          </w:p>
        </w:tc>
      </w:tr>
      <w:tr>
        <w:trPr>
          <w:trHeight w:val="20"/>
        </w:trPr>
        <w:tc>
          <w:tcPr>
            <w:tcW w:w="8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7 — Accounts Receivable, Net</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14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140" w:type="dxa"/>
            <w:vAlign w:val="bottom"/>
            <w:gridSpan w:val="2"/>
          </w:tcPr>
          <w:p>
            <w:pPr>
              <w:ind w:left="460"/>
              <w:spacing w:after="0"/>
              <w:rPr>
                <w:sz w:val="20"/>
                <w:szCs w:val="20"/>
                <w:color w:val="auto"/>
              </w:rPr>
            </w:pPr>
            <w:r>
              <w:rPr>
                <w:rFonts w:ascii="Arial" w:cs="Arial" w:eastAsia="Arial" w:hAnsi="Arial"/>
                <w:sz w:val="18"/>
                <w:szCs w:val="18"/>
                <w:color w:val="auto"/>
              </w:rPr>
              <w:t>Accounts receivable, net consists of the following:</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46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gridSpan w:val="10"/>
          </w:tcPr>
          <w:p>
            <w:pPr>
              <w:jc w:val="right"/>
              <w:ind w:right="460"/>
              <w:spacing w:after="0"/>
              <w:rPr>
                <w:sz w:val="20"/>
                <w:szCs w:val="20"/>
                <w:color w:val="auto"/>
              </w:rPr>
            </w:pPr>
            <w:r>
              <w:rPr>
                <w:rFonts w:ascii="Arial" w:cs="Arial" w:eastAsia="Arial" w:hAnsi="Arial"/>
                <w:sz w:val="14"/>
                <w:szCs w:val="14"/>
                <w:b w:val="1"/>
                <w:bCs w:val="1"/>
                <w:color w:val="auto"/>
                <w:w w:val="92"/>
              </w:rPr>
              <w:t>As of September 30,</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Borders>
              <w:top w:val="single" w:sz="8" w:color="auto"/>
            </w:tcBorders>
            <w:gridSpan w:val="3"/>
          </w:tcPr>
          <w:p>
            <w:pPr>
              <w:ind w:left="200"/>
              <w:spacing w:after="0" w:line="142" w:lineRule="exact"/>
              <w:rPr>
                <w:sz w:val="20"/>
                <w:szCs w:val="20"/>
                <w:color w:val="auto"/>
              </w:rPr>
            </w:pPr>
            <w:r>
              <w:rPr>
                <w:rFonts w:ascii="Arial" w:cs="Arial" w:eastAsia="Arial" w:hAnsi="Arial"/>
                <w:sz w:val="14"/>
                <w:szCs w:val="14"/>
                <w:b w:val="1"/>
                <w:bCs w:val="1"/>
                <w:color w:val="auto"/>
                <w:w w:val="83"/>
              </w:rPr>
              <w:t>2013</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6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Accounts receivable — billed</w:t>
            </w: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7"/>
              </w:rPr>
              <w:t>$587,928</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$573,090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Accounts receivable — unbilled</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6"/>
          </w:tcPr>
          <w:p>
            <w:pPr>
              <w:jc w:val="right"/>
              <w:ind w:right="120"/>
              <w:spacing w:after="0"/>
              <w:rPr>
                <w:sz w:val="20"/>
                <w:szCs w:val="20"/>
                <w:color w:val="auto"/>
              </w:rPr>
            </w:pPr>
            <w:r>
              <w:rPr>
                <w:rFonts w:ascii="Arial" w:cs="Arial" w:eastAsia="Arial" w:hAnsi="Arial"/>
                <w:sz w:val="18"/>
                <w:szCs w:val="18"/>
                <w:color w:val="auto"/>
              </w:rPr>
              <w:t>110,626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130,697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Less — allowances</w:t>
            </w:r>
          </w:p>
        </w:tc>
        <w:tc>
          <w:tcPr>
            <w:tcW w:w="5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(20,335)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(16,564)</w:t>
            </w:r>
          </w:p>
        </w:tc>
        <w:tc>
          <w:tcPr>
            <w:tcW w:w="0" w:type="dxa"/>
            <w:vAlign w:val="bottom"/>
          </w:tcPr>
          <w:p>
            <w:pPr>
              <w:spacing w:after="0"/>
              <w:rPr>
                <w:sz w:val="1"/>
                <w:szCs w:val="1"/>
                <w:color w:val="auto"/>
              </w:rPr>
            </w:pPr>
          </w:p>
        </w:tc>
      </w:tr>
      <w:tr>
        <w:trPr>
          <w:trHeight w:val="20"/>
        </w:trPr>
        <w:tc>
          <w:tcPr>
            <w:tcW w:w="8140" w:type="dxa"/>
            <w:vAlign w:val="bottom"/>
            <w:gridSpan w:val="2"/>
            <w:vMerge w:val="restart"/>
          </w:tcPr>
          <w:p>
            <w:pPr>
              <w:ind w:left="460"/>
              <w:spacing w:after="0"/>
              <w:rPr>
                <w:sz w:val="20"/>
                <w:szCs w:val="20"/>
                <w:color w:val="auto"/>
              </w:rPr>
            </w:pPr>
            <w:r>
              <w:rPr>
                <w:rFonts w:ascii="Arial" w:cs="Arial" w:eastAsia="Arial" w:hAnsi="Arial"/>
                <w:sz w:val="18"/>
                <w:szCs w:val="18"/>
                <w:color w:val="auto"/>
              </w:rPr>
              <w:t>Accounts receivable, net</w:t>
            </w: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140" w:type="dxa"/>
            <w:vAlign w:val="bottom"/>
            <w:gridSpan w:val="2"/>
            <w:vMerge w:val="continue"/>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6"/>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678,219</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687,223</w:t>
            </w:r>
          </w:p>
        </w:tc>
        <w:tc>
          <w:tcPr>
            <w:tcW w:w="0" w:type="dxa"/>
            <w:vAlign w:val="bottom"/>
          </w:tcPr>
          <w:p>
            <w:pPr>
              <w:spacing w:after="0"/>
              <w:rPr>
                <w:sz w:val="1"/>
                <w:szCs w:val="1"/>
                <w:color w:val="auto"/>
              </w:rPr>
            </w:pPr>
          </w:p>
        </w:tc>
      </w:tr>
      <w:tr>
        <w:trPr>
          <w:trHeight w:val="20"/>
        </w:trPr>
        <w:tc>
          <w:tcPr>
            <w:tcW w:w="8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8 — Equipment and Leasehold Improvements, Net</w:t>
            </w: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14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140" w:type="dxa"/>
            <w:vAlign w:val="bottom"/>
            <w:gridSpan w:val="2"/>
          </w:tcPr>
          <w:p>
            <w:pPr>
              <w:ind w:left="460"/>
              <w:spacing w:after="0"/>
              <w:rPr>
                <w:sz w:val="20"/>
                <w:szCs w:val="20"/>
                <w:color w:val="auto"/>
              </w:rPr>
            </w:pPr>
            <w:r>
              <w:rPr>
                <w:rFonts w:ascii="Arial" w:cs="Arial" w:eastAsia="Arial" w:hAnsi="Arial"/>
                <w:sz w:val="18"/>
                <w:szCs w:val="18"/>
                <w:color w:val="auto"/>
              </w:rPr>
              <w:t>Components of equipment and leasehold improvements, net are:</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46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gridSpan w:val="11"/>
          </w:tcPr>
          <w:p>
            <w:pPr>
              <w:ind w:left="180"/>
              <w:spacing w:after="0"/>
              <w:rPr>
                <w:sz w:val="20"/>
                <w:szCs w:val="20"/>
                <w:color w:val="auto"/>
              </w:rPr>
            </w:pPr>
            <w:r>
              <w:rPr>
                <w:rFonts w:ascii="Arial" w:cs="Arial" w:eastAsia="Arial" w:hAnsi="Arial"/>
                <w:sz w:val="14"/>
                <w:szCs w:val="14"/>
                <w:b w:val="1"/>
                <w:bCs w:val="1"/>
                <w:color w:val="auto"/>
              </w:rPr>
              <w:t>As of September 30,</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68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Computer equipment</w:t>
            </w:r>
          </w:p>
        </w:tc>
        <w:tc>
          <w:tcPr>
            <w:tcW w:w="580" w:type="dxa"/>
            <w:vAlign w:val="bottom"/>
            <w:tcBorders>
              <w:right w:val="single" w:sz="8" w:color="CCEEFF"/>
            </w:tcBorders>
            <w:gridSpan w:val="2"/>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77"/>
              </w:rPr>
              <w:t>$1,020,643</w:t>
            </w:r>
          </w:p>
        </w:tc>
        <w:tc>
          <w:tcPr>
            <w:tcW w:w="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967,381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5"/>
              </w:rPr>
              <w:t>189,655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174,568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other</w:t>
            </w:r>
          </w:p>
        </w:tc>
        <w:tc>
          <w:tcPr>
            <w:tcW w:w="5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63,158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59,972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7680" w:type="dxa"/>
            <w:vAlign w:val="bottom"/>
          </w:tcPr>
          <w:p>
            <w:pPr>
              <w:spacing w:after="0"/>
              <w:rPr>
                <w:sz w:val="19"/>
                <w:szCs w:val="19"/>
                <w:color w:val="auto"/>
              </w:rPr>
            </w:pPr>
          </w:p>
        </w:tc>
        <w:tc>
          <w:tcPr>
            <w:tcW w:w="1300" w:type="dxa"/>
            <w:vAlign w:val="bottom"/>
            <w:gridSpan w:val="6"/>
          </w:tcPr>
          <w:p>
            <w:pPr>
              <w:jc w:val="right"/>
              <w:spacing w:after="0"/>
              <w:rPr>
                <w:sz w:val="20"/>
                <w:szCs w:val="20"/>
                <w:color w:val="auto"/>
              </w:rPr>
            </w:pPr>
            <w:r>
              <w:rPr>
                <w:rFonts w:ascii="Arial" w:cs="Arial" w:eastAsia="Arial" w:hAnsi="Arial"/>
                <w:sz w:val="18"/>
                <w:szCs w:val="18"/>
                <w:color w:val="auto"/>
              </w:rPr>
              <w:t>1,273,456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w w:val="87"/>
              </w:rPr>
              <w:t>1,201,921</w:t>
            </w: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5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72"/>
              <w:spacing w:after="0"/>
              <w:rPr>
                <w:sz w:val="20"/>
                <w:szCs w:val="20"/>
                <w:color w:val="auto"/>
              </w:rPr>
            </w:pPr>
            <w:r>
              <w:rPr>
                <w:rFonts w:ascii="Arial" w:cs="Arial" w:eastAsia="Arial" w:hAnsi="Arial"/>
                <w:sz w:val="18"/>
                <w:szCs w:val="18"/>
                <w:color w:val="auto"/>
                <w:w w:val="88"/>
              </w:rPr>
              <w:t>(997,912)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8"/>
              </w:rPr>
              <w:t>(924,014)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7680" w:type="dxa"/>
            <w:vAlign w:val="bottom"/>
          </w:tcPr>
          <w:p>
            <w:pPr>
              <w:spacing w:after="0"/>
              <w:rPr>
                <w:sz w:val="19"/>
                <w:szCs w:val="19"/>
                <w:color w:val="auto"/>
              </w:rPr>
            </w:pPr>
          </w:p>
        </w:tc>
        <w:tc>
          <w:tcPr>
            <w:tcW w:w="660" w:type="dxa"/>
            <w:vAlign w:val="bottom"/>
            <w:gridSpan w:val="3"/>
          </w:tcPr>
          <w:p>
            <w:pPr>
              <w:jc w:val="right"/>
              <w:ind w:right="2"/>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5"/>
              </w:rPr>
              <w:t>275,544</w:t>
            </w:r>
          </w:p>
        </w:tc>
        <w:tc>
          <w:tcPr>
            <w:tcW w:w="20" w:type="dxa"/>
            <w:vAlign w:val="bottom"/>
          </w:tcPr>
          <w:p>
            <w:pPr>
              <w:spacing w:after="0"/>
              <w:rPr>
                <w:sz w:val="19"/>
                <w:szCs w:val="19"/>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277,907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Total depreciation expense on equipment and leasehold improvements for fiscal years 2013, 2012 and 2011, was $104,624, $107,470 and $113,910, respectively.</w:t>
      </w:r>
    </w:p>
    <w:p>
      <w:pPr>
        <w:spacing w:after="0" w:line="11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060"/>
          </w:cols>
          <w:pgMar w:left="240" w:top="459" w:right="5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September 30, 2013 and 2012, the unamortized software assets developed for internal use were $68,255 and $57,960, respectively.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000" w:type="dxa"/>
            <w:vAlign w:val="bottom"/>
            <w:gridSpan w:val="3"/>
          </w:tcPr>
          <w:p>
            <w:pPr>
              <w:spacing w:after="0"/>
              <w:rPr>
                <w:sz w:val="20"/>
                <w:szCs w:val="20"/>
                <w:color w:val="auto"/>
              </w:rPr>
            </w:pPr>
            <w:r>
              <w:rPr>
                <w:rFonts w:ascii="Arial" w:cs="Arial" w:eastAsia="Arial" w:hAnsi="Arial"/>
                <w:sz w:val="18"/>
                <w:szCs w:val="18"/>
                <w:b w:val="1"/>
                <w:bCs w:val="1"/>
                <w:color w:val="auto"/>
              </w:rPr>
              <w:t>Note 9 — Goodwill and Intangible Assets, Net</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0000" w:type="dxa"/>
            <w:vAlign w:val="bottom"/>
            <w:gridSpan w:val="3"/>
          </w:tcPr>
          <w:p>
            <w:pPr>
              <w:ind w:left="460"/>
              <w:spacing w:after="0"/>
              <w:rPr>
                <w:sz w:val="20"/>
                <w:szCs w:val="20"/>
                <w:color w:val="auto"/>
              </w:rPr>
            </w:pPr>
            <w:r>
              <w:rPr>
                <w:rFonts w:ascii="Arial" w:cs="Arial" w:eastAsia="Arial" w:hAnsi="Arial"/>
                <w:sz w:val="18"/>
                <w:szCs w:val="18"/>
                <w:color w:val="auto"/>
              </w:rPr>
              <w:t>The following table presents details of the Company’s total goodwill:</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460" w:type="dxa"/>
            <w:vAlign w:val="bottom"/>
            <w:vMerge w:val="restart"/>
          </w:tcPr>
          <w:p>
            <w:pPr>
              <w:spacing w:after="0"/>
              <w:rPr>
                <w:sz w:val="13"/>
                <w:szCs w:val="13"/>
                <w:color w:val="auto"/>
              </w:rPr>
            </w:pPr>
          </w:p>
        </w:tc>
        <w:tc>
          <w:tcPr>
            <w:tcW w:w="1040" w:type="dxa"/>
            <w:vAlign w:val="bottom"/>
          </w:tcPr>
          <w:p>
            <w:pPr>
              <w:spacing w:after="0"/>
              <w:rPr>
                <w:sz w:val="13"/>
                <w:szCs w:val="13"/>
                <w:color w:val="auto"/>
              </w:rPr>
            </w:pPr>
          </w:p>
        </w:tc>
        <w:tc>
          <w:tcPr>
            <w:tcW w:w="8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of October 1, 2011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$ 1,739,732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of September 30, 2012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1,741,786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rPr>
              <w:t>Goodwill resulting from an immaterial acquisition(1)</w:t>
            </w:r>
          </w:p>
        </w:tc>
        <w:tc>
          <w:tcPr>
            <w:tcW w:w="840" w:type="dxa"/>
            <w:vAlign w:val="bottom"/>
          </w:tcPr>
          <w:p>
            <w:pPr>
              <w:jc w:val="right"/>
              <w:spacing w:after="0"/>
              <w:rPr>
                <w:sz w:val="20"/>
                <w:szCs w:val="20"/>
                <w:color w:val="auto"/>
              </w:rPr>
            </w:pPr>
            <w:r>
              <w:rPr>
                <w:rFonts w:ascii="Arial" w:cs="Arial" w:eastAsia="Arial" w:hAnsi="Arial"/>
                <w:sz w:val="18"/>
                <w:szCs w:val="18"/>
                <w:color w:val="auto"/>
              </w:rPr>
              <w:t>80,193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(3,645)</w:t>
            </w:r>
          </w:p>
        </w:tc>
        <w:tc>
          <w:tcPr>
            <w:tcW w:w="0" w:type="dxa"/>
            <w:vAlign w:val="bottom"/>
          </w:tcPr>
          <w:p>
            <w:pPr>
              <w:spacing w:after="0"/>
              <w:rPr>
                <w:sz w:val="1"/>
                <w:szCs w:val="1"/>
                <w:color w:val="auto"/>
              </w:rPr>
            </w:pPr>
          </w:p>
        </w:tc>
      </w:tr>
      <w:tr>
        <w:trPr>
          <w:trHeight w:val="222"/>
        </w:trPr>
        <w:tc>
          <w:tcPr>
            <w:tcW w:w="10000" w:type="dxa"/>
            <w:vAlign w:val="bottom"/>
            <w:gridSpan w:val="3"/>
          </w:tcPr>
          <w:p>
            <w:pPr>
              <w:ind w:left="460"/>
              <w:spacing w:after="0"/>
              <w:rPr>
                <w:sz w:val="20"/>
                <w:szCs w:val="20"/>
                <w:color w:val="auto"/>
              </w:rPr>
            </w:pPr>
            <w:r>
              <w:rPr>
                <w:rFonts w:ascii="Arial" w:cs="Arial" w:eastAsia="Arial" w:hAnsi="Arial"/>
                <w:sz w:val="18"/>
                <w:szCs w:val="18"/>
                <w:color w:val="auto"/>
              </w:rPr>
              <w:t>As of September 30, 2013</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$ 1,818,334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8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306" w:lineRule="auto"/>
        <w:tabs>
          <w:tab w:leader="none" w:pos="4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 allocating the total preliminary purchase price of Actix, based on estimated fair values, the Company recorded $80,193 of goodwill, $2,700 of in-process research and development (indefinite life), $27,200 of core technology amortized over approximately four years, $19,500 of customer relationships amortized over approximately four years and $2,200 of other intangible assets amortized over approximately five years.</w:t>
      </w:r>
    </w:p>
    <w:p>
      <w:pPr>
        <w:spacing w:after="0" w:line="25"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The following table presents details regarding the Company’s total definite-lived purchased intangible assets: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Estimated</w:t>
            </w: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240" w:type="dxa"/>
            <w:vAlign w:val="bottom"/>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Useful Life</w:t>
            </w: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24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(in years)</w:t>
            </w:r>
          </w:p>
        </w:tc>
        <w:tc>
          <w:tcPr>
            <w:tcW w:w="660" w:type="dxa"/>
            <w:vAlign w:val="bottom"/>
          </w:tcPr>
          <w:p>
            <w:pPr>
              <w:jc w:val="right"/>
              <w:ind w:right="74"/>
              <w:spacing w:after="0"/>
              <w:rPr>
                <w:sz w:val="20"/>
                <w:szCs w:val="20"/>
                <w:color w:val="auto"/>
              </w:rPr>
            </w:pPr>
            <w:r>
              <w:rPr>
                <w:rFonts w:ascii="Arial" w:cs="Arial" w:eastAsia="Arial" w:hAnsi="Arial"/>
                <w:sz w:val="14"/>
                <w:szCs w:val="14"/>
                <w:b w:val="1"/>
                <w:bCs w:val="1"/>
                <w:color w:val="auto"/>
              </w:rPr>
              <w:t>Gross</w:t>
            </w:r>
          </w:p>
        </w:tc>
        <w:tc>
          <w:tcPr>
            <w:tcW w:w="44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8"/>
              </w:rPr>
              <w:t>Amortization</w:t>
            </w:r>
          </w:p>
        </w:tc>
        <w:tc>
          <w:tcPr>
            <w:tcW w:w="80" w:type="dxa"/>
            <w:vAlign w:val="bottom"/>
          </w:tcPr>
          <w:p>
            <w:pPr>
              <w:spacing w:after="0"/>
              <w:rPr>
                <w:sz w:val="14"/>
                <w:szCs w:val="14"/>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6"/>
        </w:trPr>
        <w:tc>
          <w:tcPr>
            <w:tcW w:w="7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September 30, 2013</w:t>
            </w:r>
          </w:p>
        </w:tc>
        <w:tc>
          <w:tcPr>
            <w:tcW w:w="6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Core technology</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4-8</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$408,256</w:t>
            </w:r>
          </w:p>
        </w:tc>
        <w:tc>
          <w:tcPr>
            <w:tcW w:w="1680" w:type="dxa"/>
            <w:vAlign w:val="bottom"/>
            <w:gridSpan w:val="3"/>
          </w:tcPr>
          <w:p>
            <w:pPr>
              <w:jc w:val="right"/>
              <w:ind w:right="400"/>
              <w:spacing w:after="0"/>
              <w:rPr>
                <w:sz w:val="20"/>
                <w:szCs w:val="20"/>
                <w:color w:val="auto"/>
              </w:rPr>
            </w:pPr>
            <w:r>
              <w:rPr>
                <w:rFonts w:ascii="Arial" w:cs="Arial" w:eastAsia="Arial" w:hAnsi="Arial"/>
                <w:sz w:val="18"/>
                <w:szCs w:val="18"/>
                <w:color w:val="auto"/>
              </w:rPr>
              <w:t>$ (344,251)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64,005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346,707</w:t>
            </w:r>
          </w:p>
        </w:tc>
        <w:tc>
          <w:tcPr>
            <w:tcW w:w="16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(267,252)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Intellectual property rights and purchased computer software</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51,996</w:t>
            </w:r>
          </w:p>
        </w:tc>
        <w:tc>
          <w:tcPr>
            <w:tcW w:w="1680" w:type="dxa"/>
            <w:vAlign w:val="bottom"/>
            <w:gridSpan w:val="3"/>
          </w:tcPr>
          <w:p>
            <w:pPr>
              <w:jc w:val="right"/>
              <w:ind w:right="400"/>
              <w:spacing w:after="0"/>
              <w:rPr>
                <w:sz w:val="20"/>
                <w:szCs w:val="20"/>
                <w:color w:val="auto"/>
              </w:rPr>
            </w:pPr>
            <w:r>
              <w:rPr>
                <w:rFonts w:ascii="Arial" w:cs="Arial" w:eastAsia="Arial" w:hAnsi="Arial"/>
                <w:sz w:val="18"/>
                <w:szCs w:val="18"/>
                <w:color w:val="auto"/>
              </w:rPr>
              <w:t>(51,996)</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25,282</w:t>
            </w: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(14,716)</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4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832,241</w:t>
            </w:r>
          </w:p>
        </w:tc>
        <w:tc>
          <w:tcPr>
            <w:tcW w:w="440" w:type="dxa"/>
            <w:vAlign w:val="bottom"/>
          </w:tcPr>
          <w:p>
            <w:pPr>
              <w:spacing w:after="0"/>
              <w:rPr>
                <w:sz w:val="19"/>
                <w:szCs w:val="19"/>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 (678,215)</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154,026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September 30, 2012</w:t>
            </w: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Core technology</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4-8</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$381,056</w:t>
            </w:r>
          </w:p>
        </w:tc>
        <w:tc>
          <w:tcPr>
            <w:tcW w:w="1680" w:type="dxa"/>
            <w:vAlign w:val="bottom"/>
            <w:gridSpan w:val="3"/>
          </w:tcPr>
          <w:p>
            <w:pPr>
              <w:jc w:val="right"/>
              <w:ind w:right="400"/>
              <w:spacing w:after="0"/>
              <w:rPr>
                <w:sz w:val="20"/>
                <w:szCs w:val="20"/>
                <w:color w:val="auto"/>
              </w:rPr>
            </w:pPr>
            <w:r>
              <w:rPr>
                <w:rFonts w:ascii="Arial" w:cs="Arial" w:eastAsia="Arial" w:hAnsi="Arial"/>
                <w:sz w:val="18"/>
                <w:szCs w:val="18"/>
                <w:color w:val="auto"/>
              </w:rPr>
              <w:t>$ (332,322)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48,734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6-15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327,207</w:t>
            </w:r>
          </w:p>
        </w:tc>
        <w:tc>
          <w:tcPr>
            <w:tcW w:w="16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(245,119)</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Intellectual property rights and purchased computer software</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51,996</w:t>
            </w:r>
          </w:p>
        </w:tc>
        <w:tc>
          <w:tcPr>
            <w:tcW w:w="1680" w:type="dxa"/>
            <w:vAlign w:val="bottom"/>
            <w:gridSpan w:val="3"/>
          </w:tcPr>
          <w:p>
            <w:pPr>
              <w:jc w:val="right"/>
              <w:ind w:right="400"/>
              <w:spacing w:after="0"/>
              <w:rPr>
                <w:sz w:val="20"/>
                <w:szCs w:val="20"/>
                <w:color w:val="auto"/>
              </w:rPr>
            </w:pPr>
            <w:r>
              <w:rPr>
                <w:rFonts w:ascii="Arial" w:cs="Arial" w:eastAsia="Arial" w:hAnsi="Arial"/>
                <w:sz w:val="18"/>
                <w:szCs w:val="18"/>
                <w:color w:val="auto"/>
              </w:rPr>
              <w:t>(51,996)</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23,082</w:t>
            </w: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(12,626)</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4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783,341</w:t>
            </w:r>
          </w:p>
        </w:tc>
        <w:tc>
          <w:tcPr>
            <w:tcW w:w="440" w:type="dxa"/>
            <w:vAlign w:val="bottom"/>
          </w:tcPr>
          <w:p>
            <w:pPr>
              <w:spacing w:after="0"/>
              <w:rPr>
                <w:sz w:val="19"/>
                <w:szCs w:val="19"/>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 (642,063)</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141,278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following table presents the amortization expense of the Company’s definite-lived purchased intangible assets, included in each financial statement caption reported in the consolidated statements of income:</w:t>
      </w:r>
    </w:p>
    <w:p>
      <w:pPr>
        <w:spacing w:after="0" w:line="11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87"/>
              </w:rPr>
              <w:t>Year Ended September 30,</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560" w:type="dxa"/>
            <w:vAlign w:val="bottom"/>
            <w:tcBorders>
              <w:bottom w:val="single" w:sz="8" w:color="CCEEFF"/>
            </w:tcBorders>
          </w:tcPr>
          <w:p>
            <w:pPr>
              <w:spacing w:after="0"/>
              <w:rPr>
                <w:sz w:val="12"/>
                <w:szCs w:val="12"/>
                <w:color w:val="auto"/>
              </w:rPr>
            </w:pPr>
          </w:p>
        </w:tc>
        <w:tc>
          <w:tcPr>
            <w:tcW w:w="30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2013</w:t>
            </w:r>
          </w:p>
        </w:tc>
        <w:tc>
          <w:tcPr>
            <w:tcW w:w="2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2012</w:t>
            </w: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service</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9"/>
              </w:rPr>
              <w:t>Amortization of definite-lived purchased intangible assets</w:t>
            </w:r>
          </w:p>
        </w:tc>
        <w:tc>
          <w:tcPr>
            <w:tcW w:w="3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34,543</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50,535</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65,958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36,152</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52,144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67,567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160" w:type="dxa"/>
            <w:vAlign w:val="bottom"/>
            <w:gridSpan w:val="2"/>
          </w:tcPr>
          <w:p>
            <w:pPr>
              <w:jc w:val="right"/>
              <w:ind w:right="2243"/>
              <w:spacing w:after="0"/>
              <w:rPr>
                <w:sz w:val="20"/>
                <w:szCs w:val="20"/>
                <w:color w:val="auto"/>
              </w:rPr>
            </w:pPr>
            <w:r>
              <w:rPr>
                <w:rFonts w:ascii="Arial" w:cs="Arial" w:eastAsia="Arial" w:hAnsi="Arial"/>
                <w:sz w:val="18"/>
                <w:szCs w:val="18"/>
                <w:color w:val="auto"/>
              </w:rPr>
              <w:t>F-24</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 performs an annual goodwill impairment test during the fourth quarter of each fiscal year, or more frequently if impairment indicators are present. The Company operates in one operating segment, and this segment comprises its only reporting unit. In calculating the fair value of the reporting unit, the Company uses its market capitalization and a discounted cash flow methodology. There was no impairment of goodwill in fiscal 2013, 2012 and 2011.</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estimated future amortization expense of definite-lived purchased intangible assets as of September 30, 2013 is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8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Fiscal year:</w:t>
            </w:r>
          </w:p>
        </w:tc>
        <w:tc>
          <w:tcPr>
            <w:tcW w:w="6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2014</w:t>
            </w: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37,425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2016</w:t>
            </w: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29,521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2018</w:t>
            </w: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16,855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900" w:type="dxa"/>
            <w:vAlign w:val="bottom"/>
            <w:gridSpan w:val="2"/>
          </w:tcPr>
          <w:p>
            <w:pPr>
              <w:ind w:left="460"/>
              <w:spacing w:after="0"/>
              <w:rPr>
                <w:sz w:val="20"/>
                <w:szCs w:val="20"/>
                <w:color w:val="auto"/>
              </w:rPr>
            </w:pPr>
            <w:r>
              <w:rPr>
                <w:rFonts w:ascii="Arial" w:cs="Arial" w:eastAsia="Arial" w:hAnsi="Arial"/>
                <w:sz w:val="18"/>
                <w:szCs w:val="18"/>
                <w:color w:val="auto"/>
              </w:rPr>
              <w:t>Total</w:t>
            </w: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154,026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10 — Other Noncurrent Assets</w:t>
            </w: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90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900" w:type="dxa"/>
            <w:vAlign w:val="bottom"/>
            <w:gridSpan w:val="2"/>
          </w:tcPr>
          <w:p>
            <w:pPr>
              <w:ind w:left="460"/>
              <w:spacing w:after="0"/>
              <w:rPr>
                <w:sz w:val="20"/>
                <w:szCs w:val="20"/>
                <w:color w:val="auto"/>
              </w:rPr>
            </w:pPr>
            <w:r>
              <w:rPr>
                <w:rFonts w:ascii="Arial" w:cs="Arial" w:eastAsia="Arial" w:hAnsi="Arial"/>
                <w:sz w:val="18"/>
                <w:szCs w:val="18"/>
                <w:color w:val="auto"/>
              </w:rPr>
              <w:t>Other noncurrent assets consist of the following:</w:t>
            </w: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46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2060" w:type="dxa"/>
            <w:vAlign w:val="bottom"/>
            <w:gridSpan w:val="5"/>
          </w:tcPr>
          <w:p>
            <w:pPr>
              <w:ind w:left="420"/>
              <w:spacing w:after="0"/>
              <w:rPr>
                <w:sz w:val="20"/>
                <w:szCs w:val="20"/>
                <w:color w:val="auto"/>
              </w:rPr>
            </w:pPr>
            <w:r>
              <w:rPr>
                <w:rFonts w:ascii="Arial" w:cs="Arial" w:eastAsia="Arial" w:hAnsi="Arial"/>
                <w:sz w:val="14"/>
                <w:szCs w:val="14"/>
                <w:b w:val="1"/>
                <w:bCs w:val="1"/>
                <w:color w:val="auto"/>
              </w:rPr>
              <w:t>As of September 30,</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844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2013</w:t>
            </w:r>
          </w:p>
        </w:tc>
        <w:tc>
          <w:tcPr>
            <w:tcW w:w="6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Funded employee benefit costs(1)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$165,899</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137,299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Deferred costs(2)</w:t>
            </w:r>
          </w:p>
        </w:tc>
        <w:tc>
          <w:tcPr>
            <w:tcW w:w="680" w:type="dxa"/>
            <w:vAlign w:val="bottom"/>
          </w:tcPr>
          <w:p>
            <w:pPr>
              <w:jc w:val="right"/>
              <w:spacing w:after="0"/>
              <w:rPr>
                <w:sz w:val="20"/>
                <w:szCs w:val="20"/>
                <w:color w:val="auto"/>
              </w:rPr>
            </w:pPr>
            <w:r>
              <w:rPr>
                <w:rFonts w:ascii="Arial" w:cs="Arial" w:eastAsia="Arial" w:hAnsi="Arial"/>
                <w:sz w:val="18"/>
                <w:szCs w:val="18"/>
                <w:color w:val="auto"/>
              </w:rPr>
              <w:t>38,281</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71,089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Long term accounts receivable-unbilled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4,917</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Prepaid expense</w:t>
            </w:r>
          </w:p>
        </w:tc>
        <w:tc>
          <w:tcPr>
            <w:tcW w:w="680" w:type="dxa"/>
            <w:vAlign w:val="bottom"/>
          </w:tcPr>
          <w:p>
            <w:pPr>
              <w:jc w:val="right"/>
              <w:spacing w:after="0"/>
              <w:rPr>
                <w:sz w:val="20"/>
                <w:szCs w:val="20"/>
                <w:color w:val="auto"/>
              </w:rPr>
            </w:pPr>
            <w:r>
              <w:rPr>
                <w:rFonts w:ascii="Arial" w:cs="Arial" w:eastAsia="Arial" w:hAnsi="Arial"/>
                <w:sz w:val="18"/>
                <w:szCs w:val="18"/>
                <w:color w:val="auto"/>
              </w:rPr>
              <w:t>7,346</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10,344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62,726</w:t>
            </w:r>
          </w:p>
        </w:tc>
        <w:tc>
          <w:tcPr>
            <w:tcW w:w="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84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279,169</w:t>
            </w:r>
          </w:p>
        </w:tc>
        <w:tc>
          <w:tcPr>
            <w:tcW w:w="6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315,916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94361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15"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Primarily funding for severance pay liability in accordance with Israeli law. Please see Note 17 to the consolidated financial statements.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Please see Note 2 (revenue recognition) to the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 (benefit) for income taxes consists of the following:</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88"/>
              </w:rPr>
              <w:t>Year Ended September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86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600" w:type="dxa"/>
            <w:vAlign w:val="bottom"/>
          </w:tcPr>
          <w:p>
            <w:pPr>
              <w:jc w:val="right"/>
              <w:ind w:right="77"/>
              <w:spacing w:after="0" w:line="142" w:lineRule="exact"/>
              <w:rPr>
                <w:sz w:val="20"/>
                <w:szCs w:val="20"/>
                <w:color w:val="auto"/>
              </w:rPr>
            </w:pPr>
            <w:r>
              <w:rPr>
                <w:rFonts w:ascii="Arial" w:cs="Arial" w:eastAsia="Arial" w:hAnsi="Arial"/>
                <w:sz w:val="14"/>
                <w:szCs w:val="14"/>
                <w:b w:val="1"/>
                <w:bCs w:val="1"/>
                <w:color w:val="auto"/>
              </w:rPr>
              <w:t>2013</w:t>
            </w:r>
          </w:p>
        </w:tc>
        <w:tc>
          <w:tcPr>
            <w:tcW w:w="40" w:type="dxa"/>
            <w:vAlign w:val="bottom"/>
          </w:tcPr>
          <w:p>
            <w:pPr>
              <w:spacing w:after="0"/>
              <w:rPr>
                <w:sz w:val="12"/>
                <w:szCs w:val="12"/>
                <w:color w:val="auto"/>
              </w:rPr>
            </w:pPr>
          </w:p>
        </w:tc>
        <w:tc>
          <w:tcPr>
            <w:tcW w:w="114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Pr>
          <w:p>
            <w:pPr>
              <w:spacing w:after="0"/>
              <w:rPr>
                <w:sz w:val="12"/>
                <w:szCs w:val="12"/>
                <w:color w:val="auto"/>
              </w:rPr>
            </w:pPr>
          </w:p>
        </w:tc>
        <w:tc>
          <w:tcPr>
            <w:tcW w:w="580" w:type="dxa"/>
            <w:vAlign w:val="bottom"/>
          </w:tcPr>
          <w:p>
            <w:pPr>
              <w:jc w:val="right"/>
              <w:ind w:right="77"/>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2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Current</w:t>
            </w:r>
          </w:p>
        </w:tc>
        <w:tc>
          <w:tcPr>
            <w:tcW w:w="46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$50,553</w:t>
            </w:r>
          </w:p>
        </w:tc>
        <w:tc>
          <w:tcPr>
            <w:tcW w:w="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$55,010</w:t>
            </w:r>
          </w:p>
        </w:tc>
        <w:tc>
          <w:tcPr>
            <w:tcW w:w="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$47,790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Deferred</w:t>
            </w:r>
          </w:p>
        </w:tc>
        <w:tc>
          <w:tcPr>
            <w:tcW w:w="46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12,485</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(4,857)</w:t>
            </w:r>
          </w:p>
        </w:tc>
        <w:tc>
          <w:tcPr>
            <w:tcW w:w="580" w:type="dxa"/>
            <w:vAlign w:val="bottom"/>
          </w:tcPr>
          <w:p>
            <w:pPr>
              <w:jc w:val="right"/>
              <w:spacing w:after="0"/>
              <w:rPr>
                <w:sz w:val="20"/>
                <w:szCs w:val="20"/>
                <w:color w:val="auto"/>
              </w:rPr>
            </w:pPr>
            <w:r>
              <w:rPr>
                <w:rFonts w:ascii="Arial" w:cs="Arial" w:eastAsia="Arial" w:hAnsi="Arial"/>
                <w:sz w:val="18"/>
                <w:szCs w:val="18"/>
                <w:color w:val="auto"/>
              </w:rPr>
              <w:t>1,252</w:t>
            </w:r>
          </w:p>
        </w:tc>
        <w:tc>
          <w:tcPr>
            <w:tcW w:w="100" w:type="dxa"/>
            <w:vAlign w:val="bottom"/>
          </w:tcPr>
          <w:p>
            <w:pPr>
              <w:spacing w:after="0"/>
              <w:rPr>
                <w:sz w:val="18"/>
                <w:szCs w:val="18"/>
                <w:color w:val="auto"/>
              </w:rPr>
            </w:pPr>
          </w:p>
        </w:tc>
      </w:tr>
      <w:tr>
        <w:trPr>
          <w:trHeight w:val="27"/>
        </w:trPr>
        <w:tc>
          <w:tcPr>
            <w:tcW w:w="2860" w:type="dxa"/>
            <w:vAlign w:val="bottom"/>
          </w:tcPr>
          <w:p>
            <w:pPr>
              <w:spacing w:after="0"/>
              <w:rPr>
                <w:sz w:val="2"/>
                <w:szCs w:val="2"/>
                <w:color w:val="auto"/>
              </w:rPr>
            </w:pPr>
          </w:p>
        </w:tc>
        <w:tc>
          <w:tcPr>
            <w:tcW w:w="46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86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63,038</w:t>
            </w:r>
          </w:p>
        </w:tc>
        <w:tc>
          <w:tcPr>
            <w:tcW w:w="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50,153</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49,042</w:t>
            </w:r>
          </w:p>
        </w:tc>
        <w:tc>
          <w:tcPr>
            <w:tcW w:w="100" w:type="dxa"/>
            <w:vAlign w:val="bottom"/>
            <w:shd w:val="clear" w:color="auto" w:fill="CCEEFF"/>
          </w:tcPr>
          <w:p>
            <w:pPr>
              <w:spacing w:after="0"/>
              <w:rPr>
                <w:sz w:val="18"/>
                <w:szCs w:val="18"/>
                <w:color w:val="auto"/>
              </w:rPr>
            </w:pPr>
          </w:p>
        </w:tc>
      </w:tr>
      <w:tr>
        <w:trPr>
          <w:trHeight w:val="20"/>
        </w:trPr>
        <w:tc>
          <w:tcPr>
            <w:tcW w:w="28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2860" w:type="dxa"/>
            <w:vAlign w:val="bottom"/>
          </w:tcPr>
          <w:p>
            <w:pPr>
              <w:spacing w:after="0"/>
              <w:rPr>
                <w:sz w:val="24"/>
                <w:szCs w:val="24"/>
                <w:color w:val="auto"/>
              </w:rPr>
            </w:pPr>
          </w:p>
        </w:tc>
        <w:tc>
          <w:tcPr>
            <w:tcW w:w="5300" w:type="dxa"/>
            <w:vAlign w:val="bottom"/>
            <w:gridSpan w:val="3"/>
          </w:tcPr>
          <w:p>
            <w:pPr>
              <w:ind w:left="2220"/>
              <w:spacing w:after="0"/>
              <w:rPr>
                <w:sz w:val="20"/>
                <w:szCs w:val="20"/>
                <w:color w:val="auto"/>
              </w:rPr>
            </w:pPr>
            <w:r>
              <w:rPr>
                <w:rFonts w:ascii="Arial" w:cs="Arial" w:eastAsia="Arial" w:hAnsi="Arial"/>
                <w:sz w:val="18"/>
                <w:szCs w:val="18"/>
                <w:color w:val="auto"/>
              </w:rPr>
              <w:t>F-25</w:t>
            </w: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All income taxes are from continuing operations reported by the Company in the applicable taxing jurisdiction. Income taxes also include anticipated withholding taxes due on subsidiaries’ earnings when paid as dividends to the Company.</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fiscal 2013, the Company recognized $14,671 of deferred income tax expenses as a result of enacted changes in tax laws or rates.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deferred income tax expense as a result of enacted changes in tax laws or rates was immaterial in fiscal years 2012 and 2011.</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Deferred income taxes are comprised of the following components: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As of September 30,</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72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82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240" w:type="dxa"/>
            <w:vAlign w:val="bottom"/>
            <w:gridSpan w:val="2"/>
          </w:tcPr>
          <w:p>
            <w:pPr>
              <w:ind w:left="220"/>
              <w:spacing w:after="0"/>
              <w:rPr>
                <w:sz w:val="20"/>
                <w:szCs w:val="20"/>
                <w:color w:val="auto"/>
              </w:rPr>
            </w:pPr>
            <w:r>
              <w:rPr>
                <w:rFonts w:ascii="Arial" w:cs="Arial" w:eastAsia="Arial" w:hAnsi="Arial"/>
                <w:sz w:val="18"/>
                <w:szCs w:val="18"/>
                <w:color w:val="auto"/>
              </w:rPr>
              <w:t>Deferred revenue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50,623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38,214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Employee compensation and benefits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75,356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74,248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240" w:type="dxa"/>
            <w:vAlign w:val="bottom"/>
            <w:gridSpan w:val="2"/>
          </w:tcPr>
          <w:p>
            <w:pPr>
              <w:ind w:left="220"/>
              <w:spacing w:after="0"/>
              <w:rPr>
                <w:sz w:val="20"/>
                <w:szCs w:val="20"/>
                <w:color w:val="auto"/>
              </w:rPr>
            </w:pPr>
            <w:r>
              <w:rPr>
                <w:rFonts w:ascii="Arial" w:cs="Arial" w:eastAsia="Arial" w:hAnsi="Arial"/>
                <w:sz w:val="18"/>
                <w:szCs w:val="18"/>
                <w:color w:val="auto"/>
              </w:rPr>
              <w:t>Intangible assets, computer software and intellectual property</w:t>
            </w:r>
          </w:p>
        </w:tc>
        <w:tc>
          <w:tcPr>
            <w:tcW w:w="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11,518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13,747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Tax credits, net capital and operating loss carryforwards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166,639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168,015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240" w:type="dxa"/>
            <w:vAlign w:val="bottom"/>
            <w:gridSpan w:val="2"/>
          </w:tcPr>
          <w:p>
            <w:pPr>
              <w:ind w:left="2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40,754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37,902</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8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deferred tax assets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344,890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332,126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240" w:type="dxa"/>
            <w:vAlign w:val="bottom"/>
            <w:gridSpan w:val="2"/>
          </w:tcPr>
          <w:p>
            <w:pPr>
              <w:ind w:left="220"/>
              <w:spacing w:after="0"/>
              <w:rPr>
                <w:sz w:val="20"/>
                <w:szCs w:val="20"/>
                <w:color w:val="auto"/>
              </w:rPr>
            </w:pPr>
            <w:r>
              <w:rPr>
                <w:rFonts w:ascii="Arial" w:cs="Arial" w:eastAsia="Arial" w:hAnsi="Arial"/>
                <w:sz w:val="18"/>
                <w:szCs w:val="18"/>
                <w:color w:val="auto"/>
              </w:rPr>
              <w:t>Valuation allowances(1)</w:t>
            </w:r>
          </w:p>
        </w:tc>
        <w:tc>
          <w:tcPr>
            <w:tcW w:w="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(127,202)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(117,011)</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8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deferred tax assets, net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217,688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215,115</w:t>
            </w:r>
          </w:p>
        </w:tc>
        <w:tc>
          <w:tcPr>
            <w:tcW w:w="0" w:type="dxa"/>
            <w:vAlign w:val="bottom"/>
          </w:tcPr>
          <w:p>
            <w:pPr>
              <w:spacing w:after="0"/>
              <w:rPr>
                <w:sz w:val="1"/>
                <w:szCs w:val="1"/>
                <w:color w:val="auto"/>
              </w:rPr>
            </w:pPr>
          </w:p>
        </w:tc>
      </w:tr>
      <w:tr>
        <w:trPr>
          <w:trHeight w:val="222"/>
        </w:trPr>
        <w:tc>
          <w:tcPr>
            <w:tcW w:w="8700" w:type="dxa"/>
            <w:vAlign w:val="bottom"/>
            <w:gridSpan w:val="3"/>
          </w:tcPr>
          <w:p>
            <w:pPr>
              <w:ind w:left="460"/>
              <w:spacing w:after="0"/>
              <w:rPr>
                <w:sz w:val="20"/>
                <w:szCs w:val="20"/>
                <w:color w:val="auto"/>
              </w:rPr>
            </w:pPr>
            <w:r>
              <w:rPr>
                <w:rFonts w:ascii="Arial" w:cs="Arial" w:eastAsia="Arial" w:hAnsi="Arial"/>
                <w:sz w:val="18"/>
                <w:szCs w:val="18"/>
                <w:color w:val="auto"/>
              </w:rPr>
              <w:t>Deferred tax liabilities:</w:t>
            </w: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8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Anticipated withholdings on subsidiaries’ earnings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(53,095)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(40,175)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240" w:type="dxa"/>
            <w:vAlign w:val="bottom"/>
            <w:gridSpan w:val="2"/>
          </w:tcPr>
          <w:p>
            <w:pPr>
              <w:ind w:left="220"/>
              <w:spacing w:after="0"/>
              <w:rPr>
                <w:sz w:val="20"/>
                <w:szCs w:val="20"/>
                <w:color w:val="auto"/>
              </w:rPr>
            </w:pPr>
            <w:r>
              <w:rPr>
                <w:rFonts w:ascii="Arial" w:cs="Arial" w:eastAsia="Arial" w:hAnsi="Arial"/>
                <w:sz w:val="18"/>
                <w:szCs w:val="18"/>
                <w:color w:val="auto"/>
              </w:rPr>
              <w:t>Intangible assets, computer software and intellectual property</w:t>
            </w:r>
          </w:p>
        </w:tc>
        <w:tc>
          <w:tcPr>
            <w:tcW w:w="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(109,354)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(101,583)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(34,990)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(28,131)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240" w:type="dxa"/>
            <w:vAlign w:val="bottom"/>
            <w:gridSpan w:val="2"/>
            <w:vMerge w:val="restart"/>
          </w:tcPr>
          <w:p>
            <w:pPr>
              <w:ind w:left="220"/>
              <w:spacing w:after="0"/>
              <w:rPr>
                <w:sz w:val="20"/>
                <w:szCs w:val="20"/>
                <w:color w:val="auto"/>
              </w:rPr>
            </w:pPr>
            <w:r>
              <w:rPr>
                <w:rFonts w:ascii="Arial" w:cs="Arial" w:eastAsia="Arial" w:hAnsi="Arial"/>
                <w:sz w:val="18"/>
                <w:szCs w:val="18"/>
                <w:color w:val="auto"/>
              </w:rPr>
              <w:t>Total deferred tax liabilities</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82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(197,439)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(169,889)</w:t>
            </w:r>
          </w:p>
        </w:tc>
        <w:tc>
          <w:tcPr>
            <w:tcW w:w="0" w:type="dxa"/>
            <w:vAlign w:val="bottom"/>
          </w:tcPr>
          <w:p>
            <w:pPr>
              <w:spacing w:after="0"/>
              <w:rPr>
                <w:sz w:val="1"/>
                <w:szCs w:val="1"/>
                <w:color w:val="auto"/>
              </w:rPr>
            </w:pPr>
          </w:p>
        </w:tc>
      </w:tr>
      <w:tr>
        <w:trPr>
          <w:trHeight w:val="28"/>
        </w:trPr>
        <w:tc>
          <w:tcPr>
            <w:tcW w:w="460" w:type="dxa"/>
            <w:vAlign w:val="bottom"/>
            <w:vMerge w:val="restart"/>
          </w:tcPr>
          <w:p>
            <w:pPr>
              <w:spacing w:after="0"/>
              <w:rPr>
                <w:sz w:val="2"/>
                <w:szCs w:val="2"/>
                <w:color w:val="auto"/>
              </w:rPr>
            </w:pPr>
          </w:p>
        </w:tc>
        <w:tc>
          <w:tcPr>
            <w:tcW w:w="1040" w:type="dxa"/>
            <w:vAlign w:val="bottom"/>
          </w:tcPr>
          <w:p>
            <w:pPr>
              <w:spacing w:after="0"/>
              <w:rPr>
                <w:sz w:val="2"/>
                <w:szCs w:val="2"/>
                <w:color w:val="auto"/>
              </w:rPr>
            </w:pPr>
          </w:p>
        </w:tc>
        <w:tc>
          <w:tcPr>
            <w:tcW w:w="7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20,249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45,226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7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980" w:hanging="452"/>
        <w:spacing w:after="0" w:line="410" w:lineRule="auto"/>
        <w:tabs>
          <w:tab w:leader="none" w:pos="449" w:val="left"/>
        </w:tabs>
        <w:numPr>
          <w:ilvl w:val="0"/>
          <w:numId w:val="58"/>
        </w:numPr>
        <w:rPr>
          <w:rFonts w:ascii="Arial" w:cs="Arial" w:eastAsia="Arial" w:hAnsi="Arial"/>
          <w:sz w:val="15"/>
          <w:szCs w:val="15"/>
          <w:color w:val="auto"/>
        </w:rPr>
      </w:pPr>
      <w:r>
        <w:rPr>
          <w:rFonts w:ascii="Arial" w:cs="Arial" w:eastAsia="Arial" w:hAnsi="Arial"/>
          <w:sz w:val="15"/>
          <w:szCs w:val="15"/>
          <w:color w:val="auto"/>
        </w:rPr>
        <w:t>Subsequent releases of the valuation allowances, if any, will be recognized through earnings. The effective income tax rate varied from the statutory Guernsey tax rate as follows:</w:t>
      </w: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87"/>
              </w:rPr>
              <w:t>Year Ended September 30,</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60" w:type="dxa"/>
            <w:vAlign w:val="bottom"/>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67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2013</w:t>
            </w:r>
          </w:p>
        </w:tc>
        <w:tc>
          <w:tcPr>
            <w:tcW w:w="1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2012</w:t>
            </w:r>
          </w:p>
        </w:tc>
        <w:tc>
          <w:tcPr>
            <w:tcW w:w="7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460" w:type="dxa"/>
            <w:vAlign w:val="bottom"/>
          </w:tcPr>
          <w:p>
            <w:pPr>
              <w:spacing w:after="0"/>
              <w:rPr>
                <w:sz w:val="18"/>
                <w:szCs w:val="18"/>
                <w:color w:val="auto"/>
              </w:rPr>
            </w:pPr>
          </w:p>
        </w:tc>
        <w:tc>
          <w:tcPr>
            <w:tcW w:w="7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Statutory Guernsey tax rate</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6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23"/>
        </w:trPr>
        <w:tc>
          <w:tcPr>
            <w:tcW w:w="46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Foreign taxes(2)</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78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17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11%</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r>
    </w:tbl>
    <w:p>
      <w:pPr>
        <w:spacing w:after="0" w:line="19" w:lineRule="exact"/>
        <w:rPr>
          <w:sz w:val="20"/>
          <w:szCs w:val="20"/>
          <w:color w:val="auto"/>
        </w:rPr>
      </w:pPr>
    </w:p>
    <w:p>
      <w:pPr>
        <w:ind w:left="460" w:right="460" w:hanging="452"/>
        <w:spacing w:after="0" w:line="268"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fiscal 2013, foreign taxes include a benefit of $29,786 attributable to the expiration during fiscal 2013 of the statutes of limitations related to unrecognized tax benefits accumulated over several years in certain jurisdictions.</w:t>
      </w:r>
    </w:p>
    <w:p>
      <w:pPr>
        <w:spacing w:after="0" w:line="5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 a Guernsey company subject to a corporate tax rate of zero percent, the Company’s overall effective tax rate is attributable to foreign taxes. The Company’s income before income tax expense is considered to be foreign income.</w:t>
      </w:r>
    </w:p>
    <w:p>
      <w:pPr>
        <w:spacing w:after="0" w:line="11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0960"/>
          </w:cols>
          <w:pgMar w:left="240" w:top="459" w:right="6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During fiscal 2013, the net increase in valuation allowances was $10,191, which related to the uncertainty of realizing tax benefits primarily for tax credits, net capital and operating loss carryforwards related to certain of the Company’s subsidiaries. As of September 30, 2013, the Company had tax credits, net capital and operating loss carryforwards of $547,875, of which $173,864 have expiration dates through 2033, and the remainder do not expire.</w:t>
      </w:r>
    </w:p>
    <w:p>
      <w:pPr>
        <w:spacing w:after="0" w:line="2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During fiscal 2012, the net decrease in valuation allowances was $20,825, which related to the uncertainty of realizing tax benefits primarily for tax credits, net capital and operating loss carryforwards related to certain of the Company’s subsidiaries. As of September 30, 2012, the Company had tax credits, net capital and operating loss carryforwards of $540,945, of which $162,844 have expiration dates through 2032, and the remainder do not expire.</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The aggregate changes in the balance of the Company’s gross unrecognized tax benefits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6"/>
              </w:rPr>
              <w:t>Year Ended September 30,</w:t>
            </w: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680" w:type="dxa"/>
            <w:vAlign w:val="bottom"/>
          </w:tcPr>
          <w:p>
            <w:pPr>
              <w:jc w:val="right"/>
              <w:ind w:right="135"/>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Pr>
          <w:p>
            <w:pPr>
              <w:spacing w:after="0"/>
              <w:rPr>
                <w:sz w:val="12"/>
                <w:szCs w:val="12"/>
                <w:color w:val="auto"/>
              </w:rPr>
            </w:pPr>
          </w:p>
        </w:tc>
        <w:tc>
          <w:tcPr>
            <w:tcW w:w="680" w:type="dxa"/>
            <w:vAlign w:val="bottom"/>
          </w:tcPr>
          <w:p>
            <w:pPr>
              <w:jc w:val="right"/>
              <w:ind w:right="135"/>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2"/>
                <w:szCs w:val="12"/>
                <w:color w:val="auto"/>
              </w:rPr>
            </w:pPr>
          </w:p>
        </w:tc>
        <w:tc>
          <w:tcPr>
            <w:tcW w:w="700" w:type="dxa"/>
            <w:vAlign w:val="bottom"/>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beginning of fiscal year</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$133,874</w:t>
            </w:r>
          </w:p>
        </w:tc>
        <w:tc>
          <w:tcPr>
            <w:tcW w:w="4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$132,861</w:t>
            </w:r>
          </w:p>
        </w:tc>
        <w:tc>
          <w:tcPr>
            <w:tcW w:w="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$ 118,662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680" w:type="dxa"/>
            <w:vAlign w:val="bottom"/>
          </w:tcPr>
          <w:p>
            <w:pPr>
              <w:jc w:val="right"/>
              <w:spacing w:after="0"/>
              <w:rPr>
                <w:sz w:val="20"/>
                <w:szCs w:val="20"/>
                <w:color w:val="auto"/>
              </w:rPr>
            </w:pPr>
            <w:r>
              <w:rPr>
                <w:rFonts w:ascii="Arial" w:cs="Arial" w:eastAsia="Arial" w:hAnsi="Arial"/>
                <w:sz w:val="18"/>
                <w:szCs w:val="18"/>
                <w:color w:val="auto"/>
              </w:rPr>
              <w:t>19,527</w:t>
            </w:r>
          </w:p>
        </w:tc>
        <w:tc>
          <w:tcPr>
            <w:tcW w:w="44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20,183</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19,849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Additions for tax positions of prior years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10,750</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4,918</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Reductions for tax positions of prior years</w:t>
            </w:r>
          </w:p>
        </w:tc>
        <w:tc>
          <w:tcPr>
            <w:tcW w:w="1120" w:type="dxa"/>
            <w:vAlign w:val="bottom"/>
            <w:gridSpan w:val="2"/>
          </w:tcPr>
          <w:p>
            <w:pPr>
              <w:jc w:val="right"/>
              <w:ind w:right="372"/>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(5,527)</w:t>
            </w:r>
          </w:p>
        </w:tc>
        <w:tc>
          <w:tcPr>
            <w:tcW w:w="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Settlements with tax authorities</w:t>
            </w:r>
          </w:p>
        </w:tc>
        <w:tc>
          <w:tcPr>
            <w:tcW w:w="11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(3,994)</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(3,290)</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Lapse of statute of limitations</w:t>
            </w:r>
          </w:p>
        </w:tc>
        <w:tc>
          <w:tcPr>
            <w:tcW w:w="1120" w:type="dxa"/>
            <w:vAlign w:val="bottom"/>
            <w:gridSpan w:val="2"/>
          </w:tcPr>
          <w:p>
            <w:pPr>
              <w:jc w:val="right"/>
              <w:ind w:right="332"/>
              <w:spacing w:after="0"/>
              <w:rPr>
                <w:sz w:val="20"/>
                <w:szCs w:val="20"/>
                <w:color w:val="auto"/>
              </w:rPr>
            </w:pPr>
            <w:r>
              <w:rPr>
                <w:rFonts w:ascii="Arial" w:cs="Arial" w:eastAsia="Arial" w:hAnsi="Arial"/>
                <w:sz w:val="18"/>
                <w:szCs w:val="18"/>
                <w:color w:val="auto"/>
              </w:rPr>
              <w:t>(29,786)</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(15,271)</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(3,967)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fiscal year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130,371</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133,874</w:t>
            </w:r>
          </w:p>
        </w:tc>
        <w:tc>
          <w:tcPr>
            <w:tcW w:w="4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132,861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right="40" w:firstLine="456"/>
        <w:spacing w:after="0" w:line="268" w:lineRule="auto"/>
        <w:rPr>
          <w:sz w:val="20"/>
          <w:szCs w:val="20"/>
          <w:color w:val="auto"/>
        </w:rPr>
      </w:pPr>
      <w:r>
        <w:rPr>
          <w:rFonts w:ascii="Arial" w:cs="Arial" w:eastAsia="Arial" w:hAnsi="Arial"/>
          <w:sz w:val="18"/>
          <w:szCs w:val="18"/>
          <w:color w:val="auto"/>
        </w:rPr>
        <w:t>The total amount of unrecognized tax benefits, which includes interest and penalties, was $130,371 as of September 30, 2013, all of which would affect the effective tax rate if realized.</w:t>
      </w:r>
    </w:p>
    <w:p>
      <w:pPr>
        <w:spacing w:after="0" w:line="51"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Company recognizes interest and penalties related to unrecognized tax benefits in the provision for income taxes. As of September 30, 2013, the Company had accrued $19,126 in income taxes payable for interest and penalties relating to unrecognized tax benefits, of which $422 was recognized in the statements of income in fiscal 2013. As of September 30, 2012, the Company had accrued $18,704 in income taxes payable for interest and penalties relating to unrecognized tax benefits, of which $731 was recognized in the statements of income in fiscal 2012.</w:t>
      </w:r>
    </w:p>
    <w:p>
      <w:pPr>
        <w:spacing w:after="0" w:line="32"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Company is currently under audit in several jurisdictions for the tax years 2007 and onwards. Timing of the resolution of audits is highly uncertain and therefore the Company generally cannot estimate the change in unrecognized tax benefits resulting from these audits within the next 12 months.</w:t>
      </w:r>
    </w:p>
    <w:p>
      <w:pPr>
        <w:spacing w:after="0" w:line="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Company believes that the amount of unrecognized tax benefits will increase during fiscal 2014 in the ordinary course of business. In addition it is reasonably possible that the amount of unrecognized tax benefits will decrease by $18,385 as a result of lapse of statutes of limitations in jurisdictions in which the Company operates.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Repurchase of Shares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From time to time, the Company’s board of directors has adopted share repurchase plans authorizing the repurchase of the Company’s outstanding ordinary shares. The current share repurchase plan authorizes the repurchase of up to $500,000 of the Company’s outstanding ordinary shares with no expiration date. In fiscal 2013, the Company repurchased approximately 10,370 ordinary shares at an average price of $35.38 per share (excluding broker and transaction fees). As of September 30, 2013, the Company had remaining authority to</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repurchase up to $335,866 of its outstanding ordinary shares. The authorization permits the Company to purchase its ordinary shares in open market or privately negotiated transactions at times and prices that it considers appropriate.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Financing Arrangements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December 2011, the Company entered into a $500,000 five-year revolving credit facility with a syndicate of banks. The credit facility is available for general corporate purposes, including acquisitions and repurchases of ordinary shares that the Company may consider from time to time. The interest rate for borrowings under the revolving credit facility is chosen at the Company’s option from several pre-defined alternatives, depends on the circumstances of any advance and is based in part on the Company’s credit ratings. As of September 30, 2013, the Company was in compliance with the financial covenants under the revolving credit facility. In September 2013, the Company borrowed an aggregate of $200,000 under the facility and repaid it in October 2013. In September 2012, the Company borrowed an aggregate of $200,000 under the facility and repaid it in October 2012.</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September 30, 2013, the Company had several uncommitted lines of credit available for general corporate and other specific purposes.</w:t>
      </w:r>
    </w:p>
    <w:p>
      <w:pPr>
        <w:spacing w:after="0" w:line="11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As of September 30, 2013, the Company had outstanding letters of credit and bank guarantees of $64,331. These were supported by a combination of unused lines of credit and restricted cash balances that the Company maintains with various banks.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Other Noncurrent Liabilities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noncurrent liabilities consists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2060" w:type="dxa"/>
            <w:vAlign w:val="bottom"/>
            <w:gridSpan w:val="4"/>
          </w:tcPr>
          <w:p>
            <w:pPr>
              <w:ind w:left="420"/>
              <w:spacing w:after="0"/>
              <w:rPr>
                <w:sz w:val="20"/>
                <w:szCs w:val="20"/>
                <w:color w:val="auto"/>
              </w:rPr>
            </w:pPr>
            <w:r>
              <w:rPr>
                <w:rFonts w:ascii="Arial" w:cs="Arial" w:eastAsia="Arial" w:hAnsi="Arial"/>
                <w:sz w:val="14"/>
                <w:szCs w:val="14"/>
                <w:b w:val="1"/>
                <w:bCs w:val="1"/>
                <w:color w:val="auto"/>
              </w:rPr>
              <w:t>As of September 30,</w:t>
            </w:r>
          </w:p>
        </w:tc>
      </w:tr>
      <w:tr>
        <w:trPr>
          <w:trHeight w:val="142"/>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680" w:type="dxa"/>
            <w:vAlign w:val="bottom"/>
            <w:tcBorders>
              <w:top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2013</w:t>
            </w:r>
          </w:p>
        </w:tc>
        <w:tc>
          <w:tcPr>
            <w:tcW w:w="128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210"/>
        </w:trPr>
        <w:tc>
          <w:tcPr>
            <w:tcW w:w="460" w:type="dxa"/>
            <w:vAlign w:val="bottom"/>
          </w:tcPr>
          <w:p>
            <w:pPr>
              <w:spacing w:after="0"/>
              <w:rPr>
                <w:sz w:val="18"/>
                <w:szCs w:val="18"/>
                <w:color w:val="auto"/>
              </w:rPr>
            </w:pPr>
          </w:p>
        </w:tc>
        <w:tc>
          <w:tcPr>
            <w:tcW w:w="84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Accrued employees costs(1)</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$210,335</w:t>
            </w:r>
          </w:p>
        </w:tc>
        <w:tc>
          <w:tcPr>
            <w:tcW w:w="6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$180,563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Noncurrent deferred revenue</w:t>
            </w:r>
          </w:p>
        </w:tc>
        <w:tc>
          <w:tcPr>
            <w:tcW w:w="680" w:type="dxa"/>
            <w:vAlign w:val="bottom"/>
          </w:tcPr>
          <w:p>
            <w:pPr>
              <w:jc w:val="right"/>
              <w:spacing w:after="0"/>
              <w:rPr>
                <w:sz w:val="20"/>
                <w:szCs w:val="20"/>
                <w:color w:val="auto"/>
              </w:rPr>
            </w:pPr>
            <w:r>
              <w:rPr>
                <w:rFonts w:ascii="Arial" w:cs="Arial" w:eastAsia="Arial" w:hAnsi="Arial"/>
                <w:sz w:val="18"/>
                <w:szCs w:val="18"/>
                <w:color w:val="auto"/>
              </w:rPr>
              <w:t>22,641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30,988</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pension liability(2)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21,373</w:t>
            </w:r>
          </w:p>
        </w:tc>
        <w:tc>
          <w:tcPr>
            <w:tcW w:w="100" w:type="dxa"/>
            <w:vAlign w:val="bottom"/>
            <w:shd w:val="clear" w:color="auto" w:fill="CCEEFF"/>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Other</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11,644</w:t>
            </w:r>
          </w:p>
        </w:tc>
        <w:tc>
          <w:tcPr>
            <w:tcW w:w="6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11,744</w:t>
            </w:r>
          </w:p>
        </w:tc>
        <w:tc>
          <w:tcPr>
            <w:tcW w:w="10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260,809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244,668</w:t>
            </w:r>
          </w:p>
        </w:tc>
        <w:tc>
          <w:tcPr>
            <w:tcW w:w="100" w:type="dxa"/>
            <w:vAlign w:val="bottom"/>
            <w:shd w:val="clear" w:color="auto" w:fill="CCEEFF"/>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7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Primarily severance pay liability in accordance with Israeli law. Please see Note 17 to the consolidated financial statements.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Primarily relates to funded status of non-contributory defined benefit plans. Please see Note 17 to the consolidated financial statements.</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300"/>
          </w:cols>
          <w:pgMar w:left="240" w:top="459" w:right="3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Interest and other expense,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and other expense, net, consists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87"/>
              </w:rPr>
              <w:t>Year Ended September 30,</w:t>
            </w: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54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75"/>
              <w:spacing w:after="0" w:line="142" w:lineRule="exact"/>
              <w:rPr>
                <w:sz w:val="20"/>
                <w:szCs w:val="20"/>
                <w:color w:val="auto"/>
              </w:rPr>
            </w:pPr>
            <w:r>
              <w:rPr>
                <w:rFonts w:ascii="Arial" w:cs="Arial" w:eastAsia="Arial" w:hAnsi="Arial"/>
                <w:sz w:val="14"/>
                <w:szCs w:val="14"/>
                <w:b w:val="1"/>
                <w:bCs w:val="1"/>
                <w:color w:val="auto"/>
                <w:w w:val="89"/>
              </w:rPr>
              <w:t>2012</w:t>
            </w:r>
          </w:p>
        </w:tc>
        <w:tc>
          <w:tcPr>
            <w:tcW w:w="540" w:type="dxa"/>
            <w:vAlign w:val="bottom"/>
          </w:tcPr>
          <w:p>
            <w:pPr>
              <w:spacing w:after="0"/>
              <w:rPr>
                <w:sz w:val="12"/>
                <w:szCs w:val="12"/>
                <w:color w:val="auto"/>
              </w:rPr>
            </w:pPr>
          </w:p>
        </w:tc>
        <w:tc>
          <w:tcPr>
            <w:tcW w:w="62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460" w:type="dxa"/>
            <w:vAlign w:val="bottom"/>
          </w:tcPr>
          <w:p>
            <w:pPr>
              <w:spacing w:after="0"/>
              <w:rPr>
                <w:sz w:val="18"/>
                <w:szCs w:val="18"/>
                <w:color w:val="auto"/>
              </w:rPr>
            </w:pPr>
          </w:p>
        </w:tc>
        <w:tc>
          <w:tcPr>
            <w:tcW w:w="75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$(4,915)</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(5,478)</w:t>
            </w:r>
          </w:p>
        </w:tc>
        <w:tc>
          <w:tcPr>
            <w:tcW w:w="5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$(6,180)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540" w:type="dxa"/>
            <w:vAlign w:val="bottom"/>
          </w:tcPr>
          <w:p>
            <w:pPr>
              <w:jc w:val="right"/>
              <w:spacing w:after="0"/>
              <w:rPr>
                <w:sz w:val="20"/>
                <w:szCs w:val="20"/>
                <w:color w:val="auto"/>
              </w:rPr>
            </w:pPr>
            <w:r>
              <w:rPr>
                <w:rFonts w:ascii="Arial" w:cs="Arial" w:eastAsia="Arial" w:hAnsi="Arial"/>
                <w:sz w:val="18"/>
                <w:szCs w:val="18"/>
                <w:color w:val="auto"/>
              </w:rPr>
              <w:t>3,557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3,175</w:t>
            </w:r>
          </w:p>
        </w:tc>
        <w:tc>
          <w:tcPr>
            <w:tcW w:w="54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2,882</w:t>
            </w:r>
          </w:p>
        </w:tc>
      </w:tr>
      <w:tr>
        <w:trPr>
          <w:trHeight w:val="216"/>
        </w:trPr>
        <w:tc>
          <w:tcPr>
            <w:tcW w:w="460" w:type="dxa"/>
            <w:vAlign w:val="bottom"/>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loss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7,378</w:t>
            </w:r>
          </w:p>
        </w:tc>
        <w:tc>
          <w:tcPr>
            <w:tcW w:w="5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9,737</w:t>
            </w:r>
          </w:p>
        </w:tc>
      </w:tr>
      <w:tr>
        <w:trPr>
          <w:trHeight w:val="216"/>
        </w:trPr>
        <w:tc>
          <w:tcPr>
            <w:tcW w:w="46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Gain on sale of investments(1)</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w w:val="84"/>
              </w:rPr>
              <w:t>(9,172)</w:t>
            </w:r>
          </w:p>
        </w:tc>
        <w:tc>
          <w:tcPr>
            <w:tcW w:w="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net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5,045</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100" w:type="dxa"/>
            <w:vAlign w:val="bottom"/>
            <w:shd w:val="clear" w:color="auto" w:fill="CCEEFF"/>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$ 6,075</w:t>
            </w: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948</w:t>
            </w:r>
          </w:p>
        </w:tc>
        <w:tc>
          <w:tcPr>
            <w:tcW w:w="540" w:type="dxa"/>
            <w:vAlign w:val="bottom"/>
          </w:tcPr>
          <w:p>
            <w:pPr>
              <w:spacing w:after="0"/>
              <w:rPr>
                <w:sz w:val="19"/>
                <w:szCs w:val="19"/>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$ 8,657</w:t>
            </w: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6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Includes primarily a gain of $6,270 on the sale of remaining minority interest in Longshine Information Technology Company Ltd.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Contingencies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Commitments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Company leases office space and vehicles under non-cancelable operating leases in various countries in which it does business. Future minimum non-cancelable lease payments based on the Company’s contractual obligations as of September 30, 2013 are as follows:</w:t>
      </w:r>
    </w:p>
    <w:p>
      <w:pPr>
        <w:spacing w:after="0" w:line="11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80" w:type="dxa"/>
            <w:vAlign w:val="bottom"/>
            <w:gridSpan w:val="2"/>
          </w:tcPr>
          <w:p>
            <w:pPr>
              <w:spacing w:after="0"/>
              <w:rPr>
                <w:sz w:val="20"/>
                <w:szCs w:val="20"/>
                <w:color w:val="auto"/>
              </w:rPr>
            </w:pPr>
            <w:r>
              <w:rPr>
                <w:rFonts w:ascii="Arial" w:cs="Arial" w:eastAsia="Arial" w:hAnsi="Arial"/>
                <w:sz w:val="14"/>
                <w:szCs w:val="14"/>
                <w:b w:val="1"/>
                <w:bCs w:val="1"/>
                <w:color w:val="auto"/>
                <w:w w:val="91"/>
              </w:rPr>
              <w:t>For the year ended September 30,</w:t>
            </w:r>
          </w:p>
        </w:tc>
        <w:tc>
          <w:tcPr>
            <w:tcW w:w="7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2014</w:t>
            </w:r>
          </w:p>
        </w:tc>
        <w:tc>
          <w:tcPr>
            <w:tcW w:w="7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63,797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2015</w:t>
            </w: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46,730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7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42,454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2017</w:t>
            </w: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34,833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7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30,140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Thereafter</w:t>
            </w:r>
          </w:p>
        </w:tc>
        <w:tc>
          <w:tcPr>
            <w:tcW w:w="7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66,257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7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284,211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Future minimum non-cancelable lease payments, as stated above, do not reflect committed future sublease income of $2,245, $1,310, $725, $306 and $317 for the years ended September 30, 2014, 2015, 2016, 2017 and 2018, respectively.</w:t>
      </w:r>
    </w:p>
    <w:p>
      <w:pPr>
        <w:spacing w:after="0" w:line="51" w:lineRule="exact"/>
        <w:rPr>
          <w:sz w:val="20"/>
          <w:szCs w:val="20"/>
          <w:color w:val="auto"/>
        </w:rPr>
      </w:pPr>
    </w:p>
    <w:p>
      <w:pPr>
        <w:ind w:left="240" w:right="1580" w:firstLine="228"/>
        <w:spacing w:after="0" w:line="391" w:lineRule="auto"/>
        <w:rPr>
          <w:sz w:val="20"/>
          <w:szCs w:val="20"/>
          <w:color w:val="auto"/>
        </w:rPr>
      </w:pPr>
      <w:r>
        <w:rPr>
          <w:rFonts w:ascii="Arial" w:cs="Arial" w:eastAsia="Arial" w:hAnsi="Arial"/>
          <w:sz w:val="18"/>
          <w:szCs w:val="18"/>
          <w:color w:val="auto"/>
        </w:rPr>
        <w:t xml:space="preserve">Rent expense net of sublease income was approximately $45,610, $41,488 and $40,104 for fiscal 2013, 2012 and 2011, respectively. </w:t>
      </w:r>
      <w:r>
        <w:rPr>
          <w:rFonts w:ascii="Arial" w:cs="Arial" w:eastAsia="Arial" w:hAnsi="Arial"/>
          <w:sz w:val="18"/>
          <w:szCs w:val="18"/>
          <w:b w:val="1"/>
          <w:bCs w:val="1"/>
          <w:i w:val="1"/>
          <w:iCs w:val="1"/>
          <w:color w:val="auto"/>
        </w:rPr>
        <w:t>Legal Proceedings</w:t>
      </w:r>
    </w:p>
    <w:p>
      <w:pPr>
        <w:spacing w:after="0" w:line="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Company is involved in various legal proceedings arising in the normal course of its business. The Company accrues for a loss contingency when it determines that it is more likely than not, after consultation with counsel, that a liability has been incurred and the amount of such loss can be reasonably estimated. At this time, the Company believes that the results of any such contingencies, either individually or in the aggregate, will not have a material adverse effect on the Company’s financial position, results of operations or cash flows.</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360"/>
          </w:cols>
          <w:pgMar w:left="240" w:top="459" w:right="2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Guarantor’s Accounting and Disclosure Requirements for Guarantees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 generally offers its products with a limited warranty for a period of 90 days. The Company’s policy is to accrue for warranty costs, if needed, based on historical trends in product failure. Based on the Company’s experience, only minimal warranty charges have been required after revenue was fully recognized and, as a result, the Company did not accrue any amounts for product warranty liability during fiscal years 2013, 2012 and 2011.</w:t>
      </w:r>
    </w:p>
    <w:p>
      <w:pPr>
        <w:spacing w:after="0" w:line="26"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The Company generally indemnifies its customers against claims of intellectual property infringement made by third parties arising from the use of the Company’s software. To date, the Company has incurred and recorded only minimal costs as a result of such obligations in its consolidated financial statements.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Employee Benefits</w:t>
      </w:r>
    </w:p>
    <w:p>
      <w:pPr>
        <w:spacing w:after="0" w:line="9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Company accrues severance pay for the employees of its Israeli operations in accordance with Israeli law and certain employment procedures on the basis of the latest monthly salary paid to these employees and the length of time that they have worked for the Israeli operations. The severance pay liability, which is included as accrued employee costs in other noncurrent liabilities, is partially funded by amounts on deposit with insurance companies, which are included in other noncurrent assets. These accrued severance expenses were $22,326, $24,611 and $28,054 for fiscal 2013, 2012 and 2011, respectively.</w:t>
      </w:r>
    </w:p>
    <w:p>
      <w:pPr>
        <w:spacing w:after="0" w:line="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Company sponsors defined contribution plans covering certain of its employees around the world. The plans primarily provide for Company matching contributions based upon a percentage of the employees’ contributions. The Company’s contributions in fiscal 2013, 2012 and 2011 under such plans were not material compared to total operating expenses.</w:t>
      </w:r>
    </w:p>
    <w:p>
      <w:pPr>
        <w:spacing w:after="0" w:line="59"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The Company maintains non-contributory defined benefit plans that provide for pension, other retirement and post employment benefits for certain employees of a Canadian subsidiary based on length of service and rate of pay. The Company accrues its obligations to these employees under employee benefit plans and the related costs net of returns on plan assets. Pension expense and other retirement benefits earned by employees are actuarially determined using the projected benefit method pro-rated on service and based on management’s best estimates of expected plan investments performance, salary escalation, retirement ages of employees, discount rate, inflation and expected health care costs. The Company recognized the funded status of such plans in the balance sheet.</w:t>
      </w:r>
    </w:p>
    <w:p>
      <w:pPr>
        <w:spacing w:after="0" w:line="1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fair value of the employee benefit plans’ assets is based on market values. The plan assets are valued at market value for the purpose of calculating the expected return on plan assets and the amortization of experienced gains and losses. Past service costs, which may arise from plan amendments, are amortized on a straight-line basis over the average remaining service period of the employees who were active at the date of amendment. The excess of the net actuarial gain (loss) over 10% of the greater of the benefit obligation and the market-related value of plan assets is amortized over the average remaining service period of active employees.</w:t>
      </w:r>
    </w:p>
    <w:p>
      <w:pPr>
        <w:spacing w:after="0" w:line="62" w:lineRule="exact"/>
        <w:rPr>
          <w:sz w:val="20"/>
          <w:szCs w:val="20"/>
          <w:color w:val="auto"/>
        </w:rPr>
      </w:pPr>
    </w:p>
    <w:p>
      <w:pPr>
        <w:ind w:right="1320" w:firstLine="456"/>
        <w:spacing w:after="0" w:line="391" w:lineRule="auto"/>
        <w:rPr>
          <w:sz w:val="20"/>
          <w:szCs w:val="20"/>
          <w:color w:val="auto"/>
        </w:rPr>
      </w:pPr>
      <w:r>
        <w:rPr>
          <w:rFonts w:ascii="Arial" w:cs="Arial" w:eastAsia="Arial" w:hAnsi="Arial"/>
          <w:sz w:val="18"/>
          <w:szCs w:val="18"/>
          <w:color w:val="auto"/>
        </w:rPr>
        <w:t xml:space="preserve">The pension and other benefits costs related to the non-contributory defined benefit plans were immaterial in fiscal 2013, 2012 and 2011. </w:t>
      </w:r>
      <w:r>
        <w:rPr>
          <w:rFonts w:ascii="Arial" w:cs="Arial" w:eastAsia="Arial" w:hAnsi="Arial"/>
          <w:sz w:val="18"/>
          <w:szCs w:val="18"/>
          <w:b w:val="1"/>
          <w:bCs w:val="1"/>
          <w:color w:val="auto"/>
        </w:rPr>
        <w:t>Note 18 — Stock Option and Incentive Plan</w:t>
      </w:r>
    </w:p>
    <w:p>
      <w:pPr>
        <w:spacing w:after="0" w:line="1"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In January 1998, the Company adopted the 1998 Stock Option and Incentive Plan (the “Plan”), which provides for the grant of restricted stock awards, stock options and other equity-based awards to employees, officers, directors, and consultants. The purpose of the Plan is to enable the Company to attract and retain qualified personnel and to motivate such persons by providing them with an equity participation in the Company. Since its adoption, the Plan has been amended on several occasions to, among other things, increase the number of ordinary shares issuable under the Plan. The maximum number of ordinary shares currently authorized to be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granted under the Plan is 62,300. Awards granted under the Plan generally vest over a period of four years and stock options have a term of ten years.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information about options to purchase the Company</w:t>
      </w:r>
      <w:r>
        <w:rPr>
          <w:rFonts w:ascii="Arial" w:cs="Arial" w:eastAsia="Arial" w:hAnsi="Arial"/>
          <w:sz w:val="16"/>
          <w:szCs w:val="16"/>
          <w:b w:val="1"/>
          <w:bCs w:val="1"/>
          <w:color w:val="auto"/>
        </w:rPr>
        <w:t>’</w:t>
      </w:r>
      <w:r>
        <w:rPr>
          <w:rFonts w:ascii="Arial" w:cs="Arial" w:eastAsia="Arial" w:hAnsi="Arial"/>
          <w:sz w:val="16"/>
          <w:szCs w:val="16"/>
          <w:color w:val="auto"/>
        </w:rPr>
        <w:t>s ordinary shares, as well as changes during the fiscal year ended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2013:</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Number of</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Share</w:t>
            </w:r>
          </w:p>
        </w:tc>
        <w:tc>
          <w:tcPr>
            <w:tcW w:w="460" w:type="dxa"/>
            <w:vAlign w:val="bottom"/>
          </w:tcPr>
          <w:p>
            <w:pPr>
              <w:spacing w:after="0"/>
              <w:rPr>
                <w:sz w:val="12"/>
                <w:szCs w:val="12"/>
                <w:color w:val="auto"/>
              </w:rPr>
            </w:pPr>
          </w:p>
        </w:tc>
        <w:tc>
          <w:tcPr>
            <w:tcW w:w="114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83"/>
              </w:rPr>
              <w:t>Weighted Average</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Options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3"/>
              </w:rPr>
              <w:t>Exercise Price</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7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Outstanding as of October 1, 2012</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17,654</w:t>
            </w:r>
          </w:p>
        </w:tc>
        <w:tc>
          <w:tcPr>
            <w:tcW w:w="5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640" w:type="dxa"/>
            <w:vAlign w:val="bottom"/>
          </w:tcPr>
          <w:p>
            <w:pPr>
              <w:jc w:val="right"/>
              <w:spacing w:after="0"/>
              <w:rPr>
                <w:sz w:val="20"/>
                <w:szCs w:val="20"/>
                <w:color w:val="auto"/>
              </w:rPr>
            </w:pPr>
            <w:r>
              <w:rPr>
                <w:rFonts w:ascii="Arial" w:cs="Arial" w:eastAsia="Arial" w:hAnsi="Arial"/>
                <w:sz w:val="18"/>
                <w:szCs w:val="18"/>
                <w:color w:val="auto"/>
              </w:rPr>
              <w:t>2,821</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(7,243)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(1,094)</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as of September 30, 2013(1)</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12,138</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0" w:type="dxa"/>
            <w:vAlign w:val="bottom"/>
            <w:gridSpan w:val="3"/>
            <w:vMerge w:val="restart"/>
          </w:tcPr>
          <w:p>
            <w:pPr>
              <w:ind w:left="460"/>
              <w:spacing w:after="0"/>
              <w:rPr>
                <w:sz w:val="20"/>
                <w:szCs w:val="20"/>
                <w:color w:val="auto"/>
              </w:rPr>
            </w:pPr>
            <w:r>
              <w:rPr>
                <w:rFonts w:ascii="Arial" w:cs="Arial" w:eastAsia="Arial" w:hAnsi="Arial"/>
                <w:sz w:val="18"/>
                <w:szCs w:val="18"/>
                <w:color w:val="auto"/>
              </w:rPr>
              <w:t>Exercisable as of September 30, 2013(1)</w:t>
            </w: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29.53</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00" w:type="dxa"/>
            <w:vAlign w:val="bottom"/>
            <w:gridSpan w:val="3"/>
            <w:vMerge w:val="continue"/>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5,045</w:t>
            </w:r>
          </w:p>
        </w:tc>
        <w:tc>
          <w:tcPr>
            <w:tcW w:w="520" w:type="dxa"/>
            <w:vAlign w:val="bottom"/>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6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60" w:hanging="452"/>
        <w:spacing w:after="0" w:line="457" w:lineRule="auto"/>
        <w:tabs>
          <w:tab w:leader="none" w:pos="449" w:val="left"/>
        </w:tabs>
        <w:numPr>
          <w:ilvl w:val="0"/>
          <w:numId w:val="62"/>
        </w:numPr>
        <w:rPr>
          <w:rFonts w:ascii="Arial" w:cs="Arial" w:eastAsia="Arial" w:hAnsi="Arial"/>
          <w:sz w:val="15"/>
          <w:szCs w:val="15"/>
          <w:color w:val="auto"/>
        </w:rPr>
      </w:pPr>
      <w:r>
        <w:rPr>
          <w:rFonts w:ascii="Arial" w:cs="Arial" w:eastAsia="Arial" w:hAnsi="Arial"/>
          <w:sz w:val="15"/>
          <w:szCs w:val="15"/>
          <w:color w:val="auto"/>
        </w:rPr>
        <w:t>At September 30, 2013, the weighted average remaining contractual life of outstanding and exercisable options was 6.93 and 4.96 years, respectively. The following table summarizes information relating to awards of restricted shares, as well as changes during the fiscal year ended September 30, 2013:</w:t>
      </w:r>
    </w:p>
    <w:tbl>
      <w:tblPr>
        <w:tblLayout w:type="fixed"/>
        <w:tblInd w:w="0" w:type="dxa"/>
        <w:tblCellMar>
          <w:top w:w="0" w:type="dxa"/>
          <w:left w:w="0" w:type="dxa"/>
          <w:bottom w:w="0" w:type="dxa"/>
          <w:right w:w="0" w:type="dxa"/>
        </w:tblCellMar>
      </w:tblP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w w:val="83"/>
              </w:rPr>
              <w:t>Weighted Average</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85"/>
              </w:rPr>
              <w:t>Number of</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w w:val="94"/>
              </w:rPr>
              <w:t>Grant Date Fair</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1"/>
              </w:rPr>
              <w:t>Shares</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37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Outstanding as of October 1, 2012</w:t>
            </w: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28.36</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4"/>
          </w:tcPr>
          <w:p>
            <w:pPr>
              <w:jc w:val="right"/>
              <w:ind w:right="220"/>
              <w:spacing w:after="0"/>
              <w:rPr>
                <w:sz w:val="20"/>
                <w:szCs w:val="20"/>
                <w:color w:val="auto"/>
              </w:rPr>
            </w:pPr>
            <w:r>
              <w:rPr>
                <w:rFonts w:ascii="Arial" w:cs="Arial" w:eastAsia="Arial" w:hAnsi="Arial"/>
                <w:sz w:val="18"/>
                <w:szCs w:val="18"/>
                <w:color w:val="auto"/>
              </w:rPr>
              <w:t>928</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34.82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(613)</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27.89</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(193)</w:t>
            </w: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30.65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as of September 30, 2013</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31.61</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9760" w:type="dxa"/>
            <w:vAlign w:val="bottom"/>
            <w:gridSpan w:val="14"/>
          </w:tcPr>
          <w:p>
            <w:pPr>
              <w:ind w:left="460"/>
              <w:spacing w:after="0"/>
              <w:rPr>
                <w:sz w:val="20"/>
                <w:szCs w:val="20"/>
                <w:color w:val="auto"/>
              </w:rPr>
            </w:pPr>
            <w:r>
              <w:rPr>
                <w:rFonts w:ascii="Arial" w:cs="Arial" w:eastAsia="Arial" w:hAnsi="Arial"/>
                <w:sz w:val="18"/>
                <w:szCs w:val="18"/>
                <w:color w:val="auto"/>
                <w:w w:val="90"/>
              </w:rPr>
              <w:t>The total intrinsic value of options exercised during fiscal 2013, 2012 and 2011 was $44,604, $22,929 and $19,394, respectively.</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080" w:type="dxa"/>
            <w:vAlign w:val="bottom"/>
            <w:gridSpan w:val="13"/>
          </w:tcPr>
          <w:p>
            <w:pPr>
              <w:ind w:left="460"/>
              <w:spacing w:after="0"/>
              <w:rPr>
                <w:sz w:val="20"/>
                <w:szCs w:val="20"/>
                <w:color w:val="auto"/>
              </w:rPr>
            </w:pPr>
            <w:r>
              <w:rPr>
                <w:rFonts w:ascii="Arial" w:cs="Arial" w:eastAsia="Arial" w:hAnsi="Arial"/>
                <w:sz w:val="18"/>
                <w:szCs w:val="18"/>
                <w:color w:val="auto"/>
                <w:w w:val="88"/>
              </w:rPr>
              <w:t>The value of restricted shares vested during fiscal 2013, 2012 and 2011 was $20,891, $15,594 and $12,376, respectively.</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080" w:type="dxa"/>
            <w:vAlign w:val="bottom"/>
            <w:gridSpan w:val="13"/>
          </w:tcPr>
          <w:p>
            <w:pPr>
              <w:ind w:left="460"/>
              <w:spacing w:after="0"/>
              <w:rPr>
                <w:sz w:val="20"/>
                <w:szCs w:val="20"/>
                <w:color w:val="auto"/>
              </w:rPr>
            </w:pPr>
            <w:r>
              <w:rPr>
                <w:rFonts w:ascii="Arial" w:cs="Arial" w:eastAsia="Arial" w:hAnsi="Arial"/>
                <w:sz w:val="18"/>
                <w:szCs w:val="18"/>
                <w:color w:val="auto"/>
              </w:rPr>
              <w:t>The following table summarizes information about stock options outstanding as of September 30, 2013:</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4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Exercisable</w:t>
            </w: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0" w:type="dxa"/>
            <w:vAlign w:val="bottom"/>
            <w:gridSpan w:val="2"/>
          </w:tcPr>
          <w:p>
            <w:pPr>
              <w:jc w:val="right"/>
              <w:ind w:right="760"/>
              <w:spacing w:after="0" w:line="129" w:lineRule="exact"/>
              <w:rPr>
                <w:sz w:val="20"/>
                <w:szCs w:val="20"/>
                <w:color w:val="auto"/>
              </w:rPr>
            </w:pPr>
            <w:r>
              <w:rPr>
                <w:rFonts w:ascii="Arial" w:cs="Arial" w:eastAsia="Arial" w:hAnsi="Arial"/>
                <w:sz w:val="14"/>
                <w:szCs w:val="14"/>
                <w:b w:val="1"/>
                <w:bCs w:val="1"/>
                <w:color w:val="auto"/>
                <w:w w:val="83"/>
              </w:rPr>
              <w:t>Weighted Average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6"/>
              </w:rPr>
              <w:t>Remaining</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00" w:type="dxa"/>
            <w:vAlign w:val="bottom"/>
          </w:tcPr>
          <w:p>
            <w:pPr>
              <w:spacing w:after="0"/>
              <w:rPr>
                <w:sz w:val="12"/>
                <w:szCs w:val="12"/>
                <w:color w:val="auto"/>
              </w:rPr>
            </w:pPr>
          </w:p>
        </w:tc>
        <w:tc>
          <w:tcPr>
            <w:tcW w:w="1460" w:type="dxa"/>
            <w:vAlign w:val="bottom"/>
            <w:gridSpan w:val="4"/>
          </w:tcPr>
          <w:p>
            <w:pPr>
              <w:jc w:val="right"/>
              <w:ind w:right="880"/>
              <w:spacing w:after="0" w:line="149" w:lineRule="exact"/>
              <w:rPr>
                <w:sz w:val="20"/>
                <w:szCs w:val="20"/>
                <w:color w:val="auto"/>
              </w:rPr>
            </w:pPr>
            <w:r>
              <w:rPr>
                <w:rFonts w:ascii="Arial" w:cs="Arial" w:eastAsia="Arial" w:hAnsi="Arial"/>
                <w:sz w:val="14"/>
                <w:szCs w:val="14"/>
                <w:b w:val="1"/>
                <w:bCs w:val="1"/>
                <w:color w:val="auto"/>
                <w:w w:val="88"/>
              </w:rPr>
              <w:t>Weighted</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gridSpan w:val="4"/>
          </w:tcPr>
          <w:p>
            <w:pPr>
              <w:jc w:val="right"/>
              <w:ind w:right="240"/>
              <w:spacing w:after="0" w:line="149"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9"/>
              </w:rPr>
              <w:t>Exercise Price</w:t>
            </w:r>
          </w:p>
        </w:tc>
        <w:tc>
          <w:tcPr>
            <w:tcW w:w="3360" w:type="dxa"/>
            <w:vAlign w:val="bottom"/>
            <w:vMerge w:val="restart"/>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Number</w:t>
            </w:r>
          </w:p>
        </w:tc>
        <w:tc>
          <w:tcPr>
            <w:tcW w:w="640" w:type="dxa"/>
            <w:vAlign w:val="bottom"/>
          </w:tcPr>
          <w:p>
            <w:pPr>
              <w:spacing w:after="0"/>
              <w:rPr>
                <w:sz w:val="12"/>
                <w:szCs w:val="12"/>
                <w:color w:val="auto"/>
              </w:rPr>
            </w:pPr>
          </w:p>
        </w:tc>
        <w:tc>
          <w:tcPr>
            <w:tcW w:w="18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Life</w:t>
            </w:r>
          </w:p>
        </w:tc>
        <w:tc>
          <w:tcPr>
            <w:tcW w:w="100" w:type="dxa"/>
            <w:vAlign w:val="bottom"/>
          </w:tcPr>
          <w:p>
            <w:pPr>
              <w:spacing w:after="0"/>
              <w:rPr>
                <w:sz w:val="12"/>
                <w:szCs w:val="12"/>
                <w:color w:val="auto"/>
              </w:rPr>
            </w:pPr>
          </w:p>
        </w:tc>
        <w:tc>
          <w:tcPr>
            <w:tcW w:w="1460" w:type="dxa"/>
            <w:vAlign w:val="bottom"/>
            <w:gridSpan w:val="4"/>
          </w:tcPr>
          <w:p>
            <w:pPr>
              <w:jc w:val="right"/>
              <w:ind w:right="920"/>
              <w:spacing w:after="0" w:line="149" w:lineRule="exact"/>
              <w:rPr>
                <w:sz w:val="20"/>
                <w:szCs w:val="20"/>
                <w:color w:val="auto"/>
              </w:rPr>
            </w:pPr>
            <w:r>
              <w:rPr>
                <w:rFonts w:ascii="Arial" w:cs="Arial" w:eastAsia="Arial" w:hAnsi="Arial"/>
                <w:sz w:val="14"/>
                <w:szCs w:val="14"/>
                <w:b w:val="1"/>
                <w:bCs w:val="1"/>
                <w:color w:val="auto"/>
                <w:w w:val="94"/>
              </w:rPr>
              <w:t>Average</w:t>
            </w:r>
          </w:p>
        </w:tc>
        <w:tc>
          <w:tcPr>
            <w:tcW w:w="680" w:type="dxa"/>
            <w:vAlign w:val="bottom"/>
          </w:tcPr>
          <w:p>
            <w:pPr>
              <w:jc w:val="right"/>
              <w:ind w:right="17"/>
              <w:spacing w:after="0" w:line="149" w:lineRule="exact"/>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gridSpan w:val="4"/>
          </w:tcPr>
          <w:p>
            <w:pPr>
              <w:jc w:val="right"/>
              <w:ind w:right="280"/>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gridSpan w:val="2"/>
            <w:vMerge w:val="continue"/>
          </w:tcPr>
          <w:p>
            <w:pPr>
              <w:spacing w:after="0"/>
              <w:rPr>
                <w:sz w:val="14"/>
                <w:szCs w:val="14"/>
                <w:color w:val="auto"/>
              </w:rPr>
            </w:pPr>
          </w:p>
        </w:tc>
        <w:tc>
          <w:tcPr>
            <w:tcW w:w="3360" w:type="dxa"/>
            <w:vAlign w:val="bottom"/>
            <w:vMerge w:val="continue"/>
          </w:tcPr>
          <w:p>
            <w:pPr>
              <w:spacing w:after="0"/>
              <w:rPr>
                <w:sz w:val="14"/>
                <w:szCs w:val="14"/>
                <w:color w:val="auto"/>
              </w:rPr>
            </w:pPr>
          </w:p>
        </w:tc>
        <w:tc>
          <w:tcPr>
            <w:tcW w:w="84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87"/>
              </w:rPr>
              <w:t>Outstanding</w:t>
            </w:r>
          </w:p>
        </w:tc>
        <w:tc>
          <w:tcPr>
            <w:tcW w:w="640" w:type="dxa"/>
            <w:vAlign w:val="bottom"/>
          </w:tcPr>
          <w:p>
            <w:pPr>
              <w:spacing w:after="0"/>
              <w:rPr>
                <w:sz w:val="14"/>
                <w:szCs w:val="14"/>
                <w:color w:val="auto"/>
              </w:rPr>
            </w:pPr>
          </w:p>
        </w:tc>
        <w:tc>
          <w:tcPr>
            <w:tcW w:w="1800" w:type="dxa"/>
            <w:vAlign w:val="bottom"/>
            <w:gridSpan w:val="2"/>
          </w:tcPr>
          <w:p>
            <w:pPr>
              <w:jc w:val="center"/>
              <w:ind w:right="760"/>
              <w:spacing w:after="0" w:line="148" w:lineRule="exact"/>
              <w:rPr>
                <w:sz w:val="20"/>
                <w:szCs w:val="20"/>
                <w:color w:val="auto"/>
              </w:rPr>
            </w:pPr>
            <w:r>
              <w:rPr>
                <w:rFonts w:ascii="Arial" w:cs="Arial" w:eastAsia="Arial" w:hAnsi="Arial"/>
                <w:sz w:val="14"/>
                <w:szCs w:val="14"/>
                <w:b w:val="1"/>
                <w:bCs w:val="1"/>
                <w:color w:val="auto"/>
                <w:w w:val="87"/>
              </w:rPr>
              <w:t>(in Years)</w:t>
            </w:r>
          </w:p>
        </w:tc>
        <w:tc>
          <w:tcPr>
            <w:tcW w:w="1560" w:type="dxa"/>
            <w:vAlign w:val="bottom"/>
            <w:gridSpan w:val="5"/>
          </w:tcPr>
          <w:p>
            <w:pPr>
              <w:jc w:val="right"/>
              <w:ind w:right="740"/>
              <w:spacing w:after="0" w:line="148" w:lineRule="exact"/>
              <w:rPr>
                <w:sz w:val="20"/>
                <w:szCs w:val="20"/>
                <w:color w:val="auto"/>
              </w:rPr>
            </w:pPr>
            <w:r>
              <w:rPr>
                <w:rFonts w:ascii="Arial" w:cs="Arial" w:eastAsia="Arial" w:hAnsi="Arial"/>
                <w:sz w:val="14"/>
                <w:szCs w:val="14"/>
                <w:b w:val="1"/>
                <w:bCs w:val="1"/>
                <w:color w:val="auto"/>
                <w:w w:val="83"/>
              </w:rPr>
              <w:t>Exercise Price</w:t>
            </w:r>
          </w:p>
        </w:tc>
        <w:tc>
          <w:tcPr>
            <w:tcW w:w="68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4"/>
              </w:rPr>
              <w:t>Exercisable</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4"/>
          </w:tcPr>
          <w:p>
            <w:pPr>
              <w:jc w:val="right"/>
              <w:ind w:right="100"/>
              <w:spacing w:after="0" w:line="148" w:lineRule="exact"/>
              <w:rPr>
                <w:sz w:val="20"/>
                <w:szCs w:val="20"/>
                <w:color w:val="auto"/>
              </w:rPr>
            </w:pPr>
            <w:r>
              <w:rPr>
                <w:rFonts w:ascii="Arial" w:cs="Arial" w:eastAsia="Arial" w:hAnsi="Arial"/>
                <w:sz w:val="14"/>
                <w:szCs w:val="14"/>
                <w:b w:val="1"/>
                <w:bCs w:val="1"/>
                <w:color w:val="auto"/>
                <w:w w:val="83"/>
              </w:rPr>
              <w:t>Exercise Price</w:t>
            </w:r>
          </w:p>
        </w:tc>
        <w:tc>
          <w:tcPr>
            <w:tcW w:w="0" w:type="dxa"/>
            <w:vAlign w:val="bottom"/>
          </w:tcPr>
          <w:p>
            <w:pPr>
              <w:spacing w:after="0"/>
              <w:rPr>
                <w:sz w:val="1"/>
                <w:szCs w:val="1"/>
                <w:color w:val="auto"/>
              </w:rPr>
            </w:pPr>
          </w:p>
        </w:tc>
      </w:tr>
      <w:tr>
        <w:trPr>
          <w:trHeight w:val="203"/>
        </w:trPr>
        <w:tc>
          <w:tcPr>
            <w:tcW w:w="4240" w:type="dxa"/>
            <w:vAlign w:val="bottom"/>
            <w:tcBorders>
              <w:top w:val="single" w:sz="8" w:color="CCEEFF"/>
            </w:tcBorders>
            <w:gridSpan w:val="3"/>
            <w:shd w:val="clear" w:color="auto" w:fill="CCEEFF"/>
          </w:tcPr>
          <w:p>
            <w:pPr>
              <w:jc w:val="right"/>
              <w:ind w:right="3100"/>
              <w:spacing w:after="0" w:line="202" w:lineRule="exact"/>
              <w:rPr>
                <w:sz w:val="20"/>
                <w:szCs w:val="20"/>
                <w:color w:val="auto"/>
              </w:rPr>
            </w:pPr>
            <w:r>
              <w:rPr>
                <w:rFonts w:ascii="Arial" w:cs="Arial" w:eastAsia="Arial" w:hAnsi="Arial"/>
                <w:sz w:val="18"/>
                <w:szCs w:val="18"/>
                <w:color w:val="auto"/>
                <w:w w:val="90"/>
              </w:rPr>
              <w:t>$ 0.38 — 26.34</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660</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4.03</w:t>
            </w:r>
          </w:p>
        </w:tc>
        <w:tc>
          <w:tcPr>
            <w:tcW w:w="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19.21</w:t>
            </w:r>
          </w:p>
        </w:tc>
        <w:tc>
          <w:tcPr>
            <w:tcW w:w="5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654</w:t>
            </w: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19.15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gridSpan w:val="3"/>
          </w:tcPr>
          <w:p>
            <w:pPr>
              <w:jc w:val="right"/>
              <w:ind w:right="3100"/>
              <w:spacing w:after="0"/>
              <w:rPr>
                <w:sz w:val="20"/>
                <w:szCs w:val="20"/>
                <w:color w:val="auto"/>
              </w:rPr>
            </w:pPr>
            <w:r>
              <w:rPr>
                <w:rFonts w:ascii="Arial" w:cs="Arial" w:eastAsia="Arial" w:hAnsi="Arial"/>
                <w:sz w:val="18"/>
                <w:szCs w:val="18"/>
                <w:color w:val="auto"/>
                <w:w w:val="94"/>
              </w:rPr>
              <w:t>26.38 — 26.88</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1,587</w:t>
            </w:r>
          </w:p>
        </w:tc>
        <w:tc>
          <w:tcPr>
            <w:tcW w:w="2440" w:type="dxa"/>
            <w:vAlign w:val="bottom"/>
            <w:gridSpan w:val="3"/>
          </w:tcPr>
          <w:p>
            <w:pPr>
              <w:jc w:val="right"/>
              <w:ind w:right="740"/>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18"/>
                <w:szCs w:val="18"/>
                <w:color w:val="auto"/>
              </w:rPr>
            </w:pPr>
          </w:p>
        </w:tc>
        <w:tc>
          <w:tcPr>
            <w:tcW w:w="1240" w:type="dxa"/>
            <w:vAlign w:val="bottom"/>
            <w:gridSpan w:val="3"/>
          </w:tcPr>
          <w:p>
            <w:pPr>
              <w:jc w:val="right"/>
              <w:ind w:right="452"/>
              <w:spacing w:after="0"/>
              <w:rPr>
                <w:sz w:val="20"/>
                <w:szCs w:val="20"/>
                <w:color w:val="auto"/>
              </w:rPr>
            </w:pPr>
            <w:r>
              <w:rPr>
                <w:rFonts w:ascii="Arial" w:cs="Arial" w:eastAsia="Arial" w:hAnsi="Arial"/>
                <w:sz w:val="18"/>
                <w:szCs w:val="18"/>
                <w:color w:val="auto"/>
              </w:rPr>
              <w:t>26.56</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26.53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3"/>
            <w:shd w:val="clear" w:color="auto" w:fill="CCEEFF"/>
          </w:tcPr>
          <w:p>
            <w:pPr>
              <w:jc w:val="right"/>
              <w:ind w:right="3100"/>
              <w:spacing w:after="0"/>
              <w:rPr>
                <w:sz w:val="20"/>
                <w:szCs w:val="20"/>
                <w:color w:val="auto"/>
              </w:rPr>
            </w:pPr>
            <w:r>
              <w:rPr>
                <w:rFonts w:ascii="Arial" w:cs="Arial" w:eastAsia="Arial" w:hAnsi="Arial"/>
                <w:sz w:val="18"/>
                <w:szCs w:val="18"/>
                <w:color w:val="auto"/>
                <w:w w:val="94"/>
              </w:rPr>
              <w:t>27.12 — 28.66</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2,378</w:t>
            </w:r>
          </w:p>
        </w:tc>
        <w:tc>
          <w:tcPr>
            <w:tcW w:w="2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7.15</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52"/>
              <w:spacing w:after="0"/>
              <w:rPr>
                <w:sz w:val="20"/>
                <w:szCs w:val="20"/>
                <w:color w:val="auto"/>
              </w:rPr>
            </w:pPr>
            <w:r>
              <w:rPr>
                <w:rFonts w:ascii="Arial" w:cs="Arial" w:eastAsia="Arial" w:hAnsi="Arial"/>
                <w:sz w:val="18"/>
                <w:szCs w:val="18"/>
                <w:color w:val="auto"/>
              </w:rPr>
              <w:t>28.48</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28.35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3"/>
          </w:tcPr>
          <w:p>
            <w:pPr>
              <w:jc w:val="right"/>
              <w:ind w:right="3100"/>
              <w:spacing w:after="0"/>
              <w:rPr>
                <w:sz w:val="20"/>
                <w:szCs w:val="20"/>
                <w:color w:val="auto"/>
              </w:rPr>
            </w:pPr>
            <w:r>
              <w:rPr>
                <w:rFonts w:ascii="Arial" w:cs="Arial" w:eastAsia="Arial" w:hAnsi="Arial"/>
                <w:sz w:val="18"/>
                <w:szCs w:val="18"/>
                <w:color w:val="auto"/>
                <w:w w:val="94"/>
              </w:rPr>
              <w:t>28.70 — 29.44</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2,700</w:t>
            </w:r>
          </w:p>
        </w:tc>
        <w:tc>
          <w:tcPr>
            <w:tcW w:w="2440" w:type="dxa"/>
            <w:vAlign w:val="bottom"/>
            <w:gridSpan w:val="3"/>
          </w:tcPr>
          <w:p>
            <w:pPr>
              <w:jc w:val="right"/>
              <w:ind w:right="740"/>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18"/>
                <w:szCs w:val="18"/>
                <w:color w:val="auto"/>
              </w:rPr>
            </w:pPr>
          </w:p>
        </w:tc>
        <w:tc>
          <w:tcPr>
            <w:tcW w:w="1240" w:type="dxa"/>
            <w:vAlign w:val="bottom"/>
            <w:gridSpan w:val="3"/>
          </w:tcPr>
          <w:p>
            <w:pPr>
              <w:jc w:val="right"/>
              <w:ind w:right="452"/>
              <w:spacing w:after="0"/>
              <w:rPr>
                <w:sz w:val="20"/>
                <w:szCs w:val="20"/>
                <w:color w:val="auto"/>
              </w:rPr>
            </w:pPr>
            <w:r>
              <w:rPr>
                <w:rFonts w:ascii="Arial" w:cs="Arial" w:eastAsia="Arial" w:hAnsi="Arial"/>
                <w:sz w:val="18"/>
                <w:szCs w:val="18"/>
                <w:color w:val="auto"/>
              </w:rPr>
              <w:t>29.29</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29.23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3"/>
            <w:shd w:val="clear" w:color="auto" w:fill="CCEEFF"/>
          </w:tcPr>
          <w:p>
            <w:pPr>
              <w:jc w:val="right"/>
              <w:ind w:right="3100"/>
              <w:spacing w:after="0"/>
              <w:rPr>
                <w:sz w:val="20"/>
                <w:szCs w:val="20"/>
                <w:color w:val="auto"/>
              </w:rPr>
            </w:pPr>
            <w:r>
              <w:rPr>
                <w:rFonts w:ascii="Arial" w:cs="Arial" w:eastAsia="Arial" w:hAnsi="Arial"/>
                <w:sz w:val="18"/>
                <w:szCs w:val="18"/>
                <w:color w:val="auto"/>
                <w:w w:val="94"/>
              </w:rPr>
              <w:t>29.72 — 34.96</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2,365</w:t>
            </w:r>
          </w:p>
        </w:tc>
        <w:tc>
          <w:tcPr>
            <w:tcW w:w="2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5.76</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52"/>
              <w:spacing w:after="0"/>
              <w:rPr>
                <w:sz w:val="20"/>
                <w:szCs w:val="20"/>
                <w:color w:val="auto"/>
              </w:rPr>
            </w:pPr>
            <w:r>
              <w:rPr>
                <w:rFonts w:ascii="Arial" w:cs="Arial" w:eastAsia="Arial" w:hAnsi="Arial"/>
                <w:sz w:val="18"/>
                <w:szCs w:val="18"/>
                <w:color w:val="auto"/>
              </w:rPr>
              <w:t>33.25</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33.48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3"/>
          </w:tcPr>
          <w:p>
            <w:pPr>
              <w:jc w:val="right"/>
              <w:ind w:right="3100"/>
              <w:spacing w:after="0"/>
              <w:rPr>
                <w:sz w:val="20"/>
                <w:szCs w:val="20"/>
                <w:color w:val="auto"/>
              </w:rPr>
            </w:pPr>
            <w:r>
              <w:rPr>
                <w:rFonts w:ascii="Arial" w:cs="Arial" w:eastAsia="Arial" w:hAnsi="Arial"/>
                <w:sz w:val="18"/>
                <w:szCs w:val="18"/>
                <w:color w:val="auto"/>
                <w:w w:val="94"/>
              </w:rPr>
              <w:t>35.45 — 35.69</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1,774</w:t>
            </w:r>
          </w:p>
        </w:tc>
        <w:tc>
          <w:tcPr>
            <w:tcW w:w="2440" w:type="dxa"/>
            <w:vAlign w:val="bottom"/>
            <w:gridSpan w:val="3"/>
          </w:tcPr>
          <w:p>
            <w:pPr>
              <w:jc w:val="right"/>
              <w:ind w:right="740"/>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18"/>
                <w:szCs w:val="18"/>
                <w:color w:val="auto"/>
              </w:rPr>
            </w:pPr>
          </w:p>
        </w:tc>
        <w:tc>
          <w:tcPr>
            <w:tcW w:w="1240" w:type="dxa"/>
            <w:vAlign w:val="bottom"/>
            <w:gridSpan w:val="3"/>
          </w:tcPr>
          <w:p>
            <w:pPr>
              <w:jc w:val="right"/>
              <w:ind w:right="452"/>
              <w:spacing w:after="0"/>
              <w:rPr>
                <w:sz w:val="20"/>
                <w:szCs w:val="20"/>
                <w:color w:val="auto"/>
              </w:rPr>
            </w:pPr>
            <w:r>
              <w:rPr>
                <w:rFonts w:ascii="Arial" w:cs="Arial" w:eastAsia="Arial" w:hAnsi="Arial"/>
                <w:sz w:val="18"/>
                <w:szCs w:val="18"/>
                <w:color w:val="auto"/>
              </w:rPr>
              <w:t>35.65</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35.45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3"/>
            <w:shd w:val="clear" w:color="auto" w:fill="CCEEFF"/>
          </w:tcPr>
          <w:p>
            <w:pPr>
              <w:jc w:val="right"/>
              <w:ind w:right="3100"/>
              <w:spacing w:after="0"/>
              <w:rPr>
                <w:sz w:val="20"/>
                <w:szCs w:val="20"/>
                <w:color w:val="auto"/>
              </w:rPr>
            </w:pPr>
            <w:r>
              <w:rPr>
                <w:rFonts w:ascii="Arial" w:cs="Arial" w:eastAsia="Arial" w:hAnsi="Arial"/>
                <w:sz w:val="18"/>
                <w:szCs w:val="18"/>
                <w:color w:val="auto"/>
                <w:w w:val="94"/>
              </w:rPr>
              <w:t>35.70 — 39.60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w:t>
            </w:r>
          </w:p>
        </w:tc>
        <w:tc>
          <w:tcPr>
            <w:tcW w:w="2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6.91</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52"/>
              <w:spacing w:after="0"/>
              <w:rPr>
                <w:sz w:val="20"/>
                <w:szCs w:val="20"/>
                <w:color w:val="auto"/>
              </w:rPr>
            </w:pPr>
            <w:r>
              <w:rPr>
                <w:rFonts w:ascii="Arial" w:cs="Arial" w:eastAsia="Arial" w:hAnsi="Arial"/>
                <w:sz w:val="18"/>
                <w:szCs w:val="18"/>
                <w:color w:val="auto"/>
              </w:rPr>
              <w:t>37.44</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38.35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3"/>
          </w:tcPr>
          <w:p>
            <w:pPr>
              <w:ind w:left="460"/>
              <w:spacing w:after="0"/>
              <w:rPr>
                <w:sz w:val="20"/>
                <w:szCs w:val="20"/>
                <w:color w:val="auto"/>
              </w:rPr>
            </w:pPr>
            <w:r>
              <w:rPr>
                <w:rFonts w:ascii="Arial" w:cs="Arial" w:eastAsia="Arial" w:hAnsi="Arial"/>
                <w:sz w:val="18"/>
                <w:szCs w:val="18"/>
                <w:color w:val="auto"/>
              </w:rPr>
              <w:t>F-31</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aggregate intrinsic value of outstanding and exercisable stock options as of September 30, 2013 was $76,647 and $36,404, respectively.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Employee equity-based compensation pre-tax expense for the years ended September 30, 2013, 2012 and 2011 was as follows:</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87"/>
              </w:rPr>
              <w:t>Year Ended September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2"/>
                <w:szCs w:val="12"/>
                <w:color w:val="auto"/>
              </w:rPr>
            </w:pPr>
          </w:p>
        </w:tc>
        <w:tc>
          <w:tcPr>
            <w:tcW w:w="108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rPr>
                <w:sz w:val="12"/>
                <w:szCs w:val="12"/>
                <w:color w:val="auto"/>
              </w:rPr>
            </w:pPr>
          </w:p>
        </w:tc>
        <w:tc>
          <w:tcPr>
            <w:tcW w:w="58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7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Cost of service</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$18,284</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$22,641</w:t>
            </w:r>
          </w:p>
        </w:tc>
        <w:tc>
          <w:tcPr>
            <w:tcW w:w="5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$14,641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3,805</w:t>
            </w:r>
          </w:p>
        </w:tc>
        <w:tc>
          <w:tcPr>
            <w:tcW w:w="1580" w:type="dxa"/>
            <w:vAlign w:val="bottom"/>
            <w:gridSpan w:val="3"/>
          </w:tcPr>
          <w:p>
            <w:pPr>
              <w:jc w:val="right"/>
              <w:ind w:right="500"/>
              <w:spacing w:after="0"/>
              <w:rPr>
                <w:sz w:val="20"/>
                <w:szCs w:val="20"/>
                <w:color w:val="auto"/>
              </w:rPr>
            </w:pPr>
            <w:r>
              <w:rPr>
                <w:rFonts w:ascii="Arial" w:cs="Arial" w:eastAsia="Arial" w:hAnsi="Arial"/>
                <w:sz w:val="18"/>
                <w:szCs w:val="18"/>
                <w:color w:val="auto"/>
              </w:rPr>
              <w:t>4,320</w:t>
            </w:r>
          </w:p>
        </w:tc>
        <w:tc>
          <w:tcPr>
            <w:tcW w:w="580" w:type="dxa"/>
            <w:vAlign w:val="bottom"/>
          </w:tcPr>
          <w:p>
            <w:pPr>
              <w:jc w:val="right"/>
              <w:spacing w:after="0"/>
              <w:rPr>
                <w:sz w:val="20"/>
                <w:szCs w:val="20"/>
                <w:color w:val="auto"/>
              </w:rPr>
            </w:pPr>
            <w:r>
              <w:rPr>
                <w:rFonts w:ascii="Arial" w:cs="Arial" w:eastAsia="Arial" w:hAnsi="Arial"/>
                <w:sz w:val="18"/>
                <w:szCs w:val="18"/>
                <w:color w:val="auto"/>
              </w:rPr>
              <w:t>2,701</w:t>
            </w:r>
          </w:p>
        </w:tc>
        <w:tc>
          <w:tcPr>
            <w:tcW w:w="100" w:type="dxa"/>
            <w:vAlign w:val="bottom"/>
          </w:tcPr>
          <w:p>
            <w:pPr>
              <w:spacing w:after="0"/>
              <w:rPr>
                <w:sz w:val="18"/>
                <w:szCs w:val="18"/>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18,251</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16,468</w:t>
            </w:r>
          </w:p>
        </w:tc>
        <w:tc>
          <w:tcPr>
            <w:tcW w:w="5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19,289</w:t>
            </w:r>
          </w:p>
        </w:tc>
        <w:tc>
          <w:tcPr>
            <w:tcW w:w="100" w:type="dxa"/>
            <w:vAlign w:val="bottom"/>
            <w:shd w:val="clear" w:color="auto" w:fill="CCEEFF"/>
          </w:tcPr>
          <w:p>
            <w:pPr>
              <w:spacing w:after="0"/>
              <w:rPr>
                <w:sz w:val="18"/>
                <w:szCs w:val="18"/>
                <w:color w:val="auto"/>
              </w:rPr>
            </w:pPr>
          </w:p>
        </w:tc>
      </w:tr>
      <w:tr>
        <w:trPr>
          <w:trHeight w:val="222"/>
        </w:trPr>
        <w:tc>
          <w:tcPr>
            <w:tcW w:w="7640" w:type="dxa"/>
            <w:vAlign w:val="bottom"/>
          </w:tcPr>
          <w:p>
            <w:pPr>
              <w:spacing w:after="0"/>
              <w:rPr>
                <w:sz w:val="20"/>
                <w:szCs w:val="20"/>
                <w:color w:val="auto"/>
              </w:rPr>
            </w:pPr>
            <w:r>
              <w:rPr>
                <w:rFonts w:ascii="Arial" w:cs="Arial" w:eastAsia="Arial" w:hAnsi="Arial"/>
                <w:sz w:val="18"/>
                <w:szCs w:val="18"/>
                <w:color w:val="auto"/>
              </w:rPr>
              <w:t>Total</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40,340</w:t>
            </w:r>
          </w:p>
        </w:tc>
        <w:tc>
          <w:tcPr>
            <w:tcW w:w="1580" w:type="dxa"/>
            <w:vAlign w:val="bottom"/>
            <w:gridSpan w:val="3"/>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43,429</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36,631</w:t>
            </w:r>
          </w:p>
        </w:tc>
        <w:tc>
          <w:tcPr>
            <w:tcW w:w="100" w:type="dxa"/>
            <w:vAlign w:val="bottom"/>
          </w:tcPr>
          <w:p>
            <w:pPr>
              <w:spacing w:after="0"/>
              <w:rPr>
                <w:sz w:val="19"/>
                <w:szCs w:val="19"/>
                <w:color w:val="auto"/>
              </w:rPr>
            </w:pPr>
          </w:p>
        </w:tc>
      </w:tr>
      <w:tr>
        <w:trPr>
          <w:trHeight w:val="20"/>
        </w:trPr>
        <w:tc>
          <w:tcPr>
            <w:tcW w:w="7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total income tax benefit recognized in the income statement for stock-based compensation (including restricted shares) for fiscal 2013, 2012 and 2011 was $4,150, $6,254 and $2,350, respectively.</w:t>
      </w:r>
    </w:p>
    <w:p>
      <w:pPr>
        <w:spacing w:after="0" w:line="5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As of September 30, 2013, there was $35,746 of unrecognized compensation expense related to unvested stock options and unvested restricted stock awards. The Company recognizes compensation costs using the graded vesting attribution method, which results in a weighted average period of approximately one year over which the unrecognized compensation expense is expected to be recognized.</w:t>
      </w:r>
    </w:p>
    <w:p>
      <w:pPr>
        <w:spacing w:after="0" w:line="59"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fair value of options granted was estimated on the date of grant using the Black-Scholes pricing model with the assumptions noted in the following table (all in weighted averages for options granted during the year):</w:t>
      </w:r>
    </w:p>
    <w:p>
      <w:pPr>
        <w:spacing w:after="0" w:line="11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89"/>
              </w:rPr>
              <w:t>Year Ended September 30,</w:t>
            </w: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52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6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rate(1)</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0.74%</w:t>
            </w: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0.70%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Expected life of stock options(2)</w:t>
            </w:r>
          </w:p>
        </w:tc>
        <w:tc>
          <w:tcPr>
            <w:tcW w:w="400" w:type="dxa"/>
            <w:vAlign w:val="bottom"/>
          </w:tcPr>
          <w:p>
            <w:pPr>
              <w:jc w:val="right"/>
              <w:spacing w:after="0"/>
              <w:rPr>
                <w:sz w:val="20"/>
                <w:szCs w:val="20"/>
                <w:color w:val="auto"/>
              </w:rPr>
            </w:pPr>
            <w:r>
              <w:rPr>
                <w:rFonts w:ascii="Arial" w:cs="Arial" w:eastAsia="Arial" w:hAnsi="Arial"/>
                <w:sz w:val="18"/>
                <w:szCs w:val="18"/>
                <w:color w:val="auto"/>
              </w:rPr>
              <w:t>4.50</w:t>
            </w:r>
          </w:p>
        </w:tc>
        <w:tc>
          <w:tcPr>
            <w:tcW w:w="180" w:type="dxa"/>
            <w:vAlign w:val="bottom"/>
          </w:tcPr>
          <w:p>
            <w:pPr>
              <w:spacing w:after="0"/>
              <w:rPr>
                <w:sz w:val="18"/>
                <w:szCs w:val="18"/>
                <w:color w:val="auto"/>
              </w:rPr>
            </w:pPr>
          </w:p>
        </w:tc>
        <w:tc>
          <w:tcPr>
            <w:tcW w:w="960" w:type="dxa"/>
            <w:vAlign w:val="bottom"/>
            <w:gridSpan w:val="2"/>
          </w:tcPr>
          <w:p>
            <w:pPr>
              <w:ind w:left="660"/>
              <w:spacing w:after="0"/>
              <w:rPr>
                <w:sz w:val="20"/>
                <w:szCs w:val="20"/>
                <w:color w:val="auto"/>
              </w:rPr>
            </w:pPr>
            <w:r>
              <w:rPr>
                <w:rFonts w:ascii="Arial" w:cs="Arial" w:eastAsia="Arial" w:hAnsi="Arial"/>
                <w:sz w:val="18"/>
                <w:szCs w:val="18"/>
                <w:color w:val="auto"/>
                <w:w w:val="79"/>
              </w:rPr>
              <w:t>4.50</w:t>
            </w:r>
          </w:p>
        </w:tc>
        <w:tc>
          <w:tcPr>
            <w:tcW w:w="6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4.50</w:t>
            </w:r>
          </w:p>
        </w:tc>
        <w:tc>
          <w:tcPr>
            <w:tcW w:w="20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volatility(3)</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w:t>
            </w:r>
          </w:p>
        </w:tc>
        <w:tc>
          <w:tcPr>
            <w:tcW w:w="164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28.5%</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30.5%</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Expected dividend yield(4)</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1.48%</w:t>
            </w:r>
          </w:p>
        </w:tc>
        <w:tc>
          <w:tcPr>
            <w:tcW w:w="1640" w:type="dxa"/>
            <w:vAlign w:val="bottom"/>
            <w:gridSpan w:val="3"/>
          </w:tcPr>
          <w:p>
            <w:pPr>
              <w:ind w:left="660"/>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18"/>
                <w:szCs w:val="18"/>
                <w:color w:val="auto"/>
              </w:rPr>
            </w:pP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None</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Fair value per option</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$5.74</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6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$ 7.76</w:t>
            </w:r>
          </w:p>
        </w:tc>
        <w:tc>
          <w:tcPr>
            <w:tcW w:w="2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94361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01"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Risk-free interest rate is based upon U.S. Treasury yield curve appropriate for the term of the Company’s employee stock options.</w:t>
      </w:r>
    </w:p>
    <w:p>
      <w:pPr>
        <w:spacing w:after="0" w:line="63" w:lineRule="exact"/>
        <w:rPr>
          <w:rFonts w:ascii="Arial" w:cs="Arial" w:eastAsia="Arial" w:hAnsi="Arial"/>
          <w:sz w:val="18"/>
          <w:szCs w:val="18"/>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Expected life of stock options is based upon historical experience.</w:t>
      </w:r>
    </w:p>
    <w:p>
      <w:pPr>
        <w:spacing w:after="0" w:line="63" w:lineRule="exact"/>
        <w:rPr>
          <w:rFonts w:ascii="Arial" w:cs="Arial" w:eastAsia="Arial" w:hAnsi="Arial"/>
          <w:sz w:val="18"/>
          <w:szCs w:val="18"/>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Expected volatility is based on blended volatility. Please see Note 2 to the consolidated financial statements.</w:t>
      </w:r>
    </w:p>
    <w:p>
      <w:pPr>
        <w:spacing w:after="0" w:line="63" w:lineRule="exact"/>
        <w:rPr>
          <w:rFonts w:ascii="Arial" w:cs="Arial" w:eastAsia="Arial" w:hAnsi="Arial"/>
          <w:sz w:val="18"/>
          <w:szCs w:val="18"/>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Expected dividend yield is based on the Company’s history and future expectation of dividend payouts.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Dividends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board of directors declared the following dividends during the fiscal year ended September 30, 2013:</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w w:val="92"/>
              </w:rPr>
              <w:t>Declaration Date</w:t>
            </w:r>
          </w:p>
        </w:tc>
        <w:tc>
          <w:tcPr>
            <w:tcW w:w="1220" w:type="dxa"/>
            <w:vAlign w:val="bottom"/>
            <w:vMerge w:val="restart"/>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Dividends Per</w:t>
            </w:r>
          </w:p>
        </w:tc>
        <w:tc>
          <w:tcPr>
            <w:tcW w:w="580" w:type="dxa"/>
            <w:vAlign w:val="bottom"/>
          </w:tcPr>
          <w:p>
            <w:pPr>
              <w:spacing w:after="0"/>
              <w:rPr>
                <w:sz w:val="14"/>
                <w:szCs w:val="14"/>
                <w:color w:val="auto"/>
              </w:rPr>
            </w:pPr>
          </w:p>
        </w:tc>
        <w:tc>
          <w:tcPr>
            <w:tcW w:w="2960" w:type="dxa"/>
            <w:vAlign w:val="bottom"/>
            <w:gridSpan w:val="2"/>
            <w:vMerge w:val="restart"/>
          </w:tcPr>
          <w:p>
            <w:pPr>
              <w:ind w:left="880"/>
              <w:spacing w:after="0"/>
              <w:rPr>
                <w:sz w:val="20"/>
                <w:szCs w:val="20"/>
                <w:color w:val="auto"/>
              </w:rPr>
            </w:pPr>
            <w:r>
              <w:rPr>
                <w:rFonts w:ascii="Arial" w:cs="Arial" w:eastAsia="Arial" w:hAnsi="Arial"/>
                <w:sz w:val="14"/>
                <w:szCs w:val="14"/>
                <w:b w:val="1"/>
                <w:bCs w:val="1"/>
                <w:color w:val="auto"/>
              </w:rPr>
              <w:t>Record Date</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4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168"/>
        </w:trPr>
        <w:tc>
          <w:tcPr>
            <w:tcW w:w="1040" w:type="dxa"/>
            <w:vAlign w:val="bottom"/>
            <w:tcBorders>
              <w:bottom w:val="single" w:sz="8" w:color="auto"/>
            </w:tcBorders>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8"/>
              </w:rPr>
              <w:t>Ordinary Share</w:t>
            </w:r>
          </w:p>
        </w:tc>
        <w:tc>
          <w:tcPr>
            <w:tcW w:w="580" w:type="dxa"/>
            <w:vAlign w:val="bottom"/>
          </w:tcPr>
          <w:p>
            <w:pPr>
              <w:spacing w:after="0"/>
              <w:rPr>
                <w:sz w:val="14"/>
                <w:szCs w:val="14"/>
                <w:color w:val="auto"/>
              </w:rPr>
            </w:pPr>
          </w:p>
        </w:tc>
        <w:tc>
          <w:tcPr>
            <w:tcW w:w="2960" w:type="dxa"/>
            <w:vAlign w:val="bottom"/>
            <w:gridSpan w:val="2"/>
            <w:vMerge w:val="continue"/>
          </w:tcPr>
          <w:p>
            <w:pPr>
              <w:spacing w:after="0"/>
              <w:rPr>
                <w:sz w:val="14"/>
                <w:szCs w:val="14"/>
                <w:color w:val="auto"/>
              </w:rPr>
            </w:pPr>
          </w:p>
        </w:tc>
        <w:tc>
          <w:tcPr>
            <w:tcW w:w="11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Total Amount</w:t>
            </w:r>
          </w:p>
        </w:tc>
        <w:tc>
          <w:tcPr>
            <w:tcW w:w="320" w:type="dxa"/>
            <w:vAlign w:val="bottom"/>
          </w:tcPr>
          <w:p>
            <w:pPr>
              <w:spacing w:after="0"/>
              <w:rPr>
                <w:sz w:val="14"/>
                <w:szCs w:val="14"/>
                <w:color w:val="auto"/>
              </w:rPr>
            </w:pPr>
          </w:p>
        </w:tc>
        <w:tc>
          <w:tcPr>
            <w:tcW w:w="2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2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November 6, 2012</w:t>
            </w:r>
          </w:p>
        </w:tc>
        <w:tc>
          <w:tcPr>
            <w:tcW w:w="9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0.13</w:t>
            </w:r>
          </w:p>
        </w:tc>
        <w:tc>
          <w:tcPr>
            <w:tcW w:w="580" w:type="dxa"/>
            <w:vAlign w:val="bottom"/>
            <w:tcBorders>
              <w:top w:val="single" w:sz="8" w:color="CCEEFF"/>
            </w:tcBorders>
            <w:shd w:val="clear" w:color="auto" w:fill="CCEEFF"/>
          </w:tcPr>
          <w:p>
            <w:pPr>
              <w:spacing w:after="0"/>
              <w:rPr>
                <w:sz w:val="17"/>
                <w:szCs w:val="17"/>
                <w:color w:val="auto"/>
              </w:rPr>
            </w:pPr>
          </w:p>
        </w:tc>
        <w:tc>
          <w:tcPr>
            <w:tcW w:w="24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December 31, 2012</w:t>
            </w:r>
          </w:p>
        </w:tc>
        <w:tc>
          <w:tcPr>
            <w:tcW w:w="5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21,032</w:t>
            </w: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3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January 18, 2013</w:t>
            </w: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Arial" w:cs="Arial" w:eastAsia="Arial" w:hAnsi="Arial"/>
                <w:sz w:val="18"/>
                <w:szCs w:val="18"/>
                <w:color w:val="auto"/>
              </w:rPr>
              <w:t>January 30, 2013</w:t>
            </w:r>
          </w:p>
        </w:tc>
        <w:tc>
          <w:tcPr>
            <w:tcW w:w="12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0.13</w:t>
            </w:r>
          </w:p>
        </w:tc>
        <w:tc>
          <w:tcPr>
            <w:tcW w:w="3540" w:type="dxa"/>
            <w:vAlign w:val="bottom"/>
            <w:gridSpan w:val="3"/>
          </w:tcPr>
          <w:p>
            <w:pPr>
              <w:ind w:left="580"/>
              <w:spacing w:after="0"/>
              <w:rPr>
                <w:sz w:val="20"/>
                <w:szCs w:val="20"/>
                <w:color w:val="auto"/>
              </w:rPr>
            </w:pPr>
            <w:r>
              <w:rPr>
                <w:rFonts w:ascii="Arial" w:cs="Arial" w:eastAsia="Arial" w:hAnsi="Arial"/>
                <w:sz w:val="18"/>
                <w:szCs w:val="18"/>
                <w:color w:val="auto"/>
              </w:rPr>
              <w:t>March 28, 2013</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20,927</w:t>
            </w:r>
          </w:p>
        </w:tc>
        <w:tc>
          <w:tcPr>
            <w:tcW w:w="2660" w:type="dxa"/>
            <w:vAlign w:val="bottom"/>
            <w:gridSpan w:val="2"/>
          </w:tcPr>
          <w:p>
            <w:pPr>
              <w:ind w:left="320"/>
              <w:spacing w:after="0"/>
              <w:rPr>
                <w:sz w:val="20"/>
                <w:szCs w:val="20"/>
                <w:color w:val="auto"/>
              </w:rPr>
            </w:pPr>
            <w:r>
              <w:rPr>
                <w:rFonts w:ascii="Arial" w:cs="Arial" w:eastAsia="Arial" w:hAnsi="Arial"/>
                <w:sz w:val="18"/>
                <w:szCs w:val="18"/>
                <w:color w:val="auto"/>
              </w:rPr>
              <w:t>April 19, 2013</w:t>
            </w:r>
          </w:p>
        </w:tc>
        <w:tc>
          <w:tcPr>
            <w:tcW w:w="0" w:type="dxa"/>
            <w:vAlign w:val="bottom"/>
          </w:tcPr>
          <w:p>
            <w:pPr>
              <w:spacing w:after="0"/>
              <w:rPr>
                <w:sz w:val="1"/>
                <w:szCs w:val="1"/>
                <w:color w:val="auto"/>
              </w:rPr>
            </w:pPr>
          </w:p>
        </w:tc>
      </w:tr>
      <w:tr>
        <w:trPr>
          <w:trHeight w:val="216"/>
        </w:trPr>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30, 2013</w:t>
            </w: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354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June 28, 2013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20,929</w:t>
            </w:r>
          </w:p>
        </w:tc>
        <w:tc>
          <w:tcPr>
            <w:tcW w:w="2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July 19, 2013</w:t>
            </w:r>
          </w:p>
        </w:tc>
        <w:tc>
          <w:tcPr>
            <w:tcW w:w="0" w:type="dxa"/>
            <w:vAlign w:val="bottom"/>
          </w:tcPr>
          <w:p>
            <w:pPr>
              <w:spacing w:after="0"/>
              <w:rPr>
                <w:sz w:val="1"/>
                <w:szCs w:val="1"/>
                <w:color w:val="auto"/>
              </w:rPr>
            </w:pPr>
          </w:p>
        </w:tc>
      </w:tr>
      <w:tr>
        <w:trPr>
          <w:trHeight w:val="222"/>
        </w:trPr>
        <w:tc>
          <w:tcPr>
            <w:tcW w:w="2260" w:type="dxa"/>
            <w:vAlign w:val="bottom"/>
            <w:gridSpan w:val="2"/>
          </w:tcPr>
          <w:p>
            <w:pPr>
              <w:spacing w:after="0"/>
              <w:rPr>
                <w:sz w:val="20"/>
                <w:szCs w:val="20"/>
                <w:color w:val="auto"/>
              </w:rPr>
            </w:pPr>
            <w:r>
              <w:rPr>
                <w:rFonts w:ascii="Arial" w:cs="Arial" w:eastAsia="Arial" w:hAnsi="Arial"/>
                <w:sz w:val="18"/>
                <w:szCs w:val="18"/>
                <w:color w:val="auto"/>
              </w:rPr>
              <w:t>July 31, 2013</w:t>
            </w:r>
          </w:p>
        </w:tc>
        <w:tc>
          <w:tcPr>
            <w:tcW w:w="12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0.13</w:t>
            </w:r>
          </w:p>
        </w:tc>
        <w:tc>
          <w:tcPr>
            <w:tcW w:w="3540" w:type="dxa"/>
            <w:vAlign w:val="bottom"/>
            <w:gridSpan w:val="3"/>
          </w:tcPr>
          <w:p>
            <w:pPr>
              <w:ind w:left="580"/>
              <w:spacing w:after="0"/>
              <w:rPr>
                <w:sz w:val="20"/>
                <w:szCs w:val="20"/>
                <w:color w:val="auto"/>
              </w:rPr>
            </w:pPr>
            <w:r>
              <w:rPr>
                <w:rFonts w:ascii="Arial" w:cs="Arial" w:eastAsia="Arial" w:hAnsi="Arial"/>
                <w:sz w:val="18"/>
                <w:szCs w:val="18"/>
                <w:color w:val="auto"/>
              </w:rPr>
              <w:t>September 30, 2013</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20,812</w:t>
            </w:r>
          </w:p>
        </w:tc>
        <w:tc>
          <w:tcPr>
            <w:tcW w:w="2660" w:type="dxa"/>
            <w:vAlign w:val="bottom"/>
            <w:gridSpan w:val="2"/>
          </w:tcPr>
          <w:p>
            <w:pPr>
              <w:ind w:left="320"/>
              <w:spacing w:after="0"/>
              <w:rPr>
                <w:sz w:val="20"/>
                <w:szCs w:val="20"/>
                <w:color w:val="auto"/>
              </w:rPr>
            </w:pPr>
            <w:r>
              <w:rPr>
                <w:rFonts w:ascii="Arial" w:cs="Arial" w:eastAsia="Arial" w:hAnsi="Arial"/>
                <w:sz w:val="18"/>
                <w:szCs w:val="18"/>
                <w:color w:val="auto"/>
              </w:rPr>
              <w:t>October 18, 2013</w:t>
            </w:r>
          </w:p>
        </w:tc>
        <w:tc>
          <w:tcPr>
            <w:tcW w:w="0" w:type="dxa"/>
            <w:vAlign w:val="bottom"/>
          </w:tcPr>
          <w:p>
            <w:pPr>
              <w:spacing w:after="0"/>
              <w:rPr>
                <w:sz w:val="1"/>
                <w:szCs w:val="1"/>
                <w:color w:val="auto"/>
              </w:rPr>
            </w:pPr>
          </w:p>
        </w:tc>
      </w:tr>
      <w:tr>
        <w:trPr>
          <w:trHeight w:val="356"/>
        </w:trPr>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960" w:type="dxa"/>
            <w:vAlign w:val="bottom"/>
            <w:gridSpan w:val="2"/>
          </w:tcPr>
          <w:p>
            <w:pPr>
              <w:ind w:left="840"/>
              <w:spacing w:after="0"/>
              <w:rPr>
                <w:sz w:val="20"/>
                <w:szCs w:val="20"/>
                <w:color w:val="auto"/>
              </w:rPr>
            </w:pPr>
            <w:r>
              <w:rPr>
                <w:rFonts w:ascii="Arial" w:cs="Arial" w:eastAsia="Arial" w:hAnsi="Arial"/>
                <w:sz w:val="18"/>
                <w:szCs w:val="18"/>
                <w:color w:val="auto"/>
              </w:rPr>
              <w:t>F-32</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payable as a result of the July 31, 2013 declaration was included in other current liabilities as of September 30, 2013.</w:t>
      </w:r>
    </w:p>
    <w:p>
      <w:pPr>
        <w:spacing w:after="0" w:line="90"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On November 5, 2013, the Company’s board of directors approved the next quarterly dividend payment, at the rate of $0.13 per share, and set December 31, 2013 as the record date for determining the shareholders entitled to receive the dividend, which is payable on January 17, 2014.</w:t>
      </w:r>
    </w:p>
    <w:p>
      <w:pPr>
        <w:spacing w:after="0" w:line="4"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Company’s board of directors also approved on November 5, 2013 an increase in the rate of the quarterly cash dividend to $0.155 per share, which would be payable on April 17, 2014. This increase is subject to shareholder approval at the January 2014 annual general meeting of shareholders.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Earnings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0"/>
              </w:rPr>
              <w:t>Year Ended September 30,</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Numerator for basic and diluted earnings per share</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82"/>
              </w:rPr>
              <w:t>412,439</w:t>
            </w: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391,371</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346,665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1"/>
              </w:rPr>
              <w:t>Denominator for basic earnings per share — weighted average number of shares outstanding</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82"/>
              </w:rPr>
              <w:t>161,330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168,275</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185,213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Effect of assumed conversion of 0.50% convertible notes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Effect of dilutive stock options granted</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1,764</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1,138</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w w:val="92"/>
              </w:rPr>
              <w:t>Denominator for dilutive earnings per share — adjusted weighted average shares and assumed</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conversions</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2"/>
              </w:rPr>
              <w:t>163,118</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169,437</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186,559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4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40" w:type="dxa"/>
            <w:vAlign w:val="bottom"/>
            <w:gridSpan w:val="2"/>
            <w:vMerge w:val="continue"/>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56</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33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53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31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weighted average effect of the repurchase of ordinary shares by the Company has been included in the calculation of basic earnings per share.</w:t>
      </w:r>
    </w:p>
    <w:p>
      <w:pPr>
        <w:spacing w:after="0" w:line="113"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For the fiscal years ended September 30, 2013, 2012 and 2011, 3,005, 12,313 and 14,970 weighted average number of shares, respectively, were attributable to antidilutive outstanding stock options and therefore were not included in the calculation of diluted earnings per share.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Segment Information and Sales to Significant Customers</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Company and its subsidiaries operate in one operating segment, providing software products and services for the communications, media and entertainment industry service providers.</w:t>
      </w:r>
    </w:p>
    <w:p>
      <w:pPr>
        <w:spacing w:after="0" w:line="11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00"/>
          </w:cols>
          <w:pgMar w:left="240" w:top="459" w:right="5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is a summary of revenue and long-lived assets by geographic area. Revenue is attributed to geographic region based on the location of the customers.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6"/>
          </w:tcPr>
          <w:p>
            <w:pPr>
              <w:ind w:left="180"/>
              <w:spacing w:after="0"/>
              <w:rPr>
                <w:sz w:val="20"/>
                <w:szCs w:val="20"/>
                <w:color w:val="auto"/>
              </w:rPr>
            </w:pPr>
            <w:r>
              <w:rPr>
                <w:rFonts w:ascii="Arial" w:cs="Arial" w:eastAsia="Arial" w:hAnsi="Arial"/>
                <w:sz w:val="14"/>
                <w:szCs w:val="14"/>
                <w:b w:val="1"/>
                <w:bCs w:val="1"/>
                <w:color w:val="auto"/>
                <w:w w:val="92"/>
              </w:rPr>
              <w:t>Year Ended September 30,</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40" w:type="dxa"/>
            <w:vAlign w:val="bottom"/>
            <w:gridSpan w:val="3"/>
          </w:tcPr>
          <w:p>
            <w:pPr>
              <w:jc w:val="right"/>
              <w:ind w:right="222"/>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212"/>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3"/>
          </w:tcPr>
          <w:p>
            <w:pPr>
              <w:jc w:val="right"/>
              <w:ind w:right="21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76"/>
        </w:trPr>
        <w:tc>
          <w:tcPr>
            <w:tcW w:w="460" w:type="dxa"/>
            <w:vAlign w:val="bottom"/>
          </w:tcPr>
          <w:p>
            <w:pPr>
              <w:spacing w:after="0"/>
              <w:rPr>
                <w:sz w:val="15"/>
                <w:szCs w:val="15"/>
                <w:color w:val="auto"/>
              </w:rPr>
            </w:pPr>
          </w:p>
        </w:tc>
        <w:tc>
          <w:tcPr>
            <w:tcW w:w="66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5"/>
              </w:rPr>
              <w:t>Revenue</w:t>
            </w:r>
          </w:p>
        </w:tc>
        <w:tc>
          <w:tcPr>
            <w:tcW w:w="410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2060" w:type="dxa"/>
            <w:vAlign w:val="bottom"/>
            <w:tcBorders>
              <w:top w:val="single" w:sz="8" w:color="CCEEFF"/>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16"/>
        </w:trPr>
        <w:tc>
          <w:tcPr>
            <w:tcW w:w="460" w:type="dxa"/>
            <w:vAlign w:val="bottom"/>
          </w:tcPr>
          <w:p>
            <w:pPr>
              <w:spacing w:after="0"/>
              <w:rPr>
                <w:sz w:val="18"/>
                <w:szCs w:val="18"/>
                <w:color w:val="auto"/>
              </w:rPr>
            </w:pPr>
          </w:p>
        </w:tc>
        <w:tc>
          <w:tcPr>
            <w:tcW w:w="4760" w:type="dxa"/>
            <w:vAlign w:val="bottom"/>
            <w:gridSpan w:val="4"/>
          </w:tcPr>
          <w:p>
            <w:pPr>
              <w:spacing w:after="0"/>
              <w:rPr>
                <w:sz w:val="20"/>
                <w:szCs w:val="20"/>
                <w:color w:val="auto"/>
              </w:rPr>
            </w:pPr>
            <w:r>
              <w:rPr>
                <w:rFonts w:ascii="Arial" w:cs="Arial" w:eastAsia="Arial" w:hAnsi="Arial"/>
                <w:sz w:val="18"/>
                <w:szCs w:val="18"/>
                <w:color w:val="auto"/>
              </w:rPr>
              <w:t>North America (Mainly United States)</w:t>
            </w:r>
          </w:p>
        </w:tc>
        <w:tc>
          <w:tcPr>
            <w:tcW w:w="3260" w:type="dxa"/>
            <w:vAlign w:val="bottom"/>
            <w:gridSpan w:val="5"/>
          </w:tcPr>
          <w:p>
            <w:pPr>
              <w:jc w:val="right"/>
              <w:ind w:right="292"/>
              <w:spacing w:after="0"/>
              <w:rPr>
                <w:sz w:val="20"/>
                <w:szCs w:val="20"/>
                <w:color w:val="auto"/>
              </w:rPr>
            </w:pPr>
            <w:r>
              <w:rPr>
                <w:rFonts w:ascii="Arial" w:cs="Arial" w:eastAsia="Arial" w:hAnsi="Arial"/>
                <w:sz w:val="18"/>
                <w:szCs w:val="18"/>
                <w:color w:val="auto"/>
              </w:rPr>
              <w:t>$ 2,423,067</w:t>
            </w: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88"/>
              </w:rPr>
              <w:t>$ 2,266,110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w w:val="92"/>
              </w:rPr>
              <w:t>$ 2,333,096</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Europe</w:t>
            </w:r>
          </w:p>
        </w:tc>
        <w:tc>
          <w:tcPr>
            <w:tcW w:w="3260" w:type="dxa"/>
            <w:vAlign w:val="bottom"/>
            <w:gridSpan w:val="5"/>
            <w:shd w:val="clear" w:color="auto" w:fill="CCEEFF"/>
          </w:tcPr>
          <w:p>
            <w:pPr>
              <w:jc w:val="right"/>
              <w:ind w:right="292"/>
              <w:spacing w:after="0"/>
              <w:rPr>
                <w:sz w:val="20"/>
                <w:szCs w:val="20"/>
                <w:color w:val="auto"/>
              </w:rPr>
            </w:pPr>
            <w:r>
              <w:rPr>
                <w:rFonts w:ascii="Arial" w:cs="Arial" w:eastAsia="Arial" w:hAnsi="Arial"/>
                <w:sz w:val="18"/>
                <w:szCs w:val="18"/>
                <w:color w:val="auto"/>
              </w:rPr>
              <w:t>398,400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441,731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403,115</w:t>
            </w:r>
          </w:p>
        </w:tc>
        <w:tc>
          <w:tcPr>
            <w:tcW w:w="100" w:type="dxa"/>
            <w:vAlign w:val="bottom"/>
            <w:shd w:val="clear" w:color="auto" w:fill="CCEEFF"/>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4760" w:type="dxa"/>
            <w:vAlign w:val="bottom"/>
            <w:gridSpan w:val="4"/>
          </w:tcPr>
          <w:p>
            <w:pPr>
              <w:spacing w:after="0"/>
              <w:rPr>
                <w:sz w:val="20"/>
                <w:szCs w:val="20"/>
                <w:color w:val="auto"/>
              </w:rPr>
            </w:pPr>
            <w:r>
              <w:rPr>
                <w:rFonts w:ascii="Arial" w:cs="Arial" w:eastAsia="Arial" w:hAnsi="Arial"/>
                <w:sz w:val="18"/>
                <w:szCs w:val="18"/>
                <w:color w:val="auto"/>
              </w:rPr>
              <w:t>Rest of the world</w:t>
            </w:r>
          </w:p>
        </w:tc>
        <w:tc>
          <w:tcPr>
            <w:tcW w:w="2060" w:type="dxa"/>
            <w:vAlign w:val="bottom"/>
          </w:tcPr>
          <w:p>
            <w:pPr>
              <w:spacing w:after="0"/>
              <w:rPr>
                <w:sz w:val="19"/>
                <w:szCs w:val="19"/>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524,387</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539,062</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441,517</w:t>
            </w:r>
          </w:p>
        </w:tc>
        <w:tc>
          <w:tcPr>
            <w:tcW w:w="10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4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3260" w:type="dxa"/>
            <w:vAlign w:val="bottom"/>
            <w:gridSpan w:val="5"/>
            <w:shd w:val="clear" w:color="auto" w:fill="CCEEFF"/>
          </w:tcPr>
          <w:p>
            <w:pPr>
              <w:jc w:val="right"/>
              <w:ind w:right="292"/>
              <w:spacing w:after="0"/>
              <w:rPr>
                <w:sz w:val="20"/>
                <w:szCs w:val="20"/>
                <w:color w:val="auto"/>
              </w:rPr>
            </w:pPr>
            <w:r>
              <w:rPr>
                <w:rFonts w:ascii="Arial" w:cs="Arial" w:eastAsia="Arial" w:hAnsi="Arial"/>
                <w:sz w:val="18"/>
                <w:szCs w:val="18"/>
                <w:color w:val="auto"/>
              </w:rPr>
              <w:t>$ 3,345,854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$ 3,246,903</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$ 3,177,728</w:t>
            </w:r>
          </w:p>
        </w:tc>
        <w:tc>
          <w:tcPr>
            <w:tcW w:w="100" w:type="dxa"/>
            <w:vAlign w:val="bottom"/>
            <w:shd w:val="clear" w:color="auto" w:fill="CCEEFF"/>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w w:val="87"/>
              </w:rPr>
              <w:t>As of September 30,</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620" w:type="dxa"/>
            <w:vAlign w:val="bottom"/>
            <w:gridSpan w:val="3"/>
          </w:tcPr>
          <w:p>
            <w:pPr>
              <w:spacing w:after="0"/>
              <w:rPr>
                <w:sz w:val="12"/>
                <w:szCs w:val="12"/>
                <w:color w:val="auto"/>
              </w:rPr>
            </w:pPr>
          </w:p>
        </w:tc>
        <w:tc>
          <w:tcPr>
            <w:tcW w:w="640" w:type="dxa"/>
            <w:vAlign w:val="bottom"/>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2"/>
                <w:szCs w:val="12"/>
                <w:color w:val="auto"/>
              </w:rPr>
            </w:pP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3"/>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76"/>
        </w:trPr>
        <w:tc>
          <w:tcPr>
            <w:tcW w:w="460" w:type="dxa"/>
            <w:vAlign w:val="bottom"/>
          </w:tcPr>
          <w:p>
            <w:pPr>
              <w:spacing w:after="0"/>
              <w:rPr>
                <w:sz w:val="15"/>
                <w:szCs w:val="15"/>
                <w:color w:val="auto"/>
              </w:rPr>
            </w:pPr>
          </w:p>
        </w:tc>
        <w:tc>
          <w:tcPr>
            <w:tcW w:w="1540" w:type="dxa"/>
            <w:vAlign w:val="bottom"/>
            <w:tcBorders>
              <w:top w:val="single" w:sz="8" w:color="CCEEFF"/>
              <w:bottom w:val="single" w:sz="8" w:color="auto"/>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5"/>
              </w:rPr>
              <w:t>Long-lived Assets(1)</w:t>
            </w:r>
          </w:p>
        </w:tc>
        <w:tc>
          <w:tcPr>
            <w:tcW w:w="3220" w:type="dxa"/>
            <w:vAlign w:val="bottom"/>
            <w:tcBorders>
              <w:top w:val="single" w:sz="8" w:color="CCEEFF"/>
              <w:bottom w:val="single" w:sz="8" w:color="CCEEFF"/>
            </w:tcBorders>
            <w:shd w:val="clear" w:color="auto" w:fill="CCEEFF"/>
          </w:tcPr>
          <w:p>
            <w:pPr>
              <w:spacing w:after="0"/>
              <w:rPr>
                <w:sz w:val="15"/>
                <w:szCs w:val="15"/>
                <w:color w:val="auto"/>
              </w:rPr>
            </w:pPr>
          </w:p>
        </w:tc>
        <w:tc>
          <w:tcPr>
            <w:tcW w:w="2060" w:type="dxa"/>
            <w:vAlign w:val="bottom"/>
            <w:tcBorders>
              <w:top w:val="single" w:sz="8" w:color="CCEEFF"/>
              <w:bottom w:val="single" w:sz="8" w:color="CCEEFF"/>
            </w:tcBorders>
            <w:shd w:val="clear" w:color="auto" w:fill="CCEEFF"/>
          </w:tcPr>
          <w:p>
            <w:pPr>
              <w:spacing w:after="0"/>
              <w:rPr>
                <w:sz w:val="15"/>
                <w:szCs w:val="15"/>
                <w:color w:val="auto"/>
              </w:rPr>
            </w:pPr>
          </w:p>
        </w:tc>
        <w:tc>
          <w:tcPr>
            <w:tcW w:w="5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16"/>
        </w:trPr>
        <w:tc>
          <w:tcPr>
            <w:tcW w:w="460" w:type="dxa"/>
            <w:vAlign w:val="bottom"/>
          </w:tcPr>
          <w:p>
            <w:pPr>
              <w:spacing w:after="0"/>
              <w:rPr>
                <w:sz w:val="18"/>
                <w:szCs w:val="18"/>
                <w:color w:val="auto"/>
              </w:rPr>
            </w:pPr>
          </w:p>
        </w:tc>
        <w:tc>
          <w:tcPr>
            <w:tcW w:w="4760" w:type="dxa"/>
            <w:vAlign w:val="bottom"/>
            <w:gridSpan w:val="4"/>
          </w:tcPr>
          <w:p>
            <w:pPr>
              <w:spacing w:after="0"/>
              <w:rPr>
                <w:sz w:val="20"/>
                <w:szCs w:val="20"/>
                <w:color w:val="auto"/>
              </w:rPr>
            </w:pPr>
            <w:r>
              <w:rPr>
                <w:rFonts w:ascii="Arial" w:cs="Arial" w:eastAsia="Arial" w:hAnsi="Arial"/>
                <w:sz w:val="18"/>
                <w:szCs w:val="18"/>
                <w:color w:val="auto"/>
              </w:rPr>
              <w:t>North America (Mainly United States)</w:t>
            </w:r>
          </w:p>
        </w:tc>
        <w:tc>
          <w:tcPr>
            <w:tcW w:w="3260" w:type="dxa"/>
            <w:vAlign w:val="bottom"/>
            <w:gridSpan w:val="5"/>
          </w:tcPr>
          <w:p>
            <w:pPr>
              <w:jc w:val="right"/>
              <w:spacing w:after="0"/>
              <w:rPr>
                <w:sz w:val="20"/>
                <w:szCs w:val="20"/>
                <w:color w:val="auto"/>
              </w:rPr>
            </w:pPr>
            <w:r>
              <w:rPr>
                <w:rFonts w:ascii="Arial" w:cs="Arial" w:eastAsia="Arial" w:hAnsi="Arial"/>
                <w:sz w:val="18"/>
                <w:szCs w:val="18"/>
                <w:color w:val="auto"/>
              </w:rPr>
              <w:t>$ 72,855</w:t>
            </w:r>
          </w:p>
        </w:tc>
        <w:tc>
          <w:tcPr>
            <w:tcW w:w="140" w:type="dxa"/>
            <w:vAlign w:val="bottom"/>
          </w:tcPr>
          <w:p>
            <w:pPr>
              <w:spacing w:after="0"/>
              <w:rPr>
                <w:sz w:val="18"/>
                <w:szCs w:val="18"/>
                <w:color w:val="auto"/>
              </w:rPr>
            </w:pPr>
          </w:p>
        </w:tc>
        <w:tc>
          <w:tcPr>
            <w:tcW w:w="1340" w:type="dxa"/>
            <w:vAlign w:val="bottom"/>
            <w:gridSpan w:val="4"/>
          </w:tcPr>
          <w:p>
            <w:pPr>
              <w:jc w:val="right"/>
              <w:ind w:right="280"/>
              <w:spacing w:after="0"/>
              <w:rPr>
                <w:sz w:val="20"/>
                <w:szCs w:val="20"/>
                <w:color w:val="auto"/>
              </w:rPr>
            </w:pPr>
            <w:r>
              <w:rPr>
                <w:rFonts w:ascii="Arial" w:cs="Arial" w:eastAsia="Arial" w:hAnsi="Arial"/>
                <w:sz w:val="18"/>
                <w:szCs w:val="18"/>
                <w:color w:val="auto"/>
              </w:rPr>
              <w:t>$ 83,645</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$102,739</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Europe</w:t>
            </w:r>
          </w:p>
        </w:tc>
        <w:tc>
          <w:tcPr>
            <w:tcW w:w="32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78,501</w:t>
            </w:r>
          </w:p>
        </w:tc>
        <w:tc>
          <w:tcPr>
            <w:tcW w:w="14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65,746</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47,717</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760" w:type="dxa"/>
            <w:vAlign w:val="bottom"/>
            <w:gridSpan w:val="4"/>
          </w:tcPr>
          <w:p>
            <w:pPr>
              <w:spacing w:after="0"/>
              <w:rPr>
                <w:sz w:val="20"/>
                <w:szCs w:val="20"/>
                <w:color w:val="auto"/>
              </w:rPr>
            </w:pPr>
            <w:r>
              <w:rPr>
                <w:rFonts w:ascii="Arial" w:cs="Arial" w:eastAsia="Arial" w:hAnsi="Arial"/>
                <w:sz w:val="18"/>
                <w:szCs w:val="18"/>
                <w:color w:val="auto"/>
              </w:rPr>
              <w:t>Rest of the world:</w:t>
            </w:r>
          </w:p>
        </w:tc>
        <w:tc>
          <w:tcPr>
            <w:tcW w:w="2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7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Israel</w:t>
            </w:r>
          </w:p>
        </w:tc>
        <w:tc>
          <w:tcPr>
            <w:tcW w:w="32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56,683</w:t>
            </w:r>
          </w:p>
        </w:tc>
        <w:tc>
          <w:tcPr>
            <w:tcW w:w="14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51,086</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45,669</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760" w:type="dxa"/>
            <w:vAlign w:val="bottom"/>
            <w:gridSpan w:val="4"/>
          </w:tcPr>
          <w:p>
            <w:pPr>
              <w:ind w:left="220"/>
              <w:spacing w:after="0"/>
              <w:rPr>
                <w:sz w:val="20"/>
                <w:szCs w:val="20"/>
                <w:color w:val="auto"/>
              </w:rPr>
            </w:pPr>
            <w:r>
              <w:rPr>
                <w:rFonts w:ascii="Arial" w:cs="Arial" w:eastAsia="Arial" w:hAnsi="Arial"/>
                <w:sz w:val="18"/>
                <w:szCs w:val="18"/>
                <w:color w:val="auto"/>
              </w:rPr>
              <w:t>India</w:t>
            </w:r>
          </w:p>
        </w:tc>
        <w:tc>
          <w:tcPr>
            <w:tcW w:w="3260" w:type="dxa"/>
            <w:vAlign w:val="bottom"/>
            <w:gridSpan w:val="5"/>
          </w:tcPr>
          <w:p>
            <w:pPr>
              <w:jc w:val="right"/>
              <w:spacing w:after="0"/>
              <w:rPr>
                <w:sz w:val="20"/>
                <w:szCs w:val="20"/>
                <w:color w:val="auto"/>
              </w:rPr>
            </w:pPr>
            <w:r>
              <w:rPr>
                <w:rFonts w:ascii="Arial" w:cs="Arial" w:eastAsia="Arial" w:hAnsi="Arial"/>
                <w:sz w:val="18"/>
                <w:szCs w:val="18"/>
                <w:color w:val="auto"/>
              </w:rPr>
              <w:t>25,036</w:t>
            </w:r>
          </w:p>
        </w:tc>
        <w:tc>
          <w:tcPr>
            <w:tcW w:w="140" w:type="dxa"/>
            <w:vAlign w:val="bottom"/>
          </w:tcPr>
          <w:p>
            <w:pPr>
              <w:spacing w:after="0"/>
              <w:rPr>
                <w:sz w:val="18"/>
                <w:szCs w:val="18"/>
                <w:color w:val="auto"/>
              </w:rPr>
            </w:pPr>
          </w:p>
        </w:tc>
        <w:tc>
          <w:tcPr>
            <w:tcW w:w="1340" w:type="dxa"/>
            <w:vAlign w:val="bottom"/>
            <w:gridSpan w:val="4"/>
          </w:tcPr>
          <w:p>
            <w:pPr>
              <w:jc w:val="right"/>
              <w:ind w:right="280"/>
              <w:spacing w:after="0"/>
              <w:rPr>
                <w:sz w:val="20"/>
                <w:szCs w:val="20"/>
                <w:color w:val="auto"/>
              </w:rPr>
            </w:pPr>
            <w:r>
              <w:rPr>
                <w:rFonts w:ascii="Arial" w:cs="Arial" w:eastAsia="Arial" w:hAnsi="Arial"/>
                <w:sz w:val="18"/>
                <w:szCs w:val="18"/>
                <w:color w:val="auto"/>
              </w:rPr>
              <w:t>29,401</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35,071</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7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Others</w:t>
            </w:r>
          </w:p>
        </w:tc>
        <w:tc>
          <w:tcPr>
            <w:tcW w:w="2620" w:type="dxa"/>
            <w:vAlign w:val="bottom"/>
            <w:gridSpan w:val="3"/>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42,469</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48,029</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27,206</w:t>
            </w:r>
          </w:p>
        </w:tc>
        <w:tc>
          <w:tcPr>
            <w:tcW w:w="100" w:type="dxa"/>
            <w:vAlign w:val="bottom"/>
            <w:shd w:val="clear" w:color="auto" w:fill="CCEEFF"/>
          </w:tcPr>
          <w:p>
            <w:pPr>
              <w:spacing w:after="0"/>
              <w:rPr>
                <w:sz w:val="18"/>
                <w:szCs w:val="18"/>
                <w:color w:val="auto"/>
              </w:rPr>
            </w:pPr>
          </w:p>
        </w:tc>
      </w:tr>
      <w:tr>
        <w:trPr>
          <w:trHeight w:val="222"/>
        </w:trPr>
        <w:tc>
          <w:tcPr>
            <w:tcW w:w="5220" w:type="dxa"/>
            <w:vAlign w:val="bottom"/>
            <w:gridSpan w:val="5"/>
          </w:tcPr>
          <w:p>
            <w:pPr>
              <w:ind w:left="460"/>
              <w:spacing w:after="0"/>
              <w:rPr>
                <w:sz w:val="20"/>
                <w:szCs w:val="20"/>
                <w:color w:val="auto"/>
              </w:rPr>
            </w:pPr>
            <w:r>
              <w:rPr>
                <w:rFonts w:ascii="Arial" w:cs="Arial" w:eastAsia="Arial" w:hAnsi="Arial"/>
                <w:sz w:val="18"/>
                <w:szCs w:val="18"/>
                <w:color w:val="auto"/>
              </w:rPr>
              <w:t>Total</w:t>
            </w:r>
          </w:p>
        </w:tc>
        <w:tc>
          <w:tcPr>
            <w:tcW w:w="326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275,544</w:t>
            </w:r>
          </w:p>
        </w:tc>
        <w:tc>
          <w:tcPr>
            <w:tcW w:w="140" w:type="dxa"/>
            <w:vAlign w:val="bottom"/>
          </w:tcPr>
          <w:p>
            <w:pPr>
              <w:spacing w:after="0"/>
              <w:rPr>
                <w:sz w:val="19"/>
                <w:szCs w:val="19"/>
                <w:color w:val="auto"/>
              </w:rPr>
            </w:pPr>
          </w:p>
        </w:tc>
        <w:tc>
          <w:tcPr>
            <w:tcW w:w="1340" w:type="dxa"/>
            <w:vAlign w:val="bottom"/>
            <w:gridSpan w:val="4"/>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277,907</w:t>
            </w:r>
          </w:p>
        </w:tc>
        <w:tc>
          <w:tcPr>
            <w:tcW w:w="9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258,402</w:t>
            </w:r>
          </w:p>
        </w:tc>
        <w:tc>
          <w:tcPr>
            <w:tcW w:w="10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Includes equipment and leasehold improvements.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and Customer Information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Customer experience systems include the following offerings: revenue management, customer management, operations support systems (OSS), network control, digital services and M2M solutions. Customer experience systems also include a comprehensive line of services such as consulting, systems integration and transformation, testing, information technology outsourcing (ITO) and value process operation, managed services and product support, system implementation, integration, modification, consolidation, modernization, ongoing support, enhancement and maintenance. Directory includes comprehensive set of products and services for local marketing service providers and search and directory publishers.</w:t>
      </w:r>
    </w:p>
    <w:p>
      <w:pPr>
        <w:spacing w:after="0" w:line="9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89"/>
              </w:rPr>
              <w:t>Year Ended September 30,</w:t>
            </w: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840" w:type="dxa"/>
            <w:vAlign w:val="bottom"/>
          </w:tcPr>
          <w:p>
            <w:pPr>
              <w:jc w:val="right"/>
              <w:ind w:right="219"/>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2"/>
                <w:szCs w:val="12"/>
                <w:color w:val="auto"/>
              </w:rPr>
            </w:pPr>
          </w:p>
        </w:tc>
        <w:tc>
          <w:tcPr>
            <w:tcW w:w="1280" w:type="dxa"/>
            <w:vAlign w:val="bottom"/>
            <w:gridSpan w:val="2"/>
          </w:tcPr>
          <w:p>
            <w:pPr>
              <w:jc w:val="right"/>
              <w:ind w:right="212"/>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2"/>
                <w:szCs w:val="12"/>
                <w:color w:val="auto"/>
              </w:rPr>
            </w:pPr>
          </w:p>
        </w:tc>
        <w:tc>
          <w:tcPr>
            <w:tcW w:w="960" w:type="dxa"/>
            <w:vAlign w:val="bottom"/>
            <w:gridSpan w:val="2"/>
          </w:tcPr>
          <w:p>
            <w:pPr>
              <w:jc w:val="right"/>
              <w:ind w:right="21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Customer experience systems</w:t>
            </w:r>
          </w:p>
        </w:tc>
        <w:tc>
          <w:tcPr>
            <w:tcW w:w="3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$ 3,185,637</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$ 3,066,170</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$ 2,978,288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Directory</w:t>
            </w:r>
          </w:p>
        </w:tc>
        <w:tc>
          <w:tcPr>
            <w:tcW w:w="32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160,217</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180,733</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199,440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$ 3,345,854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$ 3,246,903</w:t>
            </w:r>
          </w:p>
        </w:tc>
        <w:tc>
          <w:tcPr>
            <w:tcW w:w="4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$ 3,177,728</w:t>
            </w: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4140" w:type="dxa"/>
            <w:vAlign w:val="bottom"/>
            <w:gridSpan w:val="3"/>
          </w:tcPr>
          <w:p>
            <w:pPr>
              <w:ind w:left="1480"/>
              <w:spacing w:after="0"/>
              <w:rPr>
                <w:sz w:val="20"/>
                <w:szCs w:val="20"/>
                <w:color w:val="auto"/>
              </w:rPr>
            </w:pPr>
            <w:r>
              <w:rPr>
                <w:rFonts w:ascii="Arial" w:cs="Arial" w:eastAsia="Arial" w:hAnsi="Arial"/>
                <w:sz w:val="18"/>
                <w:szCs w:val="18"/>
                <w:color w:val="auto"/>
              </w:rPr>
              <w:t>F-34</w:t>
            </w: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00"/>
          </w:cols>
          <w:pgMar w:left="240" w:top="459" w:right="3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Sales to Significant Customers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percentage of sales to significant customer groups (when they amount to at least 10 percent of total revenue for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87"/>
              </w:rPr>
              <w:t>Year Ended September 30,</w:t>
            </w: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60" w:type="dxa"/>
            <w:vAlign w:val="bottom"/>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43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2013</w:t>
            </w:r>
          </w:p>
        </w:tc>
        <w:tc>
          <w:tcPr>
            <w:tcW w:w="1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89"/>
              </w:rPr>
              <w:t>2012</w:t>
            </w:r>
          </w:p>
        </w:tc>
        <w:tc>
          <w:tcPr>
            <w:tcW w:w="3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210"/>
        </w:trPr>
        <w:tc>
          <w:tcPr>
            <w:tcW w:w="460" w:type="dxa"/>
            <w:vAlign w:val="bottom"/>
          </w:tcPr>
          <w:p>
            <w:pPr>
              <w:spacing w:after="0"/>
              <w:rPr>
                <w:sz w:val="18"/>
                <w:szCs w:val="18"/>
                <w:color w:val="auto"/>
              </w:rPr>
            </w:pPr>
          </w:p>
        </w:tc>
        <w:tc>
          <w:tcPr>
            <w:tcW w:w="5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Customer 1</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6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9"/>
              </w:rPr>
              <w:t>29%</w:t>
            </w:r>
          </w:p>
        </w:tc>
      </w:tr>
      <w:tr>
        <w:trPr>
          <w:trHeight w:val="216"/>
        </w:trPr>
        <w:tc>
          <w:tcPr>
            <w:tcW w:w="46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Customer 2</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ind w:left="300"/>
              <w:spacing w:after="0"/>
              <w:rPr>
                <w:sz w:val="20"/>
                <w:szCs w:val="20"/>
                <w:color w:val="auto"/>
              </w:rPr>
            </w:pPr>
            <w:r>
              <w:rPr>
                <w:rFonts w:ascii="Arial" w:cs="Arial" w:eastAsia="Arial" w:hAnsi="Arial"/>
                <w:sz w:val="18"/>
                <w:szCs w:val="18"/>
                <w:color w:val="auto"/>
                <w:w w:val="79"/>
              </w:rPr>
              <w:t>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3</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08"/>
        </w:trPr>
        <w:tc>
          <w:tcPr>
            <w:tcW w:w="1500" w:type="dxa"/>
            <w:vAlign w:val="bottom"/>
            <w:tcBorders>
              <w:bottom w:val="single" w:sz="8" w:color="auto"/>
            </w:tcBorders>
            <w:gridSpan w:val="2"/>
          </w:tcPr>
          <w:p>
            <w:pPr>
              <w:spacing w:after="0"/>
              <w:rPr>
                <w:sz w:val="9"/>
                <w:szCs w:val="9"/>
                <w:color w:val="auto"/>
              </w:rPr>
            </w:pPr>
          </w:p>
        </w:tc>
        <w:tc>
          <w:tcPr>
            <w:tcW w:w="4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35"/>
        </w:trPr>
        <w:tc>
          <w:tcPr>
            <w:tcW w:w="5820" w:type="dxa"/>
            <w:vAlign w:val="bottom"/>
            <w:gridSpan w:val="3"/>
          </w:tcPr>
          <w:p>
            <w:pPr>
              <w:spacing w:after="0"/>
              <w:rPr>
                <w:sz w:val="20"/>
                <w:szCs w:val="20"/>
                <w:color w:val="auto"/>
              </w:rPr>
            </w:pPr>
            <w:r>
              <w:rPr>
                <w:rFonts w:ascii="Arial" w:cs="Arial" w:eastAsia="Arial" w:hAnsi="Arial"/>
                <w:sz w:val="18"/>
                <w:szCs w:val="18"/>
                <w:color w:val="auto"/>
              </w:rPr>
              <w:t>*  Represents an amount of less than 10%.</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8"/>
        </w:trPr>
        <w:tc>
          <w:tcPr>
            <w:tcW w:w="5820" w:type="dxa"/>
            <w:vAlign w:val="bottom"/>
            <w:gridSpan w:val="3"/>
          </w:tcPr>
          <w:p>
            <w:pPr>
              <w:spacing w:after="0"/>
              <w:rPr>
                <w:sz w:val="20"/>
                <w:szCs w:val="20"/>
                <w:color w:val="auto"/>
              </w:rPr>
            </w:pPr>
            <w:r>
              <w:rPr>
                <w:rFonts w:ascii="Arial" w:cs="Arial" w:eastAsia="Arial" w:hAnsi="Arial"/>
                <w:sz w:val="18"/>
                <w:szCs w:val="18"/>
                <w:b w:val="1"/>
                <w:bCs w:val="1"/>
                <w:color w:val="auto"/>
              </w:rPr>
              <w:t>Note 22 — Selected Quarterly Results of Operations (Unaudited)</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7"/>
        </w:trPr>
        <w:tc>
          <w:tcPr>
            <w:tcW w:w="8700" w:type="dxa"/>
            <w:vAlign w:val="bottom"/>
            <w:gridSpan w:val="10"/>
          </w:tcPr>
          <w:p>
            <w:pPr>
              <w:ind w:left="460"/>
              <w:spacing w:after="0"/>
              <w:rPr>
                <w:sz w:val="20"/>
                <w:szCs w:val="20"/>
                <w:color w:val="auto"/>
              </w:rPr>
            </w:pPr>
            <w:r>
              <w:rPr>
                <w:rFonts w:ascii="Arial" w:cs="Arial" w:eastAsia="Arial" w:hAnsi="Arial"/>
                <w:sz w:val="18"/>
                <w:szCs w:val="18"/>
                <w:color w:val="auto"/>
              </w:rPr>
              <w:t>The following are details of the unaudited quarterly results of operations for the three months ended:</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9"/>
        </w:trPr>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136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w w:val="99"/>
              </w:rPr>
              <w:t>June 30,</w:t>
            </w:r>
          </w:p>
        </w:tc>
        <w:tc>
          <w:tcPr>
            <w:tcW w:w="122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w w:val="95"/>
              </w:rPr>
              <w:t>March 31,</w:t>
            </w:r>
          </w:p>
        </w:tc>
        <w:tc>
          <w:tcPr>
            <w:tcW w:w="140" w:type="dxa"/>
            <w:vAlign w:val="bottom"/>
          </w:tcPr>
          <w:p>
            <w:pPr>
              <w:spacing w:after="0"/>
              <w:rPr>
                <w:sz w:val="24"/>
                <w:szCs w:val="24"/>
                <w:color w:val="auto"/>
              </w:rPr>
            </w:pPr>
          </w:p>
        </w:tc>
        <w:tc>
          <w:tcPr>
            <w:tcW w:w="900" w:type="dxa"/>
            <w:vAlign w:val="bottom"/>
            <w:gridSpan w:val="5"/>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96"/>
        </w:trPr>
        <w:tc>
          <w:tcPr>
            <w:tcW w:w="460" w:type="dxa"/>
            <w:vAlign w:val="bottom"/>
          </w:tcPr>
          <w:p>
            <w:pPr>
              <w:spacing w:after="0"/>
              <w:rPr>
                <w:sz w:val="17"/>
                <w:szCs w:val="17"/>
                <w:color w:val="auto"/>
              </w:rPr>
            </w:pPr>
          </w:p>
        </w:tc>
        <w:tc>
          <w:tcPr>
            <w:tcW w:w="1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2013</w:t>
            </w:r>
          </w:p>
        </w:tc>
        <w:tc>
          <w:tcPr>
            <w:tcW w:w="4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5360" w:type="dxa"/>
            <w:vAlign w:val="bottom"/>
            <w:gridSpan w:val="2"/>
          </w:tcPr>
          <w:p>
            <w:pPr>
              <w:ind w:left="440"/>
              <w:spacing w:after="0"/>
              <w:rPr>
                <w:sz w:val="20"/>
                <w:szCs w:val="20"/>
                <w:color w:val="auto"/>
              </w:rPr>
            </w:pPr>
            <w:r>
              <w:rPr>
                <w:rFonts w:ascii="Arial" w:cs="Arial" w:eastAsia="Arial" w:hAnsi="Arial"/>
                <w:sz w:val="18"/>
                <w:szCs w:val="18"/>
                <w:color w:val="auto"/>
              </w:rPr>
              <w:t>Revenue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845,225</w:t>
            </w:r>
          </w:p>
        </w:tc>
        <w:tc>
          <w:tcPr>
            <w:tcW w:w="6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7"/>
              </w:rPr>
              <w:t>$841,332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$832,938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86"/>
              </w:rPr>
              <w:t>826,359</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122,876</w:t>
            </w: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123,164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122,855</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112,657</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360" w:type="dxa"/>
            <w:vAlign w:val="bottom"/>
            <w:gridSpan w:val="2"/>
          </w:tcPr>
          <w:p>
            <w:pPr>
              <w:ind w:left="44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88,954</w:t>
            </w:r>
          </w:p>
        </w:tc>
        <w:tc>
          <w:tcPr>
            <w:tcW w:w="6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119,558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104,912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99,015</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Basic earnings per share</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360" w:type="dxa"/>
            <w:vAlign w:val="bottom"/>
            <w:gridSpan w:val="2"/>
          </w:tcPr>
          <w:p>
            <w:pPr>
              <w:ind w:left="440"/>
              <w:spacing w:after="0"/>
              <w:rPr>
                <w:sz w:val="20"/>
                <w:szCs w:val="20"/>
                <w:color w:val="auto"/>
              </w:rPr>
            </w:pPr>
            <w:r>
              <w:rPr>
                <w:rFonts w:ascii="Arial" w:cs="Arial" w:eastAsia="Arial" w:hAnsi="Arial"/>
                <w:sz w:val="18"/>
                <w:szCs w:val="18"/>
                <w:color w:val="auto"/>
              </w:rPr>
              <w:t>Diluted earnings per share</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0.54</w:t>
            </w:r>
          </w:p>
        </w:tc>
        <w:tc>
          <w:tcPr>
            <w:tcW w:w="6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0.73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0.64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2012</w:t>
            </w:r>
          </w:p>
        </w:tc>
        <w:tc>
          <w:tcPr>
            <w:tcW w:w="4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360" w:type="dxa"/>
            <w:vAlign w:val="bottom"/>
            <w:gridSpan w:val="2"/>
          </w:tcPr>
          <w:p>
            <w:pPr>
              <w:ind w:left="440"/>
              <w:spacing w:after="0"/>
              <w:rPr>
                <w:sz w:val="20"/>
                <w:szCs w:val="20"/>
                <w:color w:val="auto"/>
              </w:rPr>
            </w:pPr>
            <w:r>
              <w:rPr>
                <w:rFonts w:ascii="Arial" w:cs="Arial" w:eastAsia="Arial" w:hAnsi="Arial"/>
                <w:sz w:val="18"/>
                <w:szCs w:val="18"/>
                <w:color w:val="auto"/>
              </w:rPr>
              <w:t>Revenue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822,128</w:t>
            </w:r>
          </w:p>
        </w:tc>
        <w:tc>
          <w:tcPr>
            <w:tcW w:w="6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7"/>
              </w:rPr>
              <w:t>$808,837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$808,928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86"/>
              </w:rPr>
              <w:t>807,010</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113,501</w:t>
            </w: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110,051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109,872</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109,048</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360" w:type="dxa"/>
            <w:vAlign w:val="bottom"/>
            <w:gridSpan w:val="2"/>
          </w:tcPr>
          <w:p>
            <w:pPr>
              <w:ind w:left="44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98,021</w:t>
            </w:r>
          </w:p>
        </w:tc>
        <w:tc>
          <w:tcPr>
            <w:tcW w:w="6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98,749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101,870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92,731</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Basic earnings per share</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00" w:type="dxa"/>
            <w:vAlign w:val="bottom"/>
            <w:shd w:val="clear" w:color="auto" w:fill="CCEEFF"/>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5360" w:type="dxa"/>
            <w:vAlign w:val="bottom"/>
            <w:gridSpan w:val="2"/>
          </w:tcPr>
          <w:p>
            <w:pPr>
              <w:ind w:left="440"/>
              <w:spacing w:after="0"/>
              <w:rPr>
                <w:sz w:val="20"/>
                <w:szCs w:val="20"/>
                <w:color w:val="auto"/>
              </w:rPr>
            </w:pPr>
            <w:r>
              <w:rPr>
                <w:rFonts w:ascii="Arial" w:cs="Arial" w:eastAsia="Arial" w:hAnsi="Arial"/>
                <w:sz w:val="18"/>
                <w:szCs w:val="18"/>
                <w:color w:val="auto"/>
              </w:rPr>
              <w:t>Diluted earnings per share</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0.60</w:t>
            </w:r>
          </w:p>
        </w:tc>
        <w:tc>
          <w:tcPr>
            <w:tcW w:w="6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0.59</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0.60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19"/>
                <w:szCs w:val="19"/>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 Subsequent Event</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November 5, 2013, the Company entered into a definitive agreement to acquire substantially all the assets of Celcite Management Solutions LLC (“Celcite”), for approximately $129,000 in cash, subject to customary closing conditions. Additional consideration may be paid later based on the achievement of agreed performance metrics. Celcite is a leading provider of network management solutions. The transaction is expected to close towards the end of the first quarter of fiscal 2014, or in the beginning of the second quarter of fiscal 2014.</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360"/>
          </w:cols>
          <w:pgMar w:left="240" w:top="459" w:right="29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VALUATION AND QUALIFYING ACCOUNTS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6"/>
              </w:rPr>
              <w:t>Valuation Allowances</w:t>
            </w: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on Net</w:t>
            </w: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Accounts Receivable</w:t>
            </w:r>
          </w:p>
        </w:tc>
        <w:tc>
          <w:tcPr>
            <w:tcW w:w="160" w:type="dxa"/>
            <w:vAlign w:val="bottom"/>
          </w:tcPr>
          <w:p>
            <w:pPr>
              <w:spacing w:after="0"/>
              <w:rPr>
                <w:sz w:val="12"/>
                <w:szCs w:val="12"/>
                <w:color w:val="auto"/>
              </w:rPr>
            </w:pPr>
          </w:p>
        </w:tc>
        <w:tc>
          <w:tcPr>
            <w:tcW w:w="14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Deferred Tax</w:t>
            </w: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2"/>
          </w:tcPr>
          <w:p>
            <w:pPr>
              <w:jc w:val="right"/>
              <w:ind w:right="1820"/>
              <w:spacing w:after="0"/>
              <w:rPr>
                <w:sz w:val="20"/>
                <w:szCs w:val="20"/>
                <w:color w:val="auto"/>
              </w:rPr>
            </w:pPr>
            <w:r>
              <w:rPr>
                <w:rFonts w:ascii="Arial" w:cs="Arial" w:eastAsia="Arial" w:hAnsi="Arial"/>
                <w:sz w:val="14"/>
                <w:szCs w:val="14"/>
                <w:b w:val="1"/>
                <w:bCs w:val="1"/>
                <w:color w:val="auto"/>
                <w:w w:val="93"/>
              </w:rPr>
              <w:t>Allowances</w:t>
            </w:r>
          </w:p>
        </w:tc>
        <w:tc>
          <w:tcPr>
            <w:tcW w:w="160" w:type="dxa"/>
            <w:vAlign w:val="bottom"/>
          </w:tcPr>
          <w:p>
            <w:pPr>
              <w:spacing w:after="0"/>
              <w:rPr>
                <w:sz w:val="14"/>
                <w:szCs w:val="14"/>
                <w:color w:val="auto"/>
              </w:rPr>
            </w:pPr>
          </w:p>
        </w:tc>
        <w:tc>
          <w:tcPr>
            <w:tcW w:w="14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78"/>
              </w:rPr>
              <w:t>Assets</w:t>
            </w:r>
          </w:p>
        </w:tc>
      </w:tr>
      <w:tr>
        <w:trPr>
          <w:trHeight w:val="210"/>
        </w:trPr>
        <w:tc>
          <w:tcPr>
            <w:tcW w:w="460" w:type="dxa"/>
            <w:vAlign w:val="bottom"/>
          </w:tcPr>
          <w:p>
            <w:pPr>
              <w:spacing w:after="0"/>
              <w:rPr>
                <w:sz w:val="18"/>
                <w:szCs w:val="18"/>
                <w:color w:val="auto"/>
              </w:rPr>
            </w:pPr>
          </w:p>
        </w:tc>
        <w:tc>
          <w:tcPr>
            <w:tcW w:w="61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as of October 1, 2010</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11,428</w:t>
            </w:r>
          </w:p>
        </w:tc>
        <w:tc>
          <w:tcPr>
            <w:tcW w:w="1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106,743</w:t>
            </w:r>
          </w:p>
        </w:tc>
        <w:tc>
          <w:tcPr>
            <w:tcW w:w="400" w:type="dxa"/>
            <w:vAlign w:val="bottom"/>
            <w:tcBorders>
              <w:top w:val="single" w:sz="8" w:color="CCEEFF"/>
            </w:tcBorders>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120" w:type="dxa"/>
            <w:vAlign w:val="bottom"/>
            <w:gridSpan w:val="2"/>
          </w:tcPr>
          <w:p>
            <w:pPr>
              <w:ind w:left="220"/>
              <w:spacing w:after="0"/>
              <w:rPr>
                <w:sz w:val="20"/>
                <w:szCs w:val="20"/>
                <w:color w:val="auto"/>
              </w:rPr>
            </w:pPr>
            <w:r>
              <w:rPr>
                <w:rFonts w:ascii="Arial" w:cs="Arial" w:eastAsia="Arial" w:hAnsi="Arial"/>
                <w:sz w:val="18"/>
                <w:szCs w:val="18"/>
                <w:color w:val="auto"/>
              </w:rPr>
              <w:t>Charged to costs and expenses</w:t>
            </w:r>
          </w:p>
        </w:tc>
        <w:tc>
          <w:tcPr>
            <w:tcW w:w="180" w:type="dxa"/>
            <w:vAlign w:val="bottom"/>
          </w:tcPr>
          <w:p>
            <w:pPr>
              <w:spacing w:after="0"/>
              <w:rPr>
                <w:sz w:val="18"/>
                <w:szCs w:val="18"/>
                <w:color w:val="auto"/>
              </w:rPr>
            </w:pPr>
          </w:p>
        </w:tc>
        <w:tc>
          <w:tcPr>
            <w:tcW w:w="2560" w:type="dxa"/>
            <w:vAlign w:val="bottom"/>
            <w:gridSpan w:val="2"/>
          </w:tcPr>
          <w:p>
            <w:pPr>
              <w:jc w:val="right"/>
              <w:ind w:right="1540"/>
              <w:spacing w:after="0"/>
              <w:rPr>
                <w:sz w:val="20"/>
                <w:szCs w:val="20"/>
                <w:color w:val="auto"/>
              </w:rPr>
            </w:pPr>
            <w:r>
              <w:rPr>
                <w:rFonts w:ascii="Arial" w:cs="Arial" w:eastAsia="Arial" w:hAnsi="Arial"/>
                <w:sz w:val="18"/>
                <w:szCs w:val="18"/>
                <w:color w:val="auto"/>
              </w:rPr>
              <w:t>7,602</w:t>
            </w:r>
          </w:p>
        </w:tc>
        <w:tc>
          <w:tcPr>
            <w:tcW w:w="1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24,372(1)</w:t>
            </w:r>
          </w:p>
        </w:tc>
      </w:tr>
      <w:tr>
        <w:trPr>
          <w:trHeight w:val="216"/>
        </w:trPr>
        <w:tc>
          <w:tcPr>
            <w:tcW w:w="460" w:type="dxa"/>
            <w:vAlign w:val="bottom"/>
          </w:tcPr>
          <w:p>
            <w:pPr>
              <w:spacing w:after="0"/>
              <w:rPr>
                <w:sz w:val="18"/>
                <w:szCs w:val="18"/>
                <w:color w:val="auto"/>
              </w:rPr>
            </w:pPr>
          </w:p>
        </w:tc>
        <w:tc>
          <w:tcPr>
            <w:tcW w:w="6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Charged to other accounts</w:t>
            </w:r>
          </w:p>
        </w:tc>
        <w:tc>
          <w:tcPr>
            <w:tcW w:w="18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ind w:right="1340"/>
              <w:spacing w:after="0"/>
              <w:rPr>
                <w:sz w:val="20"/>
                <w:szCs w:val="20"/>
                <w:color w:val="auto"/>
              </w:rPr>
            </w:pPr>
            <w:r>
              <w:rPr>
                <w:rFonts w:ascii="Arial" w:cs="Arial" w:eastAsia="Arial" w:hAnsi="Arial"/>
                <w:sz w:val="18"/>
                <w:szCs w:val="18"/>
                <w:color w:val="auto"/>
              </w:rPr>
              <w:t>3,620(3)</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16,685(2)</w:t>
            </w:r>
          </w:p>
        </w:tc>
      </w:tr>
      <w:tr>
        <w:trPr>
          <w:trHeight w:val="223"/>
        </w:trPr>
        <w:tc>
          <w:tcPr>
            <w:tcW w:w="460" w:type="dxa"/>
            <w:vAlign w:val="bottom"/>
          </w:tcPr>
          <w:p>
            <w:pPr>
              <w:spacing w:after="0"/>
              <w:rPr>
                <w:sz w:val="19"/>
                <w:szCs w:val="19"/>
                <w:color w:val="auto"/>
              </w:rPr>
            </w:pPr>
          </w:p>
        </w:tc>
        <w:tc>
          <w:tcPr>
            <w:tcW w:w="6120" w:type="dxa"/>
            <w:vAlign w:val="bottom"/>
            <w:gridSpan w:val="2"/>
          </w:tcPr>
          <w:p>
            <w:pPr>
              <w:ind w:left="220"/>
              <w:spacing w:after="0"/>
              <w:rPr>
                <w:sz w:val="20"/>
                <w:szCs w:val="20"/>
                <w:color w:val="auto"/>
              </w:rPr>
            </w:pPr>
            <w:r>
              <w:rPr>
                <w:rFonts w:ascii="Arial" w:cs="Arial" w:eastAsia="Arial" w:hAnsi="Arial"/>
                <w:sz w:val="18"/>
                <w:szCs w:val="18"/>
                <w:color w:val="auto"/>
              </w:rPr>
              <w:t>Deductions</w:t>
            </w:r>
          </w:p>
        </w:tc>
        <w:tc>
          <w:tcPr>
            <w:tcW w:w="180" w:type="dxa"/>
            <w:vAlign w:val="bottom"/>
          </w:tcPr>
          <w:p>
            <w:pPr>
              <w:spacing w:after="0"/>
              <w:rPr>
                <w:sz w:val="19"/>
                <w:szCs w:val="19"/>
                <w:color w:val="auto"/>
              </w:rPr>
            </w:pPr>
          </w:p>
        </w:tc>
        <w:tc>
          <w:tcPr>
            <w:tcW w:w="2560" w:type="dxa"/>
            <w:vAlign w:val="bottom"/>
            <w:gridSpan w:val="2"/>
          </w:tcPr>
          <w:p>
            <w:pPr>
              <w:jc w:val="right"/>
              <w:ind w:right="1480"/>
              <w:spacing w:after="0"/>
              <w:rPr>
                <w:sz w:val="20"/>
                <w:szCs w:val="20"/>
                <w:color w:val="auto"/>
              </w:rPr>
            </w:pPr>
            <w:r>
              <w:rPr>
                <w:rFonts w:ascii="Arial" w:cs="Arial" w:eastAsia="Arial" w:hAnsi="Arial"/>
                <w:sz w:val="18"/>
                <w:szCs w:val="18"/>
                <w:color w:val="auto"/>
              </w:rPr>
              <w:t>(7,084)</w:t>
            </w:r>
          </w:p>
        </w:tc>
        <w:tc>
          <w:tcPr>
            <w:tcW w:w="16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(9,964)(4)</w:t>
            </w:r>
          </w:p>
        </w:tc>
      </w:tr>
      <w:tr>
        <w:trPr>
          <w:trHeight w:val="216"/>
        </w:trPr>
        <w:tc>
          <w:tcPr>
            <w:tcW w:w="46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September 30, 2011</w:t>
            </w: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15,566</w:t>
            </w:r>
          </w:p>
        </w:tc>
        <w:tc>
          <w:tcPr>
            <w:tcW w:w="15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137,836</w:t>
            </w:r>
          </w:p>
        </w:tc>
        <w:tc>
          <w:tcPr>
            <w:tcW w:w="4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120" w:type="dxa"/>
            <w:vAlign w:val="bottom"/>
            <w:gridSpan w:val="2"/>
          </w:tcPr>
          <w:p>
            <w:pPr>
              <w:ind w:left="220"/>
              <w:spacing w:after="0"/>
              <w:rPr>
                <w:sz w:val="20"/>
                <w:szCs w:val="20"/>
                <w:color w:val="auto"/>
              </w:rPr>
            </w:pPr>
            <w:r>
              <w:rPr>
                <w:rFonts w:ascii="Arial" w:cs="Arial" w:eastAsia="Arial" w:hAnsi="Arial"/>
                <w:sz w:val="18"/>
                <w:szCs w:val="18"/>
                <w:color w:val="auto"/>
              </w:rPr>
              <w:t>Charged to costs and expenses</w:t>
            </w:r>
          </w:p>
        </w:tc>
        <w:tc>
          <w:tcPr>
            <w:tcW w:w="180" w:type="dxa"/>
            <w:vAlign w:val="bottom"/>
          </w:tcPr>
          <w:p>
            <w:pPr>
              <w:spacing w:after="0"/>
              <w:rPr>
                <w:sz w:val="18"/>
                <w:szCs w:val="18"/>
                <w:color w:val="auto"/>
              </w:rPr>
            </w:pPr>
          </w:p>
        </w:tc>
        <w:tc>
          <w:tcPr>
            <w:tcW w:w="2560" w:type="dxa"/>
            <w:vAlign w:val="bottom"/>
            <w:gridSpan w:val="2"/>
          </w:tcPr>
          <w:p>
            <w:pPr>
              <w:jc w:val="right"/>
              <w:ind w:right="1540"/>
              <w:spacing w:after="0"/>
              <w:rPr>
                <w:sz w:val="20"/>
                <w:szCs w:val="20"/>
                <w:color w:val="auto"/>
              </w:rPr>
            </w:pPr>
            <w:r>
              <w:rPr>
                <w:rFonts w:ascii="Arial" w:cs="Arial" w:eastAsia="Arial" w:hAnsi="Arial"/>
                <w:sz w:val="18"/>
                <w:szCs w:val="18"/>
                <w:color w:val="auto"/>
              </w:rPr>
              <w:t>4,498</w:t>
            </w:r>
          </w:p>
        </w:tc>
        <w:tc>
          <w:tcPr>
            <w:tcW w:w="1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23,708(5)</w:t>
            </w:r>
          </w:p>
        </w:tc>
      </w:tr>
      <w:tr>
        <w:trPr>
          <w:trHeight w:val="216"/>
        </w:trPr>
        <w:tc>
          <w:tcPr>
            <w:tcW w:w="460" w:type="dxa"/>
            <w:vAlign w:val="bottom"/>
          </w:tcPr>
          <w:p>
            <w:pPr>
              <w:spacing w:after="0"/>
              <w:rPr>
                <w:sz w:val="18"/>
                <w:szCs w:val="18"/>
                <w:color w:val="auto"/>
              </w:rPr>
            </w:pPr>
          </w:p>
        </w:tc>
        <w:tc>
          <w:tcPr>
            <w:tcW w:w="6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Charged to other accounts</w:t>
            </w:r>
          </w:p>
        </w:tc>
        <w:tc>
          <w:tcPr>
            <w:tcW w:w="18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ind w:right="1340"/>
              <w:spacing w:after="0"/>
              <w:rPr>
                <w:sz w:val="20"/>
                <w:szCs w:val="20"/>
                <w:color w:val="auto"/>
              </w:rPr>
            </w:pPr>
            <w:r>
              <w:rPr>
                <w:rFonts w:ascii="Arial" w:cs="Arial" w:eastAsia="Arial" w:hAnsi="Arial"/>
                <w:sz w:val="18"/>
                <w:szCs w:val="18"/>
                <w:color w:val="auto"/>
              </w:rPr>
              <w:t>1,659(3)</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r>
      <w:tr>
        <w:trPr>
          <w:trHeight w:val="223"/>
        </w:trPr>
        <w:tc>
          <w:tcPr>
            <w:tcW w:w="460" w:type="dxa"/>
            <w:vAlign w:val="bottom"/>
          </w:tcPr>
          <w:p>
            <w:pPr>
              <w:spacing w:after="0"/>
              <w:rPr>
                <w:sz w:val="19"/>
                <w:szCs w:val="19"/>
                <w:color w:val="auto"/>
              </w:rPr>
            </w:pPr>
          </w:p>
        </w:tc>
        <w:tc>
          <w:tcPr>
            <w:tcW w:w="6120" w:type="dxa"/>
            <w:vAlign w:val="bottom"/>
            <w:gridSpan w:val="2"/>
          </w:tcPr>
          <w:p>
            <w:pPr>
              <w:ind w:left="220"/>
              <w:spacing w:after="0"/>
              <w:rPr>
                <w:sz w:val="20"/>
                <w:szCs w:val="20"/>
                <w:color w:val="auto"/>
              </w:rPr>
            </w:pPr>
            <w:r>
              <w:rPr>
                <w:rFonts w:ascii="Arial" w:cs="Arial" w:eastAsia="Arial" w:hAnsi="Arial"/>
                <w:sz w:val="18"/>
                <w:szCs w:val="18"/>
                <w:color w:val="auto"/>
              </w:rPr>
              <w:t>Deductions</w:t>
            </w:r>
          </w:p>
        </w:tc>
        <w:tc>
          <w:tcPr>
            <w:tcW w:w="180" w:type="dxa"/>
            <w:vAlign w:val="bottom"/>
          </w:tcPr>
          <w:p>
            <w:pPr>
              <w:spacing w:after="0"/>
              <w:rPr>
                <w:sz w:val="19"/>
                <w:szCs w:val="19"/>
                <w:color w:val="auto"/>
              </w:rPr>
            </w:pPr>
          </w:p>
        </w:tc>
        <w:tc>
          <w:tcPr>
            <w:tcW w:w="2560" w:type="dxa"/>
            <w:vAlign w:val="bottom"/>
            <w:gridSpan w:val="2"/>
          </w:tcPr>
          <w:p>
            <w:pPr>
              <w:jc w:val="right"/>
              <w:ind w:right="1480"/>
              <w:spacing w:after="0"/>
              <w:rPr>
                <w:sz w:val="20"/>
                <w:szCs w:val="20"/>
                <w:color w:val="auto"/>
              </w:rPr>
            </w:pPr>
            <w:r>
              <w:rPr>
                <w:rFonts w:ascii="Arial" w:cs="Arial" w:eastAsia="Arial" w:hAnsi="Arial"/>
                <w:sz w:val="18"/>
                <w:szCs w:val="18"/>
                <w:color w:val="auto"/>
              </w:rPr>
              <w:t>(5,159)</w:t>
            </w:r>
          </w:p>
        </w:tc>
        <w:tc>
          <w:tcPr>
            <w:tcW w:w="16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(44,533)(6)</w:t>
            </w:r>
          </w:p>
        </w:tc>
      </w:tr>
      <w:tr>
        <w:trPr>
          <w:trHeight w:val="216"/>
        </w:trPr>
        <w:tc>
          <w:tcPr>
            <w:tcW w:w="46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September 30, 2012</w:t>
            </w: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16,564</w:t>
            </w:r>
          </w:p>
        </w:tc>
        <w:tc>
          <w:tcPr>
            <w:tcW w:w="15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117,011</w:t>
            </w:r>
          </w:p>
        </w:tc>
        <w:tc>
          <w:tcPr>
            <w:tcW w:w="4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120" w:type="dxa"/>
            <w:vAlign w:val="bottom"/>
            <w:gridSpan w:val="2"/>
          </w:tcPr>
          <w:p>
            <w:pPr>
              <w:ind w:left="220"/>
              <w:spacing w:after="0"/>
              <w:rPr>
                <w:sz w:val="20"/>
                <w:szCs w:val="20"/>
                <w:color w:val="auto"/>
              </w:rPr>
            </w:pPr>
            <w:r>
              <w:rPr>
                <w:rFonts w:ascii="Arial" w:cs="Arial" w:eastAsia="Arial" w:hAnsi="Arial"/>
                <w:sz w:val="18"/>
                <w:szCs w:val="18"/>
                <w:color w:val="auto"/>
              </w:rPr>
              <w:t>Charged to costs and expenses</w:t>
            </w:r>
          </w:p>
        </w:tc>
        <w:tc>
          <w:tcPr>
            <w:tcW w:w="180" w:type="dxa"/>
            <w:vAlign w:val="bottom"/>
          </w:tcPr>
          <w:p>
            <w:pPr>
              <w:spacing w:after="0"/>
              <w:rPr>
                <w:sz w:val="18"/>
                <w:szCs w:val="18"/>
                <w:color w:val="auto"/>
              </w:rPr>
            </w:pPr>
          </w:p>
        </w:tc>
        <w:tc>
          <w:tcPr>
            <w:tcW w:w="2560" w:type="dxa"/>
            <w:vAlign w:val="bottom"/>
            <w:gridSpan w:val="2"/>
          </w:tcPr>
          <w:p>
            <w:pPr>
              <w:jc w:val="right"/>
              <w:ind w:right="1540"/>
              <w:spacing w:after="0"/>
              <w:rPr>
                <w:sz w:val="20"/>
                <w:szCs w:val="20"/>
                <w:color w:val="auto"/>
              </w:rPr>
            </w:pPr>
            <w:r>
              <w:rPr>
                <w:rFonts w:ascii="Arial" w:cs="Arial" w:eastAsia="Arial" w:hAnsi="Arial"/>
                <w:sz w:val="18"/>
                <w:szCs w:val="18"/>
                <w:color w:val="auto"/>
              </w:rPr>
              <w:t>5,851</w:t>
            </w:r>
          </w:p>
        </w:tc>
        <w:tc>
          <w:tcPr>
            <w:tcW w:w="1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23,199(7)</w:t>
            </w:r>
          </w:p>
        </w:tc>
      </w:tr>
      <w:tr>
        <w:trPr>
          <w:trHeight w:val="216"/>
        </w:trPr>
        <w:tc>
          <w:tcPr>
            <w:tcW w:w="460" w:type="dxa"/>
            <w:vAlign w:val="bottom"/>
          </w:tcPr>
          <w:p>
            <w:pPr>
              <w:spacing w:after="0"/>
              <w:rPr>
                <w:sz w:val="18"/>
                <w:szCs w:val="18"/>
                <w:color w:val="auto"/>
              </w:rPr>
            </w:pPr>
          </w:p>
        </w:tc>
        <w:tc>
          <w:tcPr>
            <w:tcW w:w="6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Charged to other accounts</w:t>
            </w:r>
          </w:p>
        </w:tc>
        <w:tc>
          <w:tcPr>
            <w:tcW w:w="18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ind w:right="1340"/>
              <w:spacing w:after="0"/>
              <w:rPr>
                <w:sz w:val="20"/>
                <w:szCs w:val="20"/>
                <w:color w:val="auto"/>
              </w:rPr>
            </w:pPr>
            <w:r>
              <w:rPr>
                <w:rFonts w:ascii="Arial" w:cs="Arial" w:eastAsia="Arial" w:hAnsi="Arial"/>
                <w:sz w:val="18"/>
                <w:szCs w:val="18"/>
                <w:color w:val="auto"/>
              </w:rPr>
              <w:t>1,176(9)</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2,552(8)</w:t>
            </w:r>
          </w:p>
        </w:tc>
      </w:tr>
      <w:tr>
        <w:trPr>
          <w:trHeight w:val="223"/>
        </w:trPr>
        <w:tc>
          <w:tcPr>
            <w:tcW w:w="460" w:type="dxa"/>
            <w:vAlign w:val="bottom"/>
          </w:tcPr>
          <w:p>
            <w:pPr>
              <w:spacing w:after="0"/>
              <w:rPr>
                <w:sz w:val="19"/>
                <w:szCs w:val="19"/>
                <w:color w:val="auto"/>
              </w:rPr>
            </w:pPr>
          </w:p>
        </w:tc>
        <w:tc>
          <w:tcPr>
            <w:tcW w:w="6120" w:type="dxa"/>
            <w:vAlign w:val="bottom"/>
            <w:gridSpan w:val="2"/>
          </w:tcPr>
          <w:p>
            <w:pPr>
              <w:ind w:left="220"/>
              <w:spacing w:after="0"/>
              <w:rPr>
                <w:sz w:val="20"/>
                <w:szCs w:val="20"/>
                <w:color w:val="auto"/>
              </w:rPr>
            </w:pPr>
            <w:r>
              <w:rPr>
                <w:rFonts w:ascii="Arial" w:cs="Arial" w:eastAsia="Arial" w:hAnsi="Arial"/>
                <w:sz w:val="18"/>
                <w:szCs w:val="18"/>
                <w:color w:val="auto"/>
              </w:rPr>
              <w:t>Deductions</w:t>
            </w:r>
          </w:p>
        </w:tc>
        <w:tc>
          <w:tcPr>
            <w:tcW w:w="180" w:type="dxa"/>
            <w:vAlign w:val="bottom"/>
          </w:tcPr>
          <w:p>
            <w:pPr>
              <w:spacing w:after="0"/>
              <w:rPr>
                <w:sz w:val="19"/>
                <w:szCs w:val="19"/>
                <w:color w:val="auto"/>
              </w:rPr>
            </w:pPr>
          </w:p>
        </w:tc>
        <w:tc>
          <w:tcPr>
            <w:tcW w:w="2560" w:type="dxa"/>
            <w:vAlign w:val="bottom"/>
            <w:gridSpan w:val="2"/>
          </w:tcPr>
          <w:p>
            <w:pPr>
              <w:jc w:val="right"/>
              <w:ind w:right="1480"/>
              <w:spacing w:after="0"/>
              <w:rPr>
                <w:sz w:val="20"/>
                <w:szCs w:val="20"/>
                <w:color w:val="auto"/>
              </w:rPr>
            </w:pPr>
            <w:r>
              <w:rPr>
                <w:rFonts w:ascii="Arial" w:cs="Arial" w:eastAsia="Arial" w:hAnsi="Arial"/>
                <w:sz w:val="18"/>
                <w:szCs w:val="18"/>
                <w:color w:val="auto"/>
              </w:rPr>
              <w:t>(3,256)</w:t>
            </w:r>
          </w:p>
        </w:tc>
        <w:tc>
          <w:tcPr>
            <w:tcW w:w="16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(15,560)(10)</w:t>
            </w:r>
          </w:p>
        </w:tc>
      </w:tr>
      <w:tr>
        <w:trPr>
          <w:trHeight w:val="216"/>
        </w:trPr>
        <w:tc>
          <w:tcPr>
            <w:tcW w:w="46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September 30, 2013</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20,335</w:t>
            </w:r>
          </w:p>
        </w:tc>
        <w:tc>
          <w:tcPr>
            <w:tcW w:w="15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127,202</w:t>
            </w:r>
          </w:p>
        </w:tc>
        <w:tc>
          <w:tcPr>
            <w:tcW w:w="400" w:type="dxa"/>
            <w:vAlign w:val="bottom"/>
            <w:shd w:val="clear" w:color="auto" w:fill="CCEEFF"/>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5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Valuation allowances on deferred tax assets incurred during fiscal 2011.</w:t>
      </w:r>
    </w:p>
    <w:p>
      <w:pPr>
        <w:spacing w:after="0" w:line="63"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Includes valuation allowances on deferred tax assets incurred in connection with an immaterial acquisition in fiscal 2011.</w:t>
      </w:r>
    </w:p>
    <w:p>
      <w:pPr>
        <w:spacing w:after="0" w:line="63"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$1,488 and $640 were related to an immaterial acquisition in fiscal 2011 and were charged to other accounts during fiscal 2011 and 2012, respectively.</w:t>
      </w:r>
    </w:p>
    <w:p>
      <w:pPr>
        <w:spacing w:after="0" w:line="86"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$4,060 of valuation allowances on deferred tax assets were written off against the related deferred tax assets, and the remaining deductions in the valuation allowances on net deferred tax assets were released to earnings.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Valuation allowances on deferred tax assets incurred during fiscal 2012.</w:t>
      </w:r>
    </w:p>
    <w:p>
      <w:pPr>
        <w:spacing w:after="0" w:line="63" w:lineRule="exact"/>
        <w:rPr>
          <w:rFonts w:ascii="Arial" w:cs="Arial" w:eastAsia="Arial" w:hAnsi="Arial"/>
          <w:sz w:val="18"/>
          <w:szCs w:val="18"/>
          <w:color w:val="auto"/>
        </w:rPr>
      </w:pPr>
    </w:p>
    <w:p>
      <w:pPr>
        <w:ind w:left="460" w:right="280" w:hanging="452"/>
        <w:spacing w:after="0" w:line="268"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$38,268 of valuation allowances on deferred tax assets were written off against the related deferred tax assets which expired unused, and the remaining deductions in the valuation allowances on net deferred tax assets were released to earnings.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Valuation allowances on deferred tax assets incurred during fiscal 2013.</w:t>
      </w:r>
    </w:p>
    <w:p>
      <w:pPr>
        <w:spacing w:after="0" w:line="63"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Includes valuation allowances on deferred tax assets incurred in connection with an immaterial acquisition in fiscal 2013.</w:t>
      </w:r>
    </w:p>
    <w:p>
      <w:pPr>
        <w:spacing w:after="0" w:line="63"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$109 was related to an immaterial acquisition in fiscal 2013 and was charged to other accounts during fiscal 2013.</w:t>
      </w:r>
    </w:p>
    <w:p>
      <w:pPr>
        <w:spacing w:after="0" w:line="63"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$7,707 of valuation allowances on deferred tax assets were written off against the related deferred tax assets, and the remaining deductions in the valuation allowances on net deferred tax assets were released primarily to earnings.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340"/>
          </w:cols>
          <w:pgMar w:left="240" w:top="459" w:right="31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Significant Subsidiaries of Amdocs Limited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87"/>
              </w:rPr>
              <w:t>Jurisdiction of</w:t>
            </w:r>
          </w:p>
        </w:tc>
        <w:tc>
          <w:tcPr>
            <w:tcW w:w="120" w:type="dxa"/>
            <w:vAlign w:val="bottom"/>
          </w:tcPr>
          <w:p>
            <w:pPr>
              <w:spacing w:after="0"/>
              <w:rPr>
                <w:sz w:val="14"/>
                <w:szCs w:val="14"/>
                <w:color w:val="auto"/>
              </w:rPr>
            </w:pPr>
          </w:p>
        </w:tc>
        <w:tc>
          <w:tcPr>
            <w:tcW w:w="3520" w:type="dxa"/>
            <w:vAlign w:val="bottom"/>
          </w:tcPr>
          <w:p>
            <w:pPr>
              <w:spacing w:after="0"/>
              <w:rPr>
                <w:sz w:val="14"/>
                <w:szCs w:val="14"/>
                <w:color w:val="auto"/>
              </w:rPr>
            </w:pPr>
          </w:p>
        </w:tc>
      </w:tr>
      <w:tr>
        <w:trPr>
          <w:trHeight w:val="149"/>
        </w:trPr>
        <w:tc>
          <w:tcPr>
            <w:tcW w:w="14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Incorporation or</w:t>
            </w:r>
          </w:p>
        </w:tc>
        <w:tc>
          <w:tcPr>
            <w:tcW w:w="120" w:type="dxa"/>
            <w:vAlign w:val="bottom"/>
          </w:tcPr>
          <w:p>
            <w:pPr>
              <w:spacing w:after="0"/>
              <w:rPr>
                <w:sz w:val="12"/>
                <w:szCs w:val="12"/>
                <w:color w:val="auto"/>
              </w:rPr>
            </w:pPr>
          </w:p>
        </w:tc>
        <w:tc>
          <w:tcPr>
            <w:tcW w:w="3520" w:type="dxa"/>
            <w:vAlign w:val="bottom"/>
          </w:tcPr>
          <w:p>
            <w:pPr>
              <w:spacing w:after="0"/>
              <w:rPr>
                <w:sz w:val="12"/>
                <w:szCs w:val="12"/>
                <w:color w:val="auto"/>
              </w:rPr>
            </w:pPr>
          </w:p>
        </w:tc>
      </w:tr>
      <w:tr>
        <w:trPr>
          <w:trHeight w:val="181"/>
        </w:trPr>
        <w:tc>
          <w:tcPr>
            <w:tcW w:w="1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List of the Subsidiaries*</w:t>
            </w:r>
          </w:p>
        </w:tc>
        <w:tc>
          <w:tcPr>
            <w:tcW w:w="2640" w:type="dxa"/>
            <w:vAlign w:val="bottom"/>
          </w:tcPr>
          <w:p>
            <w:pPr>
              <w:spacing w:after="0"/>
              <w:rPr>
                <w:sz w:val="15"/>
                <w:szCs w:val="15"/>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Organization</w:t>
            </w:r>
          </w:p>
        </w:tc>
        <w:tc>
          <w:tcPr>
            <w:tcW w:w="120" w:type="dxa"/>
            <w:vAlign w:val="bottom"/>
          </w:tcPr>
          <w:p>
            <w:pPr>
              <w:spacing w:after="0"/>
              <w:rPr>
                <w:sz w:val="15"/>
                <w:szCs w:val="15"/>
                <w:color w:val="auto"/>
              </w:rPr>
            </w:pPr>
          </w:p>
        </w:tc>
        <w:tc>
          <w:tcPr>
            <w:tcW w:w="3520" w:type="dxa"/>
            <w:vAlign w:val="bottom"/>
            <w:tcBorders>
              <w:bottom w:val="single" w:sz="8" w:color="auto"/>
            </w:tcBorders>
          </w:tcPr>
          <w:p>
            <w:pPr>
              <w:ind w:left="1320"/>
              <w:spacing w:after="0"/>
              <w:rPr>
                <w:sz w:val="20"/>
                <w:szCs w:val="20"/>
                <w:color w:val="auto"/>
              </w:rPr>
            </w:pPr>
            <w:r>
              <w:rPr>
                <w:rFonts w:ascii="Arial" w:cs="Arial" w:eastAsia="Arial" w:hAnsi="Arial"/>
                <w:sz w:val="14"/>
                <w:szCs w:val="14"/>
                <w:b w:val="1"/>
                <w:bCs w:val="1"/>
                <w:color w:val="auto"/>
              </w:rPr>
              <w:t>Business Name</w:t>
            </w:r>
          </w:p>
        </w:tc>
      </w:tr>
      <w:tr>
        <w:trPr>
          <w:trHeight w:val="195"/>
        </w:trPr>
        <w:tc>
          <w:tcPr>
            <w:tcW w:w="4120" w:type="dxa"/>
            <w:vAlign w:val="bottom"/>
            <w:gridSpan w:val="2"/>
          </w:tcPr>
          <w:p>
            <w:pPr>
              <w:spacing w:after="0" w:line="195" w:lineRule="exact"/>
              <w:rPr>
                <w:sz w:val="20"/>
                <w:szCs w:val="20"/>
                <w:color w:val="auto"/>
              </w:rPr>
            </w:pPr>
            <w:r>
              <w:rPr>
                <w:rFonts w:ascii="Arial" w:cs="Arial" w:eastAsia="Arial" w:hAnsi="Arial"/>
                <w:sz w:val="18"/>
                <w:szCs w:val="18"/>
                <w:color w:val="auto"/>
              </w:rPr>
              <w:t>Amdocs Astrum Limited</w:t>
            </w:r>
          </w:p>
        </w:tc>
        <w:tc>
          <w:tcPr>
            <w:tcW w:w="3660" w:type="dxa"/>
            <w:vAlign w:val="bottom"/>
          </w:tcPr>
          <w:p>
            <w:pPr>
              <w:spacing w:after="0" w:line="195" w:lineRule="exact"/>
              <w:rPr>
                <w:sz w:val="20"/>
                <w:szCs w:val="20"/>
                <w:color w:val="auto"/>
              </w:rPr>
            </w:pPr>
            <w:r>
              <w:rPr>
                <w:rFonts w:ascii="Arial" w:cs="Arial" w:eastAsia="Arial" w:hAnsi="Arial"/>
                <w:sz w:val="18"/>
                <w:szCs w:val="18"/>
                <w:color w:val="auto"/>
              </w:rPr>
              <w:t>Ireland</w:t>
            </w:r>
          </w:p>
        </w:tc>
        <w:tc>
          <w:tcPr>
            <w:tcW w:w="120" w:type="dxa"/>
            <w:vAlign w:val="bottom"/>
          </w:tcPr>
          <w:p>
            <w:pPr>
              <w:spacing w:after="0"/>
              <w:rPr>
                <w:sz w:val="16"/>
                <w:szCs w:val="16"/>
                <w:color w:val="auto"/>
              </w:rPr>
            </w:pPr>
          </w:p>
        </w:tc>
        <w:tc>
          <w:tcPr>
            <w:tcW w:w="3520" w:type="dxa"/>
            <w:vAlign w:val="bottom"/>
          </w:tcPr>
          <w:p>
            <w:pPr>
              <w:spacing w:after="0" w:line="195" w:lineRule="exact"/>
              <w:rPr>
                <w:sz w:val="20"/>
                <w:szCs w:val="20"/>
                <w:color w:val="auto"/>
              </w:rPr>
            </w:pPr>
            <w:r>
              <w:rPr>
                <w:rFonts w:ascii="Arial" w:cs="Arial" w:eastAsia="Arial" w:hAnsi="Arial"/>
                <w:sz w:val="18"/>
                <w:szCs w:val="18"/>
                <w:color w:val="auto"/>
              </w:rPr>
              <w:t>Amdocs Astrum Limited</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Amdocs Development Centre India Private Limited</w:t>
            </w:r>
          </w:p>
        </w:tc>
        <w:tc>
          <w:tcPr>
            <w:tcW w:w="3660" w:type="dxa"/>
            <w:vAlign w:val="bottom"/>
          </w:tcPr>
          <w:p>
            <w:pPr>
              <w:spacing w:after="0"/>
              <w:rPr>
                <w:sz w:val="18"/>
                <w:szCs w:val="18"/>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Amdocs Development Centre India Private</w:t>
            </w:r>
          </w:p>
        </w:tc>
      </w:tr>
      <w:tr>
        <w:trPr>
          <w:trHeight w:val="216"/>
        </w:trPr>
        <w:tc>
          <w:tcPr>
            <w:tcW w:w="14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India</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Limited</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Amdocs Development Limited</w:t>
            </w:r>
          </w:p>
        </w:tc>
        <w:tc>
          <w:tcPr>
            <w:tcW w:w="3660" w:type="dxa"/>
            <w:vAlign w:val="bottom"/>
          </w:tcPr>
          <w:p>
            <w:pPr>
              <w:spacing w:after="0"/>
              <w:rPr>
                <w:sz w:val="20"/>
                <w:szCs w:val="20"/>
                <w:color w:val="auto"/>
              </w:rPr>
            </w:pPr>
            <w:r>
              <w:rPr>
                <w:rFonts w:ascii="Arial" w:cs="Arial" w:eastAsia="Arial" w:hAnsi="Arial"/>
                <w:sz w:val="18"/>
                <w:szCs w:val="18"/>
                <w:color w:val="auto"/>
              </w:rPr>
              <w:t>Republic of Cyprus</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Amdocs Development Limited</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Amdocs, Inc.</w:t>
            </w:r>
          </w:p>
        </w:tc>
        <w:tc>
          <w:tcPr>
            <w:tcW w:w="3660" w:type="dxa"/>
            <w:vAlign w:val="bottom"/>
          </w:tcPr>
          <w:p>
            <w:pPr>
              <w:spacing w:after="0"/>
              <w:rPr>
                <w:sz w:val="20"/>
                <w:szCs w:val="20"/>
                <w:color w:val="auto"/>
              </w:rPr>
            </w:pPr>
            <w:r>
              <w:rPr>
                <w:rFonts w:ascii="Arial" w:cs="Arial" w:eastAsia="Arial" w:hAnsi="Arial"/>
                <w:sz w:val="18"/>
                <w:szCs w:val="18"/>
                <w:color w:val="auto"/>
              </w:rPr>
              <w:t>State of Delaware</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Amdocs, Inc.</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Amdocs International GmbH</w:t>
            </w:r>
          </w:p>
        </w:tc>
        <w:tc>
          <w:tcPr>
            <w:tcW w:w="3660" w:type="dxa"/>
            <w:vAlign w:val="bottom"/>
          </w:tcPr>
          <w:p>
            <w:pPr>
              <w:spacing w:after="0"/>
              <w:rPr>
                <w:sz w:val="20"/>
                <w:szCs w:val="20"/>
                <w:color w:val="auto"/>
              </w:rPr>
            </w:pPr>
            <w:r>
              <w:rPr>
                <w:rFonts w:ascii="Arial" w:cs="Arial" w:eastAsia="Arial" w:hAnsi="Arial"/>
                <w:sz w:val="18"/>
                <w:szCs w:val="18"/>
                <w:color w:val="auto"/>
              </w:rPr>
              <w:t>Switzerland</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Amdocs International GmbH</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Amdocs (Israel) Limited</w:t>
            </w:r>
          </w:p>
        </w:tc>
        <w:tc>
          <w:tcPr>
            <w:tcW w:w="3660" w:type="dxa"/>
            <w:vAlign w:val="bottom"/>
          </w:tcPr>
          <w:p>
            <w:pPr>
              <w:spacing w:after="0"/>
              <w:rPr>
                <w:sz w:val="20"/>
                <w:szCs w:val="20"/>
                <w:color w:val="auto"/>
              </w:rPr>
            </w:pPr>
            <w:r>
              <w:rPr>
                <w:rFonts w:ascii="Arial" w:cs="Arial" w:eastAsia="Arial" w:hAnsi="Arial"/>
                <w:sz w:val="18"/>
                <w:szCs w:val="18"/>
                <w:color w:val="auto"/>
              </w:rPr>
              <w:t>Israel</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Amdocs (Israel) Limited</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Amdocs Management Limited</w:t>
            </w:r>
          </w:p>
        </w:tc>
        <w:tc>
          <w:tcPr>
            <w:tcW w:w="3660" w:type="dxa"/>
            <w:vAlign w:val="bottom"/>
          </w:tcPr>
          <w:p>
            <w:pPr>
              <w:spacing w:after="0"/>
              <w:rPr>
                <w:sz w:val="20"/>
                <w:szCs w:val="20"/>
                <w:color w:val="auto"/>
              </w:rPr>
            </w:pPr>
            <w:r>
              <w:rPr>
                <w:rFonts w:ascii="Arial" w:cs="Arial" w:eastAsia="Arial" w:hAnsi="Arial"/>
                <w:sz w:val="18"/>
                <w:szCs w:val="18"/>
                <w:color w:val="auto"/>
              </w:rPr>
              <w:t>United Kingdom</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Amdocs Management Limited</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Amdocs Software Solutions Kft</w:t>
            </w:r>
          </w:p>
        </w:tc>
        <w:tc>
          <w:tcPr>
            <w:tcW w:w="3660" w:type="dxa"/>
            <w:vAlign w:val="bottom"/>
          </w:tcPr>
          <w:p>
            <w:pPr>
              <w:spacing w:after="0"/>
              <w:rPr>
                <w:sz w:val="20"/>
                <w:szCs w:val="20"/>
                <w:color w:val="auto"/>
              </w:rPr>
            </w:pPr>
            <w:r>
              <w:rPr>
                <w:rFonts w:ascii="Arial" w:cs="Arial" w:eastAsia="Arial" w:hAnsi="Arial"/>
                <w:sz w:val="18"/>
                <w:szCs w:val="18"/>
                <w:color w:val="auto"/>
              </w:rPr>
              <w:t>Hungary</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Amdocs Software Solutions Limited Liability</w:t>
            </w:r>
          </w:p>
        </w:tc>
      </w:tr>
      <w:tr>
        <w:trPr>
          <w:trHeight w:val="216"/>
        </w:trPr>
        <w:tc>
          <w:tcPr>
            <w:tcW w:w="14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Company</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Amdocs Software Systems Ltd.</w:t>
            </w:r>
          </w:p>
        </w:tc>
        <w:tc>
          <w:tcPr>
            <w:tcW w:w="3660" w:type="dxa"/>
            <w:vAlign w:val="bottom"/>
          </w:tcPr>
          <w:p>
            <w:pPr>
              <w:spacing w:after="0"/>
              <w:rPr>
                <w:sz w:val="20"/>
                <w:szCs w:val="20"/>
                <w:color w:val="auto"/>
              </w:rPr>
            </w:pPr>
            <w:r>
              <w:rPr>
                <w:rFonts w:ascii="Arial" w:cs="Arial" w:eastAsia="Arial" w:hAnsi="Arial"/>
                <w:sz w:val="18"/>
                <w:szCs w:val="18"/>
                <w:color w:val="auto"/>
              </w:rPr>
              <w:t>Ireland</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Amdocs Software Systems Ltd.</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Amdocs (UK) Limited</w:t>
            </w:r>
          </w:p>
        </w:tc>
        <w:tc>
          <w:tcPr>
            <w:tcW w:w="3660" w:type="dxa"/>
            <w:vAlign w:val="bottom"/>
          </w:tcPr>
          <w:p>
            <w:pPr>
              <w:spacing w:after="0"/>
              <w:rPr>
                <w:sz w:val="20"/>
                <w:szCs w:val="20"/>
                <w:color w:val="auto"/>
              </w:rPr>
            </w:pPr>
            <w:r>
              <w:rPr>
                <w:rFonts w:ascii="Arial" w:cs="Arial" w:eastAsia="Arial" w:hAnsi="Arial"/>
                <w:sz w:val="18"/>
                <w:szCs w:val="18"/>
                <w:color w:val="auto"/>
              </w:rPr>
              <w:t>United Kingdom</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Amdocs (UK) Limited</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European Software Marketing Ltd.</w:t>
            </w:r>
          </w:p>
        </w:tc>
        <w:tc>
          <w:tcPr>
            <w:tcW w:w="3660" w:type="dxa"/>
            <w:vAlign w:val="bottom"/>
          </w:tcPr>
          <w:p>
            <w:pPr>
              <w:spacing w:after="0"/>
              <w:rPr>
                <w:sz w:val="20"/>
                <w:szCs w:val="20"/>
                <w:color w:val="auto"/>
              </w:rPr>
            </w:pPr>
            <w:r>
              <w:rPr>
                <w:rFonts w:ascii="Arial" w:cs="Arial" w:eastAsia="Arial" w:hAnsi="Arial"/>
                <w:sz w:val="18"/>
                <w:szCs w:val="18"/>
                <w:color w:val="auto"/>
              </w:rPr>
              <w:t>Island of Guernsey, Channel Islands</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European Software Marketing Ltd.</w:t>
            </w: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Sypress, Inc.</w:t>
            </w:r>
          </w:p>
        </w:tc>
        <w:tc>
          <w:tcPr>
            <w:tcW w:w="3660" w:type="dxa"/>
            <w:vAlign w:val="bottom"/>
          </w:tcPr>
          <w:p>
            <w:pPr>
              <w:spacing w:after="0"/>
              <w:rPr>
                <w:sz w:val="20"/>
                <w:szCs w:val="20"/>
                <w:color w:val="auto"/>
              </w:rPr>
            </w:pPr>
            <w:r>
              <w:rPr>
                <w:rFonts w:ascii="Arial" w:cs="Arial" w:eastAsia="Arial" w:hAnsi="Arial"/>
                <w:sz w:val="18"/>
                <w:szCs w:val="18"/>
                <w:color w:val="auto"/>
              </w:rPr>
              <w:t>State of Delaware</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Sypress,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94361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Each subsidiary listed is directly or indirectly wholly-owned by Amdocs Limited.</w:t>
      </w:r>
    </w:p>
    <w:p>
      <w:pPr>
        <w:sectPr>
          <w:pgSz w:w="11900" w:h="16838" w:orient="portrait"/>
          <w:cols w:equalWidth="0" w:num="1">
            <w:col w:w="11420"/>
          </w:cols>
          <w:pgMar w:left="240" w:top="125"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12.1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Eli Gelman, certify that:</w:t>
      </w:r>
    </w:p>
    <w:p>
      <w:pPr>
        <w:spacing w:after="0" w:line="90" w:lineRule="exact"/>
        <w:rPr>
          <w:sz w:val="20"/>
          <w:szCs w:val="20"/>
          <w:color w:val="auto"/>
        </w:rPr>
      </w:pPr>
    </w:p>
    <w:p>
      <w:pPr>
        <w:ind w:left="640" w:hanging="176"/>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Amdocs Limited;</w:t>
      </w:r>
    </w:p>
    <w:p>
      <w:pPr>
        <w:spacing w:after="0" w:line="90" w:lineRule="exact"/>
        <w:rPr>
          <w:rFonts w:ascii="Arial" w:cs="Arial" w:eastAsia="Arial" w:hAnsi="Arial"/>
          <w:sz w:val="18"/>
          <w:szCs w:val="18"/>
          <w:color w:val="auto"/>
        </w:rPr>
      </w:pPr>
    </w:p>
    <w:p>
      <w:pPr>
        <w:ind w:right="560" w:firstLine="464"/>
        <w:spacing w:after="0" w:line="357" w:lineRule="auto"/>
        <w:tabs>
          <w:tab w:leader="none" w:pos="632" w:val="left"/>
        </w:tabs>
        <w:numPr>
          <w:ilvl w:val="0"/>
          <w:numId w:val="6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540" w:firstLine="464"/>
        <w:spacing w:after="0" w:line="332" w:lineRule="auto"/>
        <w:tabs>
          <w:tab w:leader="none" w:pos="632" w:val="left"/>
        </w:tabs>
        <w:numPr>
          <w:ilvl w:val="0"/>
          <w:numId w:val="6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4" w:lineRule="exact"/>
        <w:rPr>
          <w:rFonts w:ascii="Arial" w:cs="Arial" w:eastAsia="Arial" w:hAnsi="Arial"/>
          <w:sz w:val="16"/>
          <w:szCs w:val="16"/>
          <w:color w:val="auto"/>
        </w:rPr>
      </w:pPr>
    </w:p>
    <w:p>
      <w:pPr>
        <w:ind w:right="280" w:firstLine="464"/>
        <w:spacing w:after="0" w:line="259" w:lineRule="auto"/>
        <w:tabs>
          <w:tab w:leader="none" w:pos="629"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6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840" w:firstLine="443"/>
        <w:spacing w:after="0" w:line="332" w:lineRule="auto"/>
        <w:tabs>
          <w:tab w:leader="none" w:pos="1137" w:val="left"/>
        </w:tabs>
        <w:numPr>
          <w:ilvl w:val="1"/>
          <w:numId w:val="66"/>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440" w:firstLine="443"/>
        <w:spacing w:after="0" w:line="332" w:lineRule="auto"/>
        <w:tabs>
          <w:tab w:leader="none" w:pos="1147" w:val="left"/>
        </w:tabs>
        <w:numPr>
          <w:ilvl w:val="1"/>
          <w:numId w:val="66"/>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4" w:lineRule="exact"/>
        <w:rPr>
          <w:rFonts w:ascii="Arial" w:cs="Arial" w:eastAsia="Arial" w:hAnsi="Arial"/>
          <w:sz w:val="16"/>
          <w:szCs w:val="16"/>
          <w:color w:val="auto"/>
        </w:rPr>
      </w:pPr>
    </w:p>
    <w:p>
      <w:pPr>
        <w:ind w:right="300" w:firstLine="464"/>
        <w:spacing w:after="0" w:line="332" w:lineRule="auto"/>
        <w:tabs>
          <w:tab w:leader="none" w:pos="629"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27" w:val="left"/>
        </w:tabs>
        <w:numPr>
          <w:ilvl w:val="1"/>
          <w:numId w:val="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50" w:lineRule="exact"/>
        <w:rPr>
          <w:rFonts w:ascii="Arial" w:cs="Arial" w:eastAsia="Arial" w:hAnsi="Arial"/>
          <w:sz w:val="18"/>
          <w:szCs w:val="18"/>
          <w:color w:val="auto"/>
        </w:rPr>
      </w:pPr>
    </w:p>
    <w:p>
      <w:pPr>
        <w:ind w:left="460" w:right="200" w:firstLine="443"/>
        <w:spacing w:after="0" w:line="268" w:lineRule="auto"/>
        <w:tabs>
          <w:tab w:leader="none" w:pos="1137"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38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Eli Gelman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Management Limited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December 9, 2013</w:t>
      </w:r>
    </w:p>
    <w:p>
      <w:pPr>
        <w:sectPr>
          <w:pgSz w:w="11900" w:h="16838" w:orient="portrait"/>
          <w:cols w:equalWidth="0" w:num="1">
            <w:col w:w="11420"/>
          </w:cols>
          <w:pgMar w:left="240" w:top="125"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12.2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Tamar Rapaport-Dagim, certify that:</w:t>
      </w:r>
    </w:p>
    <w:p>
      <w:pPr>
        <w:spacing w:after="0" w:line="90" w:lineRule="exact"/>
        <w:rPr>
          <w:sz w:val="20"/>
          <w:szCs w:val="20"/>
          <w:color w:val="auto"/>
        </w:rPr>
      </w:pPr>
    </w:p>
    <w:p>
      <w:pPr>
        <w:ind w:left="640" w:hanging="176"/>
        <w:spacing w:after="0"/>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Amdocs Limited;</w:t>
      </w:r>
    </w:p>
    <w:p>
      <w:pPr>
        <w:spacing w:after="0" w:line="90" w:lineRule="exact"/>
        <w:rPr>
          <w:rFonts w:ascii="Arial" w:cs="Arial" w:eastAsia="Arial" w:hAnsi="Arial"/>
          <w:sz w:val="18"/>
          <w:szCs w:val="18"/>
          <w:color w:val="auto"/>
        </w:rPr>
      </w:pPr>
    </w:p>
    <w:p>
      <w:pPr>
        <w:ind w:right="560" w:firstLine="464"/>
        <w:spacing w:after="0" w:line="357" w:lineRule="auto"/>
        <w:tabs>
          <w:tab w:leader="none" w:pos="632" w:val="left"/>
        </w:tabs>
        <w:numPr>
          <w:ilvl w:val="0"/>
          <w:numId w:val="6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540" w:firstLine="464"/>
        <w:spacing w:after="0" w:line="332" w:lineRule="auto"/>
        <w:tabs>
          <w:tab w:leader="none" w:pos="632" w:val="left"/>
        </w:tabs>
        <w:numPr>
          <w:ilvl w:val="0"/>
          <w:numId w:val="6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4" w:lineRule="exact"/>
        <w:rPr>
          <w:rFonts w:ascii="Arial" w:cs="Arial" w:eastAsia="Arial" w:hAnsi="Arial"/>
          <w:sz w:val="16"/>
          <w:szCs w:val="16"/>
          <w:color w:val="auto"/>
        </w:rPr>
      </w:pPr>
    </w:p>
    <w:p>
      <w:pPr>
        <w:ind w:right="280" w:firstLine="464"/>
        <w:spacing w:after="0" w:line="259" w:lineRule="auto"/>
        <w:tabs>
          <w:tab w:leader="none" w:pos="629"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6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840" w:firstLine="443"/>
        <w:spacing w:after="0" w:line="332" w:lineRule="auto"/>
        <w:tabs>
          <w:tab w:leader="none" w:pos="1137" w:val="left"/>
        </w:tabs>
        <w:numPr>
          <w:ilvl w:val="1"/>
          <w:numId w:val="67"/>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440" w:firstLine="443"/>
        <w:spacing w:after="0" w:line="332" w:lineRule="auto"/>
        <w:tabs>
          <w:tab w:leader="none" w:pos="1147" w:val="left"/>
        </w:tabs>
        <w:numPr>
          <w:ilvl w:val="1"/>
          <w:numId w:val="67"/>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4" w:lineRule="exact"/>
        <w:rPr>
          <w:rFonts w:ascii="Arial" w:cs="Arial" w:eastAsia="Arial" w:hAnsi="Arial"/>
          <w:sz w:val="16"/>
          <w:szCs w:val="16"/>
          <w:color w:val="auto"/>
        </w:rPr>
      </w:pPr>
    </w:p>
    <w:p>
      <w:pPr>
        <w:ind w:right="300" w:firstLine="464"/>
        <w:spacing w:after="0" w:line="332" w:lineRule="auto"/>
        <w:tabs>
          <w:tab w:leader="none" w:pos="629"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27" w:val="left"/>
        </w:tabs>
        <w:numPr>
          <w:ilvl w:val="1"/>
          <w:numId w:val="6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50" w:lineRule="exact"/>
        <w:rPr>
          <w:rFonts w:ascii="Arial" w:cs="Arial" w:eastAsia="Arial" w:hAnsi="Arial"/>
          <w:sz w:val="18"/>
          <w:szCs w:val="18"/>
          <w:color w:val="auto"/>
        </w:rPr>
      </w:pPr>
    </w:p>
    <w:p>
      <w:pPr>
        <w:ind w:left="460" w:right="200" w:firstLine="443"/>
        <w:spacing w:after="0" w:line="268" w:lineRule="auto"/>
        <w:tabs>
          <w:tab w:leader="none" w:pos="1137"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38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Tamar Rapaport-Dagim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Management Limited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December 9, 2013</w:t>
      </w:r>
    </w:p>
    <w:p>
      <w:pPr>
        <w:sectPr>
          <w:pgSz w:w="11900" w:h="16838" w:orient="portrait"/>
          <w:cols w:equalWidth="0" w:num="1">
            <w:col w:w="11420"/>
          </w:cols>
          <w:pgMar w:left="240" w:top="125"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13.1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8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connection with the annual report on Form 20-F of Amdocs Limited (the “Company”) for the period ended September 30, 2013 as filed with the Securities and Exchange Commission on the date hereof (the “Report”), the undersigned, Eli Gelman, Chief Executive Officer of the Company, hereby certifies, pursuant to 18 U.S.C. Section 1350, that to the best of his knowledge and belief:</w:t>
      </w:r>
    </w:p>
    <w:p>
      <w:pPr>
        <w:spacing w:after="0" w:line="59" w:lineRule="exact"/>
        <w:rPr>
          <w:sz w:val="20"/>
          <w:szCs w:val="20"/>
          <w:color w:val="auto"/>
        </w:rPr>
      </w:pPr>
    </w:p>
    <w:p>
      <w:pPr>
        <w:ind w:left="1160" w:hanging="257"/>
        <w:spacing w:after="0"/>
        <w:tabs>
          <w:tab w:leader="none" w:pos="1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Eli Gelman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Eli Gelman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Management Limited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9, 2013</w:t>
      </w:r>
    </w:p>
    <w:p>
      <w:pPr>
        <w:sectPr>
          <w:pgSz w:w="11900" w:h="16838" w:orient="portrait"/>
          <w:cols w:equalWidth="0" w:num="1">
            <w:col w:w="11420"/>
          </w:cols>
          <w:pgMar w:left="240" w:top="125"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13.2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84"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In connection with the annual report on Form 20-F of Amdocs Limited (the “Company”) for the period ended September 30, 2013 as filed with the Securities and Exchange Commission on the date hereof (the “Report”), the undersigned, Tamar Rapaport-Dagim, Chief Financial Officer of the Company, hereby certifies, pursuant to 18 U.S.C. Section 1350, that to the best of her knowledge and belief:</w:t>
      </w:r>
    </w:p>
    <w:p>
      <w:pPr>
        <w:spacing w:after="0" w:line="59" w:lineRule="exact"/>
        <w:rPr>
          <w:sz w:val="20"/>
          <w:szCs w:val="20"/>
          <w:color w:val="auto"/>
        </w:rPr>
      </w:pPr>
    </w:p>
    <w:p>
      <w:pPr>
        <w:ind w:left="1160" w:hanging="257"/>
        <w:spacing w:after="0"/>
        <w:tabs>
          <w:tab w:leader="none" w:pos="11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Tamar Rapaport-Dagim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Tamar Rapaport-Dagim</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Management Limited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9, 2013</w:t>
      </w:r>
    </w:p>
    <w:p>
      <w:pPr>
        <w:sectPr>
          <w:pgSz w:w="11900" w:h="16838" w:orient="portrait"/>
          <w:cols w:equalWidth="0" w:num="1">
            <w:col w:w="11420"/>
          </w:cols>
          <w:pgMar w:left="240" w:top="125"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14.1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We consent to the reference to our firm in the head note to Item 3. Key Information — Selected Financial Data included in this Annual Report (Form 20-F)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Amdocs Limited and to the incorporation by reference in the following Registration Statements:</w:t>
      </w:r>
    </w:p>
    <w:p>
      <w:pPr>
        <w:spacing w:after="0" w:line="16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Form S-8, No. 333-91847</w:t>
      </w:r>
    </w:p>
    <w:p>
      <w:pPr>
        <w:spacing w:after="0" w:line="1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Form S-8, No. 333-92705</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Form S-8, No. 333-31506</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Form S-8, No. 333-34104</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Form S-8, No. 333-58454</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Form S-8, No. 333-114077</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Form S-8, No. 333-132968</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Form S-8, No. 333-135320</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Form S-8, No. 333-137617</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Form S-8, No. 333-139310</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Form S-8, No. 333-140728</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Form S-8, No. 333-159163</w:t>
      </w:r>
    </w:p>
    <w:p>
      <w:pPr>
        <w:spacing w:after="0" w:line="165" w:lineRule="exact"/>
        <w:rPr>
          <w:sz w:val="20"/>
          <w:szCs w:val="20"/>
          <w:color w:val="auto"/>
        </w:rPr>
      </w:pPr>
    </w:p>
    <w:p>
      <w:pPr>
        <w:ind w:right="280"/>
        <w:spacing w:after="0" w:line="370" w:lineRule="auto"/>
        <w:rPr>
          <w:sz w:val="20"/>
          <w:szCs w:val="20"/>
          <w:color w:val="auto"/>
        </w:rPr>
      </w:pPr>
      <w:r>
        <w:rPr>
          <w:rFonts w:ascii="Arial" w:cs="Arial" w:eastAsia="Arial" w:hAnsi="Arial"/>
          <w:sz w:val="15"/>
          <w:szCs w:val="15"/>
          <w:color w:val="auto"/>
        </w:rPr>
        <w:t>of our reports dated December 9, 2013, with respect to the consolidated financial statements and schedule of Amdocs Limited and the effectiveness of internal control over financial reporting of Amdocs Limited, included in this Annual Report (Form 20-F) of Amdocs Limited for the year ended September 30, 2013.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December 9, 2013</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1)"/>
      <w:numFmt w:val="decimal"/>
      <w:start w:val="1"/>
    </w:lvl>
  </w:abstractNum>
  <w:abstractNum w:abstractNumId="4">
    <w:nsid w:val="77465F01"/>
    <w:multiLevelType w:val="hybridMultilevel"/>
    <w:lvl w:ilvl="0">
      <w:lvlJc w:val="left"/>
      <w:lvlText w:val="(%1)"/>
      <w:numFmt w:val="decimal"/>
      <w:start w:val="1"/>
    </w:lvl>
  </w:abstractNum>
  <w:abstractNum w:abstractNumId="5">
    <w:nsid w:val="7724C67E"/>
    <w:multiLevelType w:val="hybridMultilevel"/>
    <w:lvl w:ilvl="0">
      <w:lvlJc w:val="left"/>
      <w:lvlText w:val="(%1)"/>
      <w:numFmt w:val="decimal"/>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lvl w:ilvl="1">
      <w:lvlJc w:val="left"/>
      <w:lvlText w:val="•"/>
      <w:numFmt w:val="bullet"/>
      <w:start w:val="1"/>
    </w:lvl>
  </w:abstractNum>
  <w:abstractNum w:abstractNumId="17">
    <w:nsid w:val="1D4ED43B"/>
    <w:multiLevelType w:val="hybridMultilevel"/>
    <w:lvl w:ilvl="0">
      <w:lvlJc w:val="left"/>
      <w:lvlText w:val="•"/>
      <w:numFmt w:val="bullet"/>
      <w:start w:val="1"/>
    </w:lvl>
    <w:lvl w:ilvl="1">
      <w:lvlJc w:val="left"/>
      <w:lvlText w:val="•"/>
      <w:numFmt w:val="bullet"/>
      <w:start w:val="1"/>
    </w:lvl>
  </w:abstractNum>
  <w:abstractNum w:abstractNumId="18">
    <w:nsid w:val="725A06FB"/>
    <w:multiLevelType w:val="hybridMultilevel"/>
    <w:lvl w:ilvl="0">
      <w:lvlJc w:val="left"/>
      <w:lvlText w:val="•"/>
      <w:numFmt w:val="bullet"/>
      <w:start w:val="1"/>
    </w:lvl>
    <w:lvl w:ilvl="1">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
      <w:numFmt w:val="bullet"/>
      <w:start w:val="1"/>
    </w:lvl>
    <w:lvl w:ilvl="1">
      <w:lvlJc w:val="left"/>
      <w:lvlText w:val="•"/>
      <w:numFmt w:val="bullet"/>
      <w:start w:val="1"/>
    </w:lvl>
  </w:abstractNum>
  <w:abstractNum w:abstractNumId="32">
    <w:nsid w:val="1BA026FA"/>
    <w:multiLevelType w:val="hybridMultilevel"/>
    <w:lvl w:ilvl="0">
      <w:lvlJc w:val="left"/>
      <w:lvlText w:val="•"/>
      <w:numFmt w:val="bullet"/>
      <w:start w:val="1"/>
    </w:lvl>
    <w:lvl w:ilvl="1">
      <w:lvlJc w:val="left"/>
      <w:lvlText w:val="•"/>
      <w:numFmt w:val="bullet"/>
      <w:start w:val="1"/>
    </w:lvl>
  </w:abstractNum>
  <w:abstractNum w:abstractNumId="33">
    <w:nsid w:val="79A1DEAA"/>
    <w:multiLevelType w:val="hybridMultilevel"/>
    <w:lvl w:ilvl="0">
      <w:lvlJc w:val="left"/>
      <w:lvlText w:val="(%1)"/>
      <w:numFmt w:val="decimal"/>
      <w:start w:val="1"/>
    </w:lvl>
  </w:abstractNum>
  <w:abstractNum w:abstractNumId="34">
    <w:nsid w:val="75C6C33A"/>
    <w:multiLevelType w:val="hybridMultilevel"/>
    <w:lvl w:ilvl="0">
      <w:lvlJc w:val="left"/>
      <w:lvlText w:val="•"/>
      <w:numFmt w:val="bullet"/>
      <w:start w:val="1"/>
    </w:lvl>
  </w:abstractNum>
  <w:abstractNum w:abstractNumId="35">
    <w:nsid w:val="12E685FB"/>
    <w:multiLevelType w:val="hybridMultilevel"/>
    <w:lvl w:ilvl="0">
      <w:lvlJc w:val="left"/>
      <w:lvlText w:val="•"/>
      <w:numFmt w:val="bullet"/>
      <w:start w:val="1"/>
    </w:lvl>
  </w:abstractNum>
  <w:abstractNum w:abstractNumId="36">
    <w:nsid w:val="70C6A529"/>
    <w:multiLevelType w:val="hybridMultilevel"/>
    <w:lvl w:ilvl="0">
      <w:lvlJc w:val="left"/>
      <w:lvlText w:val="(%1)"/>
      <w:numFmt w:val="decimal"/>
      <w:start w:val="1"/>
    </w:lvl>
  </w:abstractNum>
  <w:abstractNum w:abstractNumId="37">
    <w:nsid w:val="520EEDD1"/>
    <w:multiLevelType w:val="hybridMultilevel"/>
    <w:lvl w:ilvl="0">
      <w:lvlJc w:val="left"/>
      <w:lvlText w:val="(%1)"/>
      <w:numFmt w:val="decimal"/>
      <w:start w:val="1"/>
    </w:lvl>
  </w:abstractNum>
  <w:abstractNum w:abstractNumId="38">
    <w:nsid w:val="374A3FE6"/>
    <w:multiLevelType w:val="hybridMultilevel"/>
    <w:lvl w:ilvl="0">
      <w:lvlJc w:val="left"/>
      <w:lvlText w:val="(%1)"/>
      <w:numFmt w:val="decimal"/>
      <w:start w:val="5"/>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
      <w:numFmt w:val="bullet"/>
      <w:start w:val="1"/>
    </w:lvl>
  </w:abstractNum>
  <w:abstractNum w:abstractNumId="41">
    <w:nsid w:val="649BB77C"/>
    <w:multiLevelType w:val="hybridMultilevel"/>
    <w:lvl w:ilvl="0">
      <w:lvlJc w:val="left"/>
      <w:lvlText w:val="•"/>
      <w:numFmt w:val="bullet"/>
      <w:start w:val="1"/>
    </w:lvl>
  </w:abstractNum>
  <w:abstractNum w:abstractNumId="42">
    <w:nsid w:val="275AC794"/>
    <w:multiLevelType w:val="hybridMultilevel"/>
    <w:lvl w:ilvl="0">
      <w:lvlJc w:val="left"/>
      <w:lvlText w:val="•"/>
      <w:numFmt w:val="bullet"/>
      <w:start w:val="1"/>
    </w:lvl>
  </w:abstractNum>
  <w:abstractNum w:abstractNumId="43">
    <w:nsid w:val="39386575"/>
    <w:multiLevelType w:val="hybridMultilevel"/>
    <w:lvl w:ilvl="0">
      <w:lvlJc w:val="left"/>
      <w:lvlText w:val="•"/>
      <w:numFmt w:val="bullet"/>
      <w:start w:val="1"/>
    </w:lvl>
  </w:abstractNum>
  <w:abstractNum w:abstractNumId="44">
    <w:nsid w:val="1CF10FD8"/>
    <w:multiLevelType w:val="hybridMultilevel"/>
    <w:lvl w:ilvl="0">
      <w:lvlJc w:val="left"/>
      <w:lvlText w:val="(%1)"/>
      <w:numFmt w:val="lowerRoman"/>
      <w:start w:val="1"/>
    </w:lvl>
  </w:abstractNum>
  <w:abstractNum w:abstractNumId="45">
    <w:nsid w:val="180115BE"/>
    <w:multiLevelType w:val="hybridMultilevel"/>
    <w:lvl w:ilvl="0">
      <w:lvlJc w:val="left"/>
      <w:lvlText w:val="(*)"/>
      <w:numFmt w:val="bullet"/>
      <w:start w:val="1"/>
    </w:lvl>
  </w:abstractNum>
  <w:abstractNum w:abstractNumId="46">
    <w:nsid w:val="235BA861"/>
    <w:multiLevelType w:val="hybridMultilevel"/>
    <w:lvl w:ilvl="0">
      <w:lvlJc w:val="left"/>
      <w:lvlText w:val="(%1)"/>
      <w:numFmt w:val="decimal"/>
      <w:start w:val="1"/>
    </w:lvl>
  </w:abstractNum>
  <w:abstractNum w:abstractNumId="47">
    <w:nsid w:val="47398C89"/>
    <w:multiLevelType w:val="hybridMultilevel"/>
    <w:lvl w:ilvl="0">
      <w:lvlJc w:val="left"/>
      <w:lvlText w:val="8"/>
      <w:numFmt w:val="bullet"/>
      <w:start w:val="1"/>
    </w:lvl>
  </w:abstractNum>
  <w:abstractNum w:abstractNumId="48">
    <w:nsid w:val="354FE9F9"/>
    <w:multiLevelType w:val="hybridMultilevel"/>
    <w:lvl w:ilvl="0">
      <w:lvlJc w:val="left"/>
      <w:lvlText w:val="•"/>
      <w:numFmt w:val="bullet"/>
      <w:start w:val="1"/>
    </w:lvl>
  </w:abstractNum>
  <w:abstractNum w:abstractNumId="49">
    <w:nsid w:val="15B5AF5C"/>
    <w:multiLevelType w:val="hybridMultilevel"/>
    <w:lvl w:ilvl="0">
      <w:lvlJc w:val="left"/>
      <w:lvlText w:val="(%1)"/>
      <w:numFmt w:val="decimal"/>
      <w:start w:val="1"/>
    </w:lvl>
  </w:abstractNum>
  <w:abstractNum w:abstractNumId="50">
    <w:nsid w:val="741226BB"/>
    <w:multiLevelType w:val="hybridMultilevel"/>
    <w:lvl w:ilvl="0">
      <w:lvlJc w:val="left"/>
      <w:lvlText w:val="(%1)"/>
      <w:numFmt w:val="lowerRoman"/>
      <w:start w:val="1"/>
    </w:lvl>
  </w:abstractNum>
  <w:abstractNum w:abstractNumId="51">
    <w:nsid w:val="D34B6A8"/>
    <w:multiLevelType w:val="hybridMultilevel"/>
    <w:lvl w:ilvl="0">
      <w:lvlJc w:val="left"/>
      <w:lvlText w:val="%1)"/>
      <w:numFmt w:val="decimal"/>
      <w:start w:val="2"/>
    </w:lvl>
  </w:abstractNum>
  <w:abstractNum w:abstractNumId="52">
    <w:nsid w:val="10233C99"/>
    <w:multiLevelType w:val="hybridMultilevel"/>
    <w:lvl w:ilvl="0">
      <w:lvlJc w:val="left"/>
      <w:lvlText w:val="(%1)"/>
      <w:numFmt w:val="decimal"/>
      <w:start w:val="1"/>
    </w:lvl>
  </w:abstractNum>
  <w:abstractNum w:abstractNumId="53">
    <w:nsid w:val="3F6AB60F"/>
    <w:multiLevelType w:val="hybridMultilevel"/>
    <w:lvl w:ilvl="0">
      <w:lvlJc w:val="left"/>
      <w:lvlText w:val="(%1)"/>
      <w:numFmt w:val="decimal"/>
      <w:start w:val="2"/>
    </w:lvl>
  </w:abstractNum>
  <w:abstractNum w:abstractNumId="54">
    <w:nsid w:val="61574095"/>
    <w:multiLevelType w:val="hybridMultilevel"/>
    <w:lvl w:ilvl="0">
      <w:lvlJc w:val="left"/>
      <w:lvlText w:val="(*)"/>
      <w:numFmt w:val="bullet"/>
      <w:start w:val="1"/>
    </w:lvl>
  </w:abstractNum>
  <w:abstractNum w:abstractNumId="55">
    <w:nsid w:val="7E0C57B1"/>
    <w:multiLevelType w:val="hybridMultilevel"/>
    <w:lvl w:ilvl="0">
      <w:lvlJc w:val="left"/>
      <w:lvlText w:val="(%1)"/>
      <w:numFmt w:val="decimal"/>
      <w:start w:val="1"/>
    </w:lvl>
  </w:abstractNum>
  <w:abstractNum w:abstractNumId="56">
    <w:nsid w:val="77AE35EB"/>
    <w:multiLevelType w:val="hybridMultilevel"/>
    <w:lvl w:ilvl="0">
      <w:lvlJc w:val="left"/>
      <w:lvlText w:val="(%1)"/>
      <w:numFmt w:val="decimal"/>
      <w:start w:val="1"/>
    </w:lvl>
  </w:abstractNum>
  <w:abstractNum w:abstractNumId="57">
    <w:nsid w:val="579BE4F1"/>
    <w:multiLevelType w:val="hybridMultilevel"/>
    <w:lvl w:ilvl="0">
      <w:lvlJc w:val="left"/>
      <w:lvlText w:val="(%1)"/>
      <w:numFmt w:val="decimal"/>
      <w:start w:val="1"/>
    </w:lvl>
  </w:abstractNum>
  <w:abstractNum w:abstractNumId="58">
    <w:nsid w:val="310C50B3"/>
    <w:multiLevelType w:val="hybridMultilevel"/>
    <w:lvl w:ilvl="0">
      <w:lvlJc w:val="left"/>
      <w:lvlText w:val="(%1)"/>
      <w:numFmt w:val="decimal"/>
      <w:start w:val="2"/>
    </w:lvl>
  </w:abstractNum>
  <w:abstractNum w:abstractNumId="59">
    <w:nsid w:val="5FF87E05"/>
    <w:multiLevelType w:val="hybridMultilevel"/>
    <w:lvl w:ilvl="0">
      <w:lvlJc w:val="left"/>
      <w:lvlText w:val="(%1)"/>
      <w:numFmt w:val="decimal"/>
      <w:start w:val="1"/>
    </w:lvl>
  </w:abstractNum>
  <w:abstractNum w:abstractNumId="60">
    <w:nsid w:val="2F305DEF"/>
    <w:multiLevelType w:val="hybridMultilevel"/>
    <w:lvl w:ilvl="0">
      <w:lvlJc w:val="left"/>
      <w:lvlText w:val="(%1)"/>
      <w:numFmt w:val="decimal"/>
      <w:start w:val="1"/>
    </w:lvl>
  </w:abstractNum>
  <w:abstractNum w:abstractNumId="61">
    <w:nsid w:val="25A70BF7"/>
    <w:multiLevelType w:val="hybridMultilevel"/>
    <w:lvl w:ilvl="0">
      <w:lvlJc w:val="left"/>
      <w:lvlText w:val="(%1)"/>
      <w:numFmt w:val="decimal"/>
      <w:start w:val="1"/>
    </w:lvl>
  </w:abstractNum>
  <w:abstractNum w:abstractNumId="62">
    <w:nsid w:val="1DBABF00"/>
    <w:multiLevelType w:val="hybridMultilevel"/>
    <w:lvl w:ilvl="0">
      <w:lvlJc w:val="left"/>
      <w:lvlText w:val="(%1)"/>
      <w:numFmt w:val="decimal"/>
      <w:start w:val="1"/>
    </w:lvl>
  </w:abstractNum>
  <w:abstractNum w:abstractNumId="63">
    <w:nsid w:val="4AD084E9"/>
    <w:multiLevelType w:val="hybridMultilevel"/>
    <w:lvl w:ilvl="0">
      <w:lvlJc w:val="left"/>
      <w:lvlText w:val="(%1)"/>
      <w:numFmt w:val="decimal"/>
      <w:start w:val="1"/>
    </w:lvl>
  </w:abstractNum>
  <w:abstractNum w:abstractNumId="64">
    <w:nsid w:val="1F48EAA1"/>
    <w:multiLevelType w:val="hybridMultilevel"/>
    <w:lvl w:ilvl="0">
      <w:lvlJc w:val="left"/>
      <w:lvlText w:val="(%1)"/>
      <w:numFmt w:val="decimal"/>
      <w:start w:val="1"/>
    </w:lvl>
  </w:abstractNum>
  <w:abstractNum w:abstractNumId="65">
    <w:nsid w:val="1381823A"/>
    <w:multiLevelType w:val="hybridMultilevel"/>
    <w:lvl w:ilvl="0">
      <w:lvlJc w:val="left"/>
      <w:lvlText w:val="%1."/>
      <w:numFmt w:val="decimal"/>
      <w:start w:val="1"/>
    </w:lvl>
    <w:lvl w:ilvl="1">
      <w:lvlJc w:val="left"/>
      <w:lvlText w:val="(%2)"/>
      <w:numFmt w:val="lowerLetter"/>
      <w:start w:val="1"/>
    </w:lvl>
  </w:abstractNum>
  <w:abstractNum w:abstractNumId="66">
    <w:nsid w:val="5DB70AE5"/>
    <w:multiLevelType w:val="hybridMultilevel"/>
    <w:lvl w:ilvl="0">
      <w:lvlJc w:val="left"/>
      <w:lvlText w:val="%1."/>
      <w:numFmt w:val="decimal"/>
      <w:start w:val="1"/>
    </w:lvl>
    <w:lvl w:ilvl="1">
      <w:lvlJc w:val="left"/>
      <w:lvlText w:val="(%2)"/>
      <w:numFmt w:val="lowerLetter"/>
      <w:start w:val="1"/>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2019-12-06T20:54:41Z</dcterms:created>
  <dcterms:modified xsi:type="dcterms:W3CDTF">2019-12-06T20:54:41Z</dcterms:modified>
</cp:coreProperties>
</file>