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2637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SCHEDULE 13G</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1)*</w:t>
      </w: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AMDOCS LIMITED</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38"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Ordinary Shares, 0.01GBP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2268220</wp:posOffset>
            </wp:positionH>
            <wp:positionV relativeFrom="paragraph">
              <wp:posOffset>-10160</wp:posOffset>
            </wp:positionV>
            <wp:extent cx="27203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720340" cy="8890"/>
                    </a:xfrm>
                    <a:prstGeom prst="rect">
                      <a:avLst/>
                    </a:prstGeom>
                    <a:noFill/>
                  </pic:spPr>
                </pic:pic>
              </a:graphicData>
            </a:graphic>
          </wp:anchor>
        </w:drawing>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G02602103</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(CUSIP Number)</w:t>
      </w: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December 31, 2008</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52" w:lineRule="exact"/>
        <w:rPr>
          <w:sz w:val="24"/>
          <w:szCs w:val="24"/>
          <w:color w:val="auto"/>
        </w:rPr>
      </w:pPr>
    </w:p>
    <w:p>
      <w:pPr>
        <w:ind w:left="5200" w:hanging="276"/>
        <w:spacing w:after="0"/>
        <w:tabs>
          <w:tab w:leader="none" w:pos="52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Rule 13d-1(b)</w:t>
      </w:r>
    </w:p>
    <w:p>
      <w:pPr>
        <w:spacing w:after="0" w:line="23" w:lineRule="exact"/>
        <w:rPr>
          <w:rFonts w:ascii="Arial" w:cs="Arial" w:eastAsia="Arial" w:hAnsi="Arial"/>
          <w:sz w:val="18"/>
          <w:szCs w:val="18"/>
          <w:color w:val="auto"/>
        </w:rPr>
      </w:pPr>
    </w:p>
    <w:p>
      <w:pPr>
        <w:ind w:left="5020" w:hanging="96"/>
        <w:spacing w:after="0"/>
        <w:tabs>
          <w:tab w:leader="none" w:pos="5020" w:val="left"/>
        </w:tabs>
        <w:numPr>
          <w:ilvl w:val="0"/>
          <w:numId w:val="1"/>
        </w:numPr>
        <w:rPr>
          <w:rFonts w:ascii="Arial" w:cs="Arial" w:eastAsia="Arial" w:hAnsi="Arial"/>
          <w:sz w:val="18"/>
          <w:szCs w:val="18"/>
          <w:color w:val="auto"/>
        </w:rPr>
      </w:pPr>
      <w:r>
        <w:rPr>
          <w:rFonts w:ascii="Arial" w:cs="Arial" w:eastAsia="Arial" w:hAnsi="Arial"/>
          <w:sz w:val="18"/>
          <w:szCs w:val="18"/>
          <w:color w:val="auto"/>
        </w:rPr>
        <w:t>X ]</w:t>
      </w:r>
      <w:r>
        <w:rPr>
          <w:rFonts w:ascii="Arial" w:cs="Arial" w:eastAsia="Arial" w:hAnsi="Arial"/>
          <w:sz w:val="16"/>
          <w:szCs w:val="16"/>
          <w:color w:val="auto"/>
        </w:rPr>
        <w:t>Rule 13d-1(c)</w:t>
      </w:r>
    </w:p>
    <w:p>
      <w:pPr>
        <w:spacing w:after="0" w:line="9" w:lineRule="exact"/>
        <w:rPr>
          <w:sz w:val="24"/>
          <w:szCs w:val="24"/>
          <w:color w:val="auto"/>
        </w:rPr>
      </w:pPr>
    </w:p>
    <w:p>
      <w:pPr>
        <w:ind w:left="5200" w:hanging="276"/>
        <w:spacing w:after="0"/>
        <w:tabs>
          <w:tab w:leader="none" w:pos="5200" w:val="left"/>
        </w:tabs>
        <w:numPr>
          <w:ilvl w:val="1"/>
          <w:numId w:val="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Rule 13d-1(d)</w:t>
      </w:r>
    </w:p>
    <w:p>
      <w:pPr>
        <w:spacing w:after="0" w:line="9" w:lineRule="exact"/>
        <w:rPr>
          <w:rFonts w:ascii="Arial" w:cs="Arial" w:eastAsia="Arial" w:hAnsi="Arial"/>
          <w:sz w:val="18"/>
          <w:szCs w:val="18"/>
          <w:color w:val="auto"/>
        </w:rPr>
      </w:pPr>
    </w:p>
    <w:p>
      <w:pPr>
        <w:spacing w:after="0" w:line="261" w:lineRule="auto"/>
        <w:rPr>
          <w:rFonts w:ascii="Arial" w:cs="Arial" w:eastAsia="Arial" w:hAnsi="Arial"/>
          <w:sz w:val="18"/>
          <w:szCs w:val="18"/>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11"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9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Continued on following pages</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Page 1 of 10 Pages</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Exhibit Index: Page 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535305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15" w:right="239" w:bottom="1440" w:gutter="0" w:footer="0" w:header="0"/>
        </w:sectPr>
      </w:pPr>
    </w:p>
    <w:bookmarkStart w:id="1" w:name="page2"/>
    <w:bookmarkEnd w:id="1"/>
    <w:p>
      <w:pPr>
        <w:jc w:val="right"/>
        <w:spacing w:after="0"/>
        <w:rPr>
          <w:sz w:val="20"/>
          <w:szCs w:val="20"/>
          <w:color w:val="auto"/>
        </w:rPr>
      </w:pPr>
      <w:r>
        <w:rPr>
          <w:rFonts w:ascii="Arial" w:cs="Arial" w:eastAsia="Arial" w:hAnsi="Arial"/>
          <w:sz w:val="22"/>
          <w:szCs w:val="22"/>
          <w:color w:val="auto"/>
        </w:rPr>
        <w:t>Page 2 of 10 Pages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880" w:hanging="872"/>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880"/>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237" w:lineRule="exact"/>
        <w:rPr>
          <w:rFonts w:ascii="Arial" w:cs="Arial" w:eastAsia="Arial" w:hAnsi="Arial"/>
          <w:sz w:val="18"/>
          <w:szCs w:val="18"/>
          <w:color w:val="auto"/>
        </w:rPr>
      </w:pPr>
    </w:p>
    <w:p>
      <w:pPr>
        <w:ind w:left="880"/>
        <w:spacing w:after="0"/>
        <w:rPr>
          <w:rFonts w:ascii="Arial" w:cs="Arial" w:eastAsia="Arial" w:hAnsi="Arial"/>
          <w:sz w:val="18"/>
          <w:szCs w:val="18"/>
          <w:color w:val="auto"/>
        </w:rPr>
      </w:pPr>
      <w:r>
        <w:rPr>
          <w:rFonts w:ascii="Arial" w:cs="Arial" w:eastAsia="Arial" w:hAnsi="Arial"/>
          <w:sz w:val="18"/>
          <w:szCs w:val="18"/>
          <w:color w:val="auto"/>
        </w:rPr>
        <w:t>GLENVIEW CAPITAL MANAGEMENT, LLC</w:t>
      </w:r>
    </w:p>
    <w:p>
      <w:pPr>
        <w:spacing w:after="0" w:line="36" w:lineRule="exact"/>
        <w:rPr>
          <w:rFonts w:ascii="Arial" w:cs="Arial" w:eastAsia="Arial" w:hAnsi="Arial"/>
          <w:sz w:val="18"/>
          <w:szCs w:val="18"/>
          <w:color w:val="auto"/>
        </w:rPr>
      </w:pPr>
    </w:p>
    <w:p>
      <w:pPr>
        <w:ind w:left="880" w:hanging="872"/>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52" w:lineRule="exact"/>
        <w:rPr>
          <w:rFonts w:ascii="Arial" w:cs="Arial" w:eastAsia="Arial" w:hAnsi="Arial"/>
          <w:sz w:val="18"/>
          <w:szCs w:val="18"/>
          <w:color w:val="auto"/>
        </w:rPr>
      </w:pPr>
    </w:p>
    <w:p>
      <w:pPr>
        <w:ind w:left="1120" w:hanging="248"/>
        <w:spacing w:after="0"/>
        <w:tabs>
          <w:tab w:leader="none" w:pos="1120" w:val="left"/>
        </w:tabs>
        <w:numPr>
          <w:ilvl w:val="1"/>
          <w:numId w:val="3"/>
        </w:numPr>
        <w:rPr>
          <w:rFonts w:ascii="Arial" w:cs="Arial" w:eastAsia="Arial" w:hAnsi="Arial"/>
          <w:sz w:val="18"/>
          <w:szCs w:val="18"/>
          <w:color w:val="auto"/>
        </w:rPr>
      </w:pPr>
      <w:r>
        <w:rPr>
          <w:rFonts w:ascii="Arial" w:cs="Arial" w:eastAsia="Arial" w:hAnsi="Arial"/>
          <w:sz w:val="18"/>
          <w:szCs w:val="18"/>
          <w:color w:val="auto"/>
        </w:rPr>
        <w:t>[ ]</w:t>
      </w:r>
    </w:p>
    <w:p>
      <w:pPr>
        <w:spacing w:after="0" w:line="23" w:lineRule="exact"/>
        <w:rPr>
          <w:rFonts w:ascii="Arial" w:cs="Arial" w:eastAsia="Arial" w:hAnsi="Arial"/>
          <w:sz w:val="18"/>
          <w:szCs w:val="18"/>
          <w:color w:val="auto"/>
        </w:rPr>
      </w:pPr>
    </w:p>
    <w:p>
      <w:pPr>
        <w:ind w:left="1120" w:hanging="248"/>
        <w:spacing w:after="0"/>
        <w:tabs>
          <w:tab w:leader="none" w:pos="1120" w:val="left"/>
        </w:tabs>
        <w:numPr>
          <w:ilvl w:val="1"/>
          <w:numId w:val="3"/>
        </w:numPr>
        <w:rPr>
          <w:rFonts w:ascii="Arial" w:cs="Arial" w:eastAsia="Arial" w:hAnsi="Arial"/>
          <w:sz w:val="18"/>
          <w:szCs w:val="18"/>
          <w:color w:val="auto"/>
        </w:rPr>
      </w:pPr>
      <w:r>
        <w:rPr>
          <w:rFonts w:ascii="Arial" w:cs="Arial" w:eastAsia="Arial" w:hAnsi="Arial"/>
          <w:sz w:val="18"/>
          <w:szCs w:val="18"/>
          <w:color w:val="auto"/>
        </w:rPr>
        <w:t>[ ]</w:t>
      </w:r>
    </w:p>
    <w:p>
      <w:pPr>
        <w:spacing w:after="0" w:line="21" w:lineRule="exact"/>
        <w:rPr>
          <w:rFonts w:ascii="Arial" w:cs="Arial" w:eastAsia="Arial" w:hAnsi="Arial"/>
          <w:sz w:val="18"/>
          <w:szCs w:val="18"/>
          <w:color w:val="auto"/>
        </w:rPr>
      </w:pPr>
    </w:p>
    <w:p>
      <w:pPr>
        <w:ind w:left="880" w:hanging="872"/>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36" w:lineRule="exact"/>
        <w:rPr>
          <w:rFonts w:ascii="Arial" w:cs="Arial" w:eastAsia="Arial" w:hAnsi="Arial"/>
          <w:sz w:val="18"/>
          <w:szCs w:val="18"/>
          <w:color w:val="auto"/>
        </w:rPr>
      </w:pPr>
    </w:p>
    <w:p>
      <w:pPr>
        <w:ind w:left="880" w:hanging="872"/>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-1450975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-876300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-293370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-139065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8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Number of</w:t>
            </w:r>
          </w:p>
        </w:tc>
        <w:tc>
          <w:tcPr>
            <w:tcW w:w="40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5.</w:t>
            </w:r>
          </w:p>
        </w:tc>
        <w:tc>
          <w:tcPr>
            <w:tcW w:w="300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Sole Voting Power</w:t>
            </w:r>
          </w:p>
        </w:tc>
        <w:tc>
          <w:tcPr>
            <w:tcW w:w="6180" w:type="dxa"/>
            <w:vAlign w:val="bottom"/>
            <w:tcBorders>
              <w:top w:val="single" w:sz="8" w:color="auto"/>
            </w:tcBorders>
          </w:tcPr>
          <w:p>
            <w:pPr>
              <w:ind w:left="84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89"/>
        </w:trPr>
        <w:tc>
          <w:tcPr>
            <w:tcW w:w="184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400" w:type="dxa"/>
            <w:vAlign w:val="bottom"/>
            <w:tcBorders>
              <w:bottom w:val="single" w:sz="8" w:color="auto"/>
            </w:tcBorders>
          </w:tcPr>
          <w:p>
            <w:pPr>
              <w:spacing w:after="0"/>
              <w:rPr>
                <w:sz w:val="7"/>
                <w:szCs w:val="7"/>
                <w:color w:val="auto"/>
              </w:rPr>
            </w:pPr>
          </w:p>
        </w:tc>
        <w:tc>
          <w:tcPr>
            <w:tcW w:w="3000" w:type="dxa"/>
            <w:vAlign w:val="bottom"/>
            <w:tcBorders>
              <w:bottom w:val="single" w:sz="8" w:color="auto"/>
            </w:tcBorders>
          </w:tcPr>
          <w:p>
            <w:pPr>
              <w:spacing w:after="0"/>
              <w:rPr>
                <w:sz w:val="7"/>
                <w:szCs w:val="7"/>
                <w:color w:val="auto"/>
              </w:rPr>
            </w:pPr>
          </w:p>
        </w:tc>
        <w:tc>
          <w:tcPr>
            <w:tcW w:w="61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1840" w:type="dxa"/>
            <w:vAlign w:val="bottom"/>
            <w:vMerge w:val="continue"/>
          </w:tcPr>
          <w:p>
            <w:pPr>
              <w:spacing w:after="0"/>
              <w:rPr>
                <w:sz w:val="9"/>
                <w:szCs w:val="9"/>
                <w:color w:val="auto"/>
              </w:rPr>
            </w:pPr>
          </w:p>
        </w:tc>
        <w:tc>
          <w:tcPr>
            <w:tcW w:w="400" w:type="dxa"/>
            <w:vAlign w:val="bottom"/>
            <w:vMerge w:val="restart"/>
          </w:tcPr>
          <w:p>
            <w:pPr>
              <w:jc w:val="right"/>
              <w:ind w:right="170"/>
              <w:spacing w:after="0"/>
              <w:rPr>
                <w:sz w:val="20"/>
                <w:szCs w:val="20"/>
                <w:color w:val="auto"/>
              </w:rPr>
            </w:pPr>
            <w:r>
              <w:rPr>
                <w:rFonts w:ascii="Arial" w:cs="Arial" w:eastAsia="Arial" w:hAnsi="Arial"/>
                <w:sz w:val="18"/>
                <w:szCs w:val="18"/>
                <w:color w:val="auto"/>
                <w:w w:val="79"/>
              </w:rPr>
              <w:t>6.</w:t>
            </w:r>
          </w:p>
        </w:tc>
        <w:tc>
          <w:tcPr>
            <w:tcW w:w="3000" w:type="dxa"/>
            <w:vAlign w:val="bottom"/>
            <w:vMerge w:val="restart"/>
          </w:tcPr>
          <w:p>
            <w:pPr>
              <w:ind w:left="280"/>
              <w:spacing w:after="0"/>
              <w:rPr>
                <w:sz w:val="20"/>
                <w:szCs w:val="20"/>
                <w:color w:val="auto"/>
              </w:rPr>
            </w:pPr>
            <w:r>
              <w:rPr>
                <w:rFonts w:ascii="Arial" w:cs="Arial" w:eastAsia="Arial" w:hAnsi="Arial"/>
                <w:sz w:val="18"/>
                <w:szCs w:val="18"/>
                <w:color w:val="auto"/>
              </w:rPr>
              <w:t>Shared Voting Power</w:t>
            </w:r>
          </w:p>
        </w:tc>
        <w:tc>
          <w:tcPr>
            <w:tcW w:w="6180" w:type="dxa"/>
            <w:vAlign w:val="bottom"/>
            <w:vMerge w:val="restart"/>
          </w:tcPr>
          <w:p>
            <w:pPr>
              <w:ind w:left="840"/>
              <w:spacing w:after="0"/>
              <w:rPr>
                <w:sz w:val="20"/>
                <w:szCs w:val="20"/>
                <w:color w:val="auto"/>
              </w:rPr>
            </w:pPr>
            <w:r>
              <w:rPr>
                <w:rFonts w:ascii="Arial" w:cs="Arial" w:eastAsia="Arial" w:hAnsi="Arial"/>
                <w:sz w:val="18"/>
                <w:szCs w:val="18"/>
                <w:color w:val="auto"/>
              </w:rPr>
              <w:t>4,349,247</w:t>
            </w:r>
          </w:p>
        </w:tc>
        <w:tc>
          <w:tcPr>
            <w:tcW w:w="0" w:type="dxa"/>
            <w:vAlign w:val="bottom"/>
          </w:tcPr>
          <w:p>
            <w:pPr>
              <w:spacing w:after="0"/>
              <w:rPr>
                <w:sz w:val="1"/>
                <w:szCs w:val="1"/>
                <w:color w:val="auto"/>
              </w:rPr>
            </w:pPr>
          </w:p>
        </w:tc>
      </w:tr>
      <w:tr>
        <w:trPr>
          <w:trHeight w:val="123"/>
        </w:trPr>
        <w:tc>
          <w:tcPr>
            <w:tcW w:w="1840" w:type="dxa"/>
            <w:vAlign w:val="bottom"/>
            <w:vMerge w:val="restart"/>
          </w:tcPr>
          <w:p>
            <w:pPr>
              <w:spacing w:after="0" w:line="190" w:lineRule="exact"/>
              <w:rPr>
                <w:sz w:val="20"/>
                <w:szCs w:val="20"/>
                <w:color w:val="auto"/>
              </w:rPr>
            </w:pPr>
            <w:r>
              <w:rPr>
                <w:rFonts w:ascii="Arial" w:cs="Arial" w:eastAsia="Arial" w:hAnsi="Arial"/>
                <w:sz w:val="18"/>
                <w:szCs w:val="18"/>
                <w:color w:val="auto"/>
              </w:rPr>
              <w:t>Beneficially</w:t>
            </w:r>
          </w:p>
        </w:tc>
        <w:tc>
          <w:tcPr>
            <w:tcW w:w="400" w:type="dxa"/>
            <w:vAlign w:val="bottom"/>
            <w:vMerge w:val="continue"/>
          </w:tcPr>
          <w:p>
            <w:pPr>
              <w:spacing w:after="0"/>
              <w:rPr>
                <w:sz w:val="10"/>
                <w:szCs w:val="10"/>
                <w:color w:val="auto"/>
              </w:rPr>
            </w:pPr>
          </w:p>
        </w:tc>
        <w:tc>
          <w:tcPr>
            <w:tcW w:w="3000" w:type="dxa"/>
            <w:vAlign w:val="bottom"/>
            <w:vMerge w:val="continue"/>
          </w:tcPr>
          <w:p>
            <w:pPr>
              <w:spacing w:after="0"/>
              <w:rPr>
                <w:sz w:val="10"/>
                <w:szCs w:val="10"/>
                <w:color w:val="auto"/>
              </w:rPr>
            </w:pPr>
          </w:p>
        </w:tc>
        <w:tc>
          <w:tcPr>
            <w:tcW w:w="61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1840" w:type="dxa"/>
            <w:vAlign w:val="bottom"/>
            <w:vMerge w:val="continue"/>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3000" w:type="dxa"/>
            <w:vAlign w:val="bottom"/>
            <w:tcBorders>
              <w:bottom w:val="single" w:sz="8" w:color="auto"/>
            </w:tcBorders>
          </w:tcPr>
          <w:p>
            <w:pPr>
              <w:spacing w:after="0"/>
              <w:rPr>
                <w:sz w:val="6"/>
                <w:szCs w:val="6"/>
                <w:color w:val="auto"/>
              </w:rPr>
            </w:pPr>
          </w:p>
        </w:tc>
        <w:tc>
          <w:tcPr>
            <w:tcW w:w="61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5"/>
        </w:trPr>
        <w:tc>
          <w:tcPr>
            <w:tcW w:w="1840" w:type="dxa"/>
            <w:vAlign w:val="bottom"/>
          </w:tcPr>
          <w:p>
            <w:pPr>
              <w:spacing w:after="0"/>
              <w:rPr>
                <w:sz w:val="20"/>
                <w:szCs w:val="20"/>
                <w:color w:val="auto"/>
              </w:rPr>
            </w:pPr>
            <w:r>
              <w:rPr>
                <w:rFonts w:ascii="Arial" w:cs="Arial" w:eastAsia="Arial" w:hAnsi="Arial"/>
                <w:sz w:val="18"/>
                <w:szCs w:val="18"/>
                <w:color w:val="auto"/>
              </w:rPr>
              <w:t>Owned by Each</w:t>
            </w:r>
          </w:p>
        </w:tc>
        <w:tc>
          <w:tcPr>
            <w:tcW w:w="400" w:type="dxa"/>
            <w:vAlign w:val="bottom"/>
          </w:tcPr>
          <w:p>
            <w:pPr>
              <w:jc w:val="right"/>
              <w:ind w:right="170"/>
              <w:spacing w:after="0"/>
              <w:rPr>
                <w:sz w:val="20"/>
                <w:szCs w:val="20"/>
                <w:color w:val="auto"/>
              </w:rPr>
            </w:pPr>
            <w:r>
              <w:rPr>
                <w:rFonts w:ascii="Arial" w:cs="Arial" w:eastAsia="Arial" w:hAnsi="Arial"/>
                <w:sz w:val="18"/>
                <w:szCs w:val="18"/>
                <w:color w:val="auto"/>
                <w:w w:val="79"/>
              </w:rPr>
              <w:t>7.</w:t>
            </w:r>
          </w:p>
        </w:tc>
        <w:tc>
          <w:tcPr>
            <w:tcW w:w="3000" w:type="dxa"/>
            <w:vAlign w:val="bottom"/>
          </w:tcPr>
          <w:p>
            <w:pPr>
              <w:ind w:left="280"/>
              <w:spacing w:after="0"/>
              <w:rPr>
                <w:sz w:val="20"/>
                <w:szCs w:val="20"/>
                <w:color w:val="auto"/>
              </w:rPr>
            </w:pPr>
            <w:r>
              <w:rPr>
                <w:rFonts w:ascii="Arial" w:cs="Arial" w:eastAsia="Arial" w:hAnsi="Arial"/>
                <w:sz w:val="18"/>
                <w:szCs w:val="18"/>
                <w:color w:val="auto"/>
              </w:rPr>
              <w:t>Sole Dispositive Power</w:t>
            </w:r>
          </w:p>
        </w:tc>
        <w:tc>
          <w:tcPr>
            <w:tcW w:w="6180" w:type="dxa"/>
            <w:vAlign w:val="bottom"/>
          </w:tcPr>
          <w:p>
            <w:pPr>
              <w:ind w:left="84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89"/>
        </w:trPr>
        <w:tc>
          <w:tcPr>
            <w:tcW w:w="184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400" w:type="dxa"/>
            <w:vAlign w:val="bottom"/>
            <w:tcBorders>
              <w:bottom w:val="single" w:sz="8" w:color="auto"/>
            </w:tcBorders>
          </w:tcPr>
          <w:p>
            <w:pPr>
              <w:spacing w:after="0"/>
              <w:rPr>
                <w:sz w:val="7"/>
                <w:szCs w:val="7"/>
                <w:color w:val="auto"/>
              </w:rPr>
            </w:pPr>
          </w:p>
        </w:tc>
        <w:tc>
          <w:tcPr>
            <w:tcW w:w="3000" w:type="dxa"/>
            <w:vAlign w:val="bottom"/>
            <w:tcBorders>
              <w:bottom w:val="single" w:sz="8" w:color="auto"/>
            </w:tcBorders>
          </w:tcPr>
          <w:p>
            <w:pPr>
              <w:spacing w:after="0"/>
              <w:rPr>
                <w:sz w:val="7"/>
                <w:szCs w:val="7"/>
                <w:color w:val="auto"/>
              </w:rPr>
            </w:pPr>
          </w:p>
        </w:tc>
        <w:tc>
          <w:tcPr>
            <w:tcW w:w="61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1840" w:type="dxa"/>
            <w:vAlign w:val="bottom"/>
            <w:vMerge w:val="continue"/>
          </w:tcPr>
          <w:p>
            <w:pPr>
              <w:spacing w:after="0"/>
              <w:rPr>
                <w:sz w:val="9"/>
                <w:szCs w:val="9"/>
                <w:color w:val="auto"/>
              </w:rPr>
            </w:pPr>
          </w:p>
        </w:tc>
        <w:tc>
          <w:tcPr>
            <w:tcW w:w="400" w:type="dxa"/>
            <w:vAlign w:val="bottom"/>
            <w:vMerge w:val="restart"/>
          </w:tcPr>
          <w:p>
            <w:pPr>
              <w:jc w:val="right"/>
              <w:ind w:right="170"/>
              <w:spacing w:after="0"/>
              <w:rPr>
                <w:sz w:val="20"/>
                <w:szCs w:val="20"/>
                <w:color w:val="auto"/>
              </w:rPr>
            </w:pPr>
            <w:r>
              <w:rPr>
                <w:rFonts w:ascii="Arial" w:cs="Arial" w:eastAsia="Arial" w:hAnsi="Arial"/>
                <w:sz w:val="18"/>
                <w:szCs w:val="18"/>
                <w:color w:val="auto"/>
                <w:w w:val="79"/>
              </w:rPr>
              <w:t>8.</w:t>
            </w:r>
          </w:p>
        </w:tc>
        <w:tc>
          <w:tcPr>
            <w:tcW w:w="3000" w:type="dxa"/>
            <w:vAlign w:val="bottom"/>
            <w:vMerge w:val="restart"/>
          </w:tcPr>
          <w:p>
            <w:pPr>
              <w:ind w:left="280"/>
              <w:spacing w:after="0"/>
              <w:rPr>
                <w:sz w:val="20"/>
                <w:szCs w:val="20"/>
                <w:color w:val="auto"/>
              </w:rPr>
            </w:pPr>
            <w:r>
              <w:rPr>
                <w:rFonts w:ascii="Arial" w:cs="Arial" w:eastAsia="Arial" w:hAnsi="Arial"/>
                <w:sz w:val="18"/>
                <w:szCs w:val="18"/>
                <w:color w:val="auto"/>
              </w:rPr>
              <w:t>Shared Dispositive Power</w:t>
            </w:r>
          </w:p>
        </w:tc>
        <w:tc>
          <w:tcPr>
            <w:tcW w:w="6180" w:type="dxa"/>
            <w:vAlign w:val="bottom"/>
            <w:vMerge w:val="restart"/>
          </w:tcPr>
          <w:p>
            <w:pPr>
              <w:ind w:left="840"/>
              <w:spacing w:after="0"/>
              <w:rPr>
                <w:sz w:val="20"/>
                <w:szCs w:val="20"/>
                <w:color w:val="auto"/>
              </w:rPr>
            </w:pPr>
            <w:r>
              <w:rPr>
                <w:rFonts w:ascii="Arial" w:cs="Arial" w:eastAsia="Arial" w:hAnsi="Arial"/>
                <w:sz w:val="18"/>
                <w:szCs w:val="18"/>
                <w:color w:val="auto"/>
              </w:rPr>
              <w:t>4,349,247</w:t>
            </w:r>
          </w:p>
        </w:tc>
        <w:tc>
          <w:tcPr>
            <w:tcW w:w="0" w:type="dxa"/>
            <w:vAlign w:val="bottom"/>
          </w:tcPr>
          <w:p>
            <w:pPr>
              <w:spacing w:after="0"/>
              <w:rPr>
                <w:sz w:val="1"/>
                <w:szCs w:val="1"/>
                <w:color w:val="auto"/>
              </w:rPr>
            </w:pPr>
          </w:p>
        </w:tc>
      </w:tr>
      <w:tr>
        <w:trPr>
          <w:trHeight w:val="136"/>
        </w:trPr>
        <w:tc>
          <w:tcPr>
            <w:tcW w:w="1840" w:type="dxa"/>
            <w:vAlign w:val="bottom"/>
            <w:vMerge w:val="restart"/>
          </w:tcPr>
          <w:p>
            <w:pPr>
              <w:spacing w:after="0"/>
              <w:rPr>
                <w:sz w:val="20"/>
                <w:szCs w:val="20"/>
                <w:color w:val="auto"/>
              </w:rPr>
            </w:pPr>
            <w:r>
              <w:rPr>
                <w:rFonts w:ascii="Arial" w:cs="Arial" w:eastAsia="Arial" w:hAnsi="Arial"/>
                <w:sz w:val="18"/>
                <w:szCs w:val="18"/>
                <w:color w:val="auto"/>
              </w:rPr>
              <w:t>Person With</w:t>
            </w:r>
          </w:p>
        </w:tc>
        <w:tc>
          <w:tcPr>
            <w:tcW w:w="400" w:type="dxa"/>
            <w:vAlign w:val="bottom"/>
            <w:vMerge w:val="continue"/>
          </w:tcPr>
          <w:p>
            <w:pPr>
              <w:spacing w:after="0"/>
              <w:rPr>
                <w:sz w:val="11"/>
                <w:szCs w:val="11"/>
                <w:color w:val="auto"/>
              </w:rPr>
            </w:pPr>
          </w:p>
        </w:tc>
        <w:tc>
          <w:tcPr>
            <w:tcW w:w="3000" w:type="dxa"/>
            <w:vAlign w:val="bottom"/>
            <w:vMerge w:val="continue"/>
          </w:tcPr>
          <w:p>
            <w:pPr>
              <w:spacing w:after="0"/>
              <w:rPr>
                <w:sz w:val="11"/>
                <w:szCs w:val="11"/>
                <w:color w:val="auto"/>
              </w:rPr>
            </w:pPr>
          </w:p>
        </w:tc>
        <w:tc>
          <w:tcPr>
            <w:tcW w:w="6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1840" w:type="dxa"/>
            <w:vAlign w:val="bottom"/>
            <w:vMerge w:val="continue"/>
          </w:tcPr>
          <w:p>
            <w:pPr>
              <w:spacing w:after="0"/>
              <w:rPr>
                <w:sz w:val="8"/>
                <w:szCs w:val="8"/>
                <w:color w:val="auto"/>
              </w:rPr>
            </w:pPr>
          </w:p>
        </w:tc>
        <w:tc>
          <w:tcPr>
            <w:tcW w:w="400" w:type="dxa"/>
            <w:vAlign w:val="bottom"/>
          </w:tcPr>
          <w:p>
            <w:pPr>
              <w:spacing w:after="0"/>
              <w:rPr>
                <w:sz w:val="8"/>
                <w:szCs w:val="8"/>
                <w:color w:val="auto"/>
              </w:rPr>
            </w:pPr>
          </w:p>
        </w:tc>
        <w:tc>
          <w:tcPr>
            <w:tcW w:w="3000" w:type="dxa"/>
            <w:vAlign w:val="bottom"/>
          </w:tcPr>
          <w:p>
            <w:pPr>
              <w:spacing w:after="0"/>
              <w:rPr>
                <w:sz w:val="8"/>
                <w:szCs w:val="8"/>
                <w:color w:val="auto"/>
              </w:rPr>
            </w:pPr>
          </w:p>
        </w:tc>
        <w:tc>
          <w:tcPr>
            <w:tcW w:w="61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880" w:right="5740" w:hanging="872"/>
        <w:spacing w:after="0" w:line="407" w:lineRule="auto"/>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4,349,247</w:t>
      </w:r>
    </w:p>
    <w:p>
      <w:pPr>
        <w:ind w:left="880" w:right="4280" w:hanging="872"/>
        <w:spacing w:after="0" w:line="407" w:lineRule="auto"/>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 [ ]</w:t>
      </w:r>
    </w:p>
    <w:p>
      <w:pPr>
        <w:ind w:left="880" w:hanging="872"/>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52" w:lineRule="exact"/>
        <w:rPr>
          <w:rFonts w:ascii="Arial" w:cs="Arial" w:eastAsia="Arial" w:hAnsi="Arial"/>
          <w:sz w:val="18"/>
          <w:szCs w:val="18"/>
          <w:color w:val="auto"/>
        </w:rPr>
      </w:pPr>
    </w:p>
    <w:p>
      <w:pPr>
        <w:ind w:left="880"/>
        <w:spacing w:after="0"/>
        <w:rPr>
          <w:rFonts w:ascii="Arial" w:cs="Arial" w:eastAsia="Arial" w:hAnsi="Arial"/>
          <w:sz w:val="18"/>
          <w:szCs w:val="18"/>
          <w:color w:val="auto"/>
        </w:rPr>
      </w:pPr>
      <w:r>
        <w:rPr>
          <w:rFonts w:ascii="Arial" w:cs="Arial" w:eastAsia="Arial" w:hAnsi="Arial"/>
          <w:sz w:val="18"/>
          <w:szCs w:val="18"/>
          <w:color w:val="auto"/>
        </w:rPr>
        <w:t>2.14% based on 203,615,917 shares outstanding as of November 24, 2008.</w:t>
      </w:r>
    </w:p>
    <w:p>
      <w:pPr>
        <w:spacing w:after="0" w:line="36" w:lineRule="exact"/>
        <w:rPr>
          <w:rFonts w:ascii="Arial" w:cs="Arial" w:eastAsia="Arial" w:hAnsi="Arial"/>
          <w:sz w:val="18"/>
          <w:szCs w:val="18"/>
          <w:color w:val="auto"/>
        </w:rPr>
      </w:pPr>
    </w:p>
    <w:p>
      <w:pPr>
        <w:ind w:left="880" w:hanging="872"/>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52" w:lineRule="exact"/>
        <w:rPr>
          <w:rFonts w:ascii="Arial" w:cs="Arial" w:eastAsia="Arial" w:hAnsi="Arial"/>
          <w:sz w:val="18"/>
          <w:szCs w:val="18"/>
          <w:color w:val="auto"/>
        </w:rPr>
      </w:pPr>
    </w:p>
    <w:p>
      <w:pPr>
        <w:ind w:left="88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-1322070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-876300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-430530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716280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04" w:right="239" w:bottom="1440" w:gutter="0" w:footer="0" w:header="0"/>
        </w:sectPr>
      </w:pPr>
    </w:p>
    <w:bookmarkStart w:id="2" w:name="page3"/>
    <w:bookmarkEnd w:id="2"/>
    <w:p>
      <w:pPr>
        <w:jc w:val="right"/>
        <w:spacing w:after="0"/>
        <w:rPr>
          <w:sz w:val="20"/>
          <w:szCs w:val="20"/>
          <w:color w:val="auto"/>
        </w:rPr>
      </w:pPr>
      <w:r>
        <w:rPr>
          <w:rFonts w:ascii="Arial" w:cs="Arial" w:eastAsia="Arial" w:hAnsi="Arial"/>
          <w:sz w:val="22"/>
          <w:szCs w:val="22"/>
          <w:color w:val="auto"/>
        </w:rPr>
        <w:t>Page 3 of 10 Pages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840" w:hanging="832"/>
        <w:spacing w:after="0"/>
        <w:tabs>
          <w:tab w:leader="none" w:pos="840" w:val="left"/>
        </w:tabs>
        <w:numPr>
          <w:ilvl w:val="0"/>
          <w:numId w:val="5"/>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840"/>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237" w:lineRule="exact"/>
        <w:rPr>
          <w:rFonts w:ascii="Arial" w:cs="Arial" w:eastAsia="Arial" w:hAnsi="Arial"/>
          <w:sz w:val="18"/>
          <w:szCs w:val="18"/>
          <w:color w:val="auto"/>
        </w:rPr>
      </w:pPr>
    </w:p>
    <w:p>
      <w:pPr>
        <w:ind w:left="840"/>
        <w:spacing w:after="0"/>
        <w:rPr>
          <w:rFonts w:ascii="Arial" w:cs="Arial" w:eastAsia="Arial" w:hAnsi="Arial"/>
          <w:sz w:val="18"/>
          <w:szCs w:val="18"/>
          <w:color w:val="auto"/>
        </w:rPr>
      </w:pPr>
      <w:r>
        <w:rPr>
          <w:rFonts w:ascii="Arial" w:cs="Arial" w:eastAsia="Arial" w:hAnsi="Arial"/>
          <w:sz w:val="18"/>
          <w:szCs w:val="18"/>
          <w:color w:val="auto"/>
        </w:rPr>
        <w:t>LAWRENCE M. ROBBINS</w:t>
      </w:r>
    </w:p>
    <w:p>
      <w:pPr>
        <w:spacing w:after="0" w:line="36" w:lineRule="exact"/>
        <w:rPr>
          <w:rFonts w:ascii="Arial" w:cs="Arial" w:eastAsia="Arial" w:hAnsi="Arial"/>
          <w:sz w:val="18"/>
          <w:szCs w:val="18"/>
          <w:color w:val="auto"/>
        </w:rPr>
      </w:pPr>
    </w:p>
    <w:p>
      <w:pPr>
        <w:ind w:left="840" w:hanging="832"/>
        <w:spacing w:after="0"/>
        <w:tabs>
          <w:tab w:leader="none" w:pos="8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52" w:lineRule="exact"/>
        <w:rPr>
          <w:rFonts w:ascii="Arial" w:cs="Arial" w:eastAsia="Arial" w:hAnsi="Arial"/>
          <w:sz w:val="18"/>
          <w:szCs w:val="18"/>
          <w:color w:val="auto"/>
        </w:rPr>
      </w:pPr>
    </w:p>
    <w:p>
      <w:pPr>
        <w:ind w:left="1100" w:hanging="255"/>
        <w:spacing w:after="0"/>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 ]</w:t>
      </w:r>
    </w:p>
    <w:p>
      <w:pPr>
        <w:spacing w:after="0" w:line="23" w:lineRule="exact"/>
        <w:rPr>
          <w:rFonts w:ascii="Arial" w:cs="Arial" w:eastAsia="Arial" w:hAnsi="Arial"/>
          <w:sz w:val="18"/>
          <w:szCs w:val="18"/>
          <w:color w:val="auto"/>
        </w:rPr>
      </w:pPr>
    </w:p>
    <w:p>
      <w:pPr>
        <w:ind w:left="1100" w:hanging="255"/>
        <w:spacing w:after="0"/>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 ]</w:t>
      </w:r>
    </w:p>
    <w:p>
      <w:pPr>
        <w:spacing w:after="0" w:line="21" w:lineRule="exact"/>
        <w:rPr>
          <w:rFonts w:ascii="Arial" w:cs="Arial" w:eastAsia="Arial" w:hAnsi="Arial"/>
          <w:sz w:val="18"/>
          <w:szCs w:val="18"/>
          <w:color w:val="auto"/>
        </w:rPr>
      </w:pPr>
    </w:p>
    <w:p>
      <w:pPr>
        <w:ind w:left="840" w:hanging="832"/>
        <w:spacing w:after="0"/>
        <w:tabs>
          <w:tab w:leader="none" w:pos="84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36" w:lineRule="exact"/>
        <w:rPr>
          <w:rFonts w:ascii="Arial" w:cs="Arial" w:eastAsia="Arial" w:hAnsi="Arial"/>
          <w:sz w:val="18"/>
          <w:szCs w:val="18"/>
          <w:color w:val="auto"/>
        </w:rPr>
      </w:pPr>
    </w:p>
    <w:p>
      <w:pPr>
        <w:ind w:left="840" w:hanging="832"/>
        <w:spacing w:after="0"/>
        <w:tabs>
          <w:tab w:leader="none" w:pos="8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-1450975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-876300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-293370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-139065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2" w:lineRule="exact"/>
        <w:rPr>
          <w:sz w:val="20"/>
          <w:szCs w:val="20"/>
          <w:color w:val="auto"/>
        </w:rPr>
      </w:pPr>
    </w:p>
    <w:p>
      <w:pPr>
        <w:ind w:left="840"/>
        <w:spacing w:after="0"/>
        <w:rPr>
          <w:sz w:val="20"/>
          <w:szCs w:val="20"/>
          <w:color w:val="auto"/>
        </w:rPr>
      </w:pPr>
      <w:r>
        <w:rPr>
          <w:rFonts w:ascii="Arial" w:cs="Arial" w:eastAsia="Arial" w:hAnsi="Arial"/>
          <w:sz w:val="18"/>
          <w:szCs w:val="18"/>
          <w:color w:val="auto"/>
        </w:rPr>
        <w:t>United States of America</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5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Number of</w:t>
            </w:r>
          </w:p>
        </w:tc>
        <w:tc>
          <w:tcPr>
            <w:tcW w:w="720" w:type="dxa"/>
            <w:vAlign w:val="bottom"/>
            <w:tcBorders>
              <w:top w:val="single" w:sz="8" w:color="auto"/>
            </w:tcBorders>
            <w:gridSpan w:val="2"/>
          </w:tcPr>
          <w:p>
            <w:pPr>
              <w:jc w:val="right"/>
              <w:ind w:right="175"/>
              <w:spacing w:after="0"/>
              <w:rPr>
                <w:sz w:val="20"/>
                <w:szCs w:val="20"/>
                <w:color w:val="auto"/>
              </w:rPr>
            </w:pPr>
            <w:r>
              <w:rPr>
                <w:rFonts w:ascii="Arial" w:cs="Arial" w:eastAsia="Arial" w:hAnsi="Arial"/>
                <w:sz w:val="18"/>
                <w:szCs w:val="18"/>
                <w:color w:val="auto"/>
              </w:rPr>
              <w:t>5.</w:t>
            </w:r>
          </w:p>
        </w:tc>
        <w:tc>
          <w:tcPr>
            <w:tcW w:w="282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Sole Voting Power</w:t>
            </w:r>
          </w:p>
        </w:tc>
        <w:tc>
          <w:tcPr>
            <w:tcW w:w="6380" w:type="dxa"/>
            <w:vAlign w:val="bottom"/>
            <w:tcBorders>
              <w:top w:val="single" w:sz="8" w:color="auto"/>
            </w:tcBorders>
          </w:tcPr>
          <w:p>
            <w:pPr>
              <w:ind w:left="68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102"/>
        </w:trPr>
        <w:tc>
          <w:tcPr>
            <w:tcW w:w="150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34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820" w:type="dxa"/>
            <w:vAlign w:val="bottom"/>
            <w:tcBorders>
              <w:bottom w:val="single" w:sz="8" w:color="auto"/>
            </w:tcBorders>
          </w:tcPr>
          <w:p>
            <w:pPr>
              <w:spacing w:after="0"/>
              <w:rPr>
                <w:sz w:val="8"/>
                <w:szCs w:val="8"/>
                <w:color w:val="auto"/>
              </w:rPr>
            </w:pPr>
          </w:p>
        </w:tc>
        <w:tc>
          <w:tcPr>
            <w:tcW w:w="63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1500" w:type="dxa"/>
            <w:vAlign w:val="bottom"/>
            <w:vMerge w:val="continue"/>
          </w:tcPr>
          <w:p>
            <w:pPr>
              <w:spacing w:after="0"/>
              <w:rPr>
                <w:sz w:val="8"/>
                <w:szCs w:val="8"/>
                <w:color w:val="auto"/>
              </w:rPr>
            </w:pPr>
          </w:p>
        </w:tc>
        <w:tc>
          <w:tcPr>
            <w:tcW w:w="720" w:type="dxa"/>
            <w:vAlign w:val="bottom"/>
            <w:gridSpan w:val="2"/>
            <w:vMerge w:val="restart"/>
          </w:tcPr>
          <w:p>
            <w:pPr>
              <w:jc w:val="right"/>
              <w:ind w:right="175"/>
              <w:spacing w:after="0"/>
              <w:rPr>
                <w:sz w:val="20"/>
                <w:szCs w:val="20"/>
                <w:color w:val="auto"/>
              </w:rPr>
            </w:pPr>
            <w:r>
              <w:rPr>
                <w:rFonts w:ascii="Arial" w:cs="Arial" w:eastAsia="Arial" w:hAnsi="Arial"/>
                <w:sz w:val="18"/>
                <w:szCs w:val="18"/>
                <w:color w:val="auto"/>
              </w:rPr>
              <w:t>6.</w:t>
            </w:r>
          </w:p>
        </w:tc>
        <w:tc>
          <w:tcPr>
            <w:tcW w:w="2820" w:type="dxa"/>
            <w:vAlign w:val="bottom"/>
            <w:vMerge w:val="restart"/>
          </w:tcPr>
          <w:p>
            <w:pPr>
              <w:ind w:left="280"/>
              <w:spacing w:after="0"/>
              <w:rPr>
                <w:sz w:val="20"/>
                <w:szCs w:val="20"/>
                <w:color w:val="auto"/>
              </w:rPr>
            </w:pPr>
            <w:r>
              <w:rPr>
                <w:rFonts w:ascii="Arial" w:cs="Arial" w:eastAsia="Arial" w:hAnsi="Arial"/>
                <w:sz w:val="18"/>
                <w:szCs w:val="18"/>
                <w:color w:val="auto"/>
              </w:rPr>
              <w:t>Shared Voting Power</w:t>
            </w:r>
          </w:p>
        </w:tc>
        <w:tc>
          <w:tcPr>
            <w:tcW w:w="6380" w:type="dxa"/>
            <w:vAlign w:val="bottom"/>
            <w:vMerge w:val="restart"/>
          </w:tcPr>
          <w:p>
            <w:pPr>
              <w:ind w:left="680"/>
              <w:spacing w:after="0"/>
              <w:rPr>
                <w:sz w:val="20"/>
                <w:szCs w:val="20"/>
                <w:color w:val="auto"/>
              </w:rPr>
            </w:pPr>
            <w:r>
              <w:rPr>
                <w:rFonts w:ascii="Arial" w:cs="Arial" w:eastAsia="Arial" w:hAnsi="Arial"/>
                <w:sz w:val="18"/>
                <w:szCs w:val="18"/>
                <w:color w:val="auto"/>
              </w:rPr>
              <w:t>4,349,247</w:t>
            </w:r>
          </w:p>
        </w:tc>
        <w:tc>
          <w:tcPr>
            <w:tcW w:w="0" w:type="dxa"/>
            <w:vAlign w:val="bottom"/>
          </w:tcPr>
          <w:p>
            <w:pPr>
              <w:spacing w:after="0"/>
              <w:rPr>
                <w:sz w:val="1"/>
                <w:szCs w:val="1"/>
                <w:color w:val="auto"/>
              </w:rPr>
            </w:pPr>
          </w:p>
        </w:tc>
      </w:tr>
      <w:tr>
        <w:trPr>
          <w:trHeight w:val="137"/>
        </w:trPr>
        <w:tc>
          <w:tcPr>
            <w:tcW w:w="1500" w:type="dxa"/>
            <w:vAlign w:val="bottom"/>
            <w:vMerge w:val="restart"/>
          </w:tcPr>
          <w:p>
            <w:pPr>
              <w:spacing w:after="0"/>
              <w:rPr>
                <w:sz w:val="20"/>
                <w:szCs w:val="20"/>
                <w:color w:val="auto"/>
              </w:rPr>
            </w:pPr>
            <w:r>
              <w:rPr>
                <w:rFonts w:ascii="Arial" w:cs="Arial" w:eastAsia="Arial" w:hAnsi="Arial"/>
                <w:sz w:val="18"/>
                <w:szCs w:val="18"/>
                <w:color w:val="auto"/>
              </w:rPr>
              <w:t>Beneficially</w:t>
            </w:r>
          </w:p>
        </w:tc>
        <w:tc>
          <w:tcPr>
            <w:tcW w:w="720" w:type="dxa"/>
            <w:vAlign w:val="bottom"/>
            <w:gridSpan w:val="2"/>
            <w:vMerge w:val="continue"/>
          </w:tcPr>
          <w:p>
            <w:pPr>
              <w:spacing w:after="0"/>
              <w:rPr>
                <w:sz w:val="11"/>
                <w:szCs w:val="11"/>
                <w:color w:val="auto"/>
              </w:rPr>
            </w:pPr>
          </w:p>
        </w:tc>
        <w:tc>
          <w:tcPr>
            <w:tcW w:w="2820" w:type="dxa"/>
            <w:vAlign w:val="bottom"/>
            <w:vMerge w:val="continue"/>
          </w:tcPr>
          <w:p>
            <w:pPr>
              <w:spacing w:after="0"/>
              <w:rPr>
                <w:sz w:val="11"/>
                <w:szCs w:val="11"/>
                <w:color w:val="auto"/>
              </w:rPr>
            </w:pPr>
          </w:p>
        </w:tc>
        <w:tc>
          <w:tcPr>
            <w:tcW w:w="63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150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2820" w:type="dxa"/>
            <w:vAlign w:val="bottom"/>
            <w:tcBorders>
              <w:bottom w:val="single" w:sz="8" w:color="auto"/>
            </w:tcBorders>
          </w:tcPr>
          <w:p>
            <w:pPr>
              <w:spacing w:after="0"/>
              <w:rPr>
                <w:sz w:val="7"/>
                <w:szCs w:val="7"/>
                <w:color w:val="auto"/>
              </w:rPr>
            </w:pPr>
          </w:p>
        </w:tc>
        <w:tc>
          <w:tcPr>
            <w:tcW w:w="63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88"/>
        </w:trPr>
        <w:tc>
          <w:tcPr>
            <w:tcW w:w="1500" w:type="dxa"/>
            <w:vAlign w:val="bottom"/>
          </w:tcPr>
          <w:p>
            <w:pPr>
              <w:spacing w:after="0" w:line="189" w:lineRule="exact"/>
              <w:rPr>
                <w:sz w:val="20"/>
                <w:szCs w:val="20"/>
                <w:color w:val="auto"/>
              </w:rPr>
            </w:pPr>
            <w:r>
              <w:rPr>
                <w:rFonts w:ascii="Arial" w:cs="Arial" w:eastAsia="Arial" w:hAnsi="Arial"/>
                <w:sz w:val="18"/>
                <w:szCs w:val="18"/>
                <w:color w:val="auto"/>
              </w:rPr>
              <w:t>Owned by Each</w:t>
            </w:r>
          </w:p>
        </w:tc>
        <w:tc>
          <w:tcPr>
            <w:tcW w:w="340" w:type="dxa"/>
            <w:vAlign w:val="bottom"/>
          </w:tcPr>
          <w:p>
            <w:pPr>
              <w:spacing w:after="0"/>
              <w:rPr>
                <w:sz w:val="16"/>
                <w:szCs w:val="16"/>
                <w:color w:val="auto"/>
              </w:rPr>
            </w:pPr>
          </w:p>
        </w:tc>
        <w:tc>
          <w:tcPr>
            <w:tcW w:w="380" w:type="dxa"/>
            <w:vAlign w:val="bottom"/>
          </w:tcPr>
          <w:p>
            <w:pPr>
              <w:jc w:val="right"/>
              <w:ind w:right="175"/>
              <w:spacing w:after="0" w:line="189" w:lineRule="exact"/>
              <w:rPr>
                <w:sz w:val="20"/>
                <w:szCs w:val="20"/>
                <w:color w:val="auto"/>
              </w:rPr>
            </w:pPr>
            <w:r>
              <w:rPr>
                <w:rFonts w:ascii="Arial" w:cs="Arial" w:eastAsia="Arial" w:hAnsi="Arial"/>
                <w:sz w:val="17"/>
                <w:szCs w:val="17"/>
                <w:color w:val="auto"/>
                <w:w w:val="70"/>
              </w:rPr>
              <w:t>7.</w:t>
            </w:r>
          </w:p>
        </w:tc>
        <w:tc>
          <w:tcPr>
            <w:tcW w:w="2820" w:type="dxa"/>
            <w:vAlign w:val="bottom"/>
          </w:tcPr>
          <w:p>
            <w:pPr>
              <w:ind w:left="280"/>
              <w:spacing w:after="0" w:line="189" w:lineRule="exact"/>
              <w:rPr>
                <w:sz w:val="20"/>
                <w:szCs w:val="20"/>
                <w:color w:val="auto"/>
              </w:rPr>
            </w:pPr>
            <w:r>
              <w:rPr>
                <w:rFonts w:ascii="Arial" w:cs="Arial" w:eastAsia="Arial" w:hAnsi="Arial"/>
                <w:sz w:val="18"/>
                <w:szCs w:val="18"/>
                <w:color w:val="auto"/>
              </w:rPr>
              <w:t>Sole Dispositive Power</w:t>
            </w:r>
          </w:p>
        </w:tc>
        <w:tc>
          <w:tcPr>
            <w:tcW w:w="6380" w:type="dxa"/>
            <w:vAlign w:val="bottom"/>
          </w:tcPr>
          <w:p>
            <w:pPr>
              <w:ind w:left="680"/>
              <w:spacing w:after="0" w:line="189" w:lineRule="exact"/>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116"/>
        </w:trPr>
        <w:tc>
          <w:tcPr>
            <w:tcW w:w="150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340" w:type="dxa"/>
            <w:vAlign w:val="bottom"/>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2820" w:type="dxa"/>
            <w:vAlign w:val="bottom"/>
            <w:tcBorders>
              <w:bottom w:val="single" w:sz="8" w:color="auto"/>
            </w:tcBorders>
          </w:tcPr>
          <w:p>
            <w:pPr>
              <w:spacing w:after="0"/>
              <w:rPr>
                <w:sz w:val="10"/>
                <w:szCs w:val="10"/>
                <w:color w:val="auto"/>
              </w:rPr>
            </w:pPr>
          </w:p>
        </w:tc>
        <w:tc>
          <w:tcPr>
            <w:tcW w:w="63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500" w:type="dxa"/>
            <w:vAlign w:val="bottom"/>
            <w:vMerge w:val="continue"/>
          </w:tcPr>
          <w:p>
            <w:pPr>
              <w:spacing w:after="0"/>
              <w:rPr>
                <w:sz w:val="6"/>
                <w:szCs w:val="6"/>
                <w:color w:val="auto"/>
              </w:rPr>
            </w:pPr>
          </w:p>
        </w:tc>
        <w:tc>
          <w:tcPr>
            <w:tcW w:w="720" w:type="dxa"/>
            <w:vAlign w:val="bottom"/>
            <w:gridSpan w:val="2"/>
            <w:vMerge w:val="restart"/>
          </w:tcPr>
          <w:p>
            <w:pPr>
              <w:jc w:val="right"/>
              <w:ind w:right="175"/>
              <w:spacing w:after="0"/>
              <w:rPr>
                <w:sz w:val="20"/>
                <w:szCs w:val="20"/>
                <w:color w:val="auto"/>
              </w:rPr>
            </w:pPr>
            <w:r>
              <w:rPr>
                <w:rFonts w:ascii="Arial" w:cs="Arial" w:eastAsia="Arial" w:hAnsi="Arial"/>
                <w:sz w:val="18"/>
                <w:szCs w:val="18"/>
                <w:color w:val="auto"/>
              </w:rPr>
              <w:t>8.</w:t>
            </w:r>
          </w:p>
        </w:tc>
        <w:tc>
          <w:tcPr>
            <w:tcW w:w="2820" w:type="dxa"/>
            <w:vAlign w:val="bottom"/>
            <w:vMerge w:val="restart"/>
          </w:tcPr>
          <w:p>
            <w:pPr>
              <w:ind w:left="280"/>
              <w:spacing w:after="0"/>
              <w:rPr>
                <w:sz w:val="20"/>
                <w:szCs w:val="20"/>
                <w:color w:val="auto"/>
              </w:rPr>
            </w:pPr>
            <w:r>
              <w:rPr>
                <w:rFonts w:ascii="Arial" w:cs="Arial" w:eastAsia="Arial" w:hAnsi="Arial"/>
                <w:sz w:val="18"/>
                <w:szCs w:val="18"/>
                <w:color w:val="auto"/>
              </w:rPr>
              <w:t>Shared Dispositive Power</w:t>
            </w:r>
          </w:p>
        </w:tc>
        <w:tc>
          <w:tcPr>
            <w:tcW w:w="6380" w:type="dxa"/>
            <w:vAlign w:val="bottom"/>
            <w:vMerge w:val="restart"/>
          </w:tcPr>
          <w:p>
            <w:pPr>
              <w:ind w:left="680"/>
              <w:spacing w:after="0"/>
              <w:rPr>
                <w:sz w:val="20"/>
                <w:szCs w:val="20"/>
                <w:color w:val="auto"/>
              </w:rPr>
            </w:pPr>
            <w:r>
              <w:rPr>
                <w:rFonts w:ascii="Arial" w:cs="Arial" w:eastAsia="Arial" w:hAnsi="Arial"/>
                <w:sz w:val="18"/>
                <w:szCs w:val="18"/>
                <w:color w:val="auto"/>
              </w:rPr>
              <w:t>4,349,247</w:t>
            </w:r>
          </w:p>
        </w:tc>
        <w:tc>
          <w:tcPr>
            <w:tcW w:w="0" w:type="dxa"/>
            <w:vAlign w:val="bottom"/>
          </w:tcPr>
          <w:p>
            <w:pPr>
              <w:spacing w:after="0"/>
              <w:rPr>
                <w:sz w:val="1"/>
                <w:szCs w:val="1"/>
                <w:color w:val="auto"/>
              </w:rPr>
            </w:pPr>
          </w:p>
        </w:tc>
      </w:tr>
      <w:tr>
        <w:trPr>
          <w:trHeight w:val="150"/>
        </w:trPr>
        <w:tc>
          <w:tcPr>
            <w:tcW w:w="1500" w:type="dxa"/>
            <w:vAlign w:val="bottom"/>
            <w:vMerge w:val="restart"/>
          </w:tcPr>
          <w:p>
            <w:pPr>
              <w:spacing w:after="0"/>
              <w:rPr>
                <w:sz w:val="20"/>
                <w:szCs w:val="20"/>
                <w:color w:val="auto"/>
              </w:rPr>
            </w:pPr>
            <w:r>
              <w:rPr>
                <w:rFonts w:ascii="Arial" w:cs="Arial" w:eastAsia="Arial" w:hAnsi="Arial"/>
                <w:sz w:val="18"/>
                <w:szCs w:val="18"/>
                <w:color w:val="auto"/>
              </w:rPr>
              <w:t>Person With</w:t>
            </w:r>
          </w:p>
        </w:tc>
        <w:tc>
          <w:tcPr>
            <w:tcW w:w="720" w:type="dxa"/>
            <w:vAlign w:val="bottom"/>
            <w:gridSpan w:val="2"/>
            <w:vMerge w:val="continue"/>
          </w:tcPr>
          <w:p>
            <w:pPr>
              <w:spacing w:after="0"/>
              <w:rPr>
                <w:sz w:val="13"/>
                <w:szCs w:val="13"/>
                <w:color w:val="auto"/>
              </w:rPr>
            </w:pPr>
          </w:p>
        </w:tc>
        <w:tc>
          <w:tcPr>
            <w:tcW w:w="2820" w:type="dxa"/>
            <w:vAlign w:val="bottom"/>
            <w:vMerge w:val="continue"/>
          </w:tcPr>
          <w:p>
            <w:pPr>
              <w:spacing w:after="0"/>
              <w:rPr>
                <w:sz w:val="13"/>
                <w:szCs w:val="13"/>
                <w:color w:val="auto"/>
              </w:rPr>
            </w:pPr>
          </w:p>
        </w:tc>
        <w:tc>
          <w:tcPr>
            <w:tcW w:w="63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0"/>
        </w:trPr>
        <w:tc>
          <w:tcPr>
            <w:tcW w:w="150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380" w:type="dxa"/>
            <w:vAlign w:val="bottom"/>
          </w:tcPr>
          <w:p>
            <w:pPr>
              <w:spacing w:after="0"/>
              <w:rPr>
                <w:sz w:val="6"/>
                <w:szCs w:val="6"/>
                <w:color w:val="auto"/>
              </w:rPr>
            </w:pPr>
          </w:p>
        </w:tc>
        <w:tc>
          <w:tcPr>
            <w:tcW w:w="2820" w:type="dxa"/>
            <w:vAlign w:val="bottom"/>
          </w:tcPr>
          <w:p>
            <w:pPr>
              <w:spacing w:after="0"/>
              <w:rPr>
                <w:sz w:val="6"/>
                <w:szCs w:val="6"/>
                <w:color w:val="auto"/>
              </w:rPr>
            </w:pPr>
          </w:p>
        </w:tc>
        <w:tc>
          <w:tcPr>
            <w:tcW w:w="63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840" w:right="6300" w:hanging="832"/>
        <w:spacing w:after="0" w:line="277" w:lineRule="auto"/>
        <w:tabs>
          <w:tab w:leader="none" w:pos="8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197" w:lineRule="exact"/>
        <w:rPr>
          <w:rFonts w:ascii="Arial" w:cs="Arial" w:eastAsia="Arial" w:hAnsi="Arial"/>
          <w:sz w:val="18"/>
          <w:szCs w:val="18"/>
          <w:color w:val="auto"/>
        </w:rPr>
      </w:pPr>
    </w:p>
    <w:p>
      <w:pPr>
        <w:ind w:left="840"/>
        <w:spacing w:after="0"/>
        <w:rPr>
          <w:rFonts w:ascii="Arial" w:cs="Arial" w:eastAsia="Arial" w:hAnsi="Arial"/>
          <w:sz w:val="18"/>
          <w:szCs w:val="18"/>
          <w:color w:val="auto"/>
        </w:rPr>
      </w:pPr>
      <w:r>
        <w:rPr>
          <w:rFonts w:ascii="Arial" w:cs="Arial" w:eastAsia="Arial" w:hAnsi="Arial"/>
          <w:sz w:val="18"/>
          <w:szCs w:val="18"/>
          <w:color w:val="auto"/>
        </w:rPr>
        <w:t>4,349,247</w:t>
      </w:r>
    </w:p>
    <w:p>
      <w:pPr>
        <w:spacing w:after="0" w:line="36" w:lineRule="exact"/>
        <w:rPr>
          <w:rFonts w:ascii="Arial" w:cs="Arial" w:eastAsia="Arial" w:hAnsi="Arial"/>
          <w:sz w:val="18"/>
          <w:szCs w:val="18"/>
          <w:color w:val="auto"/>
        </w:rPr>
      </w:pPr>
    </w:p>
    <w:p>
      <w:pPr>
        <w:ind w:left="840" w:right="4320" w:hanging="832"/>
        <w:spacing w:after="0" w:line="407" w:lineRule="auto"/>
        <w:tabs>
          <w:tab w:leader="none" w:pos="8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 [ ]</w:t>
      </w:r>
    </w:p>
    <w:p>
      <w:pPr>
        <w:ind w:left="840" w:hanging="832"/>
        <w:spacing w:after="0"/>
        <w:tabs>
          <w:tab w:leader="none" w:pos="84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52" w:lineRule="exact"/>
        <w:rPr>
          <w:rFonts w:ascii="Arial" w:cs="Arial" w:eastAsia="Arial" w:hAnsi="Arial"/>
          <w:sz w:val="18"/>
          <w:szCs w:val="18"/>
          <w:color w:val="auto"/>
        </w:rPr>
      </w:pPr>
    </w:p>
    <w:p>
      <w:pPr>
        <w:ind w:left="840"/>
        <w:spacing w:after="0"/>
        <w:rPr>
          <w:rFonts w:ascii="Arial" w:cs="Arial" w:eastAsia="Arial" w:hAnsi="Arial"/>
          <w:sz w:val="18"/>
          <w:szCs w:val="18"/>
          <w:color w:val="auto"/>
        </w:rPr>
      </w:pPr>
      <w:r>
        <w:rPr>
          <w:rFonts w:ascii="Arial" w:cs="Arial" w:eastAsia="Arial" w:hAnsi="Arial"/>
          <w:sz w:val="18"/>
          <w:szCs w:val="18"/>
          <w:color w:val="auto"/>
        </w:rPr>
        <w:t>2.14% based on 203,615,917 shares outstanding as of November 24, 2008.</w:t>
      </w:r>
    </w:p>
    <w:p>
      <w:pPr>
        <w:spacing w:after="0" w:line="36" w:lineRule="exact"/>
        <w:rPr>
          <w:rFonts w:ascii="Arial" w:cs="Arial" w:eastAsia="Arial" w:hAnsi="Arial"/>
          <w:sz w:val="18"/>
          <w:szCs w:val="18"/>
          <w:color w:val="auto"/>
        </w:rPr>
      </w:pPr>
    </w:p>
    <w:p>
      <w:pPr>
        <w:ind w:left="840" w:hanging="832"/>
        <w:spacing w:after="0"/>
        <w:tabs>
          <w:tab w:leader="none" w:pos="8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52" w:lineRule="exact"/>
        <w:rPr>
          <w:rFonts w:ascii="Arial" w:cs="Arial" w:eastAsia="Arial" w:hAnsi="Arial"/>
          <w:sz w:val="18"/>
          <w:szCs w:val="18"/>
          <w:color w:val="auto"/>
        </w:rPr>
      </w:pPr>
    </w:p>
    <w:p>
      <w:pPr>
        <w:ind w:left="840"/>
        <w:spacing w:after="0"/>
        <w:rPr>
          <w:rFonts w:ascii="Arial" w:cs="Arial" w:eastAsia="Arial" w:hAnsi="Arial"/>
          <w:sz w:val="18"/>
          <w:szCs w:val="18"/>
          <w:color w:val="auto"/>
        </w:rPr>
      </w:pPr>
      <w:r>
        <w:rPr>
          <w:rFonts w:ascii="Arial" w:cs="Arial" w:eastAsia="Arial" w:hAnsi="Arial"/>
          <w:sz w:val="18"/>
          <w:szCs w:val="18"/>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-1322070</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-876300</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-430530</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716280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04"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color w:val="auto"/>
        </w:rPr>
        <w:t>Page 4 of 10 Pages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Name of Issuer:</w:t>
      </w:r>
    </w:p>
    <w:p>
      <w:pPr>
        <w:spacing w:after="0" w:line="22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Amdocs Limited (the “Issuer”)</w:t>
      </w:r>
    </w:p>
    <w:p>
      <w:pPr>
        <w:spacing w:after="0" w:line="22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Address of Issuer’s Principal Executive Offices:</w:t>
      </w:r>
    </w:p>
    <w:p>
      <w:pPr>
        <w:spacing w:after="0" w:line="22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Suite 5, Tower Hill House, Le Bordage, St. Peter Port, Island of Guernsey, GY1 3QT Channel Islands</w:t>
      </w:r>
    </w:p>
    <w:p>
      <w:pPr>
        <w:spacing w:after="0" w:line="22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2(a).</w:t>
      </w:r>
      <w:r>
        <w:rPr>
          <w:sz w:val="20"/>
          <w:szCs w:val="20"/>
          <w:color w:val="auto"/>
        </w:rPr>
        <w:tab/>
      </w:r>
      <w:r>
        <w:rPr>
          <w:rFonts w:ascii="Arial" w:cs="Arial" w:eastAsia="Arial" w:hAnsi="Arial"/>
          <w:sz w:val="16"/>
          <w:szCs w:val="16"/>
          <w:b w:val="1"/>
          <w:bCs w:val="1"/>
          <w:color w:val="auto"/>
        </w:rPr>
        <w:t>Name of Person Filing</w:t>
      </w:r>
    </w:p>
    <w:p>
      <w:pPr>
        <w:spacing w:after="0" w:line="262"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This Statement is filed on behalf of each of the following persons (collectively, the “Reporting Persons”):</w:t>
      </w:r>
    </w:p>
    <w:p>
      <w:pPr>
        <w:spacing w:after="0" w:line="246" w:lineRule="exact"/>
        <w:rPr>
          <w:sz w:val="20"/>
          <w:szCs w:val="20"/>
          <w:color w:val="auto"/>
        </w:rPr>
      </w:pPr>
    </w:p>
    <w:p>
      <w:pPr>
        <w:ind w:left="1360" w:hanging="204"/>
        <w:spacing w:after="0"/>
        <w:tabs>
          <w:tab w:leader="none" w:pos="1360" w:val="left"/>
        </w:tabs>
        <w:numPr>
          <w:ilvl w:val="0"/>
          <w:numId w:val="7"/>
        </w:numPr>
        <w:rPr>
          <w:rFonts w:ascii="Arial" w:cs="Arial" w:eastAsia="Arial" w:hAnsi="Arial"/>
          <w:sz w:val="18"/>
          <w:szCs w:val="18"/>
          <w:color w:val="auto"/>
        </w:rPr>
      </w:pPr>
      <w:r>
        <w:rPr>
          <w:rFonts w:ascii="Arial" w:cs="Arial" w:eastAsia="Arial" w:hAnsi="Arial"/>
          <w:sz w:val="18"/>
          <w:szCs w:val="18"/>
          <w:color w:val="auto"/>
        </w:rPr>
        <w:t>Glenview Capital Management, LLC (“Glenview Capital Management”);</w:t>
      </w:r>
    </w:p>
    <w:p>
      <w:pPr>
        <w:spacing w:after="0" w:line="225" w:lineRule="exact"/>
        <w:rPr>
          <w:rFonts w:ascii="Arial" w:cs="Arial" w:eastAsia="Arial" w:hAnsi="Arial"/>
          <w:sz w:val="18"/>
          <w:szCs w:val="18"/>
          <w:color w:val="auto"/>
        </w:rPr>
      </w:pPr>
    </w:p>
    <w:p>
      <w:pPr>
        <w:ind w:left="1360" w:hanging="204"/>
        <w:spacing w:after="0"/>
        <w:tabs>
          <w:tab w:leader="none" w:pos="13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Lawrence M. Robbins (“Mr. Robbins”).</w:t>
      </w:r>
    </w:p>
    <w:p>
      <w:pPr>
        <w:spacing w:after="0" w:line="252" w:lineRule="exact"/>
        <w:rPr>
          <w:sz w:val="20"/>
          <w:szCs w:val="20"/>
          <w:color w:val="auto"/>
        </w:rPr>
      </w:pPr>
    </w:p>
    <w:p>
      <w:pPr>
        <w:jc w:val="both"/>
        <w:ind w:firstLine="1297"/>
        <w:spacing w:after="0" w:line="291" w:lineRule="auto"/>
        <w:rPr>
          <w:sz w:val="20"/>
          <w:szCs w:val="20"/>
          <w:color w:val="auto"/>
        </w:rPr>
      </w:pPr>
      <w:r>
        <w:rPr>
          <w:rFonts w:ascii="Arial" w:cs="Arial" w:eastAsia="Arial" w:hAnsi="Arial"/>
          <w:sz w:val="16"/>
          <w:szCs w:val="16"/>
          <w:color w:val="auto"/>
        </w:rPr>
        <w:t>This Statement relates to Shares (as defined herein) held for the accounts of Glenview Capital Partners, L.P., a Delaware limited partnership (“Glenview Capital Partners”), Glenview Capital Master Fund, Ltd., a Cayman Islands exempted company (“Glenview Capital Master Fund”), Glenview Institutional Partners, L.P., a Delaware limited partnership (“Glenview Institutional Partners”), Glenview Offshore Opportunity Master Fund, Ltd., a Cayman Islands exempted company (“Glenview Offshore Opportunity Master Fund”), Glenview Capital Opportunity Fund, L.P., a Delaware limited partnership (“Glenview Capital Opportunity Fund”), GCM Little Arbor Master Fund, Ltd., a Cayman Islands exempted company (“GCM Little Arbor Master Fund”); GCM Little Arbor Institutional Partners, L.P., a Delaware limited partnership (“GCM Little Arbor Institutional Partners”), GCM Little Arbor Partners, L.P., a Delaware limited partnership (“GCM Little Arbor Partners”) and GCM Opportunity Fund, L.P., a Delaware limited partnership (“GCM Opportunity Fund”).</w:t>
      </w:r>
    </w:p>
    <w:p>
      <w:pPr>
        <w:spacing w:after="0" w:line="194" w:lineRule="exact"/>
        <w:rPr>
          <w:sz w:val="20"/>
          <w:szCs w:val="20"/>
          <w:color w:val="auto"/>
        </w:rPr>
      </w:pPr>
    </w:p>
    <w:p>
      <w:pPr>
        <w:jc w:val="both"/>
        <w:ind w:firstLine="1297"/>
        <w:spacing w:after="0" w:line="302" w:lineRule="auto"/>
        <w:rPr>
          <w:sz w:val="20"/>
          <w:szCs w:val="20"/>
          <w:color w:val="auto"/>
        </w:rPr>
      </w:pPr>
      <w:r>
        <w:rPr>
          <w:rFonts w:ascii="Arial" w:cs="Arial" w:eastAsia="Arial" w:hAnsi="Arial"/>
          <w:sz w:val="16"/>
          <w:szCs w:val="16"/>
          <w:color w:val="auto"/>
        </w:rPr>
        <w:t>Glenview Capital Management serves as investment manager to each of Glenview Capital Partners, Glenview Capital Master Fund, Glenview Institutional Partners, Glenview Offshore Opportunity Master Fund, Glenview Capital Opportunity Fund, GCM Little Arbor Master Fund, GCM Little Arbor Institutional Partners, GCM Little Arbor Partners and GCM Opportunity Fund. In such capacity, Glenview Capital Management may be deemed to have voting and dispositive power over the Shares held for such accounts. Mr. Robbins is the Chief Executive Officer of Glenview Capital Management.</w:t>
      </w:r>
    </w:p>
    <w:p>
      <w:pPr>
        <w:spacing w:after="0" w:line="177"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2(b).</w:t>
      </w:r>
      <w:r>
        <w:rPr>
          <w:sz w:val="20"/>
          <w:szCs w:val="20"/>
          <w:color w:val="auto"/>
        </w:rPr>
        <w:tab/>
      </w:r>
      <w:r>
        <w:rPr>
          <w:rFonts w:ascii="Arial" w:cs="Arial" w:eastAsia="Arial" w:hAnsi="Arial"/>
          <w:sz w:val="15"/>
          <w:szCs w:val="15"/>
          <w:b w:val="1"/>
          <w:bCs w:val="1"/>
          <w:color w:val="auto"/>
        </w:rPr>
        <w:t>Address of Principal Business Office or, if None, Residence:</w:t>
      </w:r>
    </w:p>
    <w:p>
      <w:pPr>
        <w:spacing w:after="0" w:line="256" w:lineRule="exact"/>
        <w:rPr>
          <w:sz w:val="20"/>
          <w:szCs w:val="20"/>
          <w:color w:val="auto"/>
        </w:rPr>
      </w:pPr>
    </w:p>
    <w:p>
      <w:pPr>
        <w:jc w:val="both"/>
        <w:ind w:firstLine="1297"/>
        <w:spacing w:after="0" w:line="223" w:lineRule="auto"/>
        <w:rPr>
          <w:sz w:val="20"/>
          <w:szCs w:val="20"/>
          <w:color w:val="auto"/>
        </w:rPr>
      </w:pPr>
      <w:r>
        <w:rPr>
          <w:rFonts w:ascii="Arial" w:cs="Arial" w:eastAsia="Arial" w:hAnsi="Arial"/>
          <w:sz w:val="18"/>
          <w:szCs w:val="18"/>
          <w:color w:val="auto"/>
        </w:rPr>
        <w:t>The address of the principal business office of each of Glenview Capital Management and Mr. Robbins is 767 Fifth Avenue, 44</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Floor, New York, New York 10153.</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2(c).</w:t>
      </w:r>
      <w:r>
        <w:rPr>
          <w:sz w:val="20"/>
          <w:szCs w:val="20"/>
          <w:color w:val="auto"/>
        </w:rPr>
        <w:tab/>
      </w:r>
      <w:r>
        <w:rPr>
          <w:rFonts w:ascii="Arial" w:cs="Arial" w:eastAsia="Arial" w:hAnsi="Arial"/>
          <w:sz w:val="16"/>
          <w:szCs w:val="16"/>
          <w:b w:val="1"/>
          <w:bCs w:val="1"/>
          <w:color w:val="auto"/>
        </w:rPr>
        <w:t>Citizenship:</w:t>
      </w:r>
    </w:p>
    <w:p>
      <w:pPr>
        <w:spacing w:after="0" w:line="229" w:lineRule="exact"/>
        <w:rPr>
          <w:sz w:val="20"/>
          <w:szCs w:val="20"/>
          <w:color w:val="auto"/>
        </w:rPr>
      </w:pPr>
    </w:p>
    <w:p>
      <w:pPr>
        <w:ind w:left="1360" w:hanging="204"/>
        <w:spacing w:after="0"/>
        <w:tabs>
          <w:tab w:leader="none" w:pos="1360" w:val="left"/>
        </w:tabs>
        <w:numPr>
          <w:ilvl w:val="0"/>
          <w:numId w:val="8"/>
        </w:numPr>
        <w:rPr>
          <w:rFonts w:ascii="Arial" w:cs="Arial" w:eastAsia="Arial" w:hAnsi="Arial"/>
          <w:sz w:val="18"/>
          <w:szCs w:val="18"/>
          <w:color w:val="auto"/>
        </w:rPr>
      </w:pPr>
      <w:r>
        <w:rPr>
          <w:rFonts w:ascii="Arial" w:cs="Arial" w:eastAsia="Arial" w:hAnsi="Arial"/>
          <w:sz w:val="18"/>
          <w:szCs w:val="18"/>
          <w:color w:val="auto"/>
        </w:rPr>
        <w:t>Glenview Capital Management is a Delaware limited liability company;</w:t>
      </w:r>
    </w:p>
    <w:p>
      <w:pPr>
        <w:spacing w:after="0" w:line="225" w:lineRule="exact"/>
        <w:rPr>
          <w:rFonts w:ascii="Arial" w:cs="Arial" w:eastAsia="Arial" w:hAnsi="Arial"/>
          <w:sz w:val="18"/>
          <w:szCs w:val="18"/>
          <w:color w:val="auto"/>
        </w:rPr>
      </w:pPr>
    </w:p>
    <w:p>
      <w:pPr>
        <w:ind w:left="1360" w:hanging="204"/>
        <w:spacing w:after="0"/>
        <w:tabs>
          <w:tab w:leader="none" w:pos="13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Mr. Robbins is a citizen of the United States of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527685</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04"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color w:val="auto"/>
        </w:rPr>
        <w:t>Page 5 of 10 Pages</w:t>
      </w:r>
    </w:p>
    <w:p>
      <w:pPr>
        <w:sectPr>
          <w:pgSz w:w="11900" w:h="16838" w:orient="portrait"/>
          <w:cols w:equalWidth="0" w:num="1">
            <w:col w:w="11420"/>
          </w:cols>
          <w:pgMar w:left="240" w:top="60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Title of Class of Securities:</w:t>
      </w:r>
    </w:p>
    <w:p>
      <w:pPr>
        <w:spacing w:after="0" w:line="211" w:lineRule="exact"/>
        <w:rPr>
          <w:sz w:val="20"/>
          <w:szCs w:val="20"/>
          <w:color w:val="auto"/>
        </w:rPr>
      </w:pPr>
    </w:p>
    <w:p>
      <w:pPr>
        <w:sectPr>
          <w:pgSz w:w="11900" w:h="16838" w:orient="portrait"/>
          <w:cols w:equalWidth="0" w:num="2">
            <w:col w:w="760" w:space="400"/>
            <w:col w:w="10260"/>
          </w:cols>
          <w:pgMar w:left="240" w:top="604" w:right="239" w:bottom="1440" w:gutter="0" w:footer="0" w:header="0"/>
          <w:type w:val="continuous"/>
        </w:sectPr>
      </w:pPr>
    </w:p>
    <w:p>
      <w:pPr>
        <w:spacing w:after="0" w:line="41"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Ordinary Shares (the “Shares”)</w:t>
      </w:r>
    </w:p>
    <w:p>
      <w:pPr>
        <w:sectPr>
          <w:pgSz w:w="11900" w:h="16838" w:orient="portrait"/>
          <w:cols w:equalWidth="0" w:num="1">
            <w:col w:w="11420"/>
          </w:cols>
          <w:pgMar w:left="240" w:top="604" w:right="239" w:bottom="1440" w:gutter="0" w:footer="0" w:header="0"/>
          <w:type w:val="continuous"/>
        </w:sectPr>
      </w:pP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2(e).</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CUSIP Number:</w:t>
      </w:r>
    </w:p>
    <w:p>
      <w:pPr>
        <w:spacing w:after="0" w:line="200" w:lineRule="exact"/>
        <w:rPr>
          <w:sz w:val="20"/>
          <w:szCs w:val="20"/>
          <w:color w:val="auto"/>
        </w:rPr>
      </w:pPr>
    </w:p>
    <w:p>
      <w:pPr>
        <w:sectPr>
          <w:pgSz w:w="11900" w:h="16838" w:orient="portrait"/>
          <w:cols w:equalWidth="0" w:num="2">
            <w:col w:w="740" w:space="420"/>
            <w:col w:w="10260"/>
          </w:cols>
          <w:pgMar w:left="240" w:top="604" w:right="239" w:bottom="1440" w:gutter="0" w:footer="0" w:header="0"/>
          <w:type w:val="continuous"/>
        </w:sectPr>
      </w:pPr>
    </w:p>
    <w:p>
      <w:pPr>
        <w:spacing w:after="0" w:line="41"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G02602103</w:t>
      </w:r>
    </w:p>
    <w:p>
      <w:pPr>
        <w:sectPr>
          <w:pgSz w:w="11900" w:h="16838" w:orient="portrait"/>
          <w:cols w:equalWidth="0" w:num="1">
            <w:col w:w="11420"/>
          </w:cols>
          <w:pgMar w:left="240" w:top="604" w:right="239" w:bottom="1440" w:gutter="0" w:footer="0" w:header="0"/>
          <w:type w:val="continuous"/>
        </w:sectPr>
      </w:pP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If This Statement is Filed Pursuant to §§240.13d-1(b) or 240.13d-2(b) or (c),</w:t>
      </w:r>
    </w:p>
    <w:p>
      <w:pPr>
        <w:spacing w:after="0" w:line="211" w:lineRule="exact"/>
        <w:rPr>
          <w:sz w:val="20"/>
          <w:szCs w:val="20"/>
          <w:color w:val="auto"/>
        </w:rPr>
      </w:pPr>
    </w:p>
    <w:p>
      <w:pPr>
        <w:sectPr>
          <w:pgSz w:w="11900" w:h="16838" w:orient="portrait"/>
          <w:cols w:equalWidth="0" w:num="2">
            <w:col w:w="540" w:space="620"/>
            <w:col w:w="10260"/>
          </w:cols>
          <w:pgMar w:left="240" w:top="604" w:right="239" w:bottom="1440" w:gutter="0" w:footer="0" w:header="0"/>
          <w:type w:val="continuous"/>
        </w:sectPr>
      </w:pPr>
    </w:p>
    <w:p>
      <w:pPr>
        <w:spacing w:after="0" w:line="37" w:lineRule="exact"/>
        <w:rPr>
          <w:sz w:val="20"/>
          <w:szCs w:val="20"/>
          <w:color w:val="auto"/>
        </w:rPr>
      </w:pPr>
    </w:p>
    <w:p>
      <w:pPr>
        <w:ind w:left="1160"/>
        <w:spacing w:after="0"/>
        <w:rPr>
          <w:sz w:val="20"/>
          <w:szCs w:val="20"/>
          <w:color w:val="auto"/>
        </w:rPr>
      </w:pPr>
      <w:r>
        <w:rPr>
          <w:rFonts w:ascii="Arial" w:cs="Arial" w:eastAsia="Arial" w:hAnsi="Arial"/>
          <w:sz w:val="16"/>
          <w:szCs w:val="16"/>
          <w:b w:val="1"/>
          <w:bCs w:val="1"/>
          <w:color w:val="auto"/>
        </w:rPr>
        <w:t>Check Whether the Person Filing is a:</w:t>
      </w:r>
    </w:p>
    <w:p>
      <w:pPr>
        <w:spacing w:after="0" w:line="252"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This Item 3 is not applicable.</w:t>
      </w:r>
    </w:p>
    <w:p>
      <w:pPr>
        <w:sectPr>
          <w:pgSz w:w="11900" w:h="16838" w:orient="portrait"/>
          <w:cols w:equalWidth="0" w:num="1">
            <w:col w:w="11420"/>
          </w:cols>
          <w:pgMar w:left="240" w:top="604" w:right="239" w:bottom="1440" w:gutter="0" w:footer="0" w:header="0"/>
          <w:type w:val="continuous"/>
        </w:sectPr>
      </w:pPr>
    </w:p>
    <w:p>
      <w:pPr>
        <w:spacing w:after="0" w:line="221" w:lineRule="exact"/>
        <w:rPr>
          <w:sz w:val="20"/>
          <w:szCs w:val="20"/>
          <w:color w:val="auto"/>
        </w:rPr>
      </w:pPr>
    </w:p>
    <w:p>
      <w:pPr>
        <w:spacing w:after="0" w:line="549" w:lineRule="auto"/>
        <w:rPr>
          <w:sz w:val="20"/>
          <w:szCs w:val="20"/>
          <w:color w:val="auto"/>
        </w:rPr>
      </w:pPr>
      <w:r>
        <w:rPr>
          <w:rFonts w:ascii="Arial" w:cs="Arial" w:eastAsia="Arial" w:hAnsi="Arial"/>
          <w:sz w:val="17"/>
          <w:szCs w:val="17"/>
          <w:b w:val="1"/>
          <w:bCs w:val="1"/>
          <w:color w:val="auto"/>
        </w:rPr>
        <w:t>Item 4. Item 4(a)</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Ownership:</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Amount Beneficially Owned:</w:t>
      </w:r>
    </w:p>
    <w:p>
      <w:pPr>
        <w:spacing w:after="0" w:line="279" w:lineRule="exact"/>
        <w:rPr>
          <w:sz w:val="20"/>
          <w:szCs w:val="20"/>
          <w:color w:val="auto"/>
        </w:rPr>
      </w:pPr>
    </w:p>
    <w:p>
      <w:pPr>
        <w:sectPr>
          <w:pgSz w:w="11900" w:h="16838" w:orient="portrait"/>
          <w:cols w:equalWidth="0" w:num="2">
            <w:col w:w="720" w:space="440"/>
            <w:col w:w="10260"/>
          </w:cols>
          <w:pgMar w:left="240" w:top="604" w:right="239" w:bottom="1440" w:gutter="0" w:footer="0" w:header="0"/>
          <w:type w:val="continuous"/>
        </w:sectPr>
      </w:pPr>
    </w:p>
    <w:p>
      <w:pPr>
        <w:jc w:val="both"/>
        <w:ind w:firstLine="1297"/>
        <w:spacing w:after="0" w:line="273" w:lineRule="auto"/>
        <w:rPr>
          <w:sz w:val="20"/>
          <w:szCs w:val="20"/>
          <w:color w:val="auto"/>
        </w:rPr>
      </w:pPr>
      <w:r>
        <w:rPr>
          <w:rFonts w:ascii="Arial" w:cs="Arial" w:eastAsia="Arial" w:hAnsi="Arial"/>
          <w:sz w:val="17"/>
          <w:szCs w:val="17"/>
          <w:color w:val="auto"/>
        </w:rPr>
        <w:t>As of December 31, 2008, each of Glenview Capital Management and Mr. Robbins may be deemed to be the beneficial owner of 4,349,247 Shares. This amount consists of: (A) 156,690 Shares held for the account of Glenview Capital Partners; (B) 2,396,638 Shares held for the account of Glenview Capital Master Fund; (C) 1,189,136 Shares held for the account of Glenview Institutional Partners; (D) 250,946 Shares held for the account of the GCM Little Arbor Master Fund; (E) 47,362 Shares held for the account of GCM Little Arbor Institutional Partners; (F) 138,909 Shares held for the account of Glenview Capital Opportunity Fund; (G) 149,751 Shares held for the account of Glenview Offshore Opportunity Master Fund; (H) 8,765 Shares held for the account of GCM Little Arbor Partners and (I) 11,050 Shares held for the account of GCM Opportunity Fund.</w:t>
      </w:r>
    </w:p>
    <w:p>
      <w:pPr>
        <w:spacing w:after="0" w:line="20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4(b)</w:t>
      </w:r>
      <w:r>
        <w:rPr>
          <w:sz w:val="20"/>
          <w:szCs w:val="20"/>
          <w:color w:val="auto"/>
        </w:rPr>
        <w:tab/>
      </w:r>
      <w:r>
        <w:rPr>
          <w:rFonts w:ascii="Arial" w:cs="Arial" w:eastAsia="Arial" w:hAnsi="Arial"/>
          <w:sz w:val="15"/>
          <w:szCs w:val="15"/>
          <w:b w:val="1"/>
          <w:bCs w:val="1"/>
          <w:color w:val="auto"/>
        </w:rPr>
        <w:t>Percent of Class:</w:t>
      </w:r>
    </w:p>
    <w:p>
      <w:pPr>
        <w:spacing w:after="0" w:line="256"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The number of Shares of which each of Glenview Capital Management and Mr. Robbins may be deemed to be the beneficial owner constitutes approximately 2.14% of the total number of Shares outstanding (based upon information provided in the Issuer’s Form 6-K, dated December 11, 2008, there were 203,615,917 shares outstanding as of November 24,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516890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04" w:right="239" w:bottom="1440" w:gutter="0" w:footer="0" w:header="0"/>
          <w:type w:val="continuous"/>
        </w:sectPr>
      </w:pPr>
    </w:p>
    <w:bookmarkStart w:id="5" w:name="page6"/>
    <w:bookmarkEnd w:id="5"/>
    <w:p>
      <w:pPr>
        <w:jc w:val="right"/>
        <w:spacing w:after="0"/>
        <w:rPr>
          <w:sz w:val="20"/>
          <w:szCs w:val="20"/>
          <w:color w:val="auto"/>
        </w:rPr>
      </w:pPr>
      <w:r>
        <w:rPr>
          <w:rFonts w:ascii="Arial" w:cs="Arial" w:eastAsia="Arial" w:hAnsi="Arial"/>
          <w:sz w:val="22"/>
          <w:szCs w:val="22"/>
          <w:color w:val="auto"/>
        </w:rPr>
        <w:t>Page 6 of 10 Pages</w:t>
      </w: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r>
              <w:rPr>
                <w:rFonts w:ascii="Arial" w:cs="Arial" w:eastAsia="Arial" w:hAnsi="Arial"/>
                <w:sz w:val="18"/>
                <w:szCs w:val="18"/>
                <w:b w:val="1"/>
                <w:bCs w:val="1"/>
                <w:color w:val="auto"/>
              </w:rPr>
              <w:t>Item 4(c)</w:t>
            </w:r>
          </w:p>
        </w:tc>
        <w:tc>
          <w:tcPr>
            <w:tcW w:w="6600" w:type="dxa"/>
            <w:vAlign w:val="bottom"/>
            <w:gridSpan w:val="2"/>
          </w:tcPr>
          <w:p>
            <w:pPr>
              <w:ind w:left="240"/>
              <w:spacing w:after="0"/>
              <w:rPr>
                <w:sz w:val="20"/>
                <w:szCs w:val="20"/>
                <w:color w:val="auto"/>
              </w:rPr>
            </w:pPr>
            <w:r>
              <w:rPr>
                <w:rFonts w:ascii="Arial" w:cs="Arial" w:eastAsia="Arial" w:hAnsi="Arial"/>
                <w:sz w:val="18"/>
                <w:szCs w:val="18"/>
                <w:b w:val="1"/>
                <w:bCs w:val="1"/>
                <w:color w:val="auto"/>
              </w:rPr>
              <w:t>Number of Shares of which such person has:</w:t>
            </w:r>
          </w:p>
        </w:tc>
        <w:tc>
          <w:tcPr>
            <w:tcW w:w="3900" w:type="dxa"/>
            <w:vAlign w:val="bottom"/>
          </w:tcPr>
          <w:p>
            <w:pPr>
              <w:spacing w:after="0"/>
              <w:rPr>
                <w:sz w:val="20"/>
                <w:szCs w:val="20"/>
                <w:color w:val="auto"/>
              </w:rPr>
            </w:pPr>
          </w:p>
        </w:tc>
      </w:tr>
      <w:tr>
        <w:trPr>
          <w:trHeight w:val="419"/>
        </w:trPr>
        <w:tc>
          <w:tcPr>
            <w:tcW w:w="35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1"/>
              </w:rPr>
              <w:t>Glenview Capital Management and Mr. Robbins:</w:t>
            </w:r>
          </w:p>
        </w:tc>
        <w:tc>
          <w:tcPr>
            <w:tcW w:w="3960" w:type="dxa"/>
            <w:vAlign w:val="bottom"/>
          </w:tcPr>
          <w:p>
            <w:pPr>
              <w:spacing w:after="0"/>
              <w:rPr>
                <w:sz w:val="24"/>
                <w:szCs w:val="24"/>
                <w:color w:val="auto"/>
              </w:rPr>
            </w:pPr>
          </w:p>
        </w:tc>
        <w:tc>
          <w:tcPr>
            <w:tcW w:w="3900" w:type="dxa"/>
            <w:vAlign w:val="bottom"/>
          </w:tcPr>
          <w:p>
            <w:pPr>
              <w:spacing w:after="0"/>
              <w:rPr>
                <w:sz w:val="24"/>
                <w:szCs w:val="24"/>
                <w:color w:val="auto"/>
              </w:rPr>
            </w:pPr>
          </w:p>
        </w:tc>
      </w:tr>
      <w:tr>
        <w:trPr>
          <w:trHeight w:val="480"/>
        </w:trPr>
        <w:tc>
          <w:tcPr>
            <w:tcW w:w="7520" w:type="dxa"/>
            <w:vAlign w:val="bottom"/>
            <w:gridSpan w:val="3"/>
          </w:tcPr>
          <w:p>
            <w:pPr>
              <w:spacing w:after="0"/>
              <w:rPr>
                <w:sz w:val="20"/>
                <w:szCs w:val="20"/>
                <w:color w:val="auto"/>
              </w:rPr>
            </w:pPr>
            <w:r>
              <w:rPr>
                <w:rFonts w:ascii="Arial" w:cs="Arial" w:eastAsia="Arial" w:hAnsi="Arial"/>
                <w:sz w:val="18"/>
                <w:szCs w:val="18"/>
                <w:color w:val="auto"/>
              </w:rPr>
              <w:t>(i) Sole power to vote or direct the vote:</w:t>
            </w:r>
          </w:p>
        </w:tc>
        <w:tc>
          <w:tcPr>
            <w:tcW w:w="3900" w:type="dxa"/>
            <w:vAlign w:val="bottom"/>
          </w:tcPr>
          <w:p>
            <w:pPr>
              <w:jc w:val="right"/>
              <w:ind w:right="1970"/>
              <w:spacing w:after="0"/>
              <w:rPr>
                <w:sz w:val="20"/>
                <w:szCs w:val="20"/>
                <w:color w:val="auto"/>
              </w:rPr>
            </w:pPr>
            <w:r>
              <w:rPr>
                <w:rFonts w:ascii="Arial" w:cs="Arial" w:eastAsia="Arial" w:hAnsi="Arial"/>
                <w:sz w:val="18"/>
                <w:szCs w:val="18"/>
                <w:color w:val="auto"/>
              </w:rPr>
              <w:t>0</w:t>
            </w:r>
          </w:p>
        </w:tc>
      </w:tr>
      <w:tr>
        <w:trPr>
          <w:trHeight w:val="432"/>
        </w:trPr>
        <w:tc>
          <w:tcPr>
            <w:tcW w:w="7520" w:type="dxa"/>
            <w:vAlign w:val="bottom"/>
            <w:gridSpan w:val="3"/>
          </w:tcPr>
          <w:p>
            <w:pPr>
              <w:spacing w:after="0"/>
              <w:rPr>
                <w:sz w:val="20"/>
                <w:szCs w:val="20"/>
                <w:color w:val="auto"/>
              </w:rPr>
            </w:pPr>
            <w:r>
              <w:rPr>
                <w:rFonts w:ascii="Arial" w:cs="Arial" w:eastAsia="Arial" w:hAnsi="Arial"/>
                <w:sz w:val="18"/>
                <w:szCs w:val="18"/>
                <w:color w:val="auto"/>
              </w:rPr>
              <w:t>(ii) Shared power to vote or direct the vote:</w:t>
            </w:r>
          </w:p>
        </w:tc>
        <w:tc>
          <w:tcPr>
            <w:tcW w:w="3900" w:type="dxa"/>
            <w:vAlign w:val="bottom"/>
          </w:tcPr>
          <w:p>
            <w:pPr>
              <w:jc w:val="right"/>
              <w:ind w:right="1970"/>
              <w:spacing w:after="0"/>
              <w:rPr>
                <w:sz w:val="20"/>
                <w:szCs w:val="20"/>
                <w:color w:val="auto"/>
              </w:rPr>
            </w:pPr>
            <w:r>
              <w:rPr>
                <w:rFonts w:ascii="Arial" w:cs="Arial" w:eastAsia="Arial" w:hAnsi="Arial"/>
                <w:sz w:val="18"/>
                <w:szCs w:val="18"/>
                <w:color w:val="auto"/>
              </w:rPr>
              <w:t>4,349,247</w:t>
            </w:r>
          </w:p>
        </w:tc>
      </w:tr>
      <w:tr>
        <w:trPr>
          <w:trHeight w:val="432"/>
        </w:trPr>
        <w:tc>
          <w:tcPr>
            <w:tcW w:w="7520" w:type="dxa"/>
            <w:vAlign w:val="bottom"/>
            <w:gridSpan w:val="3"/>
          </w:tcPr>
          <w:p>
            <w:pPr>
              <w:spacing w:after="0"/>
              <w:rPr>
                <w:sz w:val="20"/>
                <w:szCs w:val="20"/>
                <w:color w:val="auto"/>
              </w:rPr>
            </w:pPr>
            <w:r>
              <w:rPr>
                <w:rFonts w:ascii="Arial" w:cs="Arial" w:eastAsia="Arial" w:hAnsi="Arial"/>
                <w:sz w:val="18"/>
                <w:szCs w:val="18"/>
                <w:color w:val="auto"/>
              </w:rPr>
              <w:t>(iii) Sole power to dispose or direct the disposition of:</w:t>
            </w:r>
          </w:p>
        </w:tc>
        <w:tc>
          <w:tcPr>
            <w:tcW w:w="3900" w:type="dxa"/>
            <w:vAlign w:val="bottom"/>
          </w:tcPr>
          <w:p>
            <w:pPr>
              <w:jc w:val="right"/>
              <w:ind w:right="1970"/>
              <w:spacing w:after="0"/>
              <w:rPr>
                <w:sz w:val="20"/>
                <w:szCs w:val="20"/>
                <w:color w:val="auto"/>
              </w:rPr>
            </w:pPr>
            <w:r>
              <w:rPr>
                <w:rFonts w:ascii="Arial" w:cs="Arial" w:eastAsia="Arial" w:hAnsi="Arial"/>
                <w:sz w:val="18"/>
                <w:szCs w:val="18"/>
                <w:color w:val="auto"/>
              </w:rPr>
              <w:t>0</w:t>
            </w:r>
          </w:p>
        </w:tc>
      </w:tr>
      <w:tr>
        <w:trPr>
          <w:trHeight w:val="432"/>
        </w:trPr>
        <w:tc>
          <w:tcPr>
            <w:tcW w:w="7520" w:type="dxa"/>
            <w:vAlign w:val="bottom"/>
            <w:gridSpan w:val="3"/>
          </w:tcPr>
          <w:p>
            <w:pPr>
              <w:spacing w:after="0"/>
              <w:rPr>
                <w:sz w:val="20"/>
                <w:szCs w:val="20"/>
                <w:color w:val="auto"/>
              </w:rPr>
            </w:pPr>
            <w:r>
              <w:rPr>
                <w:rFonts w:ascii="Arial" w:cs="Arial" w:eastAsia="Arial" w:hAnsi="Arial"/>
                <w:sz w:val="18"/>
                <w:szCs w:val="18"/>
                <w:color w:val="auto"/>
              </w:rPr>
              <w:t>(iv) Shared power to dispose or direct the disposition of:</w:t>
            </w:r>
          </w:p>
        </w:tc>
        <w:tc>
          <w:tcPr>
            <w:tcW w:w="3900" w:type="dxa"/>
            <w:vAlign w:val="bottom"/>
          </w:tcPr>
          <w:p>
            <w:pPr>
              <w:jc w:val="right"/>
              <w:ind w:right="1970"/>
              <w:spacing w:after="0"/>
              <w:rPr>
                <w:sz w:val="20"/>
                <w:szCs w:val="20"/>
                <w:color w:val="auto"/>
              </w:rPr>
            </w:pPr>
            <w:r>
              <w:rPr>
                <w:rFonts w:ascii="Arial" w:cs="Arial" w:eastAsia="Arial" w:hAnsi="Arial"/>
                <w:sz w:val="18"/>
                <w:szCs w:val="18"/>
                <w:color w:val="auto"/>
              </w:rPr>
              <w:t>4,349,247</w:t>
            </w:r>
          </w:p>
        </w:tc>
      </w:tr>
      <w:tr>
        <w:trPr>
          <w:trHeight w:val="459"/>
        </w:trPr>
        <w:tc>
          <w:tcPr>
            <w:tcW w:w="920" w:type="dxa"/>
            <w:vAlign w:val="bottom"/>
          </w:tcPr>
          <w:p>
            <w:pPr>
              <w:spacing w:after="0"/>
              <w:rPr>
                <w:sz w:val="20"/>
                <w:szCs w:val="20"/>
                <w:color w:val="auto"/>
              </w:rPr>
            </w:pPr>
            <w:r>
              <w:rPr>
                <w:rFonts w:ascii="Arial" w:cs="Arial" w:eastAsia="Arial" w:hAnsi="Arial"/>
                <w:sz w:val="18"/>
                <w:szCs w:val="18"/>
                <w:b w:val="1"/>
                <w:bCs w:val="1"/>
                <w:color w:val="auto"/>
              </w:rPr>
              <w:t>Item 5.</w:t>
            </w:r>
          </w:p>
        </w:tc>
        <w:tc>
          <w:tcPr>
            <w:tcW w:w="6600" w:type="dxa"/>
            <w:vAlign w:val="bottom"/>
            <w:gridSpan w:val="2"/>
          </w:tcPr>
          <w:p>
            <w:pPr>
              <w:ind w:left="240"/>
              <w:spacing w:after="0"/>
              <w:rPr>
                <w:sz w:val="20"/>
                <w:szCs w:val="20"/>
                <w:color w:val="auto"/>
              </w:rPr>
            </w:pPr>
            <w:r>
              <w:rPr>
                <w:rFonts w:ascii="Arial" w:cs="Arial" w:eastAsia="Arial" w:hAnsi="Arial"/>
                <w:sz w:val="18"/>
                <w:szCs w:val="18"/>
                <w:b w:val="1"/>
                <w:bCs w:val="1"/>
                <w:color w:val="auto"/>
              </w:rPr>
              <w:t>Ownership of Five Percent or Less of a Class:</w:t>
            </w:r>
          </w:p>
        </w:tc>
        <w:tc>
          <w:tcPr>
            <w:tcW w:w="3900" w:type="dxa"/>
            <w:vAlign w:val="bottom"/>
          </w:tcPr>
          <w:p>
            <w:pPr>
              <w:spacing w:after="0"/>
              <w:rPr>
                <w:sz w:val="24"/>
                <w:szCs w:val="24"/>
                <w:color w:val="auto"/>
              </w:rPr>
            </w:pPr>
          </w:p>
        </w:tc>
      </w:tr>
      <w:tr>
        <w:trPr>
          <w:trHeight w:val="418"/>
        </w:trPr>
        <w:tc>
          <w:tcPr>
            <w:tcW w:w="920" w:type="dxa"/>
            <w:vAlign w:val="bottom"/>
          </w:tcPr>
          <w:p>
            <w:pPr>
              <w:spacing w:after="0"/>
              <w:rPr>
                <w:sz w:val="24"/>
                <w:szCs w:val="24"/>
                <w:color w:val="auto"/>
              </w:rPr>
            </w:pPr>
          </w:p>
        </w:tc>
        <w:tc>
          <w:tcPr>
            <w:tcW w:w="10500" w:type="dxa"/>
            <w:vAlign w:val="bottom"/>
            <w:gridSpan w:val="3"/>
          </w:tcPr>
          <w:p>
            <w:pPr>
              <w:ind w:left="240"/>
              <w:spacing w:after="0"/>
              <w:rPr>
                <w:sz w:val="20"/>
                <w:szCs w:val="20"/>
                <w:color w:val="auto"/>
              </w:rPr>
            </w:pPr>
            <w:r>
              <w:rPr>
                <w:rFonts w:ascii="Arial" w:cs="Arial" w:eastAsia="Arial" w:hAnsi="Arial"/>
                <w:sz w:val="18"/>
                <w:szCs w:val="18"/>
                <w:color w:val="auto"/>
                <w:w w:val="93"/>
              </w:rPr>
              <w:t>If this statement is being filed to report the fact that as of the date hereof the Reporting Persons have ceased to be the beneficial owner of</w:t>
            </w:r>
          </w:p>
        </w:tc>
      </w:tr>
      <w:tr>
        <w:trPr>
          <w:trHeight w:val="230"/>
        </w:trPr>
        <w:tc>
          <w:tcPr>
            <w:tcW w:w="920" w:type="dxa"/>
            <w:vAlign w:val="bottom"/>
          </w:tcPr>
          <w:p>
            <w:pPr>
              <w:spacing w:after="0"/>
              <w:rPr>
                <w:sz w:val="20"/>
                <w:szCs w:val="20"/>
                <w:color w:val="auto"/>
              </w:rPr>
            </w:pPr>
          </w:p>
        </w:tc>
        <w:tc>
          <w:tcPr>
            <w:tcW w:w="6600" w:type="dxa"/>
            <w:vAlign w:val="bottom"/>
            <w:gridSpan w:val="2"/>
          </w:tcPr>
          <w:p>
            <w:pPr>
              <w:ind w:left="240"/>
              <w:spacing w:after="0"/>
              <w:rPr>
                <w:sz w:val="20"/>
                <w:szCs w:val="20"/>
                <w:color w:val="auto"/>
              </w:rPr>
            </w:pPr>
            <w:r>
              <w:rPr>
                <w:rFonts w:ascii="Arial" w:cs="Arial" w:eastAsia="Arial" w:hAnsi="Arial"/>
                <w:sz w:val="18"/>
                <w:szCs w:val="18"/>
                <w:color w:val="auto"/>
              </w:rPr>
              <w:t>more than five percent of the class of securities, check the following /X/.</w:t>
            </w:r>
          </w:p>
        </w:tc>
        <w:tc>
          <w:tcPr>
            <w:tcW w:w="3900" w:type="dxa"/>
            <w:vAlign w:val="bottom"/>
          </w:tcPr>
          <w:p>
            <w:pPr>
              <w:spacing w:after="0"/>
              <w:rPr>
                <w:sz w:val="20"/>
                <w:szCs w:val="20"/>
                <w:color w:val="auto"/>
              </w:rPr>
            </w:pPr>
          </w:p>
        </w:tc>
      </w:tr>
      <w:tr>
        <w:trPr>
          <w:trHeight w:val="432"/>
        </w:trPr>
        <w:tc>
          <w:tcPr>
            <w:tcW w:w="92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6600" w:type="dxa"/>
            <w:vAlign w:val="bottom"/>
            <w:gridSpan w:val="2"/>
          </w:tcPr>
          <w:p>
            <w:pPr>
              <w:ind w:left="240"/>
              <w:spacing w:after="0"/>
              <w:rPr>
                <w:sz w:val="20"/>
                <w:szCs w:val="20"/>
                <w:color w:val="auto"/>
              </w:rPr>
            </w:pPr>
            <w:r>
              <w:rPr>
                <w:rFonts w:ascii="Arial" w:cs="Arial" w:eastAsia="Arial" w:hAnsi="Arial"/>
                <w:sz w:val="18"/>
                <w:szCs w:val="18"/>
                <w:b w:val="1"/>
                <w:bCs w:val="1"/>
                <w:color w:val="auto"/>
              </w:rPr>
              <w:t>Ownership of More than Five Percent on Behalf of Another Person:</w:t>
            </w:r>
          </w:p>
        </w:tc>
        <w:tc>
          <w:tcPr>
            <w:tcW w:w="3900" w:type="dxa"/>
            <w:vAlign w:val="bottom"/>
          </w:tcPr>
          <w:p>
            <w:pPr>
              <w:spacing w:after="0"/>
              <w:rPr>
                <w:sz w:val="24"/>
                <w:szCs w:val="24"/>
                <w:color w:val="auto"/>
              </w:rPr>
            </w:pPr>
          </w:p>
        </w:tc>
      </w:tr>
      <w:tr>
        <w:trPr>
          <w:trHeight w:val="432"/>
        </w:trPr>
        <w:tc>
          <w:tcPr>
            <w:tcW w:w="920" w:type="dxa"/>
            <w:vAlign w:val="bottom"/>
          </w:tcPr>
          <w:p>
            <w:pPr>
              <w:spacing w:after="0"/>
              <w:rPr>
                <w:sz w:val="24"/>
                <w:szCs w:val="24"/>
                <w:color w:val="auto"/>
              </w:rPr>
            </w:pPr>
          </w:p>
        </w:tc>
        <w:tc>
          <w:tcPr>
            <w:tcW w:w="6600" w:type="dxa"/>
            <w:vAlign w:val="bottom"/>
            <w:gridSpan w:val="2"/>
          </w:tcPr>
          <w:p>
            <w:pPr>
              <w:ind w:left="240"/>
              <w:spacing w:after="0"/>
              <w:rPr>
                <w:sz w:val="20"/>
                <w:szCs w:val="20"/>
                <w:color w:val="auto"/>
              </w:rPr>
            </w:pPr>
            <w:r>
              <w:rPr>
                <w:rFonts w:ascii="Arial" w:cs="Arial" w:eastAsia="Arial" w:hAnsi="Arial"/>
                <w:sz w:val="18"/>
                <w:szCs w:val="18"/>
                <w:color w:val="auto"/>
              </w:rPr>
              <w:t>This Item 6 is not applicable.</w:t>
            </w:r>
          </w:p>
        </w:tc>
        <w:tc>
          <w:tcPr>
            <w:tcW w:w="3900" w:type="dxa"/>
            <w:vAlign w:val="bottom"/>
          </w:tcPr>
          <w:p>
            <w:pPr>
              <w:spacing w:after="0"/>
              <w:rPr>
                <w:sz w:val="24"/>
                <w:szCs w:val="24"/>
                <w:color w:val="auto"/>
              </w:rPr>
            </w:pPr>
          </w:p>
        </w:tc>
      </w:tr>
      <w:tr>
        <w:trPr>
          <w:trHeight w:val="432"/>
        </w:trPr>
        <w:tc>
          <w:tcPr>
            <w:tcW w:w="920" w:type="dxa"/>
            <w:vAlign w:val="bottom"/>
          </w:tcPr>
          <w:p>
            <w:pPr>
              <w:spacing w:after="0"/>
              <w:rPr>
                <w:sz w:val="20"/>
                <w:szCs w:val="20"/>
                <w:color w:val="auto"/>
              </w:rPr>
            </w:pPr>
            <w:r>
              <w:rPr>
                <w:rFonts w:ascii="Arial" w:cs="Arial" w:eastAsia="Arial" w:hAnsi="Arial"/>
                <w:sz w:val="18"/>
                <w:szCs w:val="18"/>
                <w:b w:val="1"/>
                <w:bCs w:val="1"/>
                <w:color w:val="auto"/>
              </w:rPr>
              <w:t>Item 7.</w:t>
            </w:r>
          </w:p>
        </w:tc>
        <w:tc>
          <w:tcPr>
            <w:tcW w:w="10500" w:type="dxa"/>
            <w:vAlign w:val="bottom"/>
            <w:gridSpan w:val="3"/>
          </w:tcPr>
          <w:p>
            <w:pPr>
              <w:ind w:left="240"/>
              <w:spacing w:after="0"/>
              <w:rPr>
                <w:sz w:val="20"/>
                <w:szCs w:val="20"/>
                <w:color w:val="auto"/>
              </w:rPr>
            </w:pPr>
            <w:r>
              <w:rPr>
                <w:rFonts w:ascii="Arial" w:cs="Arial" w:eastAsia="Arial" w:hAnsi="Arial"/>
                <w:sz w:val="18"/>
                <w:szCs w:val="18"/>
                <w:b w:val="1"/>
                <w:bCs w:val="1"/>
                <w:color w:val="auto"/>
                <w:w w:val="91"/>
              </w:rPr>
              <w:t>Identification and Classification of the Subsidiary Which Acquired the Security Being Reported on By the Parent Holding Company:</w:t>
            </w:r>
          </w:p>
        </w:tc>
      </w:tr>
      <w:tr>
        <w:trPr>
          <w:trHeight w:val="432"/>
        </w:trPr>
        <w:tc>
          <w:tcPr>
            <w:tcW w:w="920" w:type="dxa"/>
            <w:vAlign w:val="bottom"/>
          </w:tcPr>
          <w:p>
            <w:pPr>
              <w:spacing w:after="0"/>
              <w:rPr>
                <w:sz w:val="24"/>
                <w:szCs w:val="24"/>
                <w:color w:val="auto"/>
              </w:rPr>
            </w:pPr>
          </w:p>
        </w:tc>
        <w:tc>
          <w:tcPr>
            <w:tcW w:w="6600" w:type="dxa"/>
            <w:vAlign w:val="bottom"/>
            <w:gridSpan w:val="2"/>
          </w:tcPr>
          <w:p>
            <w:pPr>
              <w:ind w:left="240"/>
              <w:spacing w:after="0"/>
              <w:rPr>
                <w:sz w:val="20"/>
                <w:szCs w:val="20"/>
                <w:color w:val="auto"/>
              </w:rPr>
            </w:pPr>
            <w:r>
              <w:rPr>
                <w:rFonts w:ascii="Arial" w:cs="Arial" w:eastAsia="Arial" w:hAnsi="Arial"/>
                <w:sz w:val="18"/>
                <w:szCs w:val="18"/>
                <w:color w:val="auto"/>
              </w:rPr>
              <w:t>See disclosure in Item 2 hereof.</w:t>
            </w:r>
          </w:p>
        </w:tc>
        <w:tc>
          <w:tcPr>
            <w:tcW w:w="3900" w:type="dxa"/>
            <w:vAlign w:val="bottom"/>
          </w:tcPr>
          <w:p>
            <w:pPr>
              <w:spacing w:after="0"/>
              <w:rPr>
                <w:sz w:val="24"/>
                <w:szCs w:val="24"/>
                <w:color w:val="auto"/>
              </w:rPr>
            </w:pPr>
          </w:p>
        </w:tc>
      </w:tr>
      <w:tr>
        <w:trPr>
          <w:trHeight w:val="418"/>
        </w:trPr>
        <w:tc>
          <w:tcPr>
            <w:tcW w:w="920" w:type="dxa"/>
            <w:vAlign w:val="bottom"/>
          </w:tcPr>
          <w:p>
            <w:pPr>
              <w:spacing w:after="0"/>
              <w:rPr>
                <w:sz w:val="20"/>
                <w:szCs w:val="20"/>
                <w:color w:val="auto"/>
              </w:rPr>
            </w:pPr>
            <w:r>
              <w:rPr>
                <w:rFonts w:ascii="Arial" w:cs="Arial" w:eastAsia="Arial" w:hAnsi="Arial"/>
                <w:sz w:val="18"/>
                <w:szCs w:val="18"/>
                <w:b w:val="1"/>
                <w:bCs w:val="1"/>
                <w:color w:val="auto"/>
              </w:rPr>
              <w:t>Item 8.</w:t>
            </w:r>
          </w:p>
        </w:tc>
        <w:tc>
          <w:tcPr>
            <w:tcW w:w="6600" w:type="dxa"/>
            <w:vAlign w:val="bottom"/>
            <w:gridSpan w:val="2"/>
          </w:tcPr>
          <w:p>
            <w:pPr>
              <w:ind w:left="240"/>
              <w:spacing w:after="0"/>
              <w:rPr>
                <w:sz w:val="20"/>
                <w:szCs w:val="20"/>
                <w:color w:val="auto"/>
              </w:rPr>
            </w:pPr>
            <w:r>
              <w:rPr>
                <w:rFonts w:ascii="Arial" w:cs="Arial" w:eastAsia="Arial" w:hAnsi="Arial"/>
                <w:sz w:val="18"/>
                <w:szCs w:val="18"/>
                <w:b w:val="1"/>
                <w:bCs w:val="1"/>
                <w:color w:val="auto"/>
              </w:rPr>
              <w:t>Identification and Classification of Members of the Group:</w:t>
            </w:r>
          </w:p>
        </w:tc>
        <w:tc>
          <w:tcPr>
            <w:tcW w:w="3900" w:type="dxa"/>
            <w:vAlign w:val="bottom"/>
          </w:tcPr>
          <w:p>
            <w:pPr>
              <w:spacing w:after="0"/>
              <w:rPr>
                <w:sz w:val="24"/>
                <w:szCs w:val="24"/>
                <w:color w:val="auto"/>
              </w:rPr>
            </w:pPr>
          </w:p>
        </w:tc>
      </w:tr>
      <w:tr>
        <w:trPr>
          <w:trHeight w:val="230"/>
        </w:trPr>
        <w:tc>
          <w:tcPr>
            <w:tcW w:w="920" w:type="dxa"/>
            <w:vAlign w:val="bottom"/>
          </w:tcPr>
          <w:p>
            <w:pPr>
              <w:spacing w:after="0"/>
              <w:rPr>
                <w:sz w:val="20"/>
                <w:szCs w:val="20"/>
                <w:color w:val="auto"/>
              </w:rPr>
            </w:pPr>
          </w:p>
        </w:tc>
        <w:tc>
          <w:tcPr>
            <w:tcW w:w="6600" w:type="dxa"/>
            <w:vAlign w:val="bottom"/>
            <w:gridSpan w:val="2"/>
          </w:tcPr>
          <w:p>
            <w:pPr>
              <w:ind w:left="240"/>
              <w:spacing w:after="0"/>
              <w:rPr>
                <w:sz w:val="20"/>
                <w:szCs w:val="20"/>
                <w:color w:val="auto"/>
              </w:rPr>
            </w:pPr>
            <w:r>
              <w:rPr>
                <w:rFonts w:ascii="Arial" w:cs="Arial" w:eastAsia="Arial" w:hAnsi="Arial"/>
                <w:sz w:val="18"/>
                <w:szCs w:val="18"/>
                <w:color w:val="auto"/>
              </w:rPr>
              <w:t>This Item 8 is not applicable.</w:t>
            </w:r>
          </w:p>
        </w:tc>
        <w:tc>
          <w:tcPr>
            <w:tcW w:w="3900" w:type="dxa"/>
            <w:vAlign w:val="bottom"/>
          </w:tcPr>
          <w:p>
            <w:pPr>
              <w:spacing w:after="0"/>
              <w:rPr>
                <w:sz w:val="20"/>
                <w:szCs w:val="20"/>
                <w:color w:val="auto"/>
              </w:rPr>
            </w:pPr>
          </w:p>
        </w:tc>
      </w:tr>
      <w:tr>
        <w:trPr>
          <w:trHeight w:val="418"/>
        </w:trPr>
        <w:tc>
          <w:tcPr>
            <w:tcW w:w="920" w:type="dxa"/>
            <w:vAlign w:val="bottom"/>
          </w:tcPr>
          <w:p>
            <w:pPr>
              <w:spacing w:after="0"/>
              <w:rPr>
                <w:sz w:val="20"/>
                <w:szCs w:val="20"/>
                <w:color w:val="auto"/>
              </w:rPr>
            </w:pPr>
            <w:r>
              <w:rPr>
                <w:rFonts w:ascii="Arial" w:cs="Arial" w:eastAsia="Arial" w:hAnsi="Arial"/>
                <w:sz w:val="18"/>
                <w:szCs w:val="18"/>
                <w:b w:val="1"/>
                <w:bCs w:val="1"/>
                <w:color w:val="auto"/>
              </w:rPr>
              <w:t>Item 9.</w:t>
            </w:r>
          </w:p>
        </w:tc>
        <w:tc>
          <w:tcPr>
            <w:tcW w:w="6600" w:type="dxa"/>
            <w:vAlign w:val="bottom"/>
            <w:gridSpan w:val="2"/>
          </w:tcPr>
          <w:p>
            <w:pPr>
              <w:ind w:left="240"/>
              <w:spacing w:after="0"/>
              <w:rPr>
                <w:sz w:val="20"/>
                <w:szCs w:val="20"/>
                <w:color w:val="auto"/>
              </w:rPr>
            </w:pPr>
            <w:r>
              <w:rPr>
                <w:rFonts w:ascii="Arial" w:cs="Arial" w:eastAsia="Arial" w:hAnsi="Arial"/>
                <w:sz w:val="18"/>
                <w:szCs w:val="18"/>
                <w:b w:val="1"/>
                <w:bCs w:val="1"/>
                <w:color w:val="auto"/>
              </w:rPr>
              <w:t>Notice of Dissolution of Group:</w:t>
            </w:r>
          </w:p>
        </w:tc>
        <w:tc>
          <w:tcPr>
            <w:tcW w:w="3900" w:type="dxa"/>
            <w:vAlign w:val="bottom"/>
          </w:tcPr>
          <w:p>
            <w:pPr>
              <w:spacing w:after="0"/>
              <w:rPr>
                <w:sz w:val="24"/>
                <w:szCs w:val="24"/>
                <w:color w:val="auto"/>
              </w:rPr>
            </w:pPr>
          </w:p>
        </w:tc>
      </w:tr>
      <w:tr>
        <w:trPr>
          <w:trHeight w:val="230"/>
        </w:trPr>
        <w:tc>
          <w:tcPr>
            <w:tcW w:w="920" w:type="dxa"/>
            <w:vAlign w:val="bottom"/>
          </w:tcPr>
          <w:p>
            <w:pPr>
              <w:spacing w:after="0"/>
              <w:rPr>
                <w:sz w:val="20"/>
                <w:szCs w:val="20"/>
                <w:color w:val="auto"/>
              </w:rPr>
            </w:pPr>
          </w:p>
        </w:tc>
        <w:tc>
          <w:tcPr>
            <w:tcW w:w="6600" w:type="dxa"/>
            <w:vAlign w:val="bottom"/>
            <w:gridSpan w:val="2"/>
          </w:tcPr>
          <w:p>
            <w:pPr>
              <w:ind w:left="240"/>
              <w:spacing w:after="0"/>
              <w:rPr>
                <w:sz w:val="20"/>
                <w:szCs w:val="20"/>
                <w:color w:val="auto"/>
              </w:rPr>
            </w:pPr>
            <w:r>
              <w:rPr>
                <w:rFonts w:ascii="Arial" w:cs="Arial" w:eastAsia="Arial" w:hAnsi="Arial"/>
                <w:sz w:val="18"/>
                <w:szCs w:val="18"/>
                <w:color w:val="auto"/>
              </w:rPr>
              <w:t>This Item 9 is not applicable.</w:t>
            </w:r>
          </w:p>
        </w:tc>
        <w:tc>
          <w:tcPr>
            <w:tcW w:w="3900" w:type="dxa"/>
            <w:vAlign w:val="bottom"/>
          </w:tcPr>
          <w:p>
            <w:pPr>
              <w:spacing w:after="0"/>
              <w:rPr>
                <w:sz w:val="20"/>
                <w:szCs w:val="20"/>
                <w:color w:val="auto"/>
              </w:rPr>
            </w:pPr>
          </w:p>
        </w:tc>
      </w:tr>
      <w:tr>
        <w:trPr>
          <w:trHeight w:val="432"/>
        </w:trPr>
        <w:tc>
          <w:tcPr>
            <w:tcW w:w="920" w:type="dxa"/>
            <w:vAlign w:val="bottom"/>
          </w:tcPr>
          <w:p>
            <w:pPr>
              <w:spacing w:after="0"/>
              <w:rPr>
                <w:sz w:val="20"/>
                <w:szCs w:val="20"/>
                <w:color w:val="auto"/>
              </w:rPr>
            </w:pPr>
            <w:r>
              <w:rPr>
                <w:rFonts w:ascii="Arial" w:cs="Arial" w:eastAsia="Arial" w:hAnsi="Arial"/>
                <w:sz w:val="18"/>
                <w:szCs w:val="18"/>
                <w:b w:val="1"/>
                <w:bCs w:val="1"/>
                <w:color w:val="auto"/>
              </w:rPr>
              <w:t>Item 10.</w:t>
            </w:r>
          </w:p>
        </w:tc>
        <w:tc>
          <w:tcPr>
            <w:tcW w:w="6600" w:type="dxa"/>
            <w:vAlign w:val="bottom"/>
            <w:gridSpan w:val="2"/>
          </w:tcPr>
          <w:p>
            <w:pPr>
              <w:ind w:left="240"/>
              <w:spacing w:after="0"/>
              <w:rPr>
                <w:sz w:val="20"/>
                <w:szCs w:val="20"/>
                <w:color w:val="auto"/>
              </w:rPr>
            </w:pPr>
            <w:r>
              <w:rPr>
                <w:rFonts w:ascii="Arial" w:cs="Arial" w:eastAsia="Arial" w:hAnsi="Arial"/>
                <w:sz w:val="18"/>
                <w:szCs w:val="18"/>
                <w:b w:val="1"/>
                <w:bCs w:val="1"/>
                <w:color w:val="auto"/>
              </w:rPr>
              <w:t>Certification:</w:t>
            </w:r>
          </w:p>
        </w:tc>
        <w:tc>
          <w:tcPr>
            <w:tcW w:w="3900" w:type="dxa"/>
            <w:vAlign w:val="bottom"/>
          </w:tcPr>
          <w:p>
            <w:pPr>
              <w:spacing w:after="0"/>
              <w:rPr>
                <w:sz w:val="24"/>
                <w:szCs w:val="24"/>
                <w:color w:val="auto"/>
              </w:rPr>
            </w:pPr>
          </w:p>
        </w:tc>
      </w:tr>
    </w:tbl>
    <w:p>
      <w:pPr>
        <w:spacing w:after="0" w:line="202"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By signing below each of the Reporting Persons certifies that, to the best of their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516890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04" w:right="239" w:bottom="1440" w:gutter="0" w:footer="0" w:header="0"/>
        </w:sectPr>
      </w:pPr>
    </w:p>
    <w:bookmarkStart w:id="6" w:name="page7"/>
    <w:bookmarkEnd w:id="6"/>
    <w:p>
      <w:pPr>
        <w:jc w:val="right"/>
        <w:spacing w:after="0"/>
        <w:rPr>
          <w:sz w:val="20"/>
          <w:szCs w:val="20"/>
          <w:color w:val="auto"/>
        </w:rPr>
      </w:pPr>
      <w:r>
        <w:rPr>
          <w:rFonts w:ascii="Arial" w:cs="Arial" w:eastAsia="Arial" w:hAnsi="Arial"/>
          <w:sz w:val="22"/>
          <w:szCs w:val="22"/>
          <w:color w:val="auto"/>
        </w:rPr>
        <w:t>Page 7 of 10 Pages</w:t>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Date: February 17, 2009</w:t>
            </w:r>
          </w:p>
        </w:tc>
        <w:tc>
          <w:tcPr>
            <w:tcW w:w="6320" w:type="dxa"/>
            <w:vAlign w:val="bottom"/>
            <w:gridSpan w:val="2"/>
          </w:tcPr>
          <w:p>
            <w:pPr>
              <w:ind w:left="1980"/>
              <w:spacing w:after="0"/>
              <w:rPr>
                <w:sz w:val="20"/>
                <w:szCs w:val="20"/>
                <w:color w:val="auto"/>
              </w:rPr>
            </w:pPr>
            <w:r>
              <w:rPr>
                <w:rFonts w:ascii="Arial" w:cs="Arial" w:eastAsia="Arial" w:hAnsi="Arial"/>
                <w:sz w:val="18"/>
                <w:szCs w:val="18"/>
                <w:color w:val="auto"/>
              </w:rPr>
              <w:t>GLENVIEW CAPITAL MANAGEMENT, LLC</w:t>
            </w:r>
          </w:p>
        </w:tc>
        <w:tc>
          <w:tcPr>
            <w:tcW w:w="1360" w:type="dxa"/>
            <w:vAlign w:val="bottom"/>
          </w:tcPr>
          <w:p>
            <w:pPr>
              <w:spacing w:after="0"/>
              <w:rPr>
                <w:sz w:val="20"/>
                <w:szCs w:val="20"/>
                <w:color w:val="auto"/>
              </w:rPr>
            </w:pPr>
          </w:p>
        </w:tc>
      </w:tr>
      <w:tr>
        <w:trPr>
          <w:trHeight w:val="432"/>
        </w:trPr>
        <w:tc>
          <w:tcPr>
            <w:tcW w:w="3740" w:type="dxa"/>
            <w:vAlign w:val="bottom"/>
          </w:tcPr>
          <w:p>
            <w:pPr>
              <w:spacing w:after="0"/>
              <w:rPr>
                <w:sz w:val="24"/>
                <w:szCs w:val="24"/>
                <w:color w:val="auto"/>
              </w:rPr>
            </w:pPr>
          </w:p>
        </w:tc>
        <w:tc>
          <w:tcPr>
            <w:tcW w:w="6320" w:type="dxa"/>
            <w:vAlign w:val="bottom"/>
            <w:gridSpan w:val="2"/>
          </w:tcPr>
          <w:p>
            <w:pPr>
              <w:ind w:left="1980"/>
              <w:spacing w:after="0"/>
              <w:rPr>
                <w:sz w:val="20"/>
                <w:szCs w:val="20"/>
                <w:color w:val="auto"/>
              </w:rPr>
            </w:pPr>
            <w:r>
              <w:rPr>
                <w:rFonts w:ascii="Arial" w:cs="Arial" w:eastAsia="Arial" w:hAnsi="Arial"/>
                <w:sz w:val="18"/>
                <w:szCs w:val="18"/>
                <w:color w:val="auto"/>
              </w:rPr>
              <w:t>By:    /s/ Mark J. Horowitz</w:t>
            </w:r>
          </w:p>
        </w:tc>
        <w:tc>
          <w:tcPr>
            <w:tcW w:w="1360" w:type="dxa"/>
            <w:vAlign w:val="bottom"/>
          </w:tcPr>
          <w:p>
            <w:pPr>
              <w:spacing w:after="0"/>
              <w:rPr>
                <w:sz w:val="24"/>
                <w:szCs w:val="24"/>
                <w:color w:val="auto"/>
              </w:rPr>
            </w:pPr>
          </w:p>
        </w:tc>
      </w:tr>
      <w:tr>
        <w:trPr>
          <w:trHeight w:val="48"/>
        </w:trPr>
        <w:tc>
          <w:tcPr>
            <w:tcW w:w="3740" w:type="dxa"/>
            <w:vAlign w:val="bottom"/>
          </w:tcPr>
          <w:p>
            <w:pPr>
              <w:spacing w:after="0"/>
              <w:rPr>
                <w:sz w:val="4"/>
                <w:szCs w:val="4"/>
                <w:color w:val="auto"/>
              </w:rPr>
            </w:pPr>
          </w:p>
        </w:tc>
        <w:tc>
          <w:tcPr>
            <w:tcW w:w="2560" w:type="dxa"/>
            <w:vAlign w:val="bottom"/>
          </w:tcPr>
          <w:p>
            <w:pPr>
              <w:spacing w:after="0"/>
              <w:rPr>
                <w:sz w:val="4"/>
                <w:szCs w:val="4"/>
                <w:color w:val="auto"/>
              </w:rPr>
            </w:pPr>
          </w:p>
        </w:tc>
        <w:tc>
          <w:tcPr>
            <w:tcW w:w="3760" w:type="dxa"/>
            <w:vAlign w:val="bottom"/>
            <w:tcBorders>
              <w:bottom w:val="single" w:sz="8" w:color="auto"/>
            </w:tcBorders>
          </w:tcPr>
          <w:p>
            <w:pPr>
              <w:spacing w:after="0"/>
              <w:rPr>
                <w:sz w:val="4"/>
                <w:szCs w:val="4"/>
                <w:color w:val="auto"/>
              </w:rPr>
            </w:pPr>
          </w:p>
        </w:tc>
        <w:tc>
          <w:tcPr>
            <w:tcW w:w="1360" w:type="dxa"/>
            <w:vAlign w:val="bottom"/>
          </w:tcPr>
          <w:p>
            <w:pPr>
              <w:spacing w:after="0"/>
              <w:rPr>
                <w:sz w:val="4"/>
                <w:szCs w:val="4"/>
                <w:color w:val="auto"/>
              </w:rPr>
            </w:pPr>
          </w:p>
        </w:tc>
      </w:tr>
      <w:tr>
        <w:trPr>
          <w:trHeight w:val="202"/>
        </w:trPr>
        <w:tc>
          <w:tcPr>
            <w:tcW w:w="374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3760" w:type="dxa"/>
            <w:vAlign w:val="bottom"/>
          </w:tcPr>
          <w:p>
            <w:pPr>
              <w:spacing w:after="0" w:line="201" w:lineRule="exact"/>
              <w:rPr>
                <w:sz w:val="20"/>
                <w:szCs w:val="20"/>
                <w:color w:val="auto"/>
              </w:rPr>
            </w:pPr>
            <w:r>
              <w:rPr>
                <w:rFonts w:ascii="Arial" w:cs="Arial" w:eastAsia="Arial" w:hAnsi="Arial"/>
                <w:sz w:val="18"/>
                <w:szCs w:val="18"/>
                <w:color w:val="auto"/>
              </w:rPr>
              <w:t>Mark J. Horowitz, attorney-in-fact for</w:t>
            </w:r>
          </w:p>
        </w:tc>
        <w:tc>
          <w:tcPr>
            <w:tcW w:w="1360" w:type="dxa"/>
            <w:vAlign w:val="bottom"/>
          </w:tcPr>
          <w:p>
            <w:pPr>
              <w:spacing w:after="0"/>
              <w:rPr>
                <w:sz w:val="17"/>
                <w:szCs w:val="17"/>
                <w:color w:val="auto"/>
              </w:rPr>
            </w:pPr>
          </w:p>
        </w:tc>
      </w:tr>
      <w:tr>
        <w:trPr>
          <w:trHeight w:val="216"/>
        </w:trPr>
        <w:tc>
          <w:tcPr>
            <w:tcW w:w="37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Lawrence M. Robbins, individually and</w:t>
            </w:r>
          </w:p>
        </w:tc>
        <w:tc>
          <w:tcPr>
            <w:tcW w:w="1360" w:type="dxa"/>
            <w:vAlign w:val="bottom"/>
          </w:tcPr>
          <w:p>
            <w:pPr>
              <w:spacing w:after="0"/>
              <w:rPr>
                <w:sz w:val="18"/>
                <w:szCs w:val="18"/>
                <w:color w:val="auto"/>
              </w:rPr>
            </w:pPr>
          </w:p>
        </w:tc>
      </w:tr>
      <w:tr>
        <w:trPr>
          <w:trHeight w:val="216"/>
        </w:trPr>
        <w:tc>
          <w:tcPr>
            <w:tcW w:w="37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as Chief Operating Officer and</w:t>
            </w:r>
          </w:p>
        </w:tc>
        <w:tc>
          <w:tcPr>
            <w:tcW w:w="1360" w:type="dxa"/>
            <w:vAlign w:val="bottom"/>
          </w:tcPr>
          <w:p>
            <w:pPr>
              <w:spacing w:after="0"/>
              <w:rPr>
                <w:sz w:val="18"/>
                <w:szCs w:val="18"/>
                <w:color w:val="auto"/>
              </w:rPr>
            </w:pPr>
          </w:p>
        </w:tc>
      </w:tr>
      <w:tr>
        <w:trPr>
          <w:trHeight w:val="216"/>
        </w:trPr>
        <w:tc>
          <w:tcPr>
            <w:tcW w:w="37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General Counsel of</w:t>
            </w:r>
          </w:p>
        </w:tc>
        <w:tc>
          <w:tcPr>
            <w:tcW w:w="1360" w:type="dxa"/>
            <w:vAlign w:val="bottom"/>
          </w:tcPr>
          <w:p>
            <w:pPr>
              <w:spacing w:after="0"/>
              <w:rPr>
                <w:sz w:val="18"/>
                <w:szCs w:val="18"/>
                <w:color w:val="auto"/>
              </w:rPr>
            </w:pPr>
          </w:p>
        </w:tc>
      </w:tr>
      <w:tr>
        <w:trPr>
          <w:trHeight w:val="230"/>
        </w:trPr>
        <w:tc>
          <w:tcPr>
            <w:tcW w:w="374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Glenview Capital Management, LLC</w:t>
            </w:r>
          </w:p>
        </w:tc>
        <w:tc>
          <w:tcPr>
            <w:tcW w:w="1360" w:type="dxa"/>
            <w:vAlign w:val="bottom"/>
          </w:tcPr>
          <w:p>
            <w:pPr>
              <w:spacing w:after="0"/>
              <w:rPr>
                <w:sz w:val="20"/>
                <w:szCs w:val="20"/>
                <w:color w:val="auto"/>
              </w:rPr>
            </w:pPr>
          </w:p>
        </w:tc>
      </w:tr>
      <w:tr>
        <w:trPr>
          <w:trHeight w:val="1577"/>
        </w:trPr>
        <w:tc>
          <w:tcPr>
            <w:tcW w:w="3740" w:type="dxa"/>
            <w:vAlign w:val="bottom"/>
            <w:tcBorders>
              <w:bottom w:val="single" w:sz="8" w:color="808080"/>
            </w:tcBorders>
          </w:tcPr>
          <w:p>
            <w:pPr>
              <w:spacing w:after="0"/>
              <w:rPr>
                <w:sz w:val="24"/>
                <w:szCs w:val="24"/>
                <w:color w:val="auto"/>
              </w:rPr>
            </w:pPr>
          </w:p>
        </w:tc>
        <w:tc>
          <w:tcPr>
            <w:tcW w:w="2560" w:type="dxa"/>
            <w:vAlign w:val="bottom"/>
            <w:tcBorders>
              <w:bottom w:val="single" w:sz="8" w:color="808080"/>
            </w:tcBorders>
          </w:tcPr>
          <w:p>
            <w:pPr>
              <w:spacing w:after="0"/>
              <w:rPr>
                <w:sz w:val="24"/>
                <w:szCs w:val="24"/>
                <w:color w:val="auto"/>
              </w:rPr>
            </w:pPr>
          </w:p>
        </w:tc>
        <w:tc>
          <w:tcPr>
            <w:tcW w:w="376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604"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75"/>
        </w:trPr>
        <w:tc>
          <w:tcPr>
            <w:tcW w:w="2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0" w:type="dxa"/>
            <w:vAlign w:val="bottom"/>
          </w:tcPr>
          <w:p>
            <w:pPr>
              <w:spacing w:after="0"/>
              <w:rPr>
                <w:sz w:val="23"/>
                <w:szCs w:val="23"/>
                <w:color w:val="auto"/>
              </w:rPr>
            </w:pPr>
          </w:p>
        </w:tc>
        <w:tc>
          <w:tcPr>
            <w:tcW w:w="2940" w:type="dxa"/>
            <w:vAlign w:val="bottom"/>
            <w:gridSpan w:val="2"/>
          </w:tcPr>
          <w:p>
            <w:pPr>
              <w:jc w:val="right"/>
              <w:spacing w:after="0"/>
              <w:rPr>
                <w:sz w:val="20"/>
                <w:szCs w:val="20"/>
                <w:color w:val="auto"/>
              </w:rPr>
            </w:pPr>
            <w:r>
              <w:rPr>
                <w:rFonts w:ascii="Arial" w:cs="Arial" w:eastAsia="Arial" w:hAnsi="Arial"/>
                <w:sz w:val="22"/>
                <w:szCs w:val="22"/>
                <w:color w:val="auto"/>
              </w:rPr>
              <w:t>Page 8 of 10 Pages</w:t>
            </w:r>
          </w:p>
        </w:tc>
      </w:tr>
      <w:tr>
        <w:trPr>
          <w:trHeight w:val="449"/>
        </w:trPr>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0" w:type="dxa"/>
            <w:vAlign w:val="bottom"/>
          </w:tcPr>
          <w:p>
            <w:pPr>
              <w:ind w:left="4580"/>
              <w:spacing w:after="0"/>
              <w:rPr>
                <w:sz w:val="20"/>
                <w:szCs w:val="20"/>
                <w:color w:val="auto"/>
              </w:rPr>
            </w:pPr>
            <w:r>
              <w:rPr>
                <w:rFonts w:ascii="Arial" w:cs="Arial" w:eastAsia="Arial" w:hAnsi="Arial"/>
                <w:sz w:val="18"/>
                <w:szCs w:val="18"/>
                <w:color w:val="auto"/>
              </w:rPr>
              <w:t>EXHIBIT INDEX</w:t>
            </w:r>
          </w:p>
        </w:tc>
        <w:tc>
          <w:tcPr>
            <w:tcW w:w="228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419"/>
        </w:trPr>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2"/>
              </w:rPr>
              <w:t>Ex.</w:t>
            </w:r>
          </w:p>
        </w:tc>
        <w:tc>
          <w:tcPr>
            <w:tcW w:w="22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5"/>
              </w:rPr>
              <w:t>Page No.</w:t>
            </w:r>
          </w:p>
        </w:tc>
      </w:tr>
      <w:tr>
        <w:trPr>
          <w:trHeight w:val="534"/>
        </w:trPr>
        <w:tc>
          <w:tcPr>
            <w:tcW w:w="480" w:type="dxa"/>
            <w:vAlign w:val="bottom"/>
            <w:gridSpan w:val="2"/>
          </w:tcPr>
          <w:p>
            <w:pPr>
              <w:spacing w:after="0"/>
              <w:rPr>
                <w:sz w:val="20"/>
                <w:szCs w:val="20"/>
                <w:color w:val="auto"/>
              </w:rPr>
            </w:pPr>
            <w:r>
              <w:rPr>
                <w:rFonts w:ascii="Arial" w:cs="Arial" w:eastAsia="Arial" w:hAnsi="Arial"/>
                <w:sz w:val="18"/>
                <w:szCs w:val="18"/>
                <w:color w:val="auto"/>
              </w:rPr>
              <w:t>A</w:t>
            </w:r>
          </w:p>
        </w:tc>
        <w:tc>
          <w:tcPr>
            <w:tcW w:w="8000" w:type="dxa"/>
            <w:vAlign w:val="bottom"/>
          </w:tcPr>
          <w:p>
            <w:pPr>
              <w:ind w:left="220"/>
              <w:spacing w:after="0"/>
              <w:rPr>
                <w:sz w:val="20"/>
                <w:szCs w:val="20"/>
                <w:color w:val="auto"/>
              </w:rPr>
            </w:pPr>
            <w:r>
              <w:rPr>
                <w:rFonts w:ascii="Arial" w:cs="Arial" w:eastAsia="Arial" w:hAnsi="Arial"/>
                <w:sz w:val="18"/>
                <w:szCs w:val="18"/>
                <w:color w:val="auto"/>
              </w:rPr>
              <w:t>Joint Filing Agreement, dated February 17, 2009 by Glenview Capital Management, LLC</w:t>
            </w:r>
          </w:p>
        </w:tc>
        <w:tc>
          <w:tcPr>
            <w:tcW w:w="2940" w:type="dxa"/>
            <w:vAlign w:val="bottom"/>
            <w:gridSpan w:val="2"/>
          </w:tcPr>
          <w:p>
            <w:pPr>
              <w:jc w:val="right"/>
              <w:spacing w:after="0"/>
              <w:rPr>
                <w:sz w:val="20"/>
                <w:szCs w:val="20"/>
                <w:color w:val="auto"/>
              </w:rPr>
            </w:pPr>
            <w:r>
              <w:rPr>
                <w:rFonts w:ascii="Arial" w:cs="Arial" w:eastAsia="Arial" w:hAnsi="Arial"/>
                <w:sz w:val="18"/>
                <w:szCs w:val="18"/>
                <w:color w:val="auto"/>
              </w:rPr>
              <w:t>9</w:t>
            </w:r>
          </w:p>
        </w:tc>
      </w:tr>
      <w:tr>
        <w:trPr>
          <w:trHeight w:val="432"/>
        </w:trPr>
        <w:tc>
          <w:tcPr>
            <w:tcW w:w="480" w:type="dxa"/>
            <w:vAlign w:val="bottom"/>
            <w:gridSpan w:val="2"/>
          </w:tcPr>
          <w:p>
            <w:pPr>
              <w:spacing w:after="0"/>
              <w:rPr>
                <w:sz w:val="20"/>
                <w:szCs w:val="20"/>
                <w:color w:val="auto"/>
              </w:rPr>
            </w:pPr>
            <w:r>
              <w:rPr>
                <w:rFonts w:ascii="Arial" w:cs="Arial" w:eastAsia="Arial" w:hAnsi="Arial"/>
                <w:sz w:val="18"/>
                <w:szCs w:val="18"/>
                <w:color w:val="auto"/>
              </w:rPr>
              <w:t>B</w:t>
            </w:r>
          </w:p>
        </w:tc>
        <w:tc>
          <w:tcPr>
            <w:tcW w:w="8000" w:type="dxa"/>
            <w:vAlign w:val="bottom"/>
          </w:tcPr>
          <w:p>
            <w:pPr>
              <w:ind w:left="220"/>
              <w:spacing w:after="0"/>
              <w:rPr>
                <w:sz w:val="20"/>
                <w:szCs w:val="20"/>
                <w:color w:val="auto"/>
              </w:rPr>
            </w:pPr>
            <w:r>
              <w:rPr>
                <w:rFonts w:ascii="Arial" w:cs="Arial" w:eastAsia="Arial" w:hAnsi="Arial"/>
                <w:sz w:val="18"/>
                <w:szCs w:val="18"/>
                <w:color w:val="auto"/>
              </w:rPr>
              <w:t>Power of Attorney, dated February 10, 2009 by Lawrence M. Robbins</w:t>
            </w:r>
          </w:p>
        </w:tc>
        <w:tc>
          <w:tcPr>
            <w:tcW w:w="2940" w:type="dxa"/>
            <w:vAlign w:val="bottom"/>
            <w:gridSpan w:val="2"/>
          </w:tcPr>
          <w:p>
            <w:pPr>
              <w:jc w:val="right"/>
              <w:spacing w:after="0"/>
              <w:rPr>
                <w:sz w:val="20"/>
                <w:szCs w:val="20"/>
                <w:color w:val="auto"/>
              </w:rPr>
            </w:pPr>
            <w:r>
              <w:rPr>
                <w:rFonts w:ascii="Arial" w:cs="Arial" w:eastAsia="Arial" w:hAnsi="Arial"/>
                <w:sz w:val="18"/>
                <w:szCs w:val="18"/>
                <w:color w:val="auto"/>
              </w:rPr>
              <w:t>10</w:t>
            </w:r>
          </w:p>
        </w:tc>
      </w:tr>
      <w:tr>
        <w:trPr>
          <w:trHeight w:val="1064"/>
        </w:trPr>
        <w:tc>
          <w:tcPr>
            <w:tcW w:w="26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8000" w:type="dxa"/>
            <w:vAlign w:val="bottom"/>
            <w:tcBorders>
              <w:bottom w:val="single" w:sz="8" w:color="808080"/>
            </w:tcBorders>
          </w:tcPr>
          <w:p>
            <w:pPr>
              <w:spacing w:after="0"/>
              <w:rPr>
                <w:sz w:val="24"/>
                <w:szCs w:val="24"/>
                <w:color w:val="auto"/>
              </w:rPr>
            </w:pPr>
          </w:p>
        </w:tc>
        <w:tc>
          <w:tcPr>
            <w:tcW w:w="228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604" w:right="239" w:bottom="1440" w:gutter="0" w:footer="0" w:header="0"/>
        </w:sectPr>
      </w:pPr>
    </w:p>
    <w:bookmarkStart w:id="8" w:name="page9"/>
    <w:bookmarkEnd w:id="8"/>
    <w:p>
      <w:pPr>
        <w:jc w:val="right"/>
        <w:spacing w:after="0"/>
        <w:rPr>
          <w:sz w:val="20"/>
          <w:szCs w:val="20"/>
          <w:color w:val="auto"/>
        </w:rPr>
      </w:pPr>
      <w:r>
        <w:rPr>
          <w:rFonts w:ascii="Arial" w:cs="Arial" w:eastAsia="Arial" w:hAnsi="Arial"/>
          <w:sz w:val="22"/>
          <w:szCs w:val="22"/>
          <w:color w:val="auto"/>
        </w:rPr>
        <w:t>Page 9 of 10 Pages</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A</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JOINT FILING AGREEMENT</w:t>
      </w:r>
    </w:p>
    <w:p>
      <w:pPr>
        <w:spacing w:after="0" w:line="25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undersigned hereby agree that the statement on Schedule 13G with respect to the Common Stock of Amdocs Limited dated as of February 17, 2009 is, and any amendments thereto (including amendments on Schedule 13D) signed by each of the undersigned shall be, filed on behalf of each of us pursuant to and in accordance with the provisions of Rule 13d-1(k) under the Securities Exchange Act of 1934, as amended.</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Date: February 17, 2009</w:t>
            </w:r>
          </w:p>
        </w:tc>
        <w:tc>
          <w:tcPr>
            <w:tcW w:w="6320" w:type="dxa"/>
            <w:vAlign w:val="bottom"/>
            <w:gridSpan w:val="2"/>
          </w:tcPr>
          <w:p>
            <w:pPr>
              <w:ind w:left="1980"/>
              <w:spacing w:after="0"/>
              <w:rPr>
                <w:sz w:val="20"/>
                <w:szCs w:val="20"/>
                <w:color w:val="auto"/>
              </w:rPr>
            </w:pPr>
            <w:r>
              <w:rPr>
                <w:rFonts w:ascii="Arial" w:cs="Arial" w:eastAsia="Arial" w:hAnsi="Arial"/>
                <w:sz w:val="18"/>
                <w:szCs w:val="18"/>
                <w:color w:val="auto"/>
              </w:rPr>
              <w:t>GLENVIEW CAPITAL MANAGEMENT, LLC</w:t>
            </w:r>
          </w:p>
        </w:tc>
        <w:tc>
          <w:tcPr>
            <w:tcW w:w="1360" w:type="dxa"/>
            <w:vAlign w:val="bottom"/>
          </w:tcPr>
          <w:p>
            <w:pPr>
              <w:spacing w:after="0"/>
              <w:rPr>
                <w:sz w:val="20"/>
                <w:szCs w:val="20"/>
                <w:color w:val="auto"/>
              </w:rPr>
            </w:pPr>
          </w:p>
        </w:tc>
      </w:tr>
      <w:tr>
        <w:trPr>
          <w:trHeight w:val="432"/>
        </w:trPr>
        <w:tc>
          <w:tcPr>
            <w:tcW w:w="3740" w:type="dxa"/>
            <w:vAlign w:val="bottom"/>
          </w:tcPr>
          <w:p>
            <w:pPr>
              <w:spacing w:after="0"/>
              <w:rPr>
                <w:sz w:val="24"/>
                <w:szCs w:val="24"/>
                <w:color w:val="auto"/>
              </w:rPr>
            </w:pPr>
          </w:p>
        </w:tc>
        <w:tc>
          <w:tcPr>
            <w:tcW w:w="6320" w:type="dxa"/>
            <w:vAlign w:val="bottom"/>
            <w:gridSpan w:val="2"/>
          </w:tcPr>
          <w:p>
            <w:pPr>
              <w:ind w:left="1980"/>
              <w:spacing w:after="0"/>
              <w:rPr>
                <w:sz w:val="20"/>
                <w:szCs w:val="20"/>
                <w:color w:val="auto"/>
              </w:rPr>
            </w:pPr>
            <w:r>
              <w:rPr>
                <w:rFonts w:ascii="Arial" w:cs="Arial" w:eastAsia="Arial" w:hAnsi="Arial"/>
                <w:sz w:val="18"/>
                <w:szCs w:val="18"/>
                <w:color w:val="auto"/>
              </w:rPr>
              <w:t>By:    /s/ Mark J. Horowitz</w:t>
            </w:r>
          </w:p>
        </w:tc>
        <w:tc>
          <w:tcPr>
            <w:tcW w:w="1360" w:type="dxa"/>
            <w:vAlign w:val="bottom"/>
          </w:tcPr>
          <w:p>
            <w:pPr>
              <w:spacing w:after="0"/>
              <w:rPr>
                <w:sz w:val="24"/>
                <w:szCs w:val="24"/>
                <w:color w:val="auto"/>
              </w:rPr>
            </w:pPr>
          </w:p>
        </w:tc>
      </w:tr>
      <w:tr>
        <w:trPr>
          <w:trHeight w:val="48"/>
        </w:trPr>
        <w:tc>
          <w:tcPr>
            <w:tcW w:w="3740" w:type="dxa"/>
            <w:vAlign w:val="bottom"/>
          </w:tcPr>
          <w:p>
            <w:pPr>
              <w:spacing w:after="0"/>
              <w:rPr>
                <w:sz w:val="4"/>
                <w:szCs w:val="4"/>
                <w:color w:val="auto"/>
              </w:rPr>
            </w:pPr>
          </w:p>
        </w:tc>
        <w:tc>
          <w:tcPr>
            <w:tcW w:w="2560" w:type="dxa"/>
            <w:vAlign w:val="bottom"/>
          </w:tcPr>
          <w:p>
            <w:pPr>
              <w:spacing w:after="0"/>
              <w:rPr>
                <w:sz w:val="4"/>
                <w:szCs w:val="4"/>
                <w:color w:val="auto"/>
              </w:rPr>
            </w:pPr>
          </w:p>
        </w:tc>
        <w:tc>
          <w:tcPr>
            <w:tcW w:w="3760" w:type="dxa"/>
            <w:vAlign w:val="bottom"/>
            <w:tcBorders>
              <w:bottom w:val="single" w:sz="8" w:color="auto"/>
            </w:tcBorders>
          </w:tcPr>
          <w:p>
            <w:pPr>
              <w:spacing w:after="0"/>
              <w:rPr>
                <w:sz w:val="4"/>
                <w:szCs w:val="4"/>
                <w:color w:val="auto"/>
              </w:rPr>
            </w:pPr>
          </w:p>
        </w:tc>
        <w:tc>
          <w:tcPr>
            <w:tcW w:w="1360" w:type="dxa"/>
            <w:vAlign w:val="bottom"/>
          </w:tcPr>
          <w:p>
            <w:pPr>
              <w:spacing w:after="0"/>
              <w:rPr>
                <w:sz w:val="4"/>
                <w:szCs w:val="4"/>
                <w:color w:val="auto"/>
              </w:rPr>
            </w:pPr>
          </w:p>
        </w:tc>
      </w:tr>
      <w:tr>
        <w:trPr>
          <w:trHeight w:val="202"/>
        </w:trPr>
        <w:tc>
          <w:tcPr>
            <w:tcW w:w="374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3760" w:type="dxa"/>
            <w:vAlign w:val="bottom"/>
          </w:tcPr>
          <w:p>
            <w:pPr>
              <w:spacing w:after="0" w:line="201" w:lineRule="exact"/>
              <w:rPr>
                <w:sz w:val="20"/>
                <w:szCs w:val="20"/>
                <w:color w:val="auto"/>
              </w:rPr>
            </w:pPr>
            <w:r>
              <w:rPr>
                <w:rFonts w:ascii="Arial" w:cs="Arial" w:eastAsia="Arial" w:hAnsi="Arial"/>
                <w:sz w:val="18"/>
                <w:szCs w:val="18"/>
                <w:color w:val="auto"/>
              </w:rPr>
              <w:t>Mark J. Horowitz, attorney-in-fact for</w:t>
            </w:r>
          </w:p>
        </w:tc>
        <w:tc>
          <w:tcPr>
            <w:tcW w:w="1360" w:type="dxa"/>
            <w:vAlign w:val="bottom"/>
          </w:tcPr>
          <w:p>
            <w:pPr>
              <w:spacing w:after="0"/>
              <w:rPr>
                <w:sz w:val="17"/>
                <w:szCs w:val="17"/>
                <w:color w:val="auto"/>
              </w:rPr>
            </w:pPr>
          </w:p>
        </w:tc>
      </w:tr>
      <w:tr>
        <w:trPr>
          <w:trHeight w:val="216"/>
        </w:trPr>
        <w:tc>
          <w:tcPr>
            <w:tcW w:w="37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Lawrence M. Robbins, individually and</w:t>
            </w:r>
          </w:p>
        </w:tc>
        <w:tc>
          <w:tcPr>
            <w:tcW w:w="1360" w:type="dxa"/>
            <w:vAlign w:val="bottom"/>
          </w:tcPr>
          <w:p>
            <w:pPr>
              <w:spacing w:after="0"/>
              <w:rPr>
                <w:sz w:val="18"/>
                <w:szCs w:val="18"/>
                <w:color w:val="auto"/>
              </w:rPr>
            </w:pPr>
          </w:p>
        </w:tc>
      </w:tr>
      <w:tr>
        <w:trPr>
          <w:trHeight w:val="216"/>
        </w:trPr>
        <w:tc>
          <w:tcPr>
            <w:tcW w:w="37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as Chief Operating Officer and</w:t>
            </w:r>
          </w:p>
        </w:tc>
        <w:tc>
          <w:tcPr>
            <w:tcW w:w="1360" w:type="dxa"/>
            <w:vAlign w:val="bottom"/>
          </w:tcPr>
          <w:p>
            <w:pPr>
              <w:spacing w:after="0"/>
              <w:rPr>
                <w:sz w:val="18"/>
                <w:szCs w:val="18"/>
                <w:color w:val="auto"/>
              </w:rPr>
            </w:pPr>
          </w:p>
        </w:tc>
      </w:tr>
      <w:tr>
        <w:trPr>
          <w:trHeight w:val="216"/>
        </w:trPr>
        <w:tc>
          <w:tcPr>
            <w:tcW w:w="37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General Counsel of</w:t>
            </w:r>
          </w:p>
        </w:tc>
        <w:tc>
          <w:tcPr>
            <w:tcW w:w="1360" w:type="dxa"/>
            <w:vAlign w:val="bottom"/>
          </w:tcPr>
          <w:p>
            <w:pPr>
              <w:spacing w:after="0"/>
              <w:rPr>
                <w:sz w:val="18"/>
                <w:szCs w:val="18"/>
                <w:color w:val="auto"/>
              </w:rPr>
            </w:pPr>
          </w:p>
        </w:tc>
      </w:tr>
      <w:tr>
        <w:trPr>
          <w:trHeight w:val="230"/>
        </w:trPr>
        <w:tc>
          <w:tcPr>
            <w:tcW w:w="374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Glenview Capital Management, LLC</w:t>
            </w:r>
          </w:p>
        </w:tc>
        <w:tc>
          <w:tcPr>
            <w:tcW w:w="1360" w:type="dxa"/>
            <w:vAlign w:val="bottom"/>
          </w:tcPr>
          <w:p>
            <w:pPr>
              <w:spacing w:after="0"/>
              <w:rPr>
                <w:sz w:val="20"/>
                <w:szCs w:val="20"/>
                <w:color w:val="auto"/>
              </w:rPr>
            </w:pPr>
          </w:p>
        </w:tc>
      </w:tr>
      <w:tr>
        <w:trPr>
          <w:trHeight w:val="1334"/>
        </w:trPr>
        <w:tc>
          <w:tcPr>
            <w:tcW w:w="3740" w:type="dxa"/>
            <w:vAlign w:val="bottom"/>
            <w:tcBorders>
              <w:bottom w:val="single" w:sz="8" w:color="808080"/>
            </w:tcBorders>
          </w:tcPr>
          <w:p>
            <w:pPr>
              <w:spacing w:after="0"/>
              <w:rPr>
                <w:sz w:val="24"/>
                <w:szCs w:val="24"/>
                <w:color w:val="auto"/>
              </w:rPr>
            </w:pPr>
          </w:p>
        </w:tc>
        <w:tc>
          <w:tcPr>
            <w:tcW w:w="2560" w:type="dxa"/>
            <w:vAlign w:val="bottom"/>
            <w:tcBorders>
              <w:bottom w:val="single" w:sz="8" w:color="808080"/>
            </w:tcBorders>
          </w:tcPr>
          <w:p>
            <w:pPr>
              <w:spacing w:after="0"/>
              <w:rPr>
                <w:sz w:val="24"/>
                <w:szCs w:val="24"/>
                <w:color w:val="auto"/>
              </w:rPr>
            </w:pPr>
          </w:p>
        </w:tc>
        <w:tc>
          <w:tcPr>
            <w:tcW w:w="376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604" w:right="239" w:bottom="1440" w:gutter="0" w:footer="0" w:header="0"/>
        </w:sectPr>
      </w:pPr>
    </w:p>
    <w:bookmarkStart w:id="9" w:name="page10"/>
    <w:bookmarkEnd w:id="9"/>
    <w:p>
      <w:pPr>
        <w:jc w:val="right"/>
        <w:spacing w:after="0"/>
        <w:rPr>
          <w:sz w:val="20"/>
          <w:szCs w:val="20"/>
          <w:color w:val="auto"/>
        </w:rPr>
      </w:pPr>
      <w:r>
        <w:rPr>
          <w:rFonts w:ascii="Arial" w:cs="Arial" w:eastAsia="Arial" w:hAnsi="Arial"/>
          <w:sz w:val="22"/>
          <w:szCs w:val="22"/>
          <w:color w:val="auto"/>
        </w:rPr>
        <w:t>Page 10 of 10 Pages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B</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POWER OF ATTORNEY</w:t>
      </w:r>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KNOW ALL MEN BY THESE PRESENT, that I, Lawrence M. Robbins, hereby make, constitute and appoint Mark J. Horowitz, acting individually, as my agent and attorney-in-fact for the purpose of executing in my name, (a) in my personal capacity or (b) in my capacity as Chief Executive Officer or in other capacities of Glenview Capital Management, LLC, a Delaware limited liability company, and each of its affiliates or entities advised or controlled by me or Glenview Capital Management, LLC, all documents, certificates, instruments, statements, filings and agreements ("documents") to be filed with or delivered to any foreign or domestic governmental or regulatory body or required or requested by any other person or entity pursuant to any legal or regulatory requirement relating to the acquisition, ownership, management or disposition of securities, futures contracts or other investments, and any other documents relating or ancillary thereto, including, without limitation, all documents relating to filings with the United States Securities and Exchange Commission (the "SEC") pursuant to the Securities Act of 1933, as amended, or the Securities Exchange Act of 1934, as amended (the "Act"), and the rules and regulations promulgated thereunder, including, without limitation: (1) all documents relating to the beneficial ownership of securities required to be filed with the SEC pursuant to Section 13(d) or Section 16(a) of the Act, including, without limitation: (a) any acquisition statements on Schedule 13D or Schedule 13G and any amendments thereto, (b) any joint filing agreements pursuant to Rule 13d-1(k), and (c) any initial statements of, or statements of changes in, beneficial ownership of securities on Form 3, Form 4 or Form 5 and (2) any information statements on Form 13F required to be filed with the SEC pursuant to Section 13(f) of the Act.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All past acts of the attorney-in-fact in furtherance of the foregoing are hereby ratified and confirmed.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This Power of Attorney shall remain in effect until revoked, in writing, by the undersigned.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undersigned has executed this Power of Attorney, this 10th day of February 2009.</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/s/ Lawrence M. Robbins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89547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89547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Lawrence M. Robbins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664845</wp:posOffset>
            </wp:positionV>
            <wp:extent cx="7267575"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84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lvl w:ilvl="1">
      <w:lvlJc w:val="left"/>
      <w:lvlText w:val="["/>
      <w:numFmt w:val="bullet"/>
      <w:start w:val="1"/>
    </w:lvl>
  </w:abstractNum>
  <w:abstractNum w:abstractNumId="2">
    <w:nsid w:val="3D1B58BA"/>
    <w:multiLevelType w:val="hybridMultilevel"/>
    <w:lvl w:ilvl="0">
      <w:lvlJc w:val="left"/>
      <w:lvlText w:val="%1."/>
      <w:numFmt w:val="decimal"/>
      <w:start w:val="1"/>
    </w:lvl>
    <w:lvl w:ilvl="1">
      <w:lvlJc w:val="left"/>
      <w:lvlText w:val="(%2)"/>
      <w:numFmt w:val="lowerLetter"/>
      <w:start w:val="1"/>
    </w:lvl>
  </w:abstractNum>
  <w:abstractNum w:abstractNumId="3">
    <w:nsid w:val="507ED7AB"/>
    <w:multiLevelType w:val="hybridMultilevel"/>
    <w:lvl w:ilvl="0">
      <w:lvlJc w:val="left"/>
      <w:lvlText w:val="%1."/>
      <w:numFmt w:val="decimal"/>
      <w:start w:val="9"/>
    </w:lvl>
  </w:abstractNum>
  <w:abstractNum w:abstractNumId="4">
    <w:nsid w:val="2EB141F2"/>
    <w:multiLevelType w:val="hybridMultilevel"/>
    <w:lvl w:ilvl="0">
      <w:lvlJc w:val="left"/>
      <w:lvlText w:val="%1."/>
      <w:numFmt w:val="decimal"/>
      <w:start w:val="1"/>
    </w:lvl>
    <w:lvl w:ilvl="1">
      <w:lvlJc w:val="left"/>
      <w:lvlText w:val="(%2)"/>
      <w:numFmt w:val="lowerLetter"/>
      <w:start w:val="1"/>
    </w:lvl>
  </w:abstractNum>
  <w:abstractNum w:abstractNumId="5">
    <w:nsid w:val="41B71EFB"/>
    <w:multiLevelType w:val="hybridMultilevel"/>
    <w:lvl w:ilvl="0">
      <w:lvlJc w:val="left"/>
      <w:lvlText w:val="%1."/>
      <w:numFmt w:val="decimal"/>
      <w:start w:val="9"/>
    </w:lvl>
  </w:abstractNum>
  <w:abstractNum w:abstractNumId="6">
    <w:nsid w:val="79E2A9E3"/>
    <w:multiLevelType w:val="hybridMultilevel"/>
    <w:lvl w:ilvl="0">
      <w:lvlJc w:val="left"/>
      <w:lvlText w:val="%1)"/>
      <w:numFmt w:val="lowerRoman"/>
      <w:start w:val="1"/>
    </w:lvl>
  </w:abstractNum>
  <w:abstractNum w:abstractNumId="7">
    <w:nsid w:val="7545E146"/>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2019-12-10T17:14:19Z</dcterms:created>
  <dcterms:modified xsi:type="dcterms:W3CDTF">2019-12-10T17:14:19Z</dcterms:modified>
</cp:coreProperties>
</file>