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4"/>
          <w:szCs w:val="24"/>
          <w:color w:val="auto"/>
        </w:rPr>
      </w:pPr>
    </w:p>
    <w:p>
      <w:pPr>
        <w:ind w:left="4280"/>
        <w:spacing w:after="0"/>
        <w:rPr>
          <w:sz w:val="20"/>
          <w:szCs w:val="20"/>
          <w:color w:val="auto"/>
        </w:rPr>
      </w:pPr>
      <w:r>
        <w:rPr>
          <w:rFonts w:ascii="Courier New" w:cs="Courier New" w:eastAsia="Courier New" w:hAnsi="Courier New"/>
          <w:sz w:val="14"/>
          <w:szCs w:val="14"/>
          <w:color w:val="auto"/>
        </w:rPr>
        <w:t>Filed pursuant to Rule 424(b)(1)</w:t>
      </w:r>
    </w:p>
    <w:p>
      <w:pPr>
        <w:spacing w:after="0" w:line="12" w:lineRule="exact"/>
        <w:rPr>
          <w:sz w:val="24"/>
          <w:szCs w:val="24"/>
          <w:color w:val="auto"/>
        </w:rPr>
      </w:pPr>
    </w:p>
    <w:p>
      <w:pPr>
        <w:ind w:left="4280"/>
        <w:spacing w:after="0"/>
        <w:rPr>
          <w:sz w:val="20"/>
          <w:szCs w:val="20"/>
          <w:color w:val="auto"/>
        </w:rPr>
      </w:pPr>
      <w:r>
        <w:rPr>
          <w:rFonts w:ascii="Courier New" w:cs="Courier New" w:eastAsia="Courier New" w:hAnsi="Courier New"/>
          <w:sz w:val="15"/>
          <w:szCs w:val="15"/>
          <w:color w:val="auto"/>
        </w:rPr>
        <w:t>Registration No. 333-44994</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4,333,487 Shares</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prospectus relates to the offer and sale of up to 4,333,487 ordinary shares of Amdocs Limited by some of our current and future shareholders. These ordinary shares have been issued or may be issued in the future upon exchange of the Exchangeable Shares of Solect Technology Group Inc. by the holders of the Exchangeable Shares, all of whom were formerly common shareholders of Solect. Solect issued the Exchangeable Shares to its shareholders when we acquired the outstanding common shares of Solect on April 5, 2000. We will not receive any proceeds from the sale of these ordinary shares.</w:t>
      </w:r>
    </w:p>
    <w:p>
      <w:pPr>
        <w:spacing w:after="0" w:line="177" w:lineRule="exact"/>
        <w:rPr>
          <w:sz w:val="24"/>
          <w:szCs w:val="24"/>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Our ordinary shares are listed on the New York Stock Exchange under the symbol "DOX." The last reported sale price of the ordinary shares on the New York Stock Exchange on October 3, 2000 was $62.1875 per share.</w:t>
      </w:r>
    </w:p>
    <w:p>
      <w:pPr>
        <w:spacing w:after="0" w:line="176" w:lineRule="exact"/>
        <w:rPr>
          <w:sz w:val="24"/>
          <w:szCs w:val="24"/>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8 to read about factors you should consider before buying the ordinary shares.</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PROSPECTUS DATED OCTOBER 5, 2000.</w:t>
      </w:r>
    </w:p>
    <w:p>
      <w:pPr>
        <w:sectPr>
          <w:pgSz w:w="11900" w:h="16838" w:orient="portrait"/>
          <w:cols w:equalWidth="0" w:num="1">
            <w:col w:w="10219"/>
          </w:cols>
          <w:pgMar w:left="240" w:top="231"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named in this prospectus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Chesterfield, Missouri 63017</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Telephone: (314) 212-8328</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7" w:lineRule="exact"/>
        <w:rPr>
          <w:sz w:val="20"/>
          <w:szCs w:val="20"/>
          <w:color w:val="auto"/>
        </w:rPr>
      </w:pPr>
    </w:p>
    <w:p>
      <w:pPr>
        <w:ind w:left="620" w:right="3439" w:hanging="181"/>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1999, filed on December 7, 1999.</w:t>
      </w:r>
    </w:p>
    <w:p>
      <w:pPr>
        <w:spacing w:after="0" w:line="176"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December 31, 1999, March 31, 2000 and June 30, 2000 filed on February 10, 2000, May 11, 2000 and July 31, 2000.</w:t>
      </w:r>
    </w:p>
    <w:p>
      <w:pPr>
        <w:spacing w:after="0" w:line="176" w:lineRule="exact"/>
        <w:rPr>
          <w:rFonts w:ascii="Courier New" w:cs="Courier New" w:eastAsia="Courier New" w:hAnsi="Courier New"/>
          <w:sz w:val="15"/>
          <w:szCs w:val="15"/>
          <w:color w:val="auto"/>
        </w:rPr>
      </w:pPr>
    </w:p>
    <w:p>
      <w:pPr>
        <w:ind w:left="620" w:right="3259" w:hanging="181"/>
        <w:spacing w:after="0" w:line="267"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6-K dated December 13, 1999 (as amended by Form 6-K/A filed on January 5, 2000), December 17, 1999, March 3, 2000, and April 11, 2000 (as amended by Form 6-K/A filed on June 8, 2000).</w:t>
      </w:r>
    </w:p>
    <w:p>
      <w:pPr>
        <w:spacing w:after="0" w:line="159"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175" w:lineRule="exact"/>
        <w:rPr>
          <w:sz w:val="20"/>
          <w:szCs w:val="20"/>
          <w:color w:val="auto"/>
        </w:rPr>
      </w:pPr>
    </w:p>
    <w:p>
      <w:pPr>
        <w:ind w:left="620" w:right="3079" w:hanging="181"/>
        <w:spacing w:after="0" w:line="241"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reports on Forms 10-Q and 8-K filed by us pursuant to the Exchange Act.</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This prospectus is part of two Registration Statements we filed with the SEC (File Nos. 333-39278 and 333-44994). We will provide without charge to each person to whom a prospectus is delivered, on written or oral request, a copy of any of the documents above other than exhibits to those documents. Requests should be addressed to: Mr. Thomas G. O'Brien, Amdocs Inc., 1390 Timberlake Manor Parkway, Chesterfield, Missouri 63017 (telephone: (314) 212-8328).</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this document, references to "Amdocs," "we," "our," "us" and the "Company" refer to Amdocs Limited and its consolidated subsidiaries and their respective predecessors. References to "dollars" or $ are to United States dollars. Unless otherwise stated, all references in this prospectus to ordinary shares are to both voting and nonvoting ordinary shares, all references to percentage ownership of our ordinary shares assume the exchange of all outstanding Exchangeable Shares for our ordinary shares and all references to ordinary voting and nonvoting share ownership, as expressed in percentages, are as of July 31, 2000.</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are a leading provider of product-driven information system solutions to the communications industry. Our Business Support Systems, or BSS, consist of families of customized software products and services designed to meet the mission-critical needs of specific communications market sectors. We provide primarily Customer Care, Billing and Order Management Systems, or CC&amp;B Systems, for network operators and service providers. Our systems support a wide range of communications services including wireline, wireless, cable television, broadband, electronic commerce and Internet services. We also support companies that offer multiple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6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all the Regional Bell Operating Companies, Sprint and Deutsche Telekom (Germany)), wireless companies (such as Pacific Wireless, Vodafone Group (UK), Mannesmann (Germany) and Telstra (Australia)) and internet companies (such as BT (UK), E-Plus (Germany), GTE and PointOne).</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communications companies, such as customer care, order management, call rating, invoice calculation, bill formatting, collections, fraud management and directory publishing services. We tailor our BSS products to address the unique needs of each communications provider.</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As of July 31, 2000, we had approximately 8,200 full-time equivalent employees, of which approximately 7,200 were software and information technology specialists engaged in research, development, customization, maintenance and support activities. Our Israeli subsidiary employs over 4,000 software and information technology specialists and operates our largest development facility. In the United States, our main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April 5, 2000, we acquired Solect Technology Group Inc., or Solect, in a stock-for-stock transaction. Solect is a leading provider of billing and customer care software to Internet service providers. In connection with the consummation of the transaction, Solect issued 13.8 million</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Exchangeable Shares, each exchangeable for one of our ordinary shares, and we granted options to acquire 1.7 million of our ordinary shares. The total purchase price of approximately $1.1 billion, based on a per share price of $69.875 for our ordinary shares at the time of the transaction, included both the issuance of and grant of options for ordinary shares, as well as transaction costs.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on page 5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left="440" w:right="3339"/>
        <w:spacing w:after="0"/>
        <w:rPr>
          <w:sz w:val="20"/>
          <w:szCs w:val="20"/>
          <w:color w:val="auto"/>
        </w:rPr>
      </w:pPr>
      <w:r>
        <w:rPr>
          <w:rFonts w:ascii="Courier New" w:cs="Courier New" w:eastAsia="Courier New" w:hAnsi="Courier New"/>
          <w:sz w:val="15"/>
          <w:szCs w:val="15"/>
          <w:color w:val="auto"/>
        </w:rPr>
        <w:t>FUNDAMENTAL CHANGES IN THE 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communications industry.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7"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services, systems integrators, service bureaus and companies that offer software systems in combination with the sale of network equipment. We anticipate continued growth and competition in the communications industry and, consequently, the emergence of new software providers in the industry that will compete with us.</w:t>
      </w:r>
    </w:p>
    <w:p>
      <w:pPr>
        <w:spacing w:after="0" w:line="180"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BSS products that operate on state-of-the-art operating systems. Our present or future products may not satisfy the evolving needs of the communications market. If we are unable to anticipate or respond adequately to such demands, due to resource, technological or other constraints, our business and results of operations could be materially adversely affected.</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November 30, 1999, we completed our acquisition of International Telecommunication Data Systems Inc., or ITDS, in a stock-for-stock transaction. ITDS is a leading provider of billing and customer care service bureau solutions to wireless communications service providers. On April 5, 2000, we completed our acquisition of Solect in a stock-for-stock transaction. Solect is a leading provider of Internet Protocol, or IP, billing and customer care software to Internet service providers. We also may acquire other companies where we believe we can acquire new products or services or otherwise enhance our market position or strategic strengths. There can be no assurance that suitable acquisition candidates can be found, that acquisitions can be consummated on favorable terms or that the ITDS or Solect acquisitions will enhance our products or strengthen our competitive position.</w:t>
      </w:r>
    </w:p>
    <w:p>
      <w:pPr>
        <w:spacing w:after="0" w:line="180"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Revenue derived from our five largest customer groups, excluding SBC Communications Inc. and its operating subsidiaries, accounted for approximately 39.3% of revenue in the nine months ended June 30, 2000 and 27.3%, 27.1% and 33.2% of revenue in fiscal 1999, 1998 and 1997, respectively. After giving effect to the acquisition of Mannesmann AG by Vodafone Airtouch Public Limited Company in 2000, the combined company would have been one of our largest groups of customers and would have accounted for more than 10% of our revenue in the nine months ended June 30, 2000 and in fiscal 1999.</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6" w:lineRule="exact"/>
        <w:rPr>
          <w:sz w:val="20"/>
          <w:szCs w:val="20"/>
          <w:color w:val="auto"/>
        </w:rPr>
      </w:pPr>
    </w:p>
    <w:p>
      <w:pPr>
        <w:ind w:left="440" w:right="3599"/>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One of our largest groups of customers is SBC Communications Inc., or SBC, and its operating subsidiaries. SBC International Inc., or SBCI, a wholly owned subsidiary of SBC, is also one of our significant shareholders. As of July 31, 2000, it held approximately 20.1% of our outstanding ordinary shares. A significant decrease in the sale of products and services to SBC</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or its subsidiaries may materially adversely affect our results of operations and financial condition.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Substantially all of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12.8% of our total revenue in the nine months ended June 30, 2000 and 15.9%, 20.8% and 34.5% of our total revenue in fiscal 1999, 1998 and 1997, respectively. The amount of revenue attributable to SBC and such subsidiaries amounted to $102.6 million for the nine months ended June 30, 2000, $99.5 million, $84.4 million and $99.9 million in fiscal 1999, 1998 and 1997, respectively.</w:t>
      </w:r>
    </w:p>
    <w:p>
      <w:pPr>
        <w:spacing w:after="0" w:line="179" w:lineRule="exact"/>
        <w:rPr>
          <w:sz w:val="20"/>
          <w:szCs w:val="20"/>
          <w:color w:val="auto"/>
        </w:rPr>
      </w:pPr>
    </w:p>
    <w:p>
      <w:pPr>
        <w:ind w:left="440" w:right="42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success depends in large part on our ability to attract, train, motivate and retain highly skilled information technology professionals, software programmers and communications engineers. These types of qualified personnel are in great demand and are likely to remain a limited resource for the foreseeable future. We currently employ approximately 7,200 software and information technology specialists, of which over 4,000 are located in Israel. We intensively recruit technical personnel for our principal development centers in Israel, the United States, Cyprus, Ireland and Canada.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77"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three and twelve months. Information systems for 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development facilities in Israel, the United States, Cyprus, Ireland and Canada, operate a support center in Brazil and have operations in North America, Europe, Latin America and the Asia-Pacific region. Although a majority of our revenue in fiscal 1999 was derived from customers in Europe, we obtain significant revenue from customers in North America, the Asia-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Pacific region and Latin America. Our strategy is to continue to broaden our European and North American customer base and to expand into new international markets, the most significant of which are located in Latin America and the Asia-Pacific region.</w:t>
      </w:r>
    </w:p>
    <w:p>
      <w:pPr>
        <w:spacing w:after="0" w:line="175"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Cyprus and Ireland.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late 1999, we completed our remediation and testing of systems to become Year 2000 ready. As a result of our planning and implementation efforts, we experienced no significant disruptions in mission-critical technology and non-information technology systems and believe those systems successfully responded to the Year 2000 date change. We are not aware of any material problems resulting from Year 2000 issues, either with our products and internal systems or the products and services of third parties. We will continue to monitor our mission-critical</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computer and software applications and those of our suppliers and vendors throughout the year 2000 to ensure that any latent Year 2000 matters that may arise are addressed promptly.</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contingency plans to move some development operations to various sites both within and outside of Israel in the event political or military conditions disrupt our normal operations.</w:t>
      </w:r>
    </w:p>
    <w:p>
      <w:pPr>
        <w:spacing w:after="0" w:line="179"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1"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During the last year, tensions between the parties involved increased significantly over certain military defense issues. Recently, however, the parties have agreed to enter into negotiations to be facilitated by the United Nations and the United States. Any major hostilities between Cyprus and Turkey or any failure of the parties to reach a peaceful resolution may have a material adverse effect on our development facility in Cyprus.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October 3, 2000 the closing price of our ordinary shares ranged from a high of $96.00 per share to a low of $8.38 per share. Many factors could cause the market price of our ordinary shares to rise and fall. Some of these factors are:</w:t>
      </w:r>
    </w:p>
    <w:p>
      <w:pPr>
        <w:spacing w:after="0" w:line="174"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Sales of substantial amounts of ordinary shares in the public market, or the perception that such sales could occur, could adversely affect prevailing market prices for the ordinary shares. As of July 31, 2000, we had 221,112,777 ordinary shares issued and outstanding (after giving effect to the exchange of all of the Exchangeable Shares for ordinary shares), a substantial portion of which are either freely tradeable on the NYSE or currently eligible for sale pursuant to Rule 144, under the Securities Act of 1933, or the Securities Act (subject to compliance with the volume and manner of sale limitation of Rule</w:t>
      </w:r>
    </w:p>
    <w:p>
      <w:pPr>
        <w:spacing w:after="0" w:line="2"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144), or pursuant to another exemption from the registration requirements of the Securities Act.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principal shareholders and the holders of the Exchangeable Shares have the right, in certain circumstances, to require us to register their shares under the Securities Act for resale to the public. In addition, we have registered under the Securities Act a total of 16,062,121 ordinary shares reserved for issuance upon the exercise of options that have been or may be granted under our stock option plans and stock option plans assumed by us in connection with our acquisition of ITDS and Solect. The right to exercise options outstanding under these plans is subject to certain vesting requirements.</w:t>
      </w:r>
    </w:p>
    <w:p>
      <w:pPr>
        <w:spacing w:after="0" w:line="178"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6"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statements of operations of Amdocs, ITDS and Solect presented below are derived from the historical consolidated financial statements of each of Amdocs, ITDS and Solect. On November 30, 1999 Amdocs acquired ITDS and on April 5, 2000 Amdocs acquired Solect. The unaudited pro forma condensed combined statements of operations were prepared using the purchase method of accounting, as if the transactions had been completed as of October 1, 1998.</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statements of operations are based upon the historical financial statements of Amdocs, ITDS and Solect adjusted to give effect to the business combination. The pro forma assumptions and adjustments for each transaction are described in the accompanying notes presented on the following pages. The assumptions and related pro forma adjustments have been developed from:</w:t>
      </w:r>
    </w:p>
    <w:p>
      <w:pPr>
        <w:spacing w:after="0" w:line="176" w:lineRule="exact"/>
        <w:rPr>
          <w:sz w:val="20"/>
          <w:szCs w:val="20"/>
          <w:color w:val="auto"/>
        </w:rPr>
      </w:pPr>
    </w:p>
    <w:p>
      <w:pPr>
        <w:ind w:left="620" w:right="3079" w:hanging="181"/>
        <w:spacing w:after="0" w:line="242"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Amdocs as of and for the fiscal year ended September 30, 1999 and from the unaudited financial statements of Amdocs as of and for the nine month period ended June 30, 2000;</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financial statements of ITDS as of and for the fiscal year ended December 31, 1998, from the unaudited financial statements of ITDS as of and for the nine month period ended September 30, 1999 and from the unaudited financial statements of ITDS as of and for the two month period ended November 30, 1999; and</w:t>
      </w:r>
    </w:p>
    <w:p>
      <w:pPr>
        <w:spacing w:after="0" w:line="175" w:lineRule="exact"/>
        <w:rPr>
          <w:rFonts w:ascii="Courier New" w:cs="Courier New" w:eastAsia="Courier New" w:hAnsi="Courier New"/>
          <w:sz w:val="15"/>
          <w:szCs w:val="15"/>
          <w:color w:val="auto"/>
        </w:rPr>
      </w:pPr>
    </w:p>
    <w:p>
      <w:pPr>
        <w:ind w:left="620" w:right="3079" w:hanging="181"/>
        <w:spacing w:after="0" w:line="26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consolidated financial statements of Solect as of and for the fiscal year ended July 31, 1999 (together with the unaudited reconciliation to U.S. GAAP), and from the unaudited financial statements of Solect as of and for the six month period ended January 31, 2000.</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of ITDS, we have converted approximately 17.3 million common shares of ITDS and approximately 3.0 million options to purchase common shares of ITDS into the right to receive approximately 6.5 million ordinary shares and approximately 1.1 million options to purchase ordinary shares of Amdocs. The estimated total purchase price for ITDS, based on an Amdocs share price of $28.25, including estimated transaction costs, equals approximately $189 million. We accounted for the acquisition of ITDS under the purchase method of accounting. The estimated total purchase price was allocated to ITDS' tangible assets and liabilities based on their respective estimated fair values on the date the transaction was consummated, November 30, 1999. We allocated the excess of the purchase price over the fair value of the net tangible assets acquired to identifiable intangible assets, including core technology, workforce-in-place, customer base, and in process research and development costs, and the remainder to goodwill. In addition, deferred taxes were recognized for the differences between the book and tax basis of certain intangible assets.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of Solect, we have converted approximately 24.2 million common shares of Solect and approximately 2.9 million options to purchase common shares of Solect into the right to receive approximately 13.8 million ordinary shares and approximately 1.7 million options to purchase ordinary shares of Amdocs. The estimated total purchase price for Solect, based on an Amdocs share price of $69.875 including estimated transaction costs, equals approximately $1.1 billion. We accounted for the acquisition under the purchase method of accounting. The estimated total purchase price was allocated to Solect's tangible assets and liabilities based on their respective estimated fair values on the date the transaction was consummated, April 5, 2000. We allocated the excess of the purchase price over the fair value of the net tangible assets acquired to identifiable intangible assets, including core technology, workforce-in-place, customer base, and in process research and development costs, and the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remainder to goodwill. In addition, deferred taxes were recognized for the differences between the book and tax basis of certain intangible assets.</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statements of operations are provided for illustrative purposes only and do not purport to represent what the actual consolidated results of operations or the consolidated financial position Amdocs would have been had the acquisitions occurred on the dates assumed, nor is it necessarily indicative of future consolidated results of operations or financial position.</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unaudited pro forma condensed combined statements of operations do not include the realization of cost savings from operating efficiencies, synergies or other restructurings resulting from the acquisitions.</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The following unaudited pro forma condensed combined statements of operations and notes thereto contain forward-looking statements that involve risks and uncertainties.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gridSpan w:val="6"/>
          </w:tcPr>
          <w:p>
            <w:pPr>
              <w:ind w:left="1520"/>
              <w:spacing w:after="0"/>
              <w:rPr>
                <w:sz w:val="20"/>
                <w:szCs w:val="20"/>
                <w:color w:val="auto"/>
              </w:rPr>
            </w:pPr>
            <w:r>
              <w:rPr>
                <w:rFonts w:ascii="Courier New" w:cs="Courier New" w:eastAsia="Courier New" w:hAnsi="Courier New"/>
                <w:sz w:val="15"/>
                <w:szCs w:val="15"/>
                <w:color w:val="auto"/>
              </w:rPr>
              <w:t>FOR THE TWELVE MONTHS ENDED SEPTEMBER 30, 1999</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8"/>
        </w:trPr>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88"/>
              </w:rPr>
              <w:t>ITDS</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PRE-SOLECT</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6"/>
              </w:rPr>
              <w:t>SOLECT</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AMDOCS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ITDS</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PRO FORMA</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SOLECT</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HISTORICAL</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ADJUSTMENTS</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COMBINED</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HISTORICAL</w:t>
            </w:r>
          </w:p>
        </w:tc>
        <w:tc>
          <w:tcPr>
            <w:tcW w:w="15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ADJUSTMENTS</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20" w:type="dxa"/>
            <w:vAlign w:val="bottom"/>
            <w:gridSpan w:val="4"/>
          </w:tcPr>
          <w:p>
            <w:pPr>
              <w:ind w:left="320"/>
              <w:spacing w:after="0"/>
              <w:rPr>
                <w:sz w:val="20"/>
                <w:szCs w:val="20"/>
                <w:color w:val="auto"/>
              </w:rPr>
            </w:pPr>
            <w:r>
              <w:rPr>
                <w:rFonts w:ascii="Courier New" w:cs="Courier New" w:eastAsia="Courier New" w:hAnsi="Courier New"/>
                <w:sz w:val="15"/>
                <w:szCs w:val="15"/>
                <w:color w:val="auto"/>
                <w:w w:val="99"/>
              </w:rPr>
              <w:t>(IN U.S. DOLLARS, UNLESS OTHERWISE STATED)</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$626,855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$139,151</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$766,006</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9,647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$775,653</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363,324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62,594</w:t>
            </w:r>
          </w:p>
        </w:tc>
        <w:tc>
          <w:tcPr>
            <w:tcW w:w="4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(3,681)(A2)</w:t>
            </w:r>
          </w:p>
        </w:tc>
        <w:tc>
          <w:tcPr>
            <w:tcW w:w="1260" w:type="dxa"/>
            <w:vAlign w:val="bottom"/>
          </w:tcPr>
          <w:p>
            <w:pPr>
              <w:spacing w:after="0"/>
              <w:rPr>
                <w:sz w:val="14"/>
                <w:szCs w:val="14"/>
                <w:color w:val="auto"/>
              </w:rPr>
            </w:pP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6,262</w:t>
            </w: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9,130(B2)</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1,081(A3)</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423,318</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1,086(B3)</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439,796</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Research and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40,874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17,015</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57,889</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4,891</w:t>
            </w:r>
          </w:p>
        </w:tc>
        <w:tc>
          <w:tcPr>
            <w:tcW w:w="22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62,780</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75,659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33,470</w:t>
            </w: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1,420(A1)</w:t>
            </w:r>
          </w:p>
        </w:tc>
        <w:tc>
          <w:tcPr>
            <w:tcW w:w="1260" w:type="dxa"/>
            <w:vAlign w:val="bottom"/>
          </w:tcPr>
          <w:p>
            <w:pPr>
              <w:spacing w:after="0"/>
              <w:rPr>
                <w:sz w:val="14"/>
                <w:szCs w:val="14"/>
                <w:color w:val="auto"/>
              </w:rPr>
            </w:pP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8,278</w:t>
            </w: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197,262(B1)</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129(A3)</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404(B3)</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(1,163)(A5)</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109,515</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315,459</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479,857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113,079</w:t>
            </w:r>
          </w:p>
        </w:tc>
        <w:tc>
          <w:tcPr>
            <w:tcW w:w="420" w:type="dxa"/>
            <w:vAlign w:val="bottom"/>
          </w:tcPr>
          <w:p>
            <w:pPr>
              <w:spacing w:after="0"/>
              <w:rPr>
                <w:sz w:val="14"/>
                <w:szCs w:val="14"/>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(2,214)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590,722</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19,431</w:t>
            </w:r>
          </w:p>
        </w:tc>
        <w:tc>
          <w:tcPr>
            <w:tcW w:w="22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207,882</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818,035</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146,998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26,072</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175,284</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(9,784)</w:t>
            </w:r>
          </w:p>
        </w:tc>
        <w:tc>
          <w:tcPr>
            <w:tcW w:w="220" w:type="dxa"/>
            <w:vAlign w:val="bottom"/>
          </w:tcPr>
          <w:p>
            <w:pPr>
              <w:spacing w:after="0"/>
              <w:rPr>
                <w:sz w:val="14"/>
                <w:szCs w:val="14"/>
                <w:color w:val="auto"/>
              </w:rPr>
            </w:pP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(207,882)</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(42,382)</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(6,223)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1,679</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(4,544)</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(750)</w:t>
            </w:r>
          </w:p>
        </w:tc>
        <w:tc>
          <w:tcPr>
            <w:tcW w:w="2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942(B6)</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(4,352)</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140,775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27,751</w:t>
            </w:r>
          </w:p>
        </w:tc>
        <w:tc>
          <w:tcPr>
            <w:tcW w:w="420" w:type="dxa"/>
            <w:vAlign w:val="bottom"/>
          </w:tcPr>
          <w:p>
            <w:pPr>
              <w:spacing w:after="0"/>
              <w:rPr>
                <w:sz w:val="14"/>
                <w:szCs w:val="1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2,214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170,740</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(10,534)</w:t>
            </w:r>
          </w:p>
        </w:tc>
        <w:tc>
          <w:tcPr>
            <w:tcW w:w="220" w:type="dxa"/>
            <w:vAlign w:val="bottom"/>
          </w:tcPr>
          <w:p>
            <w:pPr>
              <w:spacing w:after="0"/>
              <w:rPr>
                <w:sz w:val="14"/>
                <w:szCs w:val="14"/>
                <w:color w:val="auto"/>
              </w:rPr>
            </w:pP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(206,940)</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(46,734)</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10,950</w:t>
            </w:r>
          </w:p>
        </w:tc>
        <w:tc>
          <w:tcPr>
            <w:tcW w:w="42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505(A4)</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53,687</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(4,248)(B4)</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49,490</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$ 98,543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$ 16,801</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$ 1,709</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$117,053</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$(10,585)</w:t>
            </w:r>
          </w:p>
        </w:tc>
        <w:tc>
          <w:tcPr>
            <w:tcW w:w="15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$(202,692)</w:t>
            </w:r>
          </w:p>
        </w:tc>
        <w:tc>
          <w:tcPr>
            <w:tcW w:w="11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$(96,224)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Basic earnings (loss) per</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(0.44)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Diluted earnings (loss)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(0.44)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Basic weighted average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number of shares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197,436</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217,733</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Diluted weighted average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number of shares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200,262</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217,733(C)</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See notes to Unaudited Pro Forma Condensed Combined Statements of Operations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for discussion of adjustments.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520"/>
          </w:cols>
          <w:pgMar w:left="240" w:top="289" w:right="13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2"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FOR THE NINE MONTHS ENDED JUNE 30,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ITDS</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6"/>
              </w:rPr>
              <w:t>SOLECT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AMDOCS</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ITDS</w:t>
            </w:r>
          </w:p>
        </w:tc>
        <w:tc>
          <w:tcPr>
            <w:tcW w:w="1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SOLECT</w:t>
            </w: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center"/>
              <w:ind w:right="125"/>
              <w:spacing w:after="0"/>
              <w:rPr>
                <w:sz w:val="20"/>
                <w:szCs w:val="20"/>
                <w:color w:val="auto"/>
              </w:rPr>
            </w:pPr>
            <w:r>
              <w:rPr>
                <w:rFonts w:ascii="Courier New" w:cs="Courier New" w:eastAsia="Courier New" w:hAnsi="Courier New"/>
                <w:sz w:val="15"/>
                <w:szCs w:val="15"/>
                <w:color w:val="auto"/>
                <w:w w:val="99"/>
              </w:rPr>
              <w:t>HISTORICAL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ADJUSTMENTS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HISTORICAL</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20" w:type="dxa"/>
            <w:vAlign w:val="bottom"/>
            <w:gridSpan w:val="5"/>
          </w:tcPr>
          <w:p>
            <w:pPr>
              <w:jc w:val="right"/>
              <w:ind w:right="114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00" w:type="dxa"/>
            <w:vAlign w:val="bottom"/>
            <w:gridSpan w:val="6"/>
          </w:tcPr>
          <w:p>
            <w:pPr>
              <w:jc w:val="right"/>
              <w:ind w:right="965"/>
              <w:spacing w:after="0"/>
              <w:rPr>
                <w:sz w:val="20"/>
                <w:szCs w:val="20"/>
                <w:color w:val="auto"/>
              </w:rPr>
            </w:pPr>
            <w:r>
              <w:rPr>
                <w:rFonts w:ascii="Courier New" w:cs="Courier New" w:eastAsia="Courier New" w:hAnsi="Courier New"/>
                <w:sz w:val="15"/>
                <w:szCs w:val="15"/>
                <w:color w:val="auto"/>
              </w:rPr>
              <w:t>(IN U.S. DOLLARS, UNLESS OTHERWISE STATED)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16"/>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$803,253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$23,289</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$11,174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$837,716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466,771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11,841</w:t>
            </w:r>
          </w:p>
        </w:tc>
        <w:tc>
          <w:tcPr>
            <w:tcW w:w="48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(1,120)(A2)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6,607</w:t>
            </w: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484,099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52,958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5,384</w:t>
            </w:r>
          </w:p>
        </w:tc>
        <w:tc>
          <w:tcPr>
            <w:tcW w:w="48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3,416</w:t>
            </w: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61,758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97,868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11,311</w:t>
            </w:r>
          </w:p>
        </w:tc>
        <w:tc>
          <w:tcPr>
            <w:tcW w:w="48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(575)(A1)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6,308</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(5,825)(A5)</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109,087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purchased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intangible assets...................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56,870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787(A1)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4,565(B2)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411(A2)</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543(B3)</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180(A3)</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98,631(B1)</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22(A3)</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202(B3)</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162,211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 process research and development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and other indirect acquisition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related costs.......................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75,617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(19,876)(A6)</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(55,741)(B5)</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750,084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28,536</w:t>
            </w:r>
          </w:p>
        </w:tc>
        <w:tc>
          <w:tcPr>
            <w:tcW w:w="4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(25,996)</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16,331</w:t>
            </w: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48,200</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817,155</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53,169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(5,247)</w:t>
            </w:r>
          </w:p>
        </w:tc>
        <w:tc>
          <w:tcPr>
            <w:tcW w:w="48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(5,157)</w:t>
            </w:r>
          </w:p>
        </w:tc>
        <w:tc>
          <w:tcPr>
            <w:tcW w:w="32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(48,200)</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20,561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 income (expenses), net..........</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6,018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w:t>
            </w:r>
          </w:p>
        </w:tc>
        <w:tc>
          <w:tcPr>
            <w:tcW w:w="48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w:t>
            </w:r>
          </w:p>
        </w:tc>
        <w:tc>
          <w:tcPr>
            <w:tcW w:w="320" w:type="dxa"/>
            <w:vAlign w:val="bottom"/>
          </w:tcPr>
          <w:p>
            <w:pPr>
              <w:spacing w:after="0"/>
              <w:rPr>
                <w:sz w:val="14"/>
                <w:szCs w:val="14"/>
                <w:color w:val="auto"/>
              </w:rPr>
            </w:pPr>
          </w:p>
        </w:tc>
        <w:tc>
          <w:tcPr>
            <w:tcW w:w="13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704(B6)</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6,311</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59,187</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c>
          <w:tcPr>
            <w:tcW w:w="480" w:type="dxa"/>
            <w:vAlign w:val="bottom"/>
          </w:tcPr>
          <w:p>
            <w:pPr>
              <w:spacing w:after="0"/>
              <w:rPr>
                <w:sz w:val="14"/>
                <w:szCs w:val="1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(5,954)</w:t>
            </w:r>
          </w:p>
        </w:tc>
        <w:tc>
          <w:tcPr>
            <w:tcW w:w="320" w:type="dxa"/>
            <w:vAlign w:val="bottom"/>
          </w:tcPr>
          <w:p>
            <w:pPr>
              <w:spacing w:after="0"/>
              <w:rPr>
                <w:sz w:val="14"/>
                <w:szCs w:val="1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(47,496)</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26,872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66,202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1,156</w:t>
            </w:r>
          </w:p>
        </w:tc>
        <w:tc>
          <w:tcPr>
            <w:tcW w:w="48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110(A4)</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(2,124)(B4)</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65,381</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(7,015)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$(6,017)</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25,886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$(5,991)</w:t>
            </w:r>
          </w:p>
        </w:tc>
        <w:tc>
          <w:tcPr>
            <w:tcW w:w="16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 (45,372)</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$(38,509)</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(0.18)</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(0.18)</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2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208,706</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219,371</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26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208,706(C)</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219,371(C)</w:t>
            </w:r>
          </w:p>
        </w:tc>
      </w:tr>
      <w:tr>
        <w:trPr>
          <w:trHeight w:val="172"/>
        </w:trPr>
        <w:tc>
          <w:tcPr>
            <w:tcW w:w="348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See notes to Unaudited Pro Forma Condensed Combined Statements of Operations</w:t>
      </w:r>
    </w:p>
    <w:p>
      <w:pPr>
        <w:spacing w:after="0" w:line="2"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for discussion of adjustments.</w:t>
      </w:r>
    </w:p>
    <w:p>
      <w:pPr>
        <w:spacing w:after="0" w:line="2"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360"/>
          </w:cols>
          <w:pgMar w:left="240" w:top="289" w:right="299"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COMBINED STATEMENTS OF OPERATIONS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ITDS TRANSACTION: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acquired ITDS on November 30, 1999. Accordingly, ITDS' operations are included in the historical results of Amdocs from that date. The amounts presented under the columns headed Nine Months Ended June 30, 2000 represent the historical results of ITDS for the two months ended November 30, 1999.</w:t>
      </w:r>
    </w:p>
    <w:p>
      <w:pPr>
        <w:spacing w:after="0" w:line="175" w:lineRule="exact"/>
        <w:rPr>
          <w:sz w:val="20"/>
          <w:szCs w:val="20"/>
          <w:color w:val="auto"/>
        </w:rPr>
      </w:pPr>
    </w:p>
    <w:p>
      <w:pPr>
        <w:ind w:right="3159" w:firstLine="439"/>
        <w:spacing w:after="0"/>
        <w:tabs>
          <w:tab w:leader="none" w:pos="8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goodwill resulting from the acquisition of ITDS: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TWELVE MONTHS</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Amortization expense relating to goodwill</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$70,797 over 15 years...............</w:t>
            </w: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$ 4,720</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$ 787</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(3,300)</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(575)</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Additional goodwill amortization, net....</w:t>
            </w: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$ 1,420</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$ 212</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99" w:firstLine="439"/>
        <w:spacing w:after="0" w:line="267" w:lineRule="auto"/>
        <w:tabs>
          <w:tab w:leader="none" w:pos="80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ITDS' historical amortization of intellectual property and core technology and the amortization of the core technology resulting from the valuation at the time of the acquisition:</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TWELVE MONTHS</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42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8"/>
              </w:rPr>
              <w:t>ENDED JUNE 30,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8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2000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7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Amortization expense relating to core</w:t>
            </w: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of $12,342 over 5 years.....</w:t>
            </w: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$ 2,468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411</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(6,149)</w:t>
            </w:r>
          </w:p>
        </w:tc>
        <w:tc>
          <w:tcPr>
            <w:tcW w:w="5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(1,120)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Reduction of amortization expense related</w:t>
            </w:r>
          </w:p>
        </w:tc>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 core technology, net................</w:t>
            </w:r>
          </w:p>
        </w:tc>
        <w:tc>
          <w:tcPr>
            <w:tcW w:w="1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$(3,681)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(709)</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39"/>
        <w:spacing w:after="0"/>
        <w:tabs>
          <w:tab w:leader="none" w:pos="8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 list,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TWELVE MONTHS</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740" w:type="dxa"/>
            <w:vAlign w:val="bottom"/>
          </w:tcPr>
          <w:p>
            <w:pPr>
              <w:spacing w:after="0"/>
              <w:rPr>
                <w:sz w:val="14"/>
                <w:szCs w:val="14"/>
                <w:color w:val="auto"/>
              </w:rPr>
            </w:pP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jc w:val="right"/>
              <w:ind w:right="805"/>
              <w:spacing w:after="0"/>
              <w:rPr>
                <w:sz w:val="20"/>
                <w:szCs w:val="20"/>
                <w:color w:val="auto"/>
              </w:rPr>
            </w:pPr>
            <w:r>
              <w:rPr>
                <w:rFonts w:ascii="Courier New" w:cs="Courier New" w:eastAsia="Courier New" w:hAnsi="Courier New"/>
                <w:sz w:val="15"/>
                <w:szCs w:val="15"/>
                <w:color w:val="auto"/>
                <w:w w:val="98"/>
              </w:rPr>
              <w:t>Amortization expense relating to</w:t>
            </w: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3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workforce-in-place of $5,407 over 5</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years..................................</w:t>
            </w:r>
          </w:p>
        </w:tc>
        <w:tc>
          <w:tcPr>
            <w:tcW w:w="19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$1,081</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$180</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Amortization expense relating to customer</w:t>
            </w:r>
          </w:p>
        </w:tc>
        <w:tc>
          <w:tcPr>
            <w:tcW w:w="19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base of $647 over 5 years..............</w:t>
            </w:r>
          </w:p>
        </w:tc>
        <w:tc>
          <w:tcPr>
            <w:tcW w:w="19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129</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w:t>
            </w:r>
          </w:p>
        </w:tc>
      </w:tr>
    </w:tbl>
    <w:p>
      <w:pPr>
        <w:spacing w:after="0" w:line="348" w:lineRule="exact"/>
        <w:rPr>
          <w:sz w:val="20"/>
          <w:szCs w:val="20"/>
          <w:color w:val="auto"/>
        </w:rPr>
      </w:pPr>
    </w:p>
    <w:p>
      <w:pPr>
        <w:ind w:right="3159" w:firstLine="439"/>
        <w:spacing w:after="0" w:line="241" w:lineRule="auto"/>
        <w:tabs>
          <w:tab w:leader="none" w:pos="8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list and the respective tax basis of such assets.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ITDS transaction costs.</w:t>
      </w:r>
    </w:p>
    <w:p>
      <w:pPr>
        <w:spacing w:after="0" w:line="175" w:lineRule="exact"/>
        <w:rPr>
          <w:rFonts w:ascii="Courier New" w:cs="Courier New" w:eastAsia="Courier New" w:hAnsi="Courier New"/>
          <w:sz w:val="15"/>
          <w:szCs w:val="15"/>
          <w:color w:val="auto"/>
        </w:rPr>
      </w:pPr>
    </w:p>
    <w:p>
      <w:pPr>
        <w:ind w:right="3339" w:firstLine="439"/>
        <w:spacing w:after="0" w:line="241" w:lineRule="auto"/>
        <w:tabs>
          <w:tab w:leader="none" w:pos="8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expenses included in Amdocs' historical financial statements as a result of the ITDS acquisition.</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type w:val="continuous"/>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PRO FORMA CONDENSED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COMBINED STATEMENTS OF OPERATIONS -- (CONTINUED)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 SOLECT TRANSACTION:</w:t>
      </w:r>
    </w:p>
    <w:p>
      <w:pPr>
        <w:spacing w:after="0" w:line="176" w:lineRule="exact"/>
        <w:rPr>
          <w:sz w:val="20"/>
          <w:szCs w:val="20"/>
          <w:color w:val="auto"/>
        </w:rPr>
      </w:pPr>
    </w:p>
    <w:p>
      <w:pPr>
        <w:ind w:left="8" w:right="3259" w:firstLine="447"/>
        <w:spacing w:after="0" w:line="262" w:lineRule="auto"/>
        <w:rPr>
          <w:sz w:val="20"/>
          <w:szCs w:val="20"/>
          <w:color w:val="auto"/>
        </w:rPr>
      </w:pPr>
      <w:r>
        <w:rPr>
          <w:rFonts w:ascii="Courier New" w:cs="Courier New" w:eastAsia="Courier New" w:hAnsi="Courier New"/>
          <w:sz w:val="14"/>
          <w:szCs w:val="14"/>
          <w:color w:val="auto"/>
        </w:rPr>
        <w:t>Amdocs acquired Solect on April 5, 2000. Accordingly, Solect's operations are included in the historical results of Amdocs from that date. The amounts presented under the columns headed Twelve Months Ended September 30, 1999 and Nine Months Ended June 30, 2000 represent the historical results of Solect for the 12 months ended July 31, 1999 and six months ended January 31, 2000, respectively. There were no substantial changes in Solect's financial position or results of operations during the two month period ended March 31, 2000.</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(1) Reflects the amortization of goodwill resulting from the acquisition:</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TWELVE MONTHS</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ENDED SEPTEMBER 30,</w:t>
      </w:r>
    </w:p>
    <w:p>
      <w:pPr>
        <w:spacing w:after="0" w:line="12"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1999</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NINE MONTHS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JUNE 30,</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5448" w:space="360"/>
            <w:col w:w="441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Amortization expense relating to</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goodwill of $986,312 over 5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$197,262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$98,631</w:t>
      </w:r>
    </w:p>
    <w:p>
      <w:pPr>
        <w:spacing w:after="0" w:line="209" w:lineRule="exact"/>
        <w:rPr>
          <w:sz w:val="20"/>
          <w:szCs w:val="20"/>
          <w:color w:val="auto"/>
        </w:rPr>
      </w:pPr>
    </w:p>
    <w:p>
      <w:pPr>
        <w:sectPr>
          <w:pgSz w:w="11900" w:h="16838" w:orient="portrait"/>
          <w:cols w:equalWidth="0" w:num="3">
            <w:col w:w="3568" w:space="640"/>
            <w:col w:w="1240" w:space="720"/>
            <w:col w:w="4059"/>
          </w:cols>
          <w:pgMar w:left="232" w:top="289" w:right="1440" w:bottom="1440" w:gutter="0" w:footer="0" w:header="0"/>
          <w:type w:val="continuous"/>
        </w:sectPr>
      </w:pPr>
    </w:p>
    <w:p>
      <w:pPr>
        <w:spacing w:after="0" w:line="148" w:lineRule="exact"/>
        <w:rPr>
          <w:sz w:val="20"/>
          <w:szCs w:val="20"/>
          <w:color w:val="auto"/>
        </w:rPr>
      </w:pPr>
    </w:p>
    <w:p>
      <w:pPr>
        <w:ind w:left="8" w:right="3779" w:firstLine="439"/>
        <w:spacing w:after="0"/>
        <w:tabs>
          <w:tab w:leader="none" w:pos="81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the core technology resulting from the valuation at the time of the acquisition:</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9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TWELVE MONTHS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660" w:type="dxa"/>
            <w:vAlign w:val="bottom"/>
          </w:tcPr>
          <w:p>
            <w:pPr>
              <w:spacing w:after="0"/>
              <w:rPr>
                <w:sz w:val="14"/>
                <w:szCs w:val="14"/>
                <w:color w:val="auto"/>
              </w:rPr>
            </w:pPr>
          </w:p>
        </w:tc>
        <w:tc>
          <w:tcPr>
            <w:tcW w:w="19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ENDED SEPTEMBER 30,</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w w:val="98"/>
              </w:rPr>
              <w:t>ENDED JUNE 30,</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2000</w:t>
            </w:r>
          </w:p>
        </w:tc>
      </w:tr>
      <w:tr>
        <w:trPr>
          <w:trHeight w:val="172"/>
        </w:trPr>
        <w:tc>
          <w:tcPr>
            <w:tcW w:w="3660" w:type="dxa"/>
            <w:vAlign w:val="bottom"/>
          </w:tcPr>
          <w:p>
            <w:pPr>
              <w:spacing w:after="0"/>
              <w:rPr>
                <w:sz w:val="14"/>
                <w:szCs w:val="14"/>
                <w:color w:val="auto"/>
              </w:rPr>
            </w:pPr>
          </w:p>
        </w:tc>
        <w:tc>
          <w:tcPr>
            <w:tcW w:w="19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 core</w:t>
            </w:r>
          </w:p>
        </w:tc>
        <w:tc>
          <w:tcPr>
            <w:tcW w:w="19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technology of $18,259 over 2 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$9,130</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$4,565</w:t>
            </w:r>
          </w:p>
        </w:tc>
      </w:tr>
    </w:tbl>
    <w:p>
      <w:pPr>
        <w:spacing w:after="0" w:line="348" w:lineRule="exact"/>
        <w:rPr>
          <w:sz w:val="20"/>
          <w:szCs w:val="20"/>
          <w:color w:val="auto"/>
        </w:rPr>
      </w:pPr>
    </w:p>
    <w:p>
      <w:pPr>
        <w:ind w:left="8" w:right="3079" w:firstLine="439"/>
        <w:spacing w:after="0"/>
        <w:tabs>
          <w:tab w:leader="none" w:pos="81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the workforce-in-place and customers base,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TWELVE MONTHS</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ENDED SEPTEMBER 30,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660" w:type="dxa"/>
            <w:vAlign w:val="bottom"/>
          </w:tcPr>
          <w:p>
            <w:pPr>
              <w:spacing w:after="0"/>
              <w:rPr>
                <w:sz w:val="14"/>
                <w:szCs w:val="14"/>
                <w:color w:val="auto"/>
              </w:rPr>
            </w:pP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w:t>
            </w:r>
          </w:p>
        </w:tc>
        <w:tc>
          <w:tcPr>
            <w:tcW w:w="19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workforce-in-place of $3,259 over 3</w:t>
            </w:r>
          </w:p>
        </w:tc>
        <w:tc>
          <w:tcPr>
            <w:tcW w:w="19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$1,086</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$543</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Amortization expense relating to</w:t>
            </w:r>
          </w:p>
        </w:tc>
        <w:tc>
          <w:tcPr>
            <w:tcW w:w="19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customer base of $1,211 over 3</w:t>
            </w:r>
          </w:p>
        </w:tc>
        <w:tc>
          <w:tcPr>
            <w:tcW w:w="19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years.................................</w:t>
            </w:r>
          </w:p>
        </w:tc>
        <w:tc>
          <w:tcPr>
            <w:tcW w:w="19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404</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202</w:t>
            </w:r>
          </w:p>
        </w:tc>
      </w:tr>
    </w:tbl>
    <w:p>
      <w:pPr>
        <w:spacing w:after="0" w:line="348" w:lineRule="exact"/>
        <w:rPr>
          <w:sz w:val="20"/>
          <w:szCs w:val="20"/>
          <w:color w:val="auto"/>
        </w:rPr>
      </w:pPr>
    </w:p>
    <w:p>
      <w:pPr>
        <w:ind w:left="8" w:right="3259" w:firstLine="439"/>
        <w:spacing w:after="0" w:line="241" w:lineRule="auto"/>
        <w:tabs>
          <w:tab w:leader="none" w:pos="81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resulting from the differences between the values assigned to core technology, workforce-in-place and customer base and their respective tax basis.</w:t>
      </w:r>
    </w:p>
    <w:p>
      <w:pPr>
        <w:spacing w:after="0" w:line="176" w:lineRule="exact"/>
        <w:rPr>
          <w:rFonts w:ascii="Courier New" w:cs="Courier New" w:eastAsia="Courier New" w:hAnsi="Courier New"/>
          <w:sz w:val="15"/>
          <w:szCs w:val="15"/>
          <w:color w:val="auto"/>
        </w:rPr>
      </w:pPr>
    </w:p>
    <w:p>
      <w:pPr>
        <w:ind w:left="8" w:right="3259" w:firstLine="439"/>
        <w:spacing w:after="0" w:line="241" w:lineRule="auto"/>
        <w:tabs>
          <w:tab w:leader="none" w:pos="81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elimination of in process research and development and other indirect acquisition related costs included in Amdocs' historical financial statements as a result of the Solect acquisition.</w:t>
      </w:r>
    </w:p>
    <w:p>
      <w:pPr>
        <w:spacing w:after="0" w:line="176" w:lineRule="exact"/>
        <w:rPr>
          <w:rFonts w:ascii="Courier New" w:cs="Courier New" w:eastAsia="Courier New" w:hAnsi="Courier New"/>
          <w:sz w:val="15"/>
          <w:szCs w:val="15"/>
          <w:color w:val="auto"/>
        </w:rPr>
      </w:pPr>
    </w:p>
    <w:p>
      <w:pPr>
        <w:ind w:left="8" w:right="3259" w:firstLine="439"/>
        <w:spacing w:after="0"/>
        <w:tabs>
          <w:tab w:leader="none" w:pos="81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decrease in interest expenses related to Solect's debentures that converted to common stock prior to the closing.</w:t>
      </w:r>
    </w:p>
    <w:p>
      <w:pPr>
        <w:spacing w:after="0" w:line="176" w:lineRule="exact"/>
        <w:rPr>
          <w:rFonts w:ascii="Courier New" w:cs="Courier New" w:eastAsia="Courier New" w:hAnsi="Courier New"/>
          <w:sz w:val="15"/>
          <w:szCs w:val="15"/>
          <w:color w:val="auto"/>
        </w:rPr>
      </w:pPr>
    </w:p>
    <w:p>
      <w:pPr>
        <w:ind w:left="348" w:right="3079"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shares used in the diluted loss per share calculation does not include any stock options due to their anti-dilutive effect.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89" w:right="1440" w:bottom="1440" w:gutter="0" w:footer="0" w:header="0"/>
          <w:type w:val="continuous"/>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SELLING SHAREHOLDERS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April 5, 2000, we acquired Solect in a stock-for-stock transaction. In connection with the business combination between us and Solect under a Combination Agreement dated February 28, 2000, the former common shareholders of Solect received 13,846,295 exchangeable shares of Solect, which are exchangeable or have been exchanged for 13,846,295 of our ordinary shares (these shares being referred to in this prospectus as the "Exchangeable Shares"). Before any sale of shares by this prospectus, those former common shareholders of Solect who are selling shareholders will exchange Exchangeable Shares into the ordinary shares that will be sold pursuant to this prospectus. Under the terms of a registration rights agreement dated April 5, 2000 entered into in connection with the business combination between us, Solect and some of Solect's former common shareholders, we agreed to file three registration statements under the Securities Act of 1933, each to register the sale of a third of the original registrable securities held by or issuable to the former Solect common shareholders who are parties to the registration rights agreement or subsequently agreed to be bound by it. The first of such registration statements was declared effective on July 5, 2000 and this prospectus is part of the second of such registration statements. The third of such registration statements is expected to be effective within 12 months of the closing of the Solect acquisition. The registration rights agreement requires us to use our commercially reasonable efforts to keep such registration statements effective until the earlier of (1) April 5, 2002, (2) the date on which all of the shares covered by such registration statements have been sold, and (3) the date on which all of the shares covered by such registration statements can be sold without registration without regard to Rule 144's volume restrictions.</w:t>
      </w:r>
    </w:p>
    <w:p>
      <w:pPr>
        <w:spacing w:after="0" w:line="189"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following table sets forth certain information concerning the selling shareholders: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2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SHARES BENEFICIALLY</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MAXIMUM</w:t>
            </w:r>
          </w:p>
        </w:tc>
        <w:tc>
          <w:tcPr>
            <w:tcW w:w="196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SHARES BENEFICIALLY</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OWNED</w:t>
            </w:r>
          </w:p>
        </w:tc>
        <w:tc>
          <w:tcPr>
            <w:tcW w:w="8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NUMBER OF</w:t>
            </w:r>
          </w:p>
        </w:tc>
        <w:tc>
          <w:tcPr>
            <w:tcW w:w="196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rPr>
              <w:t>OWNED AFTER THE</w:t>
            </w:r>
          </w:p>
        </w:tc>
      </w:tr>
      <w:tr>
        <w:trPr>
          <w:trHeight w:val="172"/>
        </w:trPr>
        <w:tc>
          <w:tcPr>
            <w:tcW w:w="3040" w:type="dxa"/>
            <w:vAlign w:val="bottom"/>
          </w:tcPr>
          <w:p>
            <w:pPr>
              <w:spacing w:after="0"/>
              <w:rPr>
                <w:sz w:val="14"/>
                <w:szCs w:val="14"/>
                <w:color w:val="auto"/>
              </w:rPr>
            </w:pPr>
          </w:p>
        </w:tc>
        <w:tc>
          <w:tcPr>
            <w:tcW w:w="2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PRIOR TO THE OFFERING</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196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rPr>
              <w:t>OFFERING(1)</w:t>
            </w:r>
          </w:p>
        </w:tc>
      </w:tr>
      <w:tr>
        <w:trPr>
          <w:trHeight w:val="172"/>
        </w:trPr>
        <w:tc>
          <w:tcPr>
            <w:tcW w:w="3040" w:type="dxa"/>
            <w:vAlign w:val="bottom"/>
          </w:tcPr>
          <w:p>
            <w:pPr>
              <w:spacing w:after="0"/>
              <w:rPr>
                <w:sz w:val="14"/>
                <w:szCs w:val="14"/>
                <w:color w:val="auto"/>
              </w:rPr>
            </w:pPr>
          </w:p>
        </w:tc>
        <w:tc>
          <w:tcPr>
            <w:tcW w:w="22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BEING</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PERCENT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OFFERED</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304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7"/>
              </w:rPr>
              <w:t>Telcordia Venture Capital</w:t>
            </w: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Corporation....................</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4,611,164</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2.09%</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3,074,110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1,537,054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TCV Solect (A)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338,529</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169,265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169,264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TCV Solect (B)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347,170</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173,586</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173,584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TCV Solect (C)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426,222</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213,112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213,110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BCS Investment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415,083</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207,544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207,539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WPG Networking-Software SRL......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481,188</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274,230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206,958</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Coastdock &amp; Co...................</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373,548</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199,032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174,516</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Morgan Stanley Dean Witter Equity</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Funding, Inc...................</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33,206</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16,603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16,603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G&amp;H Partners.....................</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3,321</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Tom Campbell.....................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3,307</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Stephen Carson...................</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2,291</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1,528</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Raj Mehra........................</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1,743</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2"/>
        </w:trPr>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Total............................</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7,036,772</w:t>
            </w:r>
          </w:p>
        </w:tc>
        <w:tc>
          <w:tcPr>
            <w:tcW w:w="8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4,333,487</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2,703,285</w:t>
            </w:r>
          </w:p>
        </w:tc>
        <w:tc>
          <w:tcPr>
            <w:tcW w:w="620" w:type="dxa"/>
            <w:vAlign w:val="bottom"/>
          </w:tcPr>
          <w:p>
            <w:pPr>
              <w:spacing w:after="0"/>
              <w:rPr>
                <w:sz w:val="14"/>
                <w:szCs w:val="14"/>
                <w:color w:val="auto"/>
              </w:rPr>
            </w:pPr>
          </w:p>
        </w:tc>
      </w:tr>
    </w:tbl>
    <w:p>
      <w:pPr>
        <w:spacing w:after="0" w:line="346"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6" w:lineRule="exact"/>
        <w:rPr>
          <w:sz w:val="20"/>
          <w:szCs w:val="20"/>
          <w:color w:val="auto"/>
        </w:rPr>
      </w:pPr>
    </w:p>
    <w:p>
      <w:pPr>
        <w:ind w:left="348" w:right="3159" w:hanging="348"/>
        <w:spacing w:after="0" w:line="241"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shareholders may sell from time to time all or a portion of the shares being offered. The amounts shown assume the sale of all the shares being offered by each selling shareholder.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Our ordinary shares being offered by this prospectus are being registered to allow public secondary trading by the holders of such ordinary shares from time to time after the date of this prospectus. We will not receive any of the proceeds from the offering of these ordinary shares by the selling shareholders.</w:t>
      </w:r>
    </w:p>
    <w:p>
      <w:pPr>
        <w:spacing w:after="0" w:line="16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have been advised by the selling shareholders that the shares offered by this prospectus may be sold from time to time by or for the account of the selling shareholders pursuant to this prospectus or pursuant to Rule 144 under the Securities Act of 1933. Sales of shares pursuant to this prospectus may be made in the over-the-counter market, on the New York Stock Exchange or otherwise at prices and on terms then prevailing or at prices related to the then current market price (in each case as determined by the selling shareholders). Sales may be made directly or through agents designated from time to time, or through dealers or underwriters to be designated or in negotiated transactions.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shares may be sold in one or more of the following ways:</w:t>
      </w:r>
    </w:p>
    <w:p>
      <w:pPr>
        <w:spacing w:after="0" w:line="176" w:lineRule="exact"/>
        <w:rPr>
          <w:sz w:val="20"/>
          <w:szCs w:val="20"/>
          <w:color w:val="auto"/>
        </w:rPr>
      </w:pPr>
    </w:p>
    <w:p>
      <w:pPr>
        <w:jc w:val="both"/>
        <w:ind w:left="620" w:right="3079" w:hanging="181"/>
        <w:spacing w:after="0" w:line="241"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seller's broker or dealer will attempt to sell the shares as agent but may position and resell a portion of the block as principal to facilitate the transaction;</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as principal and resale by the broker or dealer for their account pursuant to this prospectus;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exchange distribution in accordance with the rules of the New York Stock Exchange;</w:t>
      </w:r>
    </w:p>
    <w:p>
      <w:pPr>
        <w:spacing w:after="0" w:line="176"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privately negotiated transactions;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 transactions;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short sales; 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underwritten public offering.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selling shareholders may sell shares directly to other purchasers, through agents or through broker-dealers. Any selling agents or broker-dealers may receive compensation in the form of underwriting discounts, concessions or commissions from the selling shareholders, from purchasers of shares for whom they act as agents, or from both sources. That compensation may be in excess of customary commissions.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selling shareholders and any broker-dealers that participate in the distribution of the shares may be deemed to be "underwriters" within the meaning of the Securities Act of 1933 in connection with the sales. Any commissions, and any profit on the resale of shares, received by the selling shareholders and any such broker-dealers may be deemed to be underwriting discounts and commissions. We have been advised by each of the selling shareholders that they have not, as of the date of this prospectus, entered into any arrangement with any agent, broker or dealer for the sale of the shares.</w:t>
      </w:r>
    </w:p>
    <w:p>
      <w:pPr>
        <w:spacing w:after="0" w:line="163"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may suspend the use of this prospectus and any supplements hereto in certain circumstances due to pending corporate developments, public filings with the SEC or similar events.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will pay all costs and expenses incurred by us in connection with the registration of the sale of shares pursuant to this prospectus. We will not be responsible for any commissions, underwriting discounts or similar charges on sales of the shares.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Langlois, Guernsey. Certain legal matters in connection with the offering will be passed upon for us by Reboul, MacMurray, Hewitt, Maynard &amp; Kristol, New York, New York.</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of Amdocs incorporated in this prospectus by reference from our Annual Report on Form 20-F for the year ended September 30, 1999,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Financial Statements and Schedules of ITDS included in our Registration Statement on Form F-3 (No. 333-86609) and the related prospectus are incorporated herein by reference from our Current Report on Form 6-K dated December 13, 1999 and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of Solect incorporated in this prospectus by reference from our Report of Foreign Private Issuer on Form 6-K/A filed on June 8, 2000 have been audited by Ernst &amp; Young LLP, independent auditors, as indicated in their report which is incorporated herein by reference and have been so incorporated in reliance upon the authority of said firm as experts in giving said reports.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sectPr>
      <w:pgSz w:w="11900" w:h="16838" w:orient="portrait"/>
      <w:cols w:equalWidth="0" w:num="1">
        <w:col w:w="10219"/>
      </w:cols>
      <w:pgMar w:left="24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4"/>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upperLetter"/>
      <w:start w:val="1"/>
    </w:lvl>
    <w:lvl w:ilvl="1">
      <w:lvlJc w:val="left"/>
      <w:lvlText w:val="(%2)"/>
      <w:numFmt w:val="decimal"/>
      <w:start w:val="4"/>
    </w:lvl>
  </w:abstractNum>
  <w:abstractNum w:abstractNumId="17">
    <w:nsid w:val="257130A3"/>
    <w:multiLevelType w:val="hybridMultilevel"/>
    <w:lvl w:ilvl="0">
      <w:lvlJc w:val="left"/>
      <w:lvlText w:val="(%1)"/>
      <w:numFmt w:val="upperLetter"/>
      <w:start w:val="3"/>
    </w:lvl>
    <w:lvl w:ilvl="1">
      <w:lvlJc w:val="left"/>
      <w:lvlText w:val="%2"/>
      <w:numFmt w:val="decimal"/>
      <w:start w:val="1"/>
    </w:lvl>
  </w:abstractNum>
  <w:abstractNum w:abstractNumId="18">
    <w:nsid w:val="62BBD95A"/>
    <w:multiLevelType w:val="hybridMultilevel"/>
    <w:lvl w:ilvl="0">
      <w:lvlJc w:val="left"/>
      <w:lvlText w:val="-"/>
      <w:numFmt w:val="bullet"/>
      <w:start w:val="1"/>
    </w:lvl>
    <w:lvl w:ilvl="1">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2019-12-14T21:20:23Z</dcterms:created>
  <dcterms:modified xsi:type="dcterms:W3CDTF">2019-12-14T21:20:23Z</dcterms:modified>
</cp:coreProperties>
</file>