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2015</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Hirzel House, Smith Street,</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7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is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183515</wp:posOffset>
            </wp:positionV>
            <wp:extent cx="13208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ON WEDNESDAY, FEBRUARY 3,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shareholders of Amdocs Limited will be held at 3:30 p.m., local time, on Wednesday, February 3, 2016, at the offices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Welsh, Carson, Anderson &amp; Stowe, 320 Park Avenue, Suite 2500, New York, New York, for the following purposes:</w:t>
      </w:r>
    </w:p>
    <w:p>
      <w:pPr>
        <w:spacing w:after="0" w:line="84" w:lineRule="exact"/>
        <w:rPr>
          <w:sz w:val="20"/>
          <w:szCs w:val="20"/>
          <w:color w:val="auto"/>
        </w:rPr>
      </w:pPr>
    </w:p>
    <w:p>
      <w:pPr>
        <w:ind w:left="460" w:right="60" w:firstLine="443"/>
        <w:spacing w:after="0" w:line="332" w:lineRule="auto"/>
        <w:tabs>
          <w:tab w:leader="none" w:pos="10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11 individuals to serve as directors of Amdocs Limited until the next annual general meeting of shareholders or until his earlier resignation or removal or until his respective successor is elected and qualified (Proposal I);</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Giora Yaron</w:t>
      </w:r>
    </w:p>
    <w:p>
      <w:pPr>
        <w:spacing w:after="0" w:line="84"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$0.17 per share to $0.195 per share (Proposal 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2015 (Proposal III); and</w:t>
      </w:r>
    </w:p>
    <w:p>
      <w:pPr>
        <w:spacing w:after="0" w:line="90" w:lineRule="exact"/>
        <w:rPr>
          <w:rFonts w:ascii="Arial" w:cs="Arial" w:eastAsia="Arial" w:hAnsi="Arial"/>
          <w:sz w:val="18"/>
          <w:szCs w:val="18"/>
          <w:color w:val="auto"/>
        </w:rPr>
      </w:pPr>
    </w:p>
    <w:p>
      <w:pPr>
        <w:ind w:left="460" w:right="180" w:firstLine="443"/>
        <w:spacing w:after="0" w:line="306" w:lineRule="auto"/>
        <w:tabs>
          <w:tab w:leader="none" w:pos="107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2016,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fixed the close of business on December 7, 2015 as the record date for the determination of our shareholders entitled to notice of, and to vote on the matters proposed at, the annual general meeting and any adjournments thereof.</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58623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E. S</w:t>
      </w:r>
      <w:r>
        <w:rPr>
          <w:rFonts w:ascii="Arial" w:cs="Arial" w:eastAsia="Arial" w:hAnsi="Arial"/>
          <w:sz w:val="14"/>
          <w:szCs w:val="14"/>
          <w:color w:val="auto"/>
        </w:rPr>
        <w:t>MITH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2015</w:t>
      </w:r>
    </w:p>
    <w:p>
      <w:pPr>
        <w:sectPr>
          <w:pgSz w:w="11900" w:h="16838" w:orient="portrait"/>
          <w:cols w:equalWidth="0" w:num="1">
            <w:col w:w="11260"/>
          </w:cols>
          <w:pgMar w:left="240" w:top="841" w:right="399" w:bottom="1440" w:gutter="0" w:footer="0" w:header="0"/>
        </w:sectPr>
      </w:pPr>
    </w:p>
    <w:bookmarkStart w:id="2" w:name="page3"/>
    <w:bookmarkEnd w:id="2"/>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122555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ind w:left="640" w:right="140" w:hanging="44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2015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62" w:lineRule="exact"/>
        <w:rPr>
          <w:rFonts w:ascii="Arial" w:cs="Arial" w:eastAsia="Arial" w:hAnsi="Arial"/>
          <w:sz w:val="18"/>
          <w:szCs w:val="18"/>
          <w:color w:val="auto"/>
        </w:rPr>
      </w:pPr>
    </w:p>
    <w:p>
      <w:pPr>
        <w:ind w:left="640" w:hanging="44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59" w:lineRule="exact"/>
        <w:rPr>
          <w:rFonts w:ascii="Arial" w:cs="Arial" w:eastAsia="Arial" w:hAnsi="Arial"/>
          <w:sz w:val="18"/>
          <w:szCs w:val="18"/>
          <w:color w:val="auto"/>
        </w:rPr>
      </w:pPr>
    </w:p>
    <w:p>
      <w:pPr>
        <w:ind w:left="640" w:hanging="44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34" w:lineRule="exact"/>
        <w:rPr>
          <w:rFonts w:ascii="Arial" w:cs="Arial" w:eastAsia="Arial" w:hAnsi="Arial"/>
          <w:sz w:val="16"/>
          <w:szCs w:val="16"/>
          <w:color w:val="auto"/>
        </w:rPr>
      </w:pPr>
    </w:p>
    <w:p>
      <w:pPr>
        <w:ind w:left="640" w:hanging="44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1140"/>
          </w:cols>
          <w:pgMar w:left="500" w:top="314" w:right="2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WEDNESDAY, FEBRUARY 3, 2016</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3:30 p.m., local time, on Wednesday, February 3, 2016, at the offices of Welsh, Carson, Anderson &amp; Stowe, 320 Park Avenue, Suite 2500, New York, New York,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16, 2015.</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December 7, 2015 (the “Record Date”) will be asked to take the following actions:</w:t>
      </w:r>
    </w:p>
    <w:p>
      <w:pPr>
        <w:spacing w:after="0" w:line="51" w:lineRule="exact"/>
        <w:rPr>
          <w:sz w:val="20"/>
          <w:szCs w:val="20"/>
          <w:color w:val="auto"/>
        </w:rPr>
      </w:pPr>
    </w:p>
    <w:p>
      <w:pPr>
        <w:ind w:left="460" w:right="44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11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$0.17 per share to $0.195 per share (Proposal 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2015 (Proposal III); and</w:t>
      </w:r>
    </w:p>
    <w:p>
      <w:pPr>
        <w:spacing w:after="0" w:line="90" w:lineRule="exact"/>
        <w:rPr>
          <w:rFonts w:ascii="Arial" w:cs="Arial" w:eastAsia="Arial" w:hAnsi="Arial"/>
          <w:sz w:val="18"/>
          <w:szCs w:val="18"/>
          <w:color w:val="auto"/>
        </w:rPr>
      </w:pPr>
    </w:p>
    <w:p>
      <w:pPr>
        <w:ind w:left="460" w:right="320" w:firstLine="443"/>
        <w:spacing w:after="0" w:line="306" w:lineRule="auto"/>
        <w:tabs>
          <w:tab w:leader="none" w:pos="107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2016,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Record Date, Amdocs had outstanding 150,352,005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Proposals I, II, III and IV requires the affirmative vote of a majority of our ordinary shares voted in person or by proxy at the General Meeting.</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for each of the director nominees named in Proposal I and with respect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of Proposals II, III and IV.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February 3, 2016.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FEBRUARY 3, 2016</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This proxy statement and the 2015 Annual Report to Shareholders are available for viewing, printing and downloading at www.amdocs.com/proxy.</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w:t>
      </w:r>
    </w:p>
    <w:p>
      <w:pPr>
        <w:spacing w:after="0" w:line="21" w:lineRule="exact"/>
        <w:rPr>
          <w:sz w:val="20"/>
          <w:szCs w:val="20"/>
          <w:color w:val="auto"/>
        </w:rPr>
      </w:pPr>
    </w:p>
    <w:p>
      <w:pPr>
        <w:jc w:val="center"/>
        <w:ind w:left="260" w:right="1740"/>
        <w:spacing w:after="0" w:line="255" w:lineRule="auto"/>
        <w:rPr>
          <w:sz w:val="20"/>
          <w:szCs w:val="20"/>
          <w:color w:val="auto"/>
        </w:rPr>
      </w:pPr>
      <w:r>
        <w:rPr>
          <w:rFonts w:ascii="Arial" w:cs="Arial" w:eastAsia="Arial" w:hAnsi="Arial"/>
          <w:sz w:val="18"/>
          <w:szCs w:val="18"/>
          <w:b w:val="1"/>
          <w:bCs w:val="1"/>
          <w:color w:val="auto"/>
        </w:rPr>
        <w:t>proxy statement and form of proxy for our annual general meeting, and our Annual Report on Form 20-F for the fiscal year ended September 30, 2015 by contacting our investor relations department by telephone at (314) 212-8328 or by e-mail at dox_info@amdocs.com.</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Eleven directors currently serve on our Board of Directors. As set forth below, the Board of Directors has nominated 11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0</wp:posOffset>
            </wp:positionV>
            <wp:extent cx="257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40" w:hanging="370"/>
        <w:spacing w:after="0" w:line="284"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Paycom Software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71" w:lineRule="exact"/>
        <w:rPr>
          <w:sz w:val="20"/>
          <w:szCs w:val="20"/>
          <w:color w:val="auto"/>
        </w:rPr>
      </w:pPr>
    </w:p>
    <w:p>
      <w:pPr>
        <w:ind w:left="440" w:right="60" w:hanging="370"/>
        <w:spacing w:after="0" w:line="288"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Gardner has been a director of Amdocs since 1998 and is Chairman of the Audit Committee. Since January 2014, Mr. Gardner has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Mr. Gardner served from 2011 to 2013 as Chief Financial Officer and as a director of the former principal operating subsidiary, which has been renamed Baker Tilly Business Services Limited. Mr. Gardner was Chief Financial Officer of PA Consulting Group, a London-based business consulting firm from 2007 to 2011. Mr. Gardner was Chief Financial Officer and a director of ProStrakan Group plc, a</w:t>
      </w:r>
    </w:p>
    <w:p>
      <w:pPr>
        <w:spacing w:after="0" w:line="10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500" w:space="720"/>
            <w:col w:w="8180"/>
          </w:cols>
          <w:pgMar w:left="240" w:top="27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88"/>
              </w:rPr>
              <w:t>pharmaceuticals company based in the United Kingdom and listed on the London Stock Exchange, from 2002</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until 2007. Prior to joining ProStrakan, he was a Managing Director of Lazard LLC, based in London, where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he worked with technology and telecommunications-related companies. Prior to joining Lazard in 1989,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Gardner qualified as a chartered accountant with Price Waterhouse (now PricewaterhouseCoopers).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Gardner is a fellow of the Institute of Chartered Accountants in England &amp; Wales. Mr. Gardner’s extensive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experience as an accountant, technology investment banker and chief financial officer enables him to make</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valuable contributions to our strategic and financial affairs.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John T. McLennan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88"/>
              </w:rPr>
              <w:t>70   Mr. McLennan has been a director of Amdocs since 1999 and is Chairman of the Management Resources and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Compensation Committee. From 2000 until 2004, he served as Vice-Chair and Chief Executive Officer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Allstream (formerly AT&amp;T Canada). Mr. McLennan founded Jenmark Consulting Inc. and was its President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from 1997 until 2000. From 1993 to 1997, Mr. McLennan served as the President and Chief Executive Officer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of Bell Canada. Prior to that, he held various positions at several telecommunications companies, including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BCE Mobile Communications and Cantel Inc. Mr. McLennan is also a director of Emera Inc., a Canadian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publicly-held energy services company, and was its Chairman from 2009 to 2014. We believe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McLennan’s qualifications to sit on our Board of Directors include his years of experience in the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telecommunications industry, including as chief executive officer of a leading Canadian telecommunications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provider, and his experience providing strategic advice to complex organizations across a variety of</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industries, including as a public company director.</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Simon Olswang</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2"/>
              </w:rPr>
              <w:t>71   Mr. Olswang has been a director of Amdocs since 2004 and is Chairman of the Nominating and Corporate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Governance Committee. In 2002, Mr. Olswang retired as Chairman of Olswang, a media and communications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law firm in the United Kingdom that he founded in 1981. He is a member of the Advisory Board of Palamon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Capital Partners LLP and of the Board of Directors of Amiad Filtration Systems Limited, an Israeli clean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water company listed on the London AIM market. In 2012, Mr. Olswang was appointed a Trustee of Tel Hai</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Academic College. Mr. Olswang was a member of the Board of Directors of The British Library until March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2008 and has served as a non-executive director of a number of companies and organizations, including Aegis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Group plc, The Press Association and the British Film Institute. Mr. Olswang previously served as Trustee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Langdon College of Further (Special) Education in Salford, of which he is a co-founder. We believe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Olswang’s qualifications to sit on our Board of Directors include his extensive experience providing strategic</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and legal advisory services to complex organizations, as well as startups, and his membership of the boards of</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directors of companies and other bodies active in the media and communications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Zohar Zisapel</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89"/>
              </w:rPr>
              <w:t>66   Mr. Zisapel has been a director of Amdocs since 2008 and is the Chairman of the Technology and Innovation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7"/>
              </w:rPr>
              <w:t>Committee. Mr. Zisapel co-founded RAD Data Communications Ltd., a privately-held voice and data</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communications company and part of the RAD Group, a family of independent networking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telecommunications companies, and was its</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4</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95"/>
              </w:rPr>
              <w:t>CEO from 1982 until 1998 and Chairman from 1998 until 2012. Mr. Zisapel also serves as chairman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Ceragon Networks Ltd. and as a director of Radcom Ltd., both public companies traded on Nasdaq, and 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the boards of directors of several privately-held companies. Mr. Zisapel served as chairman of the Israel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Association of Electronic Industries from 1998 until 2001. Mr. Zisapel received an Honorary Doctorate from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the Technion – Israel Institute of Technology, and he is teaching Entrepreneurship at the Tel Aviv University.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Mr. Zisapel’s experience as founder, chairman and director of several public and private high technology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companies, and his leadership in several government organizations, demonstrate his leadership capability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provide him with valuable insights into the voice and data communications industries.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3"/>
              </w:rPr>
              <w:t>82   Mr. Brodsky has been a director of Amdocs since 2003. Since 2011, Mr. Brodsky has served as a senior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advisor to Comcast Corporation. Mr. Brodsky served as a director of Comcast Corporation from 1969 to</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2011, and as Vice Chairman of Comcast Corporation from 1989 to 2011. From 1999 to 2004, Mr. Brodsky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was Chairman of Comcast Interactive Capital, LP, a venture fund affiliated with Comcast. He is a director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RBB Fund, Inc. Mr. Brodsky brings to our Board of Directors deep and extensive knowledge of business in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general and of the cable industry in particular gained through his longstanding executive leadership roles at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Comcast, as well as financial expertise in capital markets, accounting and tax matters gained through his</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experience as Chief Financial Officer of Comcast and as a practicing CPA.</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Clayton Christensen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7"/>
              </w:rPr>
              <w:t>63   Dr. Christensen has been a director of Amdocs since April 2015. Dr. Christensen is the Kim B. Clark</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Professor of Business Administration at the Harvard Business School where he has been a faculty member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since 1992. He also served as President and Chairman of CPS Technologies, an industrial materials company,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from 1984 to 1989. From 1979 to 1984, Dr. Christensen worked as a consultant and project manager for the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7"/>
              </w:rPr>
              <w:t>Boston Consulting Group. Dr. Christensen is the founder of Rose Park Advisors, an investment firm,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Innosight LLC, an innovation consulting firm, and the Christensen Institute for Disruptive Change, a non-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profit organization focused on innovation. He is a director of Tata Consultancy Services, an IT consulting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firm and part of the Tata group, Franklin Covey Co., a public company focused on performance improvement,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and Intermountain Healthcare, a not-for-profit healthcare provider. Dr. Christensen’s qualifications to serve 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our Board of Directors include his research and teaching interests, which are centered on building new growth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businesses and sustaining the success of companies. Dr. Christensen’s previous work with various companies</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provides him with a broad perspective in the areas of management and operations.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7"/>
              </w:rPr>
              <w:t>57   Mr. Gelman has been a director of Amdocs since 2002. Mr. Gelman became the President and Chief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Executive Officer of Amdocs Management Limited, our wholly-owned subsidiary, in 2010. From 2010 until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2013, Mr. Gelman served as a director of Retalix, a global software company, and during 2010, he also served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as its Chairman. From 2008 to 2010, Mr. Gelman devoted his time to charitable matters focused on youth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education. He served as Executive Vice President of Amdocs Management Limited from 2002 until 2008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as our Chief Operating Officer from</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5</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87"/>
              </w:rPr>
              <w:t>2006 until 2008. Prior to 2002, he was a Senior Vice President, where he headed our U.S. sales and marketing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operations and helped spearhead our entry into the customer care and billing systems market. Before that,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Mr. Gelman was an account manager for our major European and North American installations, and has led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5"/>
              </w:rPr>
              <w:t>several major software development projects. Before joining Amdocs, Mr. Gelman was involved in the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development of real-time software systems for communications networks and software projects for NASA.</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Mr. Gelman’s qualifications to serve on our Board of Directors include his more than two decades of service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to Amdocs and its customers, including as our Chief Operating Officer. With more than 30 years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experience in the software industry, he possesses a vast institutional knowledge and strategic understanding of</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our organization and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James S. Kahan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1"/>
              </w:rPr>
              <w:t>68   Mr. Kahan has been a director of Amdocs since 1998. From 1983 until his retirement in 2007, he worked at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SBC, which is now AT&amp;T, and served as a Senior Executive Vice President from 1992 until 2007. AT&amp;T is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our most significant customer. Prior to joining AT&amp;T, Mr. Kahan held various positions at several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telecommunications companies, including Western Electric, Bell Laboratories, South Central Bell and AT&amp;T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Corp. Mr. Kahan also serves on the Board of Directors of Live Nation Entertainment, Inc., a publicly-traded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live music and ticketing entity, as well as two private companies. Mr. Kahan’s long service at SBC and AT&amp;T,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as well as his management and financial experience at several public and private companies, have provided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him with extensive knowledge of the telecommunications industry, particularly with respect to corporate</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development, mergers and acquisitions and business integration.</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0"/>
              </w:rPr>
              <w:t>63   Mr. LeFave has been a director of Amdocs since 2011. Since 2008, Mr. LeFave has been a Principal at D&amp;L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Partners, LLC, an information technology consulting firm. Mr. LeFave served as Chief Information Officer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9"/>
              </w:rPr>
              <w:t>for Nextel Communications, a telecommunications company, from 1999 until its merger with Sprint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Corporation in 2005, after which he served as Chief Information Officer for Sprint Nextel Corporation until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6"/>
              </w:rPr>
              <w:t>2008. From 1995 to 1999, Mr. LeFave served as Chief Information Officer for Southern New England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6"/>
              </w:rPr>
              <w:t>Telephone Company, a provider of communications products and services. We believe Mr. LeFave’s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qualifications to sit on our board include his extensive experience and leadership in the information</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technology and telecommunications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1"/>
              </w:rPr>
              <w:t>67   Dr. Yaron has been a director of Amdocs since 2009. Dr. Yaron co-founded Itamar Medical Ltd., a publicly-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traded medical technology company, and has been its co-chairman since 1997. Dr. Yaron provides consulting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services to Itamar Medical and to various other technology companies. He co-founded P-cube, Pentacom,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Qumranet, Exanet and Comsys, privately-held companies sold to multinational corporations. In 2009, Dr.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5"/>
              </w:rPr>
              <w:t>Yaron also co-founded Qwilt, Inc., a privately-held video technology company and serves as one of its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directors. Dr. Yaron served as a director of Hyperwise Security, a company focused on providing a</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comprehensive APT protection, which was sold to Checkpoint in early 2015, serves as Chairman of the Board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at Excelero (ExpressIO), a company focused on providing ultra-fast block storage solution and Equalum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focused on streaming in real-time changes from a variety of data bases to a unified platform for real-time Big</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Data Analytics. Since 2010, Dr. Yaron has been the chairman of The</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6</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tabs>
          <w:tab w:leader="none" w:pos="324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w:t>
      </w:r>
      <w:r>
        <w:rPr>
          <w:sz w:val="20"/>
          <w:szCs w:val="20"/>
          <w:color w:val="auto"/>
        </w:rPr>
        <w:tab/>
      </w: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8890</wp:posOffset>
            </wp:positionV>
            <wp:extent cx="308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94" w:lineRule="exact"/>
        <w:rPr>
          <w:sz w:val="20"/>
          <w:szCs w:val="20"/>
          <w:color w:val="auto"/>
        </w:rPr>
      </w:pPr>
    </w:p>
    <w:p>
      <w:pPr>
        <w:ind w:left="3660" w:right="40"/>
        <w:spacing w:after="0" w:line="289" w:lineRule="auto"/>
        <w:rPr>
          <w:sz w:val="20"/>
          <w:szCs w:val="20"/>
          <w:color w:val="auto"/>
        </w:rPr>
      </w:pPr>
      <w:r>
        <w:rPr>
          <w:rFonts w:ascii="Arial" w:cs="Arial" w:eastAsia="Arial" w:hAnsi="Arial"/>
          <w:sz w:val="16"/>
          <w:szCs w:val="16"/>
          <w:color w:val="auto"/>
        </w:rPr>
        <w:t>Executive Council of Tel Aviv University, an institution of higher education and a director of Ramot, which is the Tel Aviv University’s technology transfer company.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described below. Members of each committee are appointed by the Board of Directors.</w:t>
      </w:r>
    </w:p>
    <w:p>
      <w:pPr>
        <w:spacing w:after="0" w:line="19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w:t>
      </w:r>
    </w:p>
    <w:p>
      <w:pPr>
        <w:spacing w:after="0" w:line="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 xml:space="preserve">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9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i w:val="1"/>
          <w:iCs w:val="1"/>
          <w:color w:val="auto"/>
        </w:rPr>
        <w:t>Nominating and Corporate Governance Committee</w:t>
      </w:r>
      <w:r>
        <w:rPr>
          <w:rFonts w:ascii="Arial" w:cs="Arial" w:eastAsia="Arial" w:hAnsi="Arial"/>
          <w:sz w:val="15"/>
          <w:szCs w:val="15"/>
          <w:color w:val="auto"/>
        </w:rPr>
        <w:t>. The Nominating and Corporate Governance Committee identifies individuals qualified to become</w:t>
      </w:r>
      <w:r>
        <w:rPr>
          <w:rFonts w:ascii="Arial" w:cs="Arial" w:eastAsia="Arial" w:hAnsi="Arial"/>
          <w:sz w:val="15"/>
          <w:szCs w:val="15"/>
          <w:i w:val="1"/>
          <w:iCs w:val="1"/>
          <w:color w:val="auto"/>
        </w:rPr>
        <w:t xml:space="preserve"> </w:t>
      </w:r>
      <w:r>
        <w:rPr>
          <w:rFonts w:ascii="Arial" w:cs="Arial" w:eastAsia="Arial" w:hAnsi="Arial"/>
          <w:sz w:val="15"/>
          <w:szCs w:val="15"/>
          <w:color w:val="auto"/>
        </w:rPr>
        <w:t>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in accordance with Nasdaq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 You may request a copy of the corporate governance guidelines, at no cost, by writing to us at the address listed below under the heading “Annual Report on Form 20-F.”</w:t>
      </w:r>
    </w:p>
    <w:p>
      <w:pPr>
        <w:spacing w:after="0" w:line="10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i w:val="1"/>
          <w:iCs w:val="1"/>
          <w:color w:val="auto"/>
        </w:rPr>
        <w:t>Management Resources and Compensation Committee</w:t>
      </w:r>
      <w:r>
        <w:rPr>
          <w:rFonts w:ascii="Arial" w:cs="Arial" w:eastAsia="Arial" w:hAnsi="Arial"/>
          <w:sz w:val="16"/>
          <w:szCs w:val="16"/>
          <w:color w:val="auto"/>
        </w:rPr>
        <w:t>. The Management Resources and Compensation Committee discharges the responsibilities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sectPr>
      </w:pPr>
    </w:p>
    <w:bookmarkStart w:id="10" w:name="page11"/>
    <w:bookmarkEnd w:id="10"/>
    <w:p>
      <w:pPr>
        <w:ind w:right="48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and Innovation Committee</w:t>
      </w:r>
      <w:r>
        <w:rPr>
          <w:rFonts w:ascii="Arial" w:cs="Arial" w:eastAsia="Arial" w:hAnsi="Arial"/>
          <w:sz w:val="18"/>
          <w:szCs w:val="18"/>
          <w:color w:val="auto"/>
        </w:rPr>
        <w:t>. The Technology and Innovation Committee was established to assist the Board of Directors in reviewing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development, opportunities and innovation, in connection with our current and future business and markets. The current members of our Technology and Innovation Committee are Messrs. Zisapel (Chair), Gelman and Dr. Yaron.</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During the past fiscal year, the Board of Directors held five meetings. In addition, the Audit Committee held eight meetings, the Management Resources and Compensation Committee held three meetings, the Nominating and Corporate Governance Committee held three meetings and the Technology and Innovation Committee held three meetings in the 2015 fiscal year. During fiscal 2015, all but one of our directors attended at least 75% of the aggregate of the number of Board of Directors meetings held during the time he was serving as a director and meetings held by all committees on which he then served.</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Christensen would have attended 75%, but was unable to attend one meeting due to a commitment that preceded his election as a director. During fiscal 2015, our Non-Employee Directors held three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 In accordance with these standards and Nasdaq rules, a director employed by us cannot be deemed to be an independent director and, consequently, Mr. Gelman is not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director. Our Board of Directors has determined that each of the following 8 of our current 10 Non-Employee Directors has no material relationship with us that would interfere with the exercise of independent judgment in carrying out the responsibilities of a director and is independent under such standards and rules: Messrs. Minicucci, Gardner, McLennan, Olswang, Brodsky, Kahan, LeFave and Dr. Yaron. In addition, our Board of Directors has determined that Dr. Christensen is not considered independent due to the Company’s payment to Dr. Christensen of consulting fees in excess of $120,000 per year from 2013 to 2014 and that Mr. Zisapel will not be considered independent due to a proposed commercial transaction being negotiated between the Company and a company in which Mr. Zisapel and certain of his family members have interests.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 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2015, each of our Non-Employee Directors received an annual cash payment of $75,000. Each member of our Audit Committee who is a Non-Employee Director and who is not the chairman of such committee received an annual cash payment of $20,000. Each member of our Management Resources and Compensation, Nominating and Corporate Governance and Technology and Innovation Committees, who is a Non-Employee Director and who is not a committee chairman, received an annual cash payment of $10,000. The Chairman of our Audit Committee received an annual cash payment of $35,000 and the Chairmen of our Management Resources and Compensation, Nominating and Corporate Governance and Technology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Innovation Committees each received an annual cash payment of $20,000. Each Non-Employee Director received an annual grant of ordinary shares at a total value of $230,000. The Chairman of the Board of Directors received an additional annual amount equal to $200,000 awarded in the form of ordinary shares. All ordinary share awards to our Non-Employee Directors are fully vested upon grant. The price per share for the purpose of determining the value of the grants to our Non-Employee Directors was the Nasdaq closing price of our shares on the last trading day preceding the grant date. We reimbursed all of our Non-Employee Directors for their reasonable travel expenses incurred in connection with attending Board or committee meetings. Cash and equity compensation paid to our Non-Employee Directors were prorated for partial year service.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fiscal 2016, we revised our director compensation program. Each Non-Employee Director will receive an annual cash payment of $80,000. Each member of our Audit Committee who is a Non-Employee Director and who is not the chairman of such committee will receive an annual cash payment of $25,000. Each member of our Management Resources and Compensation, will receive an annual cash payment of $15,000. Each member of our Nominating and Corporate Governance and Technology and Innovation Committees, who is a Non-Employee Director and who is not a committee chairman, will continue to receive an annual cash payment of $10,000. The Chairman of our Audit Committee will receive an annual cash payment of $35,000, the Chairman of our Management Resources and Compensation Committee will receive an annual cash payment of $25,000 and the Chairmen of our Nominating and Corporate Governance and Technology and Innovation Committees each will continue to receive an annual cash payment of $20,000.</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Non-Employee Director received an annual grant of ordinary shares at a total value of $245,000. The Chairman of the Board of Directors received an additional annual amount equal to $200,000 awarded in the form of ordinary shares. All ordinary share awards to our Non-Employee Directors are fully vested upon grant. The price per share for the purpose of determining the value of the grants to our Non-Employee Directors is the Nasdaq closing price of our shares on the last trading day preceding the grant date. We will continue to reimburse all of our Non-Employee Directors for their reasonable travel expenses incurred in connection with attending Board or committee meetings. Cash and equity compensation paid to our Non-Employee Directors will be prorated for partial year service.</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2015 fiscal year, we granted to 10 Non-Employee Directors an aggregate of 49,893 shares at a weighted average price of $47.80 per share, which were fully vested upon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It is proposed that each of the following 11 individuals be elected to serve as a director of Amdocs Limited until the next annual general meeting of shareholders or until his earlier resignation or removal or until his respective successor is elected and qualified:</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2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RECOMMENDS THAT THE SHAREHOLDERS VOTE “FOR” EACH OF THE DIRECTOR NOMINEES NAMED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December 7, 2015, of (i) 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150,352,005 ordinary shares outstanding as of December 7, 2015. Information concerning shareholders other than our directors and officers is based on periodic public filings made by such shareholders and may not necessarily be accurate as of December 7, 2015.</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vMerge w:val="restart"/>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5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11,569,364</w:t>
            </w:r>
          </w:p>
        </w:tc>
        <w:tc>
          <w:tcPr>
            <w:tcW w:w="7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840" w:type="dxa"/>
            <w:vAlign w:val="bottom"/>
          </w:tcPr>
          <w:p>
            <w:pPr>
              <w:jc w:val="right"/>
              <w:spacing w:after="0"/>
              <w:rPr>
                <w:sz w:val="20"/>
                <w:szCs w:val="20"/>
                <w:color w:val="auto"/>
              </w:rPr>
            </w:pPr>
            <w:r>
              <w:rPr>
                <w:rFonts w:ascii="Arial" w:cs="Arial" w:eastAsia="Arial" w:hAnsi="Arial"/>
                <w:sz w:val="18"/>
                <w:szCs w:val="18"/>
                <w:color w:val="auto"/>
              </w:rPr>
              <w:t>8,339,208</w:t>
            </w:r>
          </w:p>
        </w:tc>
        <w:tc>
          <w:tcPr>
            <w:tcW w:w="7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(15 persons)(3)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2,310,895</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FMR LLC, or FMR, with the SEC on February 13, 2015, as of December 31, 2014, FMR had sole power to vote or direct the vote over 454,322 shares and sole power to dispose or direct the disposition of 11,569,364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jc w:val="both"/>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 filed by Blackrock, Inc., or Blackrock, with the SEC on February 3, 2015, as of December 31, 2014, Blackrock had sole voting power over 7,228,965 of our ordinary shares and sole dispositive power over 8,339,208 of our ordinary shares. The address of Blackrock is 55 East 52nd Street, New York, New York 10022.</w:t>
      </w:r>
    </w:p>
    <w:p>
      <w:pPr>
        <w:spacing w:after="0" w:line="1" w:lineRule="exact"/>
        <w:rPr>
          <w:rFonts w:ascii="Arial" w:cs="Arial" w:eastAsia="Arial" w:hAnsi="Arial"/>
          <w:sz w:val="18"/>
          <w:szCs w:val="18"/>
          <w:color w:val="auto"/>
        </w:rPr>
      </w:pPr>
    </w:p>
    <w:p>
      <w:pPr>
        <w:ind w:left="460" w:right="260" w:hanging="452"/>
        <w:spacing w:after="0" w:line="32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options held by such directors and executive officers that are exercisable within 60 days after December 7, 2015. As of such date, none of our directors, senior managers or key employees beneficially owned 1% or more of our outstanding ordinary shares.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2015 and has discussed these financial statements with our management and independent registered public accounting firm.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2015, our Audit Committee approved all of the services provided by Ernst &amp; Young.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 and subject to the approval of our shareholders by ordinary resolution.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2012, our shareholders approved the institution of a quarterly cash dividend program at the quarterly rate of $0.13 per ordinary share. 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2014, our shareholders approved an increase in the rate of the quarterly cash dividend to $0.155 per share, and in 2015, our shareholders approved another increase to $0.17 per share.</w:t>
      </w:r>
    </w:p>
    <w:p>
      <w:pPr>
        <w:spacing w:after="0" w:line="1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November 2015, our Board of Directors approved an increase in the quarterly cash dividend rate to $0.195 per ordinary share. In order to permit us to implement this dividend rate increase, our Board of Directors proposes that our shareholders approve the ordinary resolution set forth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$825.8 million (excluding broker and transaction fees) of our ordinary shares during the fiscal years ended September 30, 2014 and 2015. The increase in the quarterly dividend rate coincides with our general long-term guideline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This is not a complete presentation of our financial position, results of operations and cash flows in conformity with U.S. generally accepted accounting principles, so we encourage you to review our consolidated financial statements for the fiscal year ended September 30, 2015 set forth in our Annual Report on Form 20-F filed on December 10, 2015 with the U.S. Securities and Exchange Commission, or the SEC. Our actual share repurchase activity and payment of future dividends, if any, may vary quarterly or annually and will be based on several factors including our financial performance, outlook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shareholder approval, we expect to begin paying the dividend at the increased rate commencing in April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shareholder approval is not obtained, the quarterly dividend rate will remain at $0.17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In general, U.S. corporate shareholders will not be entitled to any deduction for distributions received as dividends on the ordinary shares.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requirements, including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(as well as foreign corporations from certain treaty jurisdictions). Since our ordinary shares are readily tradable on Nasdaq, we believe that dividends paid by us with respect to our ordinary shares should constitute “qualified dividend income” for U.S. federal income tax purposes, provided that the holding period requirements are satisfied and none of the other special exceptions applies. The reduced rate will not apply to dividends received to the extent that the U.S. holder elects to treat dividends as “investment income,” which may be offset by investment interest expense. In addition, dividends paid by us will not qualify for the 20% U.S. federal income tax rate if we are treated, for the tax year in which the dividends are paid or the preceding tax year, as a “passive foreign investment company” for U.S. federal income tax purposes, which we would be if (i) at least 75% of our gross income is “passive income” (</w:t>
      </w:r>
      <w:r>
        <w:rPr>
          <w:rFonts w:ascii="Arial" w:cs="Arial" w:eastAsia="Arial" w:hAnsi="Arial"/>
          <w:sz w:val="16"/>
          <w:szCs w:val="16"/>
          <w:i w:val="1"/>
          <w:iCs w:val="1"/>
          <w:color w:val="auto"/>
        </w:rPr>
        <w:t>i.e.</w:t>
      </w:r>
      <w:r>
        <w:rPr>
          <w:rFonts w:ascii="Arial" w:cs="Arial" w:eastAsia="Arial" w:hAnsi="Arial"/>
          <w:sz w:val="16"/>
          <w:szCs w:val="16"/>
          <w:color w:val="auto"/>
        </w:rPr>
        <w:t>,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classified as a passive foreign investment company in the current taxable year and do not expect to become one in the foreseeable future.</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classified as foreign source “passive income” or “financial services income” for U.S. foreign tax credit purposes.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U.S. holders generally will be subject to information reporting requirements with respect to dividends that are paid within the United States or through U.S.-related financial intermediaries, unless the U.S. holder is an “exempt recipient.” U.S. holders may also be subject to backup withholding (currently at a rate of 28%) on such payments, unless the U.S. holder provides a taxpayer identification number and a duly executed Internal Revenue Service Form W-9 or otherwise establishes an exemption. Backup withholding is not an additional tax and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 holders are urged to consult their tax advisors regarding the tax treatment of any dividends received by such holder in respect of ordinary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“RESOLVED, that an increase in the dividend rate under Amdocs Limited’s quarterly cash dividend program from $0.17 per share to $0.195 per share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2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280" w:right="419" w:bottom="1440" w:gutter="0" w:footer="0" w:header="0"/>
        </w:sectPr>
      </w:pPr>
    </w:p>
    <w:bookmarkStart w:id="18" w:name="page19"/>
    <w:bookmarkEnd w:id="18"/>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16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2015 is available on our website at http://www.amdocs.com/About/Pages/AnnualReport.aspx. Our Consolidated Financial Statements for the fiscal year ended September 30, 2015 are included in our Annual Report. At the General Meeting, we will review the Operating and Financial Review and Prospects section of our Annual Report and will answer appropriate questions related thereto.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2015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 w:name="page20"/>
    <w:bookmarkEnd w:id="19"/>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IV</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2016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2015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80" w:type="dxa"/>
            <w:vAlign w:val="bottom"/>
          </w:tcPr>
          <w:p>
            <w:pPr>
              <w:spacing w:after="0"/>
              <w:rPr>
                <w:sz w:val="15"/>
                <w:szCs w:val="15"/>
                <w:color w:val="auto"/>
              </w:rPr>
            </w:pPr>
          </w:p>
        </w:tc>
        <w:tc>
          <w:tcPr>
            <w:tcW w:w="4660" w:type="dxa"/>
            <w:vAlign w:val="bottom"/>
            <w:gridSpan w:val="2"/>
          </w:tcPr>
          <w:p>
            <w:pPr>
              <w:jc w:val="center"/>
              <w:ind w:left="3759"/>
              <w:spacing w:after="0"/>
              <w:rPr>
                <w:sz w:val="20"/>
                <w:szCs w:val="20"/>
                <w:color w:val="auto"/>
              </w:rPr>
            </w:pPr>
            <w:r>
              <w:rPr>
                <w:rFonts w:ascii="Arial" w:cs="Arial" w:eastAsia="Arial" w:hAnsi="Arial"/>
                <w:sz w:val="14"/>
                <w:szCs w:val="14"/>
                <w:b w:val="1"/>
                <w:bCs w:val="1"/>
                <w:color w:val="auto"/>
                <w:w w:val="83"/>
              </w:rPr>
              <w:t>2015</w:t>
            </w:r>
          </w:p>
        </w:tc>
        <w:tc>
          <w:tcPr>
            <w:tcW w:w="220" w:type="dxa"/>
            <w:vAlign w:val="bottom"/>
          </w:tcPr>
          <w:p>
            <w:pPr>
              <w:spacing w:after="0"/>
              <w:rPr>
                <w:sz w:val="15"/>
                <w:szCs w:val="15"/>
                <w:color w:val="auto"/>
              </w:rPr>
            </w:pPr>
          </w:p>
        </w:tc>
        <w:tc>
          <w:tcPr>
            <w:tcW w:w="10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5"/>
                <w:szCs w:val="15"/>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$ 3,200,000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$ 3,200,000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880" w:type="dxa"/>
            <w:vAlign w:val="bottom"/>
            <w:gridSpan w:val="3"/>
          </w:tcPr>
          <w:p>
            <w:pPr>
              <w:jc w:val="center"/>
              <w:ind w:left="3539"/>
              <w:spacing w:after="0"/>
              <w:rPr>
                <w:sz w:val="20"/>
                <w:szCs w:val="20"/>
                <w:color w:val="auto"/>
              </w:rPr>
            </w:pPr>
            <w:r>
              <w:rPr>
                <w:rFonts w:ascii="Arial" w:cs="Arial" w:eastAsia="Arial" w:hAnsi="Arial"/>
                <w:sz w:val="18"/>
                <w:szCs w:val="18"/>
                <w:color w:val="auto"/>
                <w:w w:val="86"/>
              </w:rPr>
              <w:t>$ 1,300,000</w:t>
            </w:r>
          </w:p>
        </w:tc>
        <w:tc>
          <w:tcPr>
            <w:tcW w:w="1140" w:type="dxa"/>
            <w:vAlign w:val="bottom"/>
            <w:gridSpan w:val="3"/>
          </w:tcPr>
          <w:p>
            <w:pPr>
              <w:jc w:val="center"/>
              <w:ind w:left="19"/>
              <w:spacing w:after="0"/>
              <w:rPr>
                <w:sz w:val="20"/>
                <w:szCs w:val="20"/>
                <w:color w:val="auto"/>
              </w:rPr>
            </w:pPr>
            <w:r>
              <w:rPr>
                <w:rFonts w:ascii="Arial" w:cs="Arial" w:eastAsia="Arial" w:hAnsi="Arial"/>
                <w:sz w:val="18"/>
                <w:szCs w:val="18"/>
                <w:color w:val="auto"/>
                <w:w w:val="88"/>
              </w:rPr>
              <w:t>$ 1,000,000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880" w:type="dxa"/>
            <w:vAlign w:val="bottom"/>
            <w:gridSpan w:val="3"/>
            <w:shd w:val="clear" w:color="auto" w:fill="CCEEFF"/>
          </w:tcPr>
          <w:p>
            <w:pPr>
              <w:jc w:val="center"/>
              <w:ind w:left="3539"/>
              <w:spacing w:after="0"/>
              <w:rPr>
                <w:sz w:val="20"/>
                <w:szCs w:val="20"/>
                <w:color w:val="auto"/>
              </w:rPr>
            </w:pPr>
            <w:r>
              <w:rPr>
                <w:rFonts w:ascii="Arial" w:cs="Arial" w:eastAsia="Arial" w:hAnsi="Arial"/>
                <w:sz w:val="18"/>
                <w:szCs w:val="18"/>
                <w:color w:val="auto"/>
                <w:w w:val="86"/>
              </w:rPr>
              <w:t>$ 1,300,000</w:t>
            </w:r>
          </w:p>
        </w:tc>
        <w:tc>
          <w:tcPr>
            <w:tcW w:w="1140" w:type="dxa"/>
            <w:vAlign w:val="bottom"/>
            <w:gridSpan w:val="3"/>
            <w:shd w:val="clear" w:color="auto" w:fill="CCEEFF"/>
          </w:tcPr>
          <w:p>
            <w:pPr>
              <w:jc w:val="center"/>
              <w:ind w:left="19"/>
              <w:spacing w:after="0"/>
              <w:rPr>
                <w:sz w:val="20"/>
                <w:szCs w:val="20"/>
                <w:color w:val="auto"/>
              </w:rPr>
            </w:pPr>
            <w:r>
              <w:rPr>
                <w:rFonts w:ascii="Arial" w:cs="Arial" w:eastAsia="Arial" w:hAnsi="Arial"/>
                <w:sz w:val="18"/>
                <w:szCs w:val="18"/>
                <w:color w:val="auto"/>
                <w:w w:val="88"/>
              </w:rPr>
              <w:t>$ 1,200,000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Audit-related services principally include Statement on Standards for Attestation Engagements (SSAE) 16 report issuances and due diligence examinations.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2016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as well as on our website at www.amdocs.com. Requests for copies of our Annual Report on Form 20-F should be provided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400"/>
          </w:cols>
          <w:pgMar w:left="240" w:top="274" w:right="259" w:bottom="1440" w:gutter="0" w:footer="0" w:header="0"/>
        </w:sectPr>
      </w:pP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Mr. Matthew E. Smith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ectPr>
          <w:pgSz w:w="11900" w:h="16838" w:orient="portrait"/>
          <w:cols w:equalWidth="0" w:num="2">
            <w:col w:w="1180" w:space="560"/>
            <w:col w:w="966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586230"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62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ATTHEW</w:t>
      </w:r>
      <w:r>
        <w:rPr>
          <w:rFonts w:ascii="Arial" w:cs="Arial" w:eastAsia="Arial" w:hAnsi="Arial"/>
          <w:sz w:val="18"/>
          <w:szCs w:val="18"/>
          <w:color w:val="auto"/>
        </w:rPr>
        <w:t xml:space="preserve"> E. S</w:t>
      </w:r>
      <w:r>
        <w:rPr>
          <w:rFonts w:ascii="Arial" w:cs="Arial" w:eastAsia="Arial" w:hAnsi="Arial"/>
          <w:sz w:val="14"/>
          <w:szCs w:val="14"/>
          <w:color w:val="auto"/>
        </w:rPr>
        <w:t>MITH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26" w:lineRule="exact"/>
        <w:rPr>
          <w:sz w:val="20"/>
          <w:szCs w:val="20"/>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Charitable Contributions</w:t>
      </w:r>
      <w:r>
        <w:rPr>
          <w:rFonts w:ascii="Arial" w:cs="Arial" w:eastAsia="Arial" w:hAnsi="Arial"/>
          <w:sz w:val="18"/>
          <w:szCs w:val="18"/>
          <w:color w:val="auto"/>
        </w:rPr>
        <w:t>. The director, or an immediate family member of the director, has served as an executive officer of a charitable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receives payments from the Company in an amount which, in any single fiscal year since the determination date, exceeds the greater of $200,000, or 5% of such charitable organization’s revenues;</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color w:val="auto"/>
        </w:rPr>
        <w:t>. The director or an immediate family member of the director has served, as an</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For purposes of the above standards: (i)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6"/>
          <w:szCs w:val="16"/>
          <w:b w:val="1"/>
          <w:bCs w:val="1"/>
          <w:i w:val="1"/>
          <w:iCs w:val="1"/>
          <w:color w:val="auto"/>
        </w:rPr>
        <w:t>“IMMEDIATE FAMILY MEMBER”</w:t>
      </w:r>
      <w:r>
        <w:rPr>
          <w:rFonts w:ascii="Arial" w:cs="Arial" w:eastAsia="Arial" w:hAnsi="Arial"/>
          <w:sz w:val="16"/>
          <w:szCs w:val="16"/>
          <w:color w:val="auto"/>
        </w:rPr>
        <w:t xml:space="preserve"> includes a person’s spouse, parents, children, and siblings, whether by blood, marriage, or adoption, or anyone residing in such person’s home.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GENERAL MEETING OF SHAREHOLDERS 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February 3, 2016</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www.amdocs.com/proxy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20"/>
        <w:spacing w:after="0" w:line="216" w:lineRule="auto"/>
        <w:rPr>
          <w:sz w:val="20"/>
          <w:szCs w:val="20"/>
          <w:color w:val="auto"/>
        </w:rPr>
      </w:pPr>
      <w:r>
        <w:rPr>
          <w:rFonts w:ascii="Arial" w:cs="Arial" w:eastAsia="Arial" w:hAnsi="Arial"/>
          <w:sz w:val="14"/>
          <w:szCs w:val="14"/>
          <w:b w:val="1"/>
          <w:bCs w:val="1"/>
          <w:color w:val="auto"/>
        </w:rPr>
        <w:t>AND A VOTE “FOR” PROPOSALS 2, 3 AND 4.</w:t>
      </w:r>
    </w:p>
    <w:p>
      <w:pPr>
        <w:jc w:val="center"/>
        <w:ind w:right="2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2907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90703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560" w:type="dxa"/>
            <w:vAlign w:val="bottom"/>
          </w:tcPr>
          <w:p>
            <w:pPr>
              <w:jc w:val="center"/>
              <w:ind w:left="72"/>
              <w:spacing w:after="0"/>
              <w:rPr>
                <w:sz w:val="20"/>
                <w:szCs w:val="20"/>
                <w:color w:val="auto"/>
              </w:rPr>
            </w:pPr>
            <w:r>
              <w:rPr>
                <w:rFonts w:ascii="Arial" w:cs="Arial" w:eastAsia="Arial" w:hAnsi="Arial"/>
                <w:sz w:val="14"/>
                <w:szCs w:val="14"/>
                <w:color w:val="auto"/>
                <w:w w:val="87"/>
              </w:rPr>
              <w:t>FOR</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ind w:left="12"/>
              <w:spacing w:after="0"/>
              <w:rPr>
                <w:sz w:val="20"/>
                <w:szCs w:val="20"/>
                <w:color w:val="auto"/>
              </w:rPr>
            </w:pPr>
            <w:r>
              <w:rPr>
                <w:rFonts w:ascii="Arial" w:cs="Arial" w:eastAsia="Arial" w:hAnsi="Arial"/>
                <w:sz w:val="14"/>
                <w:szCs w:val="14"/>
                <w:color w:val="auto"/>
                <w:w w:val="96"/>
              </w:rPr>
              <w:t>ABSTAIN</w:t>
            </w:r>
          </w:p>
        </w:tc>
      </w:tr>
      <w:tr>
        <w:trPr>
          <w:trHeight w:val="271"/>
        </w:trPr>
        <w:tc>
          <w:tcPr>
            <w:tcW w:w="2180" w:type="dxa"/>
            <w:vAlign w:val="bottom"/>
          </w:tcPr>
          <w:p>
            <w:pPr>
              <w:ind w:left="400"/>
              <w:spacing w:after="0"/>
              <w:rPr>
                <w:sz w:val="20"/>
                <w:szCs w:val="20"/>
                <w:color w:val="auto"/>
              </w:rPr>
            </w:pPr>
            <w:r>
              <w:rPr>
                <w:rFonts w:ascii="Arial" w:cs="Arial" w:eastAsia="Arial" w:hAnsi="Arial"/>
                <w:sz w:val="14"/>
                <w:szCs w:val="14"/>
                <w:color w:val="auto"/>
              </w:rPr>
              <w:t>Robert A. Minicucci</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Adrian Gardner</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John T. McLennan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Simon Olswang</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180" w:type="dxa"/>
            <w:vAlign w:val="bottom"/>
          </w:tcPr>
          <w:p>
            <w:pPr>
              <w:ind w:left="400"/>
              <w:spacing w:after="0"/>
              <w:rPr>
                <w:sz w:val="20"/>
                <w:szCs w:val="20"/>
                <w:color w:val="auto"/>
              </w:rPr>
            </w:pPr>
            <w:r>
              <w:rPr>
                <w:rFonts w:ascii="Arial" w:cs="Arial" w:eastAsia="Arial" w:hAnsi="Arial"/>
                <w:sz w:val="14"/>
                <w:szCs w:val="14"/>
                <w:color w:val="auto"/>
              </w:rPr>
              <w:t>Zohar Zisapel</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Julian A. Brodsky</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Clayton Christensen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Eli Gelman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James S. Kahan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Richard T.C. LeFave</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Giora Yaron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w:t>
      </w:r>
    </w:p>
    <w:p>
      <w:pPr>
        <w:ind w:right="160"/>
        <w:spacing w:after="0" w:line="148" w:lineRule="exact"/>
        <w:rPr>
          <w:sz w:val="20"/>
          <w:szCs w:val="20"/>
          <w:color w:val="auto"/>
        </w:rPr>
      </w:pPr>
      <w:r>
        <w:rPr>
          <w:rFonts w:ascii="Arial" w:cs="Arial" w:eastAsia="Arial" w:hAnsi="Arial"/>
          <w:sz w:val="10"/>
          <w:szCs w:val="10"/>
          <w:color w:val="auto"/>
        </w:rPr>
        <w:t xml:space="preserve">right and indicate your new address in the address space above. </w:t>
      </w:r>
      <w:r>
        <w:rPr>
          <w:rFonts w:ascii="MS PGothic" w:cs="MS PGothic" w:eastAsia="MS PGothic" w:hAnsi="MS PGothic"/>
          <w:sz w:val="23"/>
          <w:szCs w:val="23"/>
          <w:color w:val="auto"/>
          <w:vertAlign w:val="subscript"/>
        </w:rPr>
        <w:t>☐</w:t>
      </w:r>
      <w:r>
        <w:rPr>
          <w:rFonts w:ascii="Arial" w:cs="Arial" w:eastAsia="Arial" w:hAnsi="Arial"/>
          <w:sz w:val="10"/>
          <w:szCs w:val="10"/>
          <w:color w:val="auto"/>
        </w:rPr>
        <w:t xml:space="preserve"> Please note that changes to the registered name(s) on the account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may not be submitted via this method.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233"/>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2.</w:t>
            </w:r>
          </w:p>
        </w:tc>
        <w:tc>
          <w:tcPr>
            <w:tcW w:w="4720" w:type="dxa"/>
            <w:vAlign w:val="bottom"/>
          </w:tcPr>
          <w:p>
            <w:pPr>
              <w:ind w:left="80"/>
              <w:spacing w:after="0"/>
              <w:rPr>
                <w:sz w:val="20"/>
                <w:szCs w:val="20"/>
                <w:color w:val="auto"/>
              </w:rPr>
            </w:pPr>
            <w:r>
              <w:rPr>
                <w:rFonts w:ascii="Arial" w:cs="Arial" w:eastAsia="Arial" w:hAnsi="Arial"/>
                <w:sz w:val="14"/>
                <w:szCs w:val="14"/>
                <w:color w:val="auto"/>
                <w:w w:val="96"/>
              </w:rPr>
              <w:t>To approve an increase in the dividend rate under our quarterly cash dividend</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20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program from $0.17 per share to $0.195 per share (Proposal II).</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68"/>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3.</w:t>
            </w:r>
          </w:p>
        </w:tc>
        <w:tc>
          <w:tcPr>
            <w:tcW w:w="4720" w:type="dxa"/>
            <w:vAlign w:val="bottom"/>
          </w:tcPr>
          <w:p>
            <w:pPr>
              <w:ind w:left="80"/>
              <w:spacing w:after="0"/>
              <w:rPr>
                <w:sz w:val="20"/>
                <w:szCs w:val="20"/>
                <w:color w:val="auto"/>
              </w:rPr>
            </w:pPr>
            <w:r>
              <w:rPr>
                <w:rFonts w:ascii="Arial" w:cs="Arial" w:eastAsia="Arial" w:hAnsi="Arial"/>
                <w:sz w:val="14"/>
                <w:szCs w:val="14"/>
                <w:color w:val="auto"/>
                <w:w w:val="98"/>
              </w:rPr>
              <w:t>To approve our Consolidated Financial Statements for the fiscal year ended</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200" w:type="dxa"/>
            <w:vAlign w:val="bottom"/>
          </w:tcPr>
          <w:p>
            <w:pPr>
              <w:spacing w:after="0"/>
              <w:rPr>
                <w:sz w:val="14"/>
                <w:szCs w:val="14"/>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rPr>
              <w:t>September 30, 2015 (Proposal III).</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60"/>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4.</w:t>
            </w:r>
          </w:p>
        </w:tc>
        <w:tc>
          <w:tcPr>
            <w:tcW w:w="4720" w:type="dxa"/>
            <w:vAlign w:val="bottom"/>
          </w:tcPr>
          <w:p>
            <w:pPr>
              <w:ind w:left="80"/>
              <w:spacing w:after="0"/>
              <w:rPr>
                <w:sz w:val="20"/>
                <w:szCs w:val="20"/>
                <w:color w:val="auto"/>
              </w:rPr>
            </w:pPr>
            <w:r>
              <w:rPr>
                <w:rFonts w:ascii="Arial" w:cs="Arial" w:eastAsia="Arial" w:hAnsi="Arial"/>
                <w:sz w:val="14"/>
                <w:szCs w:val="14"/>
                <w:color w:val="auto"/>
                <w:w w:val="92"/>
              </w:rPr>
              <w:t>To ratify and approve the appointment of Ernst &amp; Young LLP as our independent</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1"/>
        </w:trPr>
        <w:tc>
          <w:tcPr>
            <w:tcW w:w="200" w:type="dxa"/>
            <w:vAlign w:val="bottom"/>
          </w:tcPr>
          <w:p>
            <w:pPr>
              <w:spacing w:after="0"/>
              <w:rPr>
                <w:sz w:val="13"/>
                <w:szCs w:val="13"/>
                <w:color w:val="auto"/>
              </w:rPr>
            </w:pPr>
          </w:p>
        </w:tc>
        <w:tc>
          <w:tcPr>
            <w:tcW w:w="4720" w:type="dxa"/>
            <w:vAlign w:val="bottom"/>
          </w:tcPr>
          <w:p>
            <w:pPr>
              <w:ind w:left="80"/>
              <w:spacing w:after="0"/>
              <w:rPr>
                <w:sz w:val="20"/>
                <w:szCs w:val="20"/>
                <w:color w:val="auto"/>
              </w:rPr>
            </w:pPr>
            <w:r>
              <w:rPr>
                <w:rFonts w:ascii="Arial" w:cs="Arial" w:eastAsia="Arial" w:hAnsi="Arial"/>
                <w:sz w:val="14"/>
                <w:szCs w:val="14"/>
                <w:color w:val="auto"/>
                <w:w w:val="88"/>
              </w:rPr>
              <w:t>registered public accounting firm for the fiscal year ending September 30, 2016, and</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jc w:val="both"/>
        <w:ind w:left="280" w:right="2160"/>
        <w:spacing w:after="0" w:line="225" w:lineRule="auto"/>
        <w:rPr>
          <w:sz w:val="20"/>
          <w:szCs w:val="20"/>
          <w:color w:val="auto"/>
        </w:rPr>
      </w:pPr>
      <w:r>
        <w:rPr>
          <w:rFonts w:ascii="Arial" w:cs="Arial" w:eastAsia="Arial" w:hAnsi="Arial"/>
          <w:sz w:val="14"/>
          <w:szCs w:val="14"/>
          <w:color w:val="auto"/>
        </w:rPr>
        <w:t>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333" w:lineRule="exact"/>
        <w:rPr>
          <w:sz w:val="20"/>
          <w:szCs w:val="20"/>
          <w:color w:val="auto"/>
        </w:rPr>
      </w:pPr>
    </w:p>
    <w:p>
      <w:pPr>
        <w:sectPr>
          <w:pgSz w:w="11900" w:h="16838" w:orient="portrait"/>
          <w:cols w:equalWidth="0" w:num="2">
            <w:col w:w="4300" w:space="280"/>
            <w:col w:w="6860"/>
          </w:cols>
          <w:pgMar w:left="240" w:top="274" w:right="2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640" w:type="dxa"/>
            <w:vAlign w:val="bottom"/>
            <w:tcBorders>
              <w:top w:val="single" w:sz="8" w:color="auto"/>
              <w:bottom w:val="single" w:sz="8" w:color="auto"/>
              <w:right w:val="single" w:sz="8" w:color="auto"/>
            </w:tcBorders>
          </w:tcPr>
          <w:p>
            <w:pPr>
              <w:spacing w:after="0"/>
              <w:rPr>
                <w:sz w:val="14"/>
                <w:szCs w:val="14"/>
                <w:color w:val="auto"/>
              </w:rPr>
            </w:pPr>
          </w:p>
        </w:tc>
        <w:tc>
          <w:tcPr>
            <w:tcW w:w="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Signature of Shareholder</w:t>
            </w:r>
          </w:p>
        </w:tc>
        <w:tc>
          <w:tcPr>
            <w:tcW w:w="2480" w:type="dxa"/>
            <w:vAlign w:val="bottom"/>
            <w:tcBorders>
              <w:top w:val="single" w:sz="8" w:color="auto"/>
              <w:bottom w:val="single" w:sz="8" w:color="auto"/>
              <w:right w:val="single" w:sz="8" w:color="auto"/>
            </w:tcBorders>
          </w:tcPr>
          <w:p>
            <w:pPr>
              <w:spacing w:after="0"/>
              <w:rPr>
                <w:sz w:val="14"/>
                <w:szCs w:val="14"/>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7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0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Note:</w:t>
            </w:r>
          </w:p>
        </w:tc>
        <w:tc>
          <w:tcPr>
            <w:tcW w:w="10360" w:type="dxa"/>
            <w:vAlign w:val="bottom"/>
            <w:gridSpan w:val="8"/>
          </w:tcPr>
          <w:p>
            <w:pPr>
              <w:ind w:left="400"/>
              <w:spacing w:after="0" w:line="158" w:lineRule="exact"/>
              <w:rPr>
                <w:sz w:val="20"/>
                <w:szCs w:val="20"/>
                <w:color w:val="auto"/>
              </w:rPr>
            </w:pP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8"/>
                <w:szCs w:val="18"/>
                <w:color w:val="auto"/>
              </w:rPr>
              <w:t>¢</w:t>
            </w:r>
          </w:p>
        </w:tc>
        <w:tc>
          <w:tcPr>
            <w:tcW w:w="10360" w:type="dxa"/>
            <w:vAlign w:val="bottom"/>
            <w:gridSpan w:val="8"/>
          </w:tcPr>
          <w:p>
            <w:pPr>
              <w:ind w:left="400"/>
              <w:spacing w:after="0" w:line="149" w:lineRule="exact"/>
              <w:rPr>
                <w:sz w:val="20"/>
                <w:szCs w:val="20"/>
                <w:color w:val="auto"/>
              </w:rPr>
            </w:pPr>
            <w:r>
              <w:rPr>
                <w:rFonts w:ascii="Arial" w:cs="Arial" w:eastAsia="Arial" w:hAnsi="Arial"/>
                <w:sz w:val="14"/>
                <w:szCs w:val="14"/>
                <w:color w:val="auto"/>
                <w:w w:val="88"/>
              </w:rPr>
              <w:t>guardian, please give full title as such. If the signer is a corporation, please sign full corporate name by duly authorized officer, giving full title as such. If signer is a partnership, please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900" w:type="dxa"/>
            <w:vAlign w:val="bottom"/>
            <w:vMerge w:val="continue"/>
          </w:tcPr>
          <w:p>
            <w:pPr>
              <w:spacing w:after="0"/>
              <w:rPr>
                <w:sz w:val="14"/>
                <w:szCs w:val="14"/>
                <w:color w:val="auto"/>
              </w:rPr>
            </w:pPr>
          </w:p>
        </w:tc>
        <w:tc>
          <w:tcPr>
            <w:tcW w:w="3600" w:type="dxa"/>
            <w:vAlign w:val="bottom"/>
            <w:gridSpan w:val="2"/>
          </w:tcPr>
          <w:p>
            <w:pPr>
              <w:ind w:left="400"/>
              <w:spacing w:after="0"/>
              <w:rPr>
                <w:sz w:val="20"/>
                <w:szCs w:val="20"/>
                <w:color w:val="auto"/>
              </w:rPr>
            </w:pPr>
            <w:r>
              <w:rPr>
                <w:rFonts w:ascii="Arial" w:cs="Arial" w:eastAsia="Arial" w:hAnsi="Arial"/>
                <w:sz w:val="14"/>
                <w:szCs w:val="14"/>
                <w:color w:val="auto"/>
              </w:rPr>
              <w:t>sign in partnership name by authorized person.</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0140"/>
        <w:spacing w:after="0"/>
        <w:tabs>
          <w:tab w:leader="none" w:pos="1132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undersigned hereby appoints Robert A. Minicucci and Amir Kaiser as Proxies, each with the power to appoint his substitute, and hereby authorizes them to represent and vote, as designated on the reverse side, all Ordinary Shares of Amdocs Limited (the “Company”) held of record by the undersigned on December 7, 2015, at the annual General Meeting of shareholders to be held on February 3, 2016 or any adjournment thereof.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18" w:lineRule="exact"/>
        <w:rPr>
          <w:sz w:val="20"/>
          <w:szCs w:val="20"/>
          <w:color w:val="auto"/>
        </w:rPr>
      </w:pPr>
    </w:p>
    <w:p>
      <w:pPr>
        <w:spacing w:after="0"/>
        <w:tabs>
          <w:tab w:leader="none" w:pos="10780" w:val="left"/>
        </w:tabs>
        <w:rPr>
          <w:sz w:val="20"/>
          <w:szCs w:val="20"/>
          <w:color w:val="auto"/>
        </w:rPr>
      </w:pPr>
      <w:r>
        <w:rPr>
          <w:rFonts w:ascii="Arial" w:cs="Arial" w:eastAsia="Arial" w:hAnsi="Arial"/>
          <w:sz w:val="18"/>
          <w:szCs w:val="18"/>
          <w:color w:val="auto"/>
        </w:rPr>
        <w:t>¢ 1.1</w:t>
      </w:r>
      <w:r>
        <w:rPr>
          <w:sz w:val="20"/>
          <w:szCs w:val="20"/>
          <w:color w:val="auto"/>
        </w:rPr>
        <w:tab/>
      </w:r>
      <w:r>
        <w:rPr>
          <w:rFonts w:ascii="Arial" w:cs="Arial" w:eastAsia="Arial" w:hAnsi="Arial"/>
          <w:sz w:val="16"/>
          <w:szCs w:val="16"/>
          <w:color w:val="auto"/>
        </w:rPr>
        <w:t>14475 ¢</w:t>
      </w:r>
    </w:p>
    <w:p>
      <w:pPr>
        <w:sectPr>
          <w:pgSz w:w="11900" w:h="16838" w:orient="portrait"/>
          <w:cols w:equalWidth="0" w:num="1">
            <w:col w:w="11420"/>
          </w:cols>
          <w:pgMar w:left="240" w:top="144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143510</wp:posOffset>
            </wp:positionV>
            <wp:extent cx="255587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5875" cy="30861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74" w:right="219" w:bottom="1440" w:gutter="0" w:footer="0" w:header="0"/>
        </w:sectPr>
      </w:pPr>
    </w:p>
    <w:p>
      <w:pPr>
        <w:spacing w:after="0" w:line="38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51" w:lineRule="exact"/>
        <w:rPr>
          <w:sz w:val="20"/>
          <w:szCs w:val="20"/>
          <w:color w:val="auto"/>
        </w:rPr>
      </w:pPr>
    </w:p>
    <w:p>
      <w:pPr>
        <w:jc w:val="both"/>
        <w:ind w:right="440"/>
        <w:spacing w:after="0" w:line="310" w:lineRule="auto"/>
        <w:rPr>
          <w:sz w:val="20"/>
          <w:szCs w:val="20"/>
          <w:color w:val="auto"/>
        </w:rPr>
      </w:pP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 </w:t>
      </w:r>
      <w:r>
        <w:rPr>
          <w:rFonts w:ascii="Arial" w:cs="Arial" w:eastAsia="Arial" w:hAnsi="Arial"/>
          <w:sz w:val="16"/>
          <w:szCs w:val="16"/>
          <w:color w:val="auto"/>
        </w:rPr>
        <w:t>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84" w:lineRule="exact"/>
        <w:rPr>
          <w:sz w:val="20"/>
          <w:szCs w:val="20"/>
          <w:color w:val="auto"/>
        </w:rPr>
      </w:pPr>
    </w:p>
    <w:p>
      <w:pPr>
        <w:jc w:val="both"/>
        <w:ind w:right="440"/>
        <w:spacing w:after="0" w:line="275"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w:t>
      </w:r>
    </w:p>
    <w:p>
      <w:pPr>
        <w:spacing w:after="0" w:line="39"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-167005</wp:posOffset>
            </wp:positionV>
            <wp:extent cx="3181350" cy="866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6614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-895985</wp:posOffset>
            </wp:positionV>
            <wp:extent cx="497205" cy="497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ACCOUNT NUMBER</w:t>
      </w:r>
    </w:p>
    <w:p>
      <w:pPr>
        <w:spacing w:after="0" w:line="1044" w:lineRule="exact"/>
        <w:rPr>
          <w:sz w:val="20"/>
          <w:szCs w:val="20"/>
          <w:color w:val="auto"/>
        </w:rPr>
      </w:pPr>
    </w:p>
    <w:p>
      <w:pPr>
        <w:sectPr>
          <w:pgSz w:w="11900" w:h="16838" w:orient="portrait"/>
          <w:cols w:equalWidth="0" w:num="2">
            <w:col w:w="6140" w:space="720"/>
            <w:col w:w="4580"/>
          </w:cols>
          <w:pgMar w:left="240" w:top="274" w:right="219" w:bottom="1440" w:gutter="0" w:footer="0" w:header="0"/>
          <w:type w:val="continuous"/>
        </w:sectPr>
      </w:pP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available at www.amdocs.com/proxy</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20"/>
        <w:spacing w:after="0" w:line="223" w:lineRule="auto"/>
        <w:rPr>
          <w:sz w:val="20"/>
          <w:szCs w:val="20"/>
          <w:color w:val="auto"/>
        </w:rPr>
      </w:pPr>
      <w:r>
        <w:rPr>
          <w:rFonts w:ascii="Arial" w:cs="Arial" w:eastAsia="Arial" w:hAnsi="Arial"/>
          <w:sz w:val="14"/>
          <w:szCs w:val="14"/>
          <w:b w:val="1"/>
          <w:bCs w:val="1"/>
          <w:color w:val="auto"/>
        </w:rPr>
        <w:t>AND A VOTE “FOR” PROPOSALS 2, 3 AND 4.</w:t>
      </w:r>
    </w:p>
    <w:p>
      <w:pPr>
        <w:jc w:val="center"/>
        <w:ind w:right="20"/>
        <w:spacing w:after="0" w:line="214"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w:t>
      </w:r>
    </w:p>
    <w:p>
      <w:pPr>
        <w:spacing w:after="0" w:line="1" w:lineRule="exact"/>
        <w:rPr>
          <w:sz w:val="20"/>
          <w:szCs w:val="20"/>
          <w:color w:val="auto"/>
        </w:rPr>
      </w:pPr>
    </w:p>
    <w:p>
      <w:pPr>
        <w:jc w:val="center"/>
        <w:ind w:left="4380"/>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769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69870"/>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560" w:type="dxa"/>
            <w:vAlign w:val="bottom"/>
          </w:tcPr>
          <w:p>
            <w:pPr>
              <w:jc w:val="center"/>
              <w:ind w:left="72"/>
              <w:spacing w:after="0"/>
              <w:rPr>
                <w:sz w:val="20"/>
                <w:szCs w:val="20"/>
                <w:color w:val="auto"/>
              </w:rPr>
            </w:pPr>
            <w:r>
              <w:rPr>
                <w:rFonts w:ascii="Arial" w:cs="Arial" w:eastAsia="Arial" w:hAnsi="Arial"/>
                <w:sz w:val="14"/>
                <w:szCs w:val="14"/>
                <w:color w:val="auto"/>
                <w:w w:val="87"/>
              </w:rPr>
              <w:t>FOR</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50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222"/>
        </w:trPr>
        <w:tc>
          <w:tcPr>
            <w:tcW w:w="2180" w:type="dxa"/>
            <w:vAlign w:val="bottom"/>
          </w:tcPr>
          <w:p>
            <w:pPr>
              <w:ind w:left="400"/>
              <w:spacing w:after="0"/>
              <w:rPr>
                <w:sz w:val="20"/>
                <w:szCs w:val="20"/>
                <w:color w:val="auto"/>
              </w:rPr>
            </w:pPr>
            <w:r>
              <w:rPr>
                <w:rFonts w:ascii="Arial" w:cs="Arial" w:eastAsia="Arial" w:hAnsi="Arial"/>
                <w:sz w:val="14"/>
                <w:szCs w:val="14"/>
                <w:color w:val="auto"/>
              </w:rPr>
              <w:t>Robert A. Minicucci</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140"/>
              <w:spacing w:after="0"/>
              <w:rPr>
                <w:sz w:val="20"/>
                <w:szCs w:val="20"/>
                <w:color w:val="auto"/>
              </w:rPr>
            </w:pPr>
            <w:r>
              <w:rPr>
                <w:rFonts w:ascii="Arial" w:cs="Arial" w:eastAsia="Arial" w:hAnsi="Arial"/>
                <w:sz w:val="14"/>
                <w:szCs w:val="14"/>
                <w:color w:val="auto"/>
                <w:w w:val="88"/>
              </w:rPr>
              <w:t>2.  To approve an increase in the dividend rate under our quarterly cash dividend program</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2180" w:type="dxa"/>
            <w:vAlign w:val="bottom"/>
            <w:vMerge w:val="restart"/>
          </w:tcPr>
          <w:p>
            <w:pPr>
              <w:ind w:left="400"/>
              <w:spacing w:after="0"/>
              <w:rPr>
                <w:sz w:val="20"/>
                <w:szCs w:val="20"/>
                <w:color w:val="auto"/>
              </w:rPr>
            </w:pPr>
            <w:r>
              <w:rPr>
                <w:rFonts w:ascii="Arial" w:cs="Arial" w:eastAsia="Arial" w:hAnsi="Arial"/>
                <w:sz w:val="14"/>
                <w:szCs w:val="14"/>
                <w:color w:val="auto"/>
              </w:rPr>
              <w:t>Adrian Gardner</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360"/>
              <w:spacing w:after="0"/>
              <w:rPr>
                <w:sz w:val="20"/>
                <w:szCs w:val="20"/>
                <w:color w:val="auto"/>
              </w:rPr>
            </w:pPr>
            <w:r>
              <w:rPr>
                <w:rFonts w:ascii="Arial" w:cs="Arial" w:eastAsia="Arial" w:hAnsi="Arial"/>
                <w:sz w:val="14"/>
                <w:szCs w:val="14"/>
                <w:color w:val="auto"/>
              </w:rPr>
              <w:t>from $0.17 per share to $0.195 per share (Proposal 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180" w:type="dxa"/>
            <w:vAlign w:val="bottom"/>
          </w:tcPr>
          <w:p>
            <w:pPr>
              <w:ind w:left="400"/>
              <w:spacing w:after="0"/>
              <w:rPr>
                <w:sz w:val="20"/>
                <w:szCs w:val="20"/>
                <w:color w:val="auto"/>
              </w:rPr>
            </w:pPr>
            <w:r>
              <w:rPr>
                <w:rFonts w:ascii="Arial" w:cs="Arial" w:eastAsia="Arial" w:hAnsi="Arial"/>
                <w:sz w:val="14"/>
                <w:szCs w:val="14"/>
                <w:color w:val="auto"/>
              </w:rPr>
              <w:t>John T. McLennan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140"/>
              <w:spacing w:after="0"/>
              <w:rPr>
                <w:sz w:val="20"/>
                <w:szCs w:val="20"/>
                <w:color w:val="auto"/>
              </w:rPr>
            </w:pPr>
            <w:r>
              <w:rPr>
                <w:rFonts w:ascii="Arial" w:cs="Arial" w:eastAsia="Arial" w:hAnsi="Arial"/>
                <w:sz w:val="14"/>
                <w:szCs w:val="14"/>
                <w:color w:val="auto"/>
                <w:w w:val="87"/>
              </w:rPr>
              <w:t>3.  To approve our Consolidated Financial Statements for the fiscal year ended September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2180" w:type="dxa"/>
            <w:vAlign w:val="bottom"/>
            <w:vMerge w:val="restart"/>
          </w:tcPr>
          <w:p>
            <w:pPr>
              <w:ind w:left="400"/>
              <w:spacing w:after="0"/>
              <w:rPr>
                <w:sz w:val="20"/>
                <w:szCs w:val="20"/>
                <w:color w:val="auto"/>
              </w:rPr>
            </w:pPr>
            <w:r>
              <w:rPr>
                <w:rFonts w:ascii="Arial" w:cs="Arial" w:eastAsia="Arial" w:hAnsi="Arial"/>
                <w:sz w:val="14"/>
                <w:szCs w:val="14"/>
                <w:color w:val="auto"/>
              </w:rPr>
              <w:t>Simon Olswang</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360"/>
              <w:spacing w:after="0"/>
              <w:rPr>
                <w:sz w:val="20"/>
                <w:szCs w:val="20"/>
                <w:color w:val="auto"/>
              </w:rPr>
            </w:pPr>
            <w:r>
              <w:rPr>
                <w:rFonts w:ascii="Arial" w:cs="Arial" w:eastAsia="Arial" w:hAnsi="Arial"/>
                <w:sz w:val="14"/>
                <w:szCs w:val="14"/>
                <w:color w:val="auto"/>
              </w:rPr>
              <w:t>30, 2015 (Proposal III).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180" w:type="dxa"/>
            <w:vAlign w:val="bottom"/>
          </w:tcPr>
          <w:p>
            <w:pPr>
              <w:ind w:left="400"/>
              <w:spacing w:after="0"/>
              <w:rPr>
                <w:sz w:val="20"/>
                <w:szCs w:val="20"/>
                <w:color w:val="auto"/>
              </w:rPr>
            </w:pPr>
            <w:r>
              <w:rPr>
                <w:rFonts w:ascii="Arial" w:cs="Arial" w:eastAsia="Arial" w:hAnsi="Arial"/>
                <w:sz w:val="14"/>
                <w:szCs w:val="14"/>
                <w:color w:val="auto"/>
              </w:rPr>
              <w:t>Zohar Zisapel</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140"/>
              <w:spacing w:after="0"/>
              <w:rPr>
                <w:sz w:val="20"/>
                <w:szCs w:val="20"/>
                <w:color w:val="auto"/>
              </w:rPr>
            </w:pPr>
            <w:r>
              <w:rPr>
                <w:rFonts w:ascii="Arial" w:cs="Arial" w:eastAsia="Arial" w:hAnsi="Arial"/>
                <w:sz w:val="14"/>
                <w:szCs w:val="14"/>
                <w:color w:val="auto"/>
                <w:w w:val="94"/>
              </w:rPr>
              <w:t>4.  To ratify and approve the appointment of Ernst &amp; Young LLP as our independent</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0"/>
              <w:spacing w:after="0"/>
              <w:rPr>
                <w:sz w:val="20"/>
                <w:szCs w:val="20"/>
                <w:color w:val="auto"/>
              </w:rPr>
            </w:pPr>
            <w:r>
              <w:rPr>
                <w:rFonts w:ascii="Arial" w:cs="Arial" w:eastAsia="Arial" w:hAnsi="Arial"/>
                <w:sz w:val="14"/>
                <w:szCs w:val="14"/>
                <w:color w:val="auto"/>
              </w:rPr>
              <w:t>Julian A. Brodsky</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360"/>
              <w:spacing w:after="0" w:line="149" w:lineRule="exact"/>
              <w:rPr>
                <w:sz w:val="20"/>
                <w:szCs w:val="20"/>
                <w:color w:val="auto"/>
              </w:rPr>
            </w:pPr>
            <w:r>
              <w:rPr>
                <w:rFonts w:ascii="Arial" w:cs="Arial" w:eastAsia="Arial" w:hAnsi="Arial"/>
                <w:sz w:val="14"/>
                <w:szCs w:val="14"/>
                <w:color w:val="auto"/>
                <w:w w:val="90"/>
              </w:rPr>
              <w:t>registered public accounting firm for the fiscal year ending September 30, 2016, and</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080" w:type="dxa"/>
            <w:vAlign w:val="bottom"/>
            <w:vMerge w:val="restart"/>
          </w:tcPr>
          <w:p>
            <w:pPr>
              <w:ind w:left="360"/>
              <w:spacing w:after="0" w:line="149" w:lineRule="exact"/>
              <w:rPr>
                <w:sz w:val="20"/>
                <w:szCs w:val="20"/>
                <w:color w:val="auto"/>
              </w:rPr>
            </w:pPr>
            <w:r>
              <w:rPr>
                <w:rFonts w:ascii="Arial" w:cs="Arial" w:eastAsia="Arial" w:hAnsi="Arial"/>
                <w:sz w:val="14"/>
                <w:szCs w:val="14"/>
                <w:color w:val="auto"/>
                <w:w w:val="95"/>
              </w:rPr>
              <w:t>until the next annual general meeting, and authorize the Audit Committee of the</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180" w:type="dxa"/>
            <w:vAlign w:val="bottom"/>
          </w:tcPr>
          <w:p>
            <w:pPr>
              <w:ind w:left="400"/>
              <w:spacing w:after="0" w:line="159" w:lineRule="exact"/>
              <w:rPr>
                <w:sz w:val="20"/>
                <w:szCs w:val="20"/>
                <w:color w:val="auto"/>
              </w:rPr>
            </w:pPr>
            <w:r>
              <w:rPr>
                <w:rFonts w:ascii="Arial" w:cs="Arial" w:eastAsia="Arial" w:hAnsi="Arial"/>
                <w:sz w:val="14"/>
                <w:szCs w:val="14"/>
                <w:color w:val="auto"/>
              </w:rPr>
              <w:t>Clayton Christensen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360"/>
              <w:spacing w:after="0" w:line="159" w:lineRule="exact"/>
              <w:rPr>
                <w:sz w:val="20"/>
                <w:szCs w:val="20"/>
                <w:color w:val="auto"/>
              </w:rPr>
            </w:pPr>
            <w:r>
              <w:rPr>
                <w:rFonts w:ascii="Arial" w:cs="Arial" w:eastAsia="Arial" w:hAnsi="Arial"/>
                <w:sz w:val="14"/>
                <w:szCs w:val="14"/>
                <w:color w:val="auto"/>
                <w:w w:val="95"/>
              </w:rPr>
              <w:t>Board of Directors to fix the remuneration of such independent registered public</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80" w:type="dxa"/>
            <w:vAlign w:val="bottom"/>
            <w:vMerge w:val="restart"/>
          </w:tcPr>
          <w:p>
            <w:pPr>
              <w:ind w:left="400"/>
              <w:spacing w:after="0"/>
              <w:rPr>
                <w:sz w:val="20"/>
                <w:szCs w:val="20"/>
                <w:color w:val="auto"/>
              </w:rPr>
            </w:pPr>
            <w:r>
              <w:rPr>
                <w:rFonts w:ascii="Arial" w:cs="Arial" w:eastAsia="Arial" w:hAnsi="Arial"/>
                <w:sz w:val="14"/>
                <w:szCs w:val="14"/>
                <w:color w:val="auto"/>
              </w:rPr>
              <w:t>Eli Gelman</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ind w:left="360"/>
              <w:spacing w:after="0"/>
              <w:rPr>
                <w:sz w:val="20"/>
                <w:szCs w:val="20"/>
                <w:color w:val="auto"/>
              </w:rPr>
            </w:pPr>
            <w:r>
              <w:rPr>
                <w:rFonts w:ascii="Arial" w:cs="Arial" w:eastAsia="Arial" w:hAnsi="Arial"/>
                <w:sz w:val="14"/>
                <w:szCs w:val="14"/>
                <w:color w:val="auto"/>
                <w:w w:val="88"/>
              </w:rPr>
              <w:t>accounting firm in accordance with the nature and extent of its services (Proposal IV).</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1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James S. Kahan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Richard T.C. LeFave</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Giora Yaron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3"/>
          </w:tcPr>
          <w:p>
            <w:pPr>
              <w:spacing w:after="0"/>
              <w:rPr>
                <w:sz w:val="20"/>
                <w:szCs w:val="20"/>
                <w:color w:val="auto"/>
              </w:rPr>
            </w:pPr>
            <w:r>
              <w:rPr>
                <w:rFonts w:ascii="Arial" w:cs="Arial" w:eastAsia="Arial" w:hAnsi="Arial"/>
                <w:sz w:val="14"/>
                <w:szCs w:val="14"/>
                <w:color w:val="auto"/>
                <w:w w:val="92"/>
              </w:rPr>
              <w:t>To change the address on your account, please check the box at</w:t>
            </w:r>
          </w:p>
        </w:tc>
        <w:tc>
          <w:tcPr>
            <w:tcW w:w="1360" w:type="dxa"/>
            <w:vAlign w:val="bottom"/>
            <w:gridSpan w:val="3"/>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spacing w:after="0" w:line="149" w:lineRule="exact"/>
              <w:rPr>
                <w:sz w:val="20"/>
                <w:szCs w:val="20"/>
                <w:color w:val="auto"/>
              </w:rPr>
            </w:pPr>
            <w:r>
              <w:rPr>
                <w:rFonts w:ascii="Arial" w:cs="Arial" w:eastAsia="Arial" w:hAnsi="Arial"/>
                <w:sz w:val="14"/>
                <w:szCs w:val="14"/>
                <w:color w:val="auto"/>
                <w:w w:val="92"/>
              </w:rPr>
              <w:t>right and indicate your new address in the address space above.</w:t>
            </w:r>
          </w:p>
        </w:tc>
        <w:tc>
          <w:tcPr>
            <w:tcW w:w="136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spacing w:after="0" w:line="149" w:lineRule="exact"/>
              <w:rPr>
                <w:sz w:val="20"/>
                <w:szCs w:val="20"/>
                <w:color w:val="auto"/>
              </w:rPr>
            </w:pPr>
            <w:r>
              <w:rPr>
                <w:rFonts w:ascii="Arial" w:cs="Arial" w:eastAsia="Arial" w:hAnsi="Arial"/>
                <w:sz w:val="14"/>
                <w:szCs w:val="14"/>
                <w:color w:val="auto"/>
                <w:w w:val="89"/>
              </w:rPr>
              <w:t>Please note that changes to the registered name(s) on the account</w:t>
            </w:r>
          </w:p>
        </w:tc>
        <w:tc>
          <w:tcPr>
            <w:tcW w:w="136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2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may not be submitted via this method.</w:t>
            </w: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9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98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Signature of Shareholder</w:t>
            </w:r>
          </w:p>
        </w:tc>
        <w:tc>
          <w:tcPr>
            <w:tcW w:w="17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480" w:type="dxa"/>
            <w:vAlign w:val="bottom"/>
            <w:tcBorders>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Date:</w:t>
            </w:r>
          </w:p>
        </w:tc>
        <w:tc>
          <w:tcPr>
            <w:tcW w:w="920" w:type="dxa"/>
            <w:vAlign w:val="bottom"/>
            <w:tcBorders>
              <w:top w:val="single" w:sz="8" w:color="auto"/>
              <w:bottom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4"/>
                <w:szCs w:val="14"/>
                <w:color w:val="auto"/>
              </w:rPr>
              <w:t>Signature of Shareholder</w:t>
            </w:r>
          </w:p>
        </w:tc>
        <w:tc>
          <w:tcPr>
            <w:tcW w:w="2380" w:type="dxa"/>
            <w:vAlign w:val="bottom"/>
            <w:tcBorders>
              <w:top w:val="single" w:sz="8" w:color="auto"/>
              <w:bottom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ind w:left="100"/>
              <w:spacing w:after="0" w:line="142" w:lineRule="exact"/>
              <w:rPr>
                <w:sz w:val="20"/>
                <w:szCs w:val="20"/>
                <w:color w:val="auto"/>
              </w:rPr>
            </w:pPr>
            <w:r>
              <w:rPr>
                <w:rFonts w:ascii="Arial" w:cs="Arial" w:eastAsia="Arial" w:hAnsi="Arial"/>
                <w:sz w:val="14"/>
                <w:szCs w:val="14"/>
                <w:color w:val="auto"/>
                <w:w w:val="95"/>
              </w:rPr>
              <w:t>Date:</w:t>
            </w:r>
          </w:p>
        </w:tc>
        <w:tc>
          <w:tcPr>
            <w:tcW w:w="6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 w:type="dxa"/>
            <w:vAlign w:val="bottom"/>
          </w:tcPr>
          <w:p>
            <w:pPr>
              <w:ind w:left="260"/>
              <w:spacing w:after="0" w:line="158" w:lineRule="exact"/>
              <w:rPr>
                <w:sz w:val="20"/>
                <w:szCs w:val="20"/>
                <w:color w:val="auto"/>
              </w:rPr>
            </w:pPr>
            <w:r>
              <w:rPr>
                <w:rFonts w:ascii="Arial" w:cs="Arial" w:eastAsia="Arial" w:hAnsi="Arial"/>
                <w:sz w:val="14"/>
                <w:szCs w:val="14"/>
                <w:b w:val="1"/>
                <w:bCs w:val="1"/>
                <w:color w:val="auto"/>
              </w:rPr>
              <w:t>Note:</w:t>
            </w:r>
          </w:p>
        </w:tc>
        <w:tc>
          <w:tcPr>
            <w:tcW w:w="10520" w:type="dxa"/>
            <w:vAlign w:val="bottom"/>
            <w:gridSpan w:val="10"/>
          </w:tcPr>
          <w:p>
            <w:pPr>
              <w:ind w:left="140"/>
              <w:spacing w:after="0" w:line="158" w:lineRule="exact"/>
              <w:rPr>
                <w:sz w:val="20"/>
                <w:szCs w:val="20"/>
                <w:color w:val="auto"/>
              </w:rPr>
            </w:pPr>
            <w:r>
              <w:rPr>
                <w:rFonts w:ascii="Arial" w:cs="Arial" w:eastAsia="Arial" w:hAnsi="Arial"/>
                <w:sz w:val="14"/>
                <w:szCs w:val="14"/>
                <w:color w:val="auto"/>
                <w:w w:val="87"/>
              </w:rPr>
              <w:t>Please sign exactly as your name or names appear on this Proxy. When shares are held jointly, each holder should sign. When signing as executor, administrator, attorney, trustee or guardian,</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8"/>
                <w:szCs w:val="18"/>
                <w:color w:val="auto"/>
              </w:rPr>
              <w:t>¢</w:t>
            </w:r>
          </w:p>
        </w:tc>
        <w:tc>
          <w:tcPr>
            <w:tcW w:w="10520" w:type="dxa"/>
            <w:vAlign w:val="bottom"/>
            <w:gridSpan w:val="10"/>
          </w:tcPr>
          <w:p>
            <w:pPr>
              <w:ind w:left="140"/>
              <w:spacing w:after="0" w:line="149" w:lineRule="exact"/>
              <w:rPr>
                <w:sz w:val="20"/>
                <w:szCs w:val="20"/>
                <w:color w:val="auto"/>
              </w:rPr>
            </w:pPr>
            <w:r>
              <w:rPr>
                <w:rFonts w:ascii="Arial" w:cs="Arial" w:eastAsia="Arial" w:hAnsi="Arial"/>
                <w:sz w:val="14"/>
                <w:szCs w:val="14"/>
                <w:color w:val="auto"/>
                <w:w w:val="93"/>
              </w:rPr>
              <w:t>please give full title as such. If the signer is a corporation, please sign full corporate name by duly authorized officer, giving full title as such. If signer is a partnership, please sign in</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020" w:type="dxa"/>
            <w:vAlign w:val="bottom"/>
            <w:gridSpan w:val="2"/>
          </w:tcPr>
          <w:p>
            <w:pPr>
              <w:ind w:left="140"/>
              <w:spacing w:after="0"/>
              <w:rPr>
                <w:sz w:val="20"/>
                <w:szCs w:val="20"/>
                <w:color w:val="auto"/>
              </w:rPr>
            </w:pPr>
            <w:r>
              <w:rPr>
                <w:rFonts w:ascii="Arial" w:cs="Arial" w:eastAsia="Arial" w:hAnsi="Arial"/>
                <w:sz w:val="14"/>
                <w:szCs w:val="14"/>
                <w:color w:val="auto"/>
              </w:rPr>
              <w:t>partnership name by authorized person.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type w:val="continuous"/>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2015</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63"/>
    </w:lvl>
  </w:abstractNum>
  <w:abstractNum w:abstractNumId="6">
    <w:nsid w:val="5BD062C2"/>
    <w:multiLevelType w:val="hybridMultilevel"/>
    <w:lvl w:ilvl="0">
      <w:lvlJc w:val="left"/>
      <w:lvlText w:val="%1"/>
      <w:numFmt w:val="decimal"/>
      <w:start w:val="53"/>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2019-12-07T04:52:30Z</dcterms:created>
  <dcterms:modified xsi:type="dcterms:W3CDTF">2019-12-07T04:52:30Z</dcterms:modified>
</cp:coreProperties>
</file>