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688340</wp:posOffset>
            </wp:positionH>
            <wp:positionV relativeFrom="page">
              <wp:posOffset>852170</wp:posOffset>
            </wp:positionV>
            <wp:extent cx="61722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34290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1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6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11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Com</w:t>
      </w:r>
      <w:r>
        <w:rPr>
          <w:rFonts w:ascii="Times New Roman" w:cs="Times New Roman" w:eastAsia="Times New Roman" w:hAnsi="Times New Roman"/>
          <w:sz w:val="18"/>
          <w:szCs w:val="18"/>
          <w:b w:val="1"/>
          <w:bCs w:val="1"/>
          <w:u w:val="single" w:color="auto"/>
          <w:color w:val="auto"/>
        </w:rPr>
        <w:t>mission File Number 1-1</w:t>
      </w:r>
      <w:r>
        <w:rPr>
          <w:rFonts w:ascii="Times New Roman" w:cs="Times New Roman" w:eastAsia="Times New Roman" w:hAnsi="Times New Roman"/>
          <w:sz w:val="18"/>
          <w:szCs w:val="18"/>
          <w:b w:val="1"/>
          <w:bCs w:val="1"/>
          <w:color w:val="auto"/>
        </w:rPr>
        <w:t>4840</w:t>
      </w:r>
    </w:p>
    <w:p>
      <w:pPr>
        <w:spacing w:after="0" w:line="22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AMDOCS LIMITED</w:t>
      </w:r>
    </w:p>
    <w:p>
      <w:pPr>
        <w:spacing w:after="0" w:line="2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73025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 Peter Port, Guernsey, GY1 2NG</w:t>
      </w:r>
    </w:p>
    <w:p>
      <w:pPr>
        <w:spacing w:after="0" w:line="9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625 Maryville Centre Drive, Suite 200</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Saint Louis, Missouri 63141</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(Addre</w:t>
      </w:r>
      <w:r>
        <w:rPr>
          <w:rFonts w:ascii="Times New Roman" w:cs="Times New Roman" w:eastAsia="Times New Roman" w:hAnsi="Times New Roman"/>
          <w:sz w:val="18"/>
          <w:szCs w:val="18"/>
          <w:u w:val="single" w:color="auto"/>
          <w:color w:val="auto"/>
        </w:rPr>
        <w:t>ss of Principal Executive O</w:t>
      </w:r>
      <w:r>
        <w:rPr>
          <w:rFonts w:ascii="Times New Roman" w:cs="Times New Roman" w:eastAsia="Times New Roman" w:hAnsi="Times New Roman"/>
          <w:sz w:val="18"/>
          <w:szCs w:val="18"/>
          <w:color w:val="auto"/>
        </w:rPr>
        <w:t>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44" w:lineRule="exact"/>
        <w:rPr>
          <w:sz w:val="24"/>
          <w:szCs w:val="24"/>
          <w:color w:val="auto"/>
        </w:rPr>
      </w:pPr>
    </w:p>
    <w:p>
      <w:pPr>
        <w:ind w:left="3560"/>
        <w:spacing w:after="0" w:line="207" w:lineRule="exact"/>
        <w:tabs>
          <w:tab w:leader="none" w:pos="5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44" w:lineRule="exact"/>
        <w:rPr>
          <w:sz w:val="24"/>
          <w:szCs w:val="24"/>
          <w:color w:val="auto"/>
        </w:rPr>
      </w:pPr>
    </w:p>
    <w:p>
      <w:pPr>
        <w:ind w:left="4100"/>
        <w:spacing w:after="0" w:line="207" w:lineRule="exact"/>
        <w:tabs>
          <w:tab w:leader="none" w:pos="51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57" w:lineRule="exact"/>
        <w:rPr>
          <w:sz w:val="24"/>
          <w:szCs w:val="24"/>
          <w:color w:val="auto"/>
        </w:rPr>
      </w:pPr>
    </w:p>
    <w:p>
      <w:pPr>
        <w:ind w:left="4100"/>
        <w:spacing w:after="0" w:line="207" w:lineRule="exact"/>
        <w:tabs>
          <w:tab w:leader="none" w:pos="51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5" w:lineRule="exact"/>
        <w:rPr>
          <w:sz w:val="24"/>
          <w:szCs w:val="24"/>
          <w:color w:val="auto"/>
        </w:rPr>
      </w:pPr>
    </w:p>
    <w:p>
      <w:pPr>
        <w:ind w:right="13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80" w:lineRule="exact"/>
        <w:rPr>
          <w:sz w:val="24"/>
          <w:szCs w:val="24"/>
          <w:color w:val="auto"/>
        </w:rPr>
      </w:pPr>
    </w:p>
    <w:p>
      <w:pPr>
        <w:ind w:left="4060"/>
        <w:spacing w:after="0" w:line="207" w:lineRule="exact"/>
        <w:tabs>
          <w:tab w:leader="none" w:pos="52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309245</wp:posOffset>
            </wp:positionV>
            <wp:extent cx="617220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34290"/>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1196340</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sectPr>
      </w:pPr>
    </w:p>
    <w:bookmarkStart w:id="1" w:name="page2"/>
    <w:bookmarkEnd w:id="1"/>
    <w:p>
      <w:pPr>
        <w:ind w:left="368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8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FRIDAY, JANUARY 31, 2025</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w:t>
      </w:r>
    </w:p>
    <w:p>
      <w:pPr>
        <w:spacing w:after="0" w:line="185"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The annual general meeting of shareholders of Amdocs Limited will be held at 11:00 a.m., local time, on Friday, January 31, 2025, at the Amdocs offices at 185 Hudson Street, floor no. 27, Suite 2700, Jersey City, NJ 07311, for the following purposes:</w:t>
      </w:r>
    </w:p>
    <w:p>
      <w:pPr>
        <w:spacing w:after="0" w:line="135" w:lineRule="exact"/>
        <w:rPr>
          <w:sz w:val="20"/>
          <w:szCs w:val="20"/>
          <w:color w:val="auto"/>
        </w:rPr>
      </w:pPr>
    </w:p>
    <w:p>
      <w:pPr>
        <w:ind w:left="620" w:right="379" w:hanging="328"/>
        <w:spacing w:after="0" w:line="266"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election of each of the following 9 individuals to serve as directors of Amdocs Limited until the next annual general meeting of shareholders or until his or her earlier resignation or removal or until his or her respective successor is elected and qualified (Proposal I);</w:t>
      </w:r>
    </w:p>
    <w:p>
      <w:pPr>
        <w:spacing w:after="0" w:line="1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Eli Gelman</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Robert A. Minicucci</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Adrian Gardner</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Rafael de la Vega</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John A. MacDonald</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Yvette Kanouff</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Sarah Ruth Davis</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Amos Genish</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Shuky Sheffer</w:t>
      </w:r>
    </w:p>
    <w:p>
      <w:pPr>
        <w:spacing w:after="0" w:line="166" w:lineRule="exact"/>
        <w:rPr>
          <w:sz w:val="20"/>
          <w:szCs w:val="20"/>
          <w:color w:val="auto"/>
        </w:rPr>
      </w:pPr>
    </w:p>
    <w:p>
      <w:pPr>
        <w:ind w:left="620" w:right="519" w:hanging="328"/>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extension of the term of the Amdocs Limited 1998 Stock Option and Incentive Plan to January 31, 2035 (Proposal II);</w:t>
      </w:r>
    </w:p>
    <w:p>
      <w:pPr>
        <w:spacing w:after="0" w:line="121" w:lineRule="exact"/>
        <w:rPr>
          <w:rFonts w:ascii="Times New Roman" w:cs="Times New Roman" w:eastAsia="Times New Roman" w:hAnsi="Times New Roman"/>
          <w:sz w:val="18"/>
          <w:szCs w:val="18"/>
          <w:color w:val="auto"/>
        </w:rPr>
      </w:pPr>
    </w:p>
    <w:p>
      <w:pPr>
        <w:ind w:left="620" w:right="359" w:hanging="328"/>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increase in the dividend rate under our quarterly cash dividend program from $0.479 per share to $0.527 per share (Proposal III);</w:t>
      </w:r>
    </w:p>
    <w:p>
      <w:pPr>
        <w:spacing w:after="0" w:line="134" w:lineRule="exact"/>
        <w:rPr>
          <w:rFonts w:ascii="Times New Roman" w:cs="Times New Roman" w:eastAsia="Times New Roman" w:hAnsi="Times New Roman"/>
          <w:sz w:val="18"/>
          <w:szCs w:val="18"/>
          <w:color w:val="auto"/>
        </w:rPr>
      </w:pPr>
    </w:p>
    <w:p>
      <w:pPr>
        <w:ind w:left="620" w:right="419" w:hanging="328"/>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our Consolidated Financial Statements for the fiscal year ended September 30, 2024 (Proposal IV); and</w:t>
      </w:r>
    </w:p>
    <w:p>
      <w:pPr>
        <w:spacing w:after="0" w:line="121" w:lineRule="exact"/>
        <w:rPr>
          <w:rFonts w:ascii="Times New Roman" w:cs="Times New Roman" w:eastAsia="Times New Roman" w:hAnsi="Times New Roman"/>
          <w:sz w:val="18"/>
          <w:szCs w:val="18"/>
          <w:color w:val="auto"/>
        </w:rPr>
      </w:pPr>
    </w:p>
    <w:p>
      <w:pPr>
        <w:ind w:left="620" w:right="359" w:hanging="328"/>
        <w:spacing w:after="0" w:line="261"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and approve the appointment of Ernst &amp; Young LLP as our independent registered public accounting firm for the fiscal year ending September 30, 2025,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shareholders will also act on such other business as may properly come before the annual general meeting.</w:t>
      </w:r>
    </w:p>
    <w:p>
      <w:pPr>
        <w:spacing w:after="0" w:line="198" w:lineRule="exact"/>
        <w:rPr>
          <w:sz w:val="20"/>
          <w:szCs w:val="20"/>
          <w:color w:val="auto"/>
        </w:rPr>
      </w:pPr>
    </w:p>
    <w:p>
      <w:pPr>
        <w:jc w:val="both"/>
        <w:ind w:left="300" w:right="359"/>
        <w:spacing w:after="0" w:line="266" w:lineRule="auto"/>
        <w:rPr>
          <w:sz w:val="20"/>
          <w:szCs w:val="20"/>
          <w:color w:val="auto"/>
        </w:rPr>
      </w:pPr>
      <w:r>
        <w:rPr>
          <w:rFonts w:ascii="Times New Roman" w:cs="Times New Roman" w:eastAsia="Times New Roman" w:hAnsi="Times New Roman"/>
          <w:sz w:val="18"/>
          <w:szCs w:val="18"/>
          <w:color w:val="auto"/>
        </w:rPr>
        <w:t>The Board of Directors has fixed the close of business on December 3, 2024 as the record date for the determination of our shareholders entitled to notice of, and to vote on the matters proposed at, the annual general meeting and any adjournments thereof.</w:t>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1860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7" w:lineRule="exact"/>
        <w:rPr>
          <w:sz w:val="20"/>
          <w:szCs w:val="20"/>
          <w:color w:val="auto"/>
        </w:rPr>
      </w:pPr>
    </w:p>
    <w:p>
      <w:pPr>
        <w:ind w:left="580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Matthew E. Smith</w:t>
      </w:r>
    </w:p>
    <w:p>
      <w:pPr>
        <w:spacing w:after="0" w:line="23" w:lineRule="exact"/>
        <w:rPr>
          <w:sz w:val="20"/>
          <w:szCs w:val="20"/>
          <w:color w:val="auto"/>
        </w:rPr>
      </w:pPr>
    </w:p>
    <w:p>
      <w:pPr>
        <w:ind w:left="580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815975</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154940</wp:posOffset>
            </wp:positionV>
            <wp:extent cx="5353050" cy="129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53050" cy="1298575"/>
                    </a:xfrm>
                    <a:prstGeom prst="rect">
                      <a:avLst/>
                    </a:prstGeom>
                    <a:noFill/>
                  </pic:spPr>
                </pic:pic>
              </a:graphicData>
            </a:graphic>
          </wp:anchor>
        </w:drawing>
      </w:r>
    </w:p>
    <w:p>
      <w:pPr>
        <w:spacing w:after="0" w:line="331" w:lineRule="exact"/>
        <w:rPr>
          <w:sz w:val="20"/>
          <w:szCs w:val="20"/>
          <w:color w:val="auto"/>
        </w:rPr>
      </w:pPr>
    </w:p>
    <w:p>
      <w:pPr>
        <w:ind w:left="400" w:right="459"/>
        <w:spacing w:after="0" w:line="254" w:lineRule="auto"/>
        <w:rPr>
          <w:sz w:val="20"/>
          <w:szCs w:val="20"/>
          <w:color w:val="auto"/>
        </w:rPr>
      </w:pPr>
      <w:r>
        <w:rPr>
          <w:rFonts w:ascii="Times New Roman" w:cs="Times New Roman" w:eastAsia="Times New Roman" w:hAnsi="Times New Roman"/>
          <w:sz w:val="18"/>
          <w:szCs w:val="18"/>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381" w:lineRule="exact"/>
        <w:rPr>
          <w:sz w:val="20"/>
          <w:szCs w:val="20"/>
          <w:color w:val="auto"/>
        </w:rPr>
      </w:pPr>
    </w:p>
    <w:p>
      <w:pPr>
        <w:ind w:left="300" w:right="319" w:firstLine="316"/>
        <w:spacing w:after="0" w:line="258" w:lineRule="auto"/>
        <w:tabs>
          <w:tab w:leader="none" w:pos="8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card for the annual general meeting for the fiscal year ended September 30, 2024 is enclosed and our Annual Report on Form 20-F is available on our website at www.amdocs.com/proxy or by request. The proxy card shall be delivered to our Secretary, in care of our principal U.S. subsidiary, Amdocs, Inc., by delivery to our transfer agent, American Stock Transfer &amp; Trust Company, LLC, at 6201 15th Avenue, Brooklyn, New York 11219, as soon as possible.</w:t>
      </w:r>
    </w:p>
    <w:p>
      <w:pPr>
        <w:spacing w:after="0" w:line="142" w:lineRule="exact"/>
        <w:rPr>
          <w:rFonts w:ascii="Times New Roman" w:cs="Times New Roman" w:eastAsia="Times New Roman" w:hAnsi="Times New Roman"/>
          <w:sz w:val="18"/>
          <w:szCs w:val="18"/>
          <w:color w:val="auto"/>
        </w:rPr>
      </w:pPr>
    </w:p>
    <w:p>
      <w:pPr>
        <w:ind w:left="300" w:right="739" w:firstLine="316"/>
        <w:spacing w:after="0" w:line="261" w:lineRule="auto"/>
        <w:tabs>
          <w:tab w:leader="none" w:pos="8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held by such shareholder.</w:t>
      </w:r>
    </w:p>
    <w:p>
      <w:pPr>
        <w:spacing w:after="0" w:line="152" w:lineRule="exact"/>
        <w:rPr>
          <w:rFonts w:ascii="Times New Roman" w:cs="Times New Roman" w:eastAsia="Times New Roman" w:hAnsi="Times New Roman"/>
          <w:sz w:val="18"/>
          <w:szCs w:val="18"/>
          <w:color w:val="auto"/>
        </w:rPr>
      </w:pPr>
    </w:p>
    <w:p>
      <w:pPr>
        <w:ind w:left="300" w:right="319" w:firstLine="316"/>
        <w:spacing w:after="0" w:line="273" w:lineRule="auto"/>
        <w:tabs>
          <w:tab w:leader="none" w:pos="80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quorum for the annual general meeting shall be two shareholders or more holding a majority of the ordinary shares outstanding as of the record date. If within 30 minutes from the appointed time for the annual general meeting, a quorum is not present, it shall stand adjourned to any other time and any other place as determined by the Chairman of the annual general meeting. It shall not be necessary to notify any shareholder of any adjournment of less than 20 days, not counting the day when notice is given or deemed to be given and the day of the adjourned meeting, if the time and place of the adjourned meeting are announced at the annual general meeting at which adjournment is taken, unless after the adjournment a new record date is fixed for the adjourned meeting.</w:t>
      </w:r>
    </w:p>
    <w:p>
      <w:pPr>
        <w:spacing w:after="0" w:line="130" w:lineRule="exact"/>
        <w:rPr>
          <w:rFonts w:ascii="Times New Roman" w:cs="Times New Roman" w:eastAsia="Times New Roman" w:hAnsi="Times New Roman"/>
          <w:sz w:val="17"/>
          <w:szCs w:val="17"/>
          <w:color w:val="auto"/>
        </w:rPr>
      </w:pPr>
    </w:p>
    <w:p>
      <w:pPr>
        <w:ind w:left="800" w:hanging="18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shareholder present in person or by proxy shall have one vote for each ordinary share held by him, her</w:t>
      </w:r>
    </w:p>
    <w:p>
      <w:pPr>
        <w:spacing w:after="0" w:line="27"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678815</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FRIDAY, JANUARY 31, 2025</w:t>
      </w:r>
    </w:p>
    <w:p>
      <w:pPr>
        <w:spacing w:after="0" w:line="164" w:lineRule="exact"/>
        <w:rPr>
          <w:sz w:val="20"/>
          <w:szCs w:val="20"/>
          <w:color w:val="auto"/>
        </w:rPr>
      </w:pPr>
    </w:p>
    <w:p>
      <w:pPr>
        <w:ind w:left="300" w:right="8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Proxy Statement to “Amdocs,” “we,” “our” and “us” refer to Amdocs Limited and its consolidated subsidiaries and their respective predecessors.</w:t>
      </w:r>
    </w:p>
    <w:p>
      <w:pPr>
        <w:spacing w:after="0" w:line="120" w:lineRule="exact"/>
        <w:rPr>
          <w:sz w:val="20"/>
          <w:szCs w:val="20"/>
          <w:color w:val="auto"/>
        </w:rPr>
      </w:pPr>
    </w:p>
    <w:p>
      <w:pPr>
        <w:ind w:left="300" w:right="479" w:firstLine="324"/>
        <w:spacing w:after="0" w:line="256" w:lineRule="auto"/>
        <w:rPr>
          <w:sz w:val="20"/>
          <w:szCs w:val="20"/>
          <w:color w:val="auto"/>
        </w:rPr>
      </w:pPr>
      <w:r>
        <w:rPr>
          <w:rFonts w:ascii="Times New Roman" w:cs="Times New Roman" w:eastAsia="Times New Roman" w:hAnsi="Times New Roman"/>
          <w:sz w:val="18"/>
          <w:szCs w:val="18"/>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11:00 a.m., local time, on Friday, January 31, 2025, at the Amdocs offices at 185 Hudson Street, floor no. 27, Suite 2700, Jersey City, NJ 07311, or at any adjournments thereof (the “General Meeting”).</w:t>
      </w:r>
    </w:p>
    <w:p>
      <w:pPr>
        <w:spacing w:after="0" w:line="160" w:lineRule="exact"/>
        <w:rPr>
          <w:sz w:val="20"/>
          <w:szCs w:val="20"/>
          <w:color w:val="auto"/>
        </w:rPr>
      </w:pPr>
    </w:p>
    <w:p>
      <w:pPr>
        <w:ind w:left="300" w:right="379" w:firstLine="324"/>
        <w:spacing w:after="0" w:line="282" w:lineRule="auto"/>
        <w:rPr>
          <w:sz w:val="20"/>
          <w:szCs w:val="20"/>
          <w:color w:val="auto"/>
        </w:rPr>
      </w:pPr>
      <w:r>
        <w:rPr>
          <w:rFonts w:ascii="Times New Roman" w:cs="Times New Roman" w:eastAsia="Times New Roman" w:hAnsi="Times New Roman"/>
          <w:sz w:val="18"/>
          <w:szCs w:val="18"/>
          <w:color w:val="auto"/>
        </w:rPr>
        <w:t>This Proxy Statement and the accompanying proxy are first being mailed or delivered to our shareholders on or about December 23, 2024.</w:t>
      </w:r>
    </w:p>
    <w:p>
      <w:pPr>
        <w:spacing w:after="0" w:line="121" w:lineRule="exact"/>
        <w:rPr>
          <w:sz w:val="20"/>
          <w:szCs w:val="20"/>
          <w:color w:val="auto"/>
        </w:rPr>
      </w:pPr>
    </w:p>
    <w:p>
      <w:pPr>
        <w:ind w:left="300" w:right="339" w:firstLine="324"/>
        <w:spacing w:after="0" w:line="282" w:lineRule="auto"/>
        <w:rPr>
          <w:sz w:val="20"/>
          <w:szCs w:val="20"/>
          <w:color w:val="auto"/>
        </w:rPr>
      </w:pPr>
      <w:r>
        <w:rPr>
          <w:rFonts w:ascii="Times New Roman" w:cs="Times New Roman" w:eastAsia="Times New Roman" w:hAnsi="Times New Roman"/>
          <w:sz w:val="18"/>
          <w:szCs w:val="18"/>
          <w:color w:val="auto"/>
        </w:rPr>
        <w:t>At the General Meeting, the holders of our ordinary shares as of the close of business on December 3, 2024 (the “Record Date”) will be asked to take the following actions:</w:t>
      </w:r>
    </w:p>
    <w:p>
      <w:pPr>
        <w:spacing w:after="0" w:line="121" w:lineRule="exact"/>
        <w:rPr>
          <w:sz w:val="20"/>
          <w:szCs w:val="20"/>
          <w:color w:val="auto"/>
        </w:rPr>
      </w:pPr>
    </w:p>
    <w:p>
      <w:pPr>
        <w:ind w:left="300" w:right="1119" w:firstLine="316"/>
        <w:spacing w:after="0" w:line="282" w:lineRule="auto"/>
        <w:tabs>
          <w:tab w:leader="none" w:pos="8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9 directors to serve until the next annual general meeting of shareholders or until their earlier resignation or removal or successors are elected and qualified (Proposal I);</w:t>
      </w:r>
    </w:p>
    <w:p>
      <w:pPr>
        <w:spacing w:after="0" w:line="134" w:lineRule="exact"/>
        <w:rPr>
          <w:rFonts w:ascii="Times New Roman" w:cs="Times New Roman" w:eastAsia="Times New Roman" w:hAnsi="Times New Roman"/>
          <w:sz w:val="18"/>
          <w:szCs w:val="18"/>
          <w:color w:val="auto"/>
        </w:rPr>
      </w:pPr>
    </w:p>
    <w:p>
      <w:pPr>
        <w:ind w:left="300" w:right="339" w:firstLine="316"/>
        <w:spacing w:after="0" w:line="282" w:lineRule="auto"/>
        <w:tabs>
          <w:tab w:leader="none" w:pos="8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extension of the term of the Amdocs Limited 1998 Stock Option and Incentive Plan to January 31, 2035 (Proposal II);</w:t>
      </w:r>
    </w:p>
    <w:p>
      <w:pPr>
        <w:spacing w:after="0" w:line="121" w:lineRule="exact"/>
        <w:rPr>
          <w:rFonts w:ascii="Times New Roman" w:cs="Times New Roman" w:eastAsia="Times New Roman" w:hAnsi="Times New Roman"/>
          <w:sz w:val="18"/>
          <w:szCs w:val="18"/>
          <w:color w:val="auto"/>
        </w:rPr>
      </w:pPr>
    </w:p>
    <w:p>
      <w:pPr>
        <w:ind w:left="300" w:right="359" w:firstLine="316"/>
        <w:spacing w:after="0" w:line="282" w:lineRule="auto"/>
        <w:tabs>
          <w:tab w:leader="none" w:pos="8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increase in the dividend rate under our quarterly cash dividend program from $0.479 per share to $0.527 per share (Proposal III);</w:t>
      </w:r>
    </w:p>
    <w:p>
      <w:pPr>
        <w:spacing w:after="0" w:line="121" w:lineRule="exact"/>
        <w:rPr>
          <w:rFonts w:ascii="Times New Roman" w:cs="Times New Roman" w:eastAsia="Times New Roman" w:hAnsi="Times New Roman"/>
          <w:sz w:val="18"/>
          <w:szCs w:val="18"/>
          <w:color w:val="auto"/>
        </w:rPr>
      </w:pPr>
    </w:p>
    <w:p>
      <w:pPr>
        <w:ind w:left="800" w:hanging="184"/>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our Consolidated Financial Statements for the fiscal year ended September 30, 2024 (Proposal IV);</w:t>
      </w:r>
    </w:p>
    <w:p>
      <w:pPr>
        <w:spacing w:after="0" w:line="27"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79" w:lineRule="exact"/>
        <w:rPr>
          <w:rFonts w:ascii="Times New Roman" w:cs="Times New Roman" w:eastAsia="Times New Roman" w:hAnsi="Times New Roman"/>
          <w:sz w:val="18"/>
          <w:szCs w:val="18"/>
          <w:color w:val="auto"/>
        </w:rPr>
      </w:pPr>
    </w:p>
    <w:p>
      <w:pPr>
        <w:ind w:left="300" w:right="339" w:firstLine="316"/>
        <w:spacing w:after="0" w:line="261" w:lineRule="auto"/>
        <w:tabs>
          <w:tab w:leader="none" w:pos="8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and approve the appointment of Ernst &amp; Young LLP as our independent registered public accounting firm for the fiscal year ending September 30, 2025,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39" w:lineRule="exact"/>
        <w:rPr>
          <w:sz w:val="20"/>
          <w:szCs w:val="20"/>
          <w:color w:val="auto"/>
        </w:rPr>
      </w:pPr>
    </w:p>
    <w:p>
      <w:pPr>
        <w:ind w:left="300" w:right="559" w:firstLine="324"/>
        <w:spacing w:after="0" w:line="258" w:lineRule="auto"/>
        <w:rPr>
          <w:sz w:val="20"/>
          <w:szCs w:val="20"/>
          <w:color w:val="auto"/>
        </w:rPr>
      </w:pPr>
      <w:r>
        <w:rPr>
          <w:rFonts w:ascii="Times New Roman" w:cs="Times New Roman" w:eastAsia="Times New Roman" w:hAnsi="Times New Roman"/>
          <w:sz w:val="18"/>
          <w:szCs w:val="18"/>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 holders.</w:t>
      </w:r>
    </w:p>
    <w:p>
      <w:pPr>
        <w:spacing w:after="0" w:line="143" w:lineRule="exact"/>
        <w:rPr>
          <w:sz w:val="20"/>
          <w:szCs w:val="20"/>
          <w:color w:val="auto"/>
        </w:rPr>
      </w:pPr>
    </w:p>
    <w:p>
      <w:pPr>
        <w:ind w:left="300" w:right="319" w:firstLine="324"/>
        <w:spacing w:after="0" w:line="255" w:lineRule="auto"/>
        <w:rPr>
          <w:sz w:val="20"/>
          <w:szCs w:val="20"/>
          <w:color w:val="auto"/>
        </w:rPr>
      </w:pPr>
      <w:r>
        <w:rPr>
          <w:rFonts w:ascii="Times New Roman" w:cs="Times New Roman" w:eastAsia="Times New Roman" w:hAnsi="Times New Roman"/>
          <w:sz w:val="18"/>
          <w:szCs w:val="18"/>
          <w:color w:val="auto"/>
        </w:rPr>
        <w:t>As of the Record Date, Amdocs had outstanding 112,819,363 ordinary shares (net of treasury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162" w:lineRule="exact"/>
        <w:rPr>
          <w:sz w:val="20"/>
          <w:szCs w:val="20"/>
          <w:color w:val="auto"/>
        </w:rPr>
      </w:pPr>
    </w:p>
    <w:p>
      <w:pPr>
        <w:ind w:left="300" w:right="339" w:firstLine="324"/>
        <w:spacing w:after="0" w:line="266" w:lineRule="auto"/>
        <w:rPr>
          <w:sz w:val="20"/>
          <w:szCs w:val="20"/>
          <w:color w:val="auto"/>
        </w:rPr>
      </w:pPr>
      <w:r>
        <w:rPr>
          <w:rFonts w:ascii="Times New Roman" w:cs="Times New Roman" w:eastAsia="Times New Roman" w:hAnsi="Times New Roman"/>
          <w:sz w:val="18"/>
          <w:szCs w:val="18"/>
          <w:color w:val="auto"/>
        </w:rPr>
        <w:t>Approval of Proposals I, III, IV and V requires the affirmative vote of a majority of our ordinary shares voted in person or by proxy at the General Meeting. Approval of Proposal II requires the affirmative vote of holders of a majority of the ordinary shares issued and outstanding.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 w:name="page5"/>
    <w:bookmarkEnd w:id="4"/>
    <w:p>
      <w:pPr>
        <w:spacing w:after="0" w:line="153" w:lineRule="exact"/>
        <w:rPr>
          <w:sz w:val="20"/>
          <w:szCs w:val="20"/>
          <w:color w:val="auto"/>
        </w:rPr>
      </w:pPr>
    </w:p>
    <w:p>
      <w:pPr>
        <w:ind w:left="300" w:right="339" w:firstLine="324"/>
        <w:spacing w:after="0" w:line="256" w:lineRule="auto"/>
        <w:rPr>
          <w:sz w:val="20"/>
          <w:szCs w:val="20"/>
          <w:color w:val="auto"/>
        </w:rPr>
      </w:pPr>
      <w:r>
        <w:rPr>
          <w:rFonts w:ascii="Times New Roman" w:cs="Times New Roman" w:eastAsia="Times New Roman" w:hAnsi="Times New Roman"/>
          <w:sz w:val="18"/>
          <w:szCs w:val="18"/>
          <w:color w:val="auto"/>
        </w:rPr>
        <w:t>The enclosed proxy provides that each shareholder may specify that his, her or its ordinary shares be voted “for,” “against” or “abstain” from voting for each of the director nominees named in Proposal I and with respect to each of Proposals II, III, IV and V. If proxies in the accompanying form are properly executed and returned, the ordinary shares represented thereby will be voted in the manner specified therein. If not otherwise specified, in the reasonable discretion of the proxy holders, the ordinary shares represented by a proxy will be voted FOR each of the proposals.</w:t>
      </w:r>
    </w:p>
    <w:p>
      <w:pPr>
        <w:spacing w:after="0" w:line="160" w:lineRule="exact"/>
        <w:rPr>
          <w:sz w:val="20"/>
          <w:szCs w:val="20"/>
          <w:color w:val="auto"/>
        </w:rPr>
      </w:pPr>
    </w:p>
    <w:p>
      <w:pPr>
        <w:ind w:left="300" w:right="459" w:firstLine="324"/>
        <w:spacing w:after="0" w:line="254" w:lineRule="auto"/>
        <w:rPr>
          <w:sz w:val="20"/>
          <w:szCs w:val="20"/>
          <w:color w:val="auto"/>
        </w:rPr>
      </w:pPr>
      <w:r>
        <w:rPr>
          <w:rFonts w:ascii="Times New Roman" w:cs="Times New Roman" w:eastAsia="Times New Roman" w:hAnsi="Times New Roman"/>
          <w:sz w:val="18"/>
          <w:szCs w:val="18"/>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51" w:lineRule="exact"/>
        <w:rPr>
          <w:sz w:val="20"/>
          <w:szCs w:val="20"/>
          <w:color w:val="auto"/>
        </w:rPr>
      </w:pPr>
    </w:p>
    <w:p>
      <w:pPr>
        <w:ind w:left="300" w:right="339" w:firstLine="324"/>
        <w:spacing w:after="0" w:line="256" w:lineRule="auto"/>
        <w:rPr>
          <w:sz w:val="20"/>
          <w:szCs w:val="20"/>
          <w:color w:val="auto"/>
        </w:rPr>
      </w:pPr>
      <w:r>
        <w:rPr>
          <w:rFonts w:ascii="Times New Roman" w:cs="Times New Roman" w:eastAsia="Times New Roman" w:hAnsi="Times New Roman"/>
          <w:sz w:val="18"/>
          <w:szCs w:val="18"/>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General Meeting on January 31, 2025. We strongly encourage our shareholders to use the enclosed proxy card or to authorize the voting of their shares over the internet or by telephone as provided in the instructions set forth in the enclosed proxy card.</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Any shareholder giving a proxy may revoke it at any time before it is exercised at the General Meeting by:</w:t>
      </w:r>
    </w:p>
    <w:p>
      <w:pPr>
        <w:spacing w:after="0" w:line="198" w:lineRule="exact"/>
        <w:rPr>
          <w:sz w:val="20"/>
          <w:szCs w:val="20"/>
          <w:color w:val="auto"/>
        </w:rPr>
      </w:pPr>
    </w:p>
    <w:p>
      <w:pPr>
        <w:ind w:left="940" w:right="359" w:hanging="324"/>
        <w:spacing w:after="0" w:line="258"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142" w:lineRule="exact"/>
        <w:rPr>
          <w:rFonts w:ascii="Times New Roman" w:cs="Times New Roman" w:eastAsia="Times New Roman" w:hAnsi="Times New Roman"/>
          <w:sz w:val="18"/>
          <w:szCs w:val="18"/>
          <w:color w:val="auto"/>
        </w:rPr>
      </w:pPr>
    </w:p>
    <w:p>
      <w:pPr>
        <w:ind w:left="940" w:right="479" w:hanging="324"/>
        <w:spacing w:after="0" w:line="282"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General Meeting and voting in person (although attendance at the General Meeting will not in and of itself constitute revocation of a proxy).</w:t>
      </w:r>
    </w:p>
    <w:p>
      <w:pPr>
        <w:spacing w:after="0" w:line="117" w:lineRule="exact"/>
        <w:rPr>
          <w:sz w:val="20"/>
          <w:szCs w:val="20"/>
          <w:color w:val="auto"/>
        </w:rPr>
      </w:pPr>
    </w:p>
    <w:p>
      <w:pPr>
        <w:jc w:val="cente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GENERAL MEETING OF SHAREHOLDERS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JANUARY 31, 2025</w:t>
      </w:r>
    </w:p>
    <w:p>
      <w:pPr>
        <w:spacing w:after="0" w:line="189" w:lineRule="exact"/>
        <w:rPr>
          <w:sz w:val="20"/>
          <w:szCs w:val="20"/>
          <w:color w:val="auto"/>
        </w:rPr>
      </w:pPr>
    </w:p>
    <w:p>
      <w:pPr>
        <w:ind w:left="300" w:right="819" w:firstLine="324"/>
        <w:spacing w:after="0" w:line="282" w:lineRule="auto"/>
        <w:rPr>
          <w:sz w:val="20"/>
          <w:szCs w:val="20"/>
          <w:color w:val="auto"/>
        </w:rPr>
      </w:pPr>
      <w:r>
        <w:rPr>
          <w:rFonts w:ascii="Times New Roman" w:cs="Times New Roman" w:eastAsia="Times New Roman" w:hAnsi="Times New Roman"/>
          <w:sz w:val="18"/>
          <w:szCs w:val="18"/>
          <w:color w:val="auto"/>
        </w:rPr>
        <w:t>This proxy statement and the 2024 Annual Report to Shareholders are available for viewing, printing and downloading at www.amdocs.com/proxy.</w:t>
      </w:r>
    </w:p>
    <w:p>
      <w:pPr>
        <w:spacing w:after="0" w:line="121" w:lineRule="exact"/>
        <w:rPr>
          <w:sz w:val="20"/>
          <w:szCs w:val="20"/>
          <w:color w:val="auto"/>
        </w:rPr>
      </w:pPr>
    </w:p>
    <w:p>
      <w:pPr>
        <w:ind w:left="300" w:right="319" w:firstLine="324"/>
        <w:spacing w:after="0" w:line="261" w:lineRule="auto"/>
        <w:rPr>
          <w:sz w:val="20"/>
          <w:szCs w:val="20"/>
          <w:color w:val="auto"/>
        </w:rPr>
      </w:pPr>
      <w:r>
        <w:rPr>
          <w:rFonts w:ascii="Times New Roman" w:cs="Times New Roman" w:eastAsia="Times New Roman" w:hAnsi="Times New Roman"/>
          <w:sz w:val="18"/>
          <w:szCs w:val="18"/>
          <w:color w:val="auto"/>
        </w:rPr>
        <w:t>You may also request a copy of the materials relating to our annual general meeting, including this proxy statement and form of proxy for our annual general meeting, and our Annual Report on Form 20-F for the fiscal year ended September 30, 2024 by contacting our investor relations department by telephone at (314) 212-8328 or by e-mail at dox_info@amdocs.com.</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89" w:lineRule="exact"/>
        <w:rPr>
          <w:sz w:val="20"/>
          <w:szCs w:val="20"/>
          <w:color w:val="auto"/>
        </w:rPr>
      </w:pPr>
    </w:p>
    <w:p>
      <w:pPr>
        <w:jc w:val="both"/>
        <w:ind w:left="300" w:right="379" w:firstLine="324"/>
        <w:spacing w:after="0" w:line="258" w:lineRule="auto"/>
        <w:rPr>
          <w:sz w:val="20"/>
          <w:szCs w:val="20"/>
          <w:color w:val="auto"/>
        </w:rPr>
      </w:pPr>
      <w:r>
        <w:rPr>
          <w:rFonts w:ascii="Times New Roman" w:cs="Times New Roman" w:eastAsia="Times New Roman" w:hAnsi="Times New Roman"/>
          <w:sz w:val="18"/>
          <w:szCs w:val="18"/>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80" w:lineRule="exact"/>
        <w:rPr>
          <w:sz w:val="20"/>
          <w:szCs w:val="20"/>
          <w:color w:val="auto"/>
        </w:rPr>
      </w:pPr>
    </w:p>
    <w:p>
      <w:pPr>
        <w:ind w:left="1320" w:right="1480" w:firstLine="324"/>
        <w:spacing w:after="0" w:line="258" w:lineRule="auto"/>
        <w:rPr>
          <w:sz w:val="20"/>
          <w:szCs w:val="20"/>
          <w:color w:val="auto"/>
        </w:rPr>
      </w:pPr>
      <w:r>
        <w:rPr>
          <w:rFonts w:ascii="Times New Roman" w:cs="Times New Roman" w:eastAsia="Times New Roman" w:hAnsi="Times New Roman"/>
          <w:sz w:val="18"/>
          <w:szCs w:val="18"/>
          <w:color w:val="auto"/>
        </w:rPr>
        <w:t>Nine (9) directors currently serve on our Board of Directors. As set forth below, the Board of Directors has nominated nine (9) individuals as nominees for election as directors at the General Meeting, all of whom are incumbent directors. All directors hold office until the next annual meeting of our shareholders, which generally is in January or February of each calendar year, or until their respective successors are duly elected and qualified or their positions are earlier vacated by resignation or otherwise.</w:t>
      </w:r>
    </w:p>
    <w:p>
      <w:pPr>
        <w:spacing w:after="0" w:line="143" w:lineRule="exact"/>
        <w:rPr>
          <w:sz w:val="20"/>
          <w:szCs w:val="20"/>
          <w:color w:val="auto"/>
        </w:rPr>
      </w:pPr>
    </w:p>
    <w:p>
      <w:pPr>
        <w:ind w:left="1320" w:right="1340" w:firstLine="324"/>
        <w:spacing w:after="0" w:line="253" w:lineRule="auto"/>
        <w:rPr>
          <w:sz w:val="20"/>
          <w:szCs w:val="20"/>
          <w:color w:val="auto"/>
        </w:rPr>
      </w:pPr>
      <w:r>
        <w:rPr>
          <w:rFonts w:ascii="Times New Roman" w:cs="Times New Roman" w:eastAsia="Times New Roman" w:hAnsi="Times New Roman"/>
          <w:sz w:val="18"/>
          <w:szCs w:val="18"/>
          <w:color w:val="auto"/>
        </w:rPr>
        <w:t>Due to the global and versatile nature of the Company’s business, the Board of Directors believes it is important to consider diversity of race, ethnicity, gender, age, education, cultural background and professional experiences in evaluating board candidates in order to provide practical insights and diverse perspectives. In addition, the Board of Directors has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reconsidered annually for it to stay in effect. In November 2024, Mr. Ralph de la Vega was granted a one-year waiver to continue as director past the age of 73 years and until the annual general meeting in 2026 in light of the circumstances presented to the Board of Directors, including his exceptional industry experience and value to the Board, as well as the current global business and market environment.</w:t>
      </w:r>
    </w:p>
    <w:p>
      <w:pPr>
        <w:spacing w:after="0" w:line="151" w:lineRule="exact"/>
        <w:rPr>
          <w:sz w:val="20"/>
          <w:szCs w:val="20"/>
          <w:color w:val="auto"/>
        </w:rPr>
      </w:pPr>
    </w:p>
    <w:p>
      <w:pPr>
        <w:ind w:left="1320" w:right="1360" w:firstLine="324"/>
        <w:spacing w:after="0" w:line="258" w:lineRule="auto"/>
        <w:rPr>
          <w:sz w:val="20"/>
          <w:szCs w:val="20"/>
          <w:color w:val="auto"/>
        </w:rPr>
      </w:pPr>
      <w:r>
        <w:rPr>
          <w:rFonts w:ascii="Times New Roman" w:cs="Times New Roman" w:eastAsia="Times New Roman" w:hAnsi="Times New Roman"/>
          <w:sz w:val="18"/>
          <w:szCs w:val="18"/>
          <w:color w:val="auto"/>
        </w:rPr>
        <w:t>Ordinary shares represented by proxies returned duly executed will be voted, unless otherwise specified, in favor of the nine (9)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56" w:lineRule="exact"/>
        <w:rPr>
          <w:sz w:val="20"/>
          <w:szCs w:val="20"/>
          <w:color w:val="auto"/>
        </w:rPr>
      </w:pPr>
    </w:p>
    <w:p>
      <w:pPr>
        <w:ind w:left="1320" w:right="1420" w:firstLine="324"/>
        <w:spacing w:after="0" w:line="312" w:lineRule="auto"/>
        <w:rPr>
          <w:sz w:val="20"/>
          <w:szCs w:val="20"/>
          <w:color w:val="auto"/>
        </w:rPr>
      </w:pPr>
      <w:r>
        <w:rPr>
          <w:rFonts w:ascii="Times New Roman" w:cs="Times New Roman" w:eastAsia="Times New Roman" w:hAnsi="Times New Roman"/>
          <w:sz w:val="17"/>
          <w:szCs w:val="17"/>
          <w:color w:val="auto"/>
        </w:rPr>
        <w:t>Set forth below are the names and ages of the nominees for director, the principal occupations of each nominee currently and for at least the past five years, and the year in which he or she became a director of Amdocs.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5"/>
                <w:szCs w:val="15"/>
                <w:color w:val="auto"/>
              </w:rPr>
            </w:pPr>
          </w:p>
        </w:tc>
        <w:tc>
          <w:tcPr>
            <w:tcW w:w="4880" w:type="dxa"/>
            <w:vAlign w:val="bottom"/>
            <w:tcBorders>
              <w:bottom w:val="single" w:sz="8" w:color="auto"/>
            </w:tcBorders>
          </w:tcPr>
          <w:p>
            <w:pPr>
              <w:spacing w:after="0"/>
              <w:rPr>
                <w:sz w:val="15"/>
                <w:szCs w:val="15"/>
                <w:color w:val="auto"/>
              </w:rPr>
            </w:pPr>
          </w:p>
        </w:tc>
        <w:tc>
          <w:tcPr>
            <w:tcW w:w="1300" w:type="dxa"/>
            <w:vAlign w:val="bottom"/>
          </w:tcPr>
          <w:p>
            <w:pPr>
              <w:spacing w:after="0"/>
              <w:rPr>
                <w:sz w:val="15"/>
                <w:szCs w:val="15"/>
                <w:color w:val="auto"/>
              </w:rPr>
            </w:pPr>
          </w:p>
        </w:tc>
      </w:tr>
      <w:tr>
        <w:trPr>
          <w:trHeight w:val="191"/>
        </w:trPr>
        <w:tc>
          <w:tcPr>
            <w:tcW w:w="1320" w:type="dxa"/>
            <w:vAlign w:val="bottom"/>
          </w:tcPr>
          <w:p>
            <w:pPr>
              <w:spacing w:after="0"/>
              <w:rPr>
                <w:sz w:val="16"/>
                <w:szCs w:val="16"/>
                <w:color w:val="auto"/>
              </w:rPr>
            </w:pPr>
          </w:p>
        </w:tc>
        <w:tc>
          <w:tcPr>
            <w:tcW w:w="2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Eli Gelman</w:t>
            </w:r>
          </w:p>
        </w:tc>
        <w:tc>
          <w:tcPr>
            <w:tcW w:w="100" w:type="dxa"/>
            <w:vAlign w:val="bottom"/>
          </w:tcPr>
          <w:p>
            <w:pPr>
              <w:spacing w:after="0"/>
              <w:rPr>
                <w:sz w:val="16"/>
                <w:szCs w:val="16"/>
                <w:color w:val="auto"/>
              </w:rPr>
            </w:pPr>
          </w:p>
        </w:tc>
        <w:tc>
          <w:tcPr>
            <w:tcW w:w="840" w:type="dxa"/>
            <w:vAlign w:val="bottom"/>
          </w:tcPr>
          <w:p>
            <w:pPr>
              <w:jc w:val="right"/>
              <w:ind w:right="239"/>
              <w:spacing w:after="0" w:line="191" w:lineRule="exact"/>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6"/>
                <w:szCs w:val="16"/>
                <w:color w:val="auto"/>
              </w:rPr>
            </w:pPr>
          </w:p>
        </w:tc>
        <w:tc>
          <w:tcPr>
            <w:tcW w:w="48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Mr. Gelman has been a director of Amdocs since 2002 and</w:t>
            </w:r>
          </w:p>
        </w:tc>
        <w:tc>
          <w:tcPr>
            <w:tcW w:w="1300" w:type="dxa"/>
            <w:vAlign w:val="bottom"/>
          </w:tcPr>
          <w:p>
            <w:pPr>
              <w:spacing w:after="0"/>
              <w:rPr>
                <w:sz w:val="16"/>
                <w:szCs w:val="16"/>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 of Amdocs since November</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Since September 2023, Mr. Gelman serves on the advisory</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for Bocconi University. Since January 2019, Mr. Gelman</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serves as the chairman of the Executive Council of Tel Aviv</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University. Mr. Gelman served as our President and Chief</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 from November 15, 2010 to September 30,</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 From 2010 until 2013, Mr. Gelman served as a director of</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Retalix, a global software company, and during 2010, he also</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served as its Chairman. From 2008 to 2010, Mr. Gelman devoted</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 time to charitable matters focused on youth education. He</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served as Executive Vice President of Amdocs Management</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from 2002 until 2008 and as our Chief Operating Officer</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2006 until 2008. Prior to 2002, he was a Senior Vice</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where he headed our U.S. sales and marketing</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helped spearhead our entry into the customer care</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billing systems market. Before that, Mr. Gelman was an</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 manager for our major European and North American</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installations, and has led several major software development</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projects. Before joining Amdocs, Mr. Gelman was involved in the</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of real-time software systems for communications</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networks and software projects for NASA. Mr. Gelman’s</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qualifications to serve on our Board of Directors include his more</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than two decades of service to Amdocs and its customers,</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including as our Chief Operating Officer and President and Chief</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 With more than 30 years of experience in the</w:t>
            </w:r>
          </w:p>
        </w:tc>
        <w:tc>
          <w:tcPr>
            <w:tcW w:w="130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industry, he possesses a vast</w:t>
            </w:r>
          </w:p>
        </w:tc>
        <w:tc>
          <w:tcPr>
            <w:tcW w:w="1300" w:type="dxa"/>
            <w:vAlign w:val="bottom"/>
          </w:tcPr>
          <w:p>
            <w:pPr>
              <w:spacing w:after="0"/>
              <w:rPr>
                <w:sz w:val="20"/>
                <w:szCs w:val="20"/>
                <w:color w:val="auto"/>
              </w:rPr>
            </w:pPr>
          </w:p>
        </w:tc>
      </w:tr>
      <w:tr>
        <w:trPr>
          <w:trHeight w:val="391"/>
        </w:trPr>
        <w:tc>
          <w:tcPr>
            <w:tcW w:w="1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60" w:type="dxa"/>
            <w:vAlign w:val="bottom"/>
            <w:gridSpan w:val="2"/>
          </w:tcPr>
          <w:p>
            <w:pPr>
              <w:jc w:val="right"/>
              <w:ind w:right="409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tcPr>
          <w:p>
            <w:pPr>
              <w:spacing w:after="0"/>
              <w:rPr>
                <w:sz w:val="24"/>
                <w:szCs w:val="24"/>
                <w:color w:val="auto"/>
              </w:rPr>
            </w:pPr>
          </w:p>
        </w:tc>
      </w:tr>
      <w:tr>
        <w:trPr>
          <w:trHeight w:val="763"/>
        </w:trPr>
        <w:tc>
          <w:tcPr>
            <w:tcW w:w="13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149" w:gutter="0" w:footer="0" w:header="0"/>
        </w:sectPr>
      </w:pPr>
    </w:p>
    <w:bookmarkStart w:id="6" w:name="page7"/>
    <w:bookmarkEnd w:id="6"/>
    <w:tbl>
      <w:tblPr>
        <w:tblLayout w:type="fixed"/>
        <w:tblInd w:w="300" w:type="dxa"/>
        <w:tblCellMar>
          <w:top w:w="0" w:type="dxa"/>
          <w:left w:w="0" w:type="dxa"/>
          <w:bottom w:w="0" w:type="dxa"/>
          <w:right w:w="0" w:type="dxa"/>
        </w:tblCellMar>
      </w:tblPr>
      <w:tr>
        <w:trPr>
          <w:trHeight w:val="173"/>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5"/>
                <w:szCs w:val="15"/>
                <w:color w:val="auto"/>
              </w:rPr>
            </w:pPr>
          </w:p>
        </w:tc>
        <w:tc>
          <w:tcPr>
            <w:tcW w:w="4880" w:type="dxa"/>
            <w:vAlign w:val="bottom"/>
            <w:tcBorders>
              <w:bottom w:val="single" w:sz="8" w:color="auto"/>
            </w:tcBorders>
          </w:tcPr>
          <w:p>
            <w:pPr>
              <w:spacing w:after="0"/>
              <w:rPr>
                <w:sz w:val="15"/>
                <w:szCs w:val="15"/>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institutional knowledge and strategic understanding of our</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organization and industry.</w:t>
            </w:r>
          </w:p>
        </w:tc>
      </w:tr>
      <w:tr>
        <w:trPr>
          <w:trHeight w:val="41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Robert A. Minicucci</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72</w:t>
            </w:r>
          </w:p>
        </w:tc>
        <w:tc>
          <w:tcPr>
            <w:tcW w:w="8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Mr. Minicucci has been a director of Amdocs since 1997 and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served as Chairman of the Board of Directors of Amdocs from</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2011 to November 2023. Mr. Minicucci currently serves as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Chairman of the Nominating and Corporate Governance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Committee. Mr. Minicucci joined Welsh, Carson, Anderson &amp;</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Stowe, or WCAS, in 1993. Mr. Minicucci has served as a</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managing member of the general partners of certain funds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affiliated with WCAS and has focused on the information and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business services industry. Until 2003, investment partnerships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affiliated with WCAS had been among our largest shareholders.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From 1992 to 1993, Mr. Minicucci served as Senior Vice President</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and Chief Financial Officer of First Data Corporation, a provider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of information processing and related services for credit card and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other payment transactions. From 1991 to 1992, he served as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Senior Vice President and Treasurer of the American Express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Company. He served for 12 years with Lehman Brothers (and its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predecessors) until his resignation as a Managing Director in 1991.</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Mr. Minicucci was a director of one other publicly-held company,</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Alliance Data Systems, Inc. until June 2020. He is also a director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of several private companies. Mr. Minicucci’s career in</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information technology investing, including as a director of more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than 20 different public and private companies, and his experience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as chief financial officer to a public company and treasurer of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another public company, has provided him with strong business</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acumen and strategic and financial expertise.</w:t>
            </w:r>
          </w:p>
        </w:tc>
      </w:tr>
      <w:tr>
        <w:trPr>
          <w:trHeight w:val="41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Adrian Gardner</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62</w:t>
            </w:r>
          </w:p>
        </w:tc>
        <w:tc>
          <w:tcPr>
            <w:tcW w:w="8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Mr. </w:t>
            </w:r>
            <w:r>
              <w:rPr>
                <w:rFonts w:ascii="Times New Roman" w:cs="Times New Roman" w:eastAsia="Times New Roman" w:hAnsi="Times New Roman"/>
                <w:sz w:val="18"/>
                <w:szCs w:val="18"/>
                <w:color w:val="231F20"/>
              </w:rPr>
              <w:t>Gardner has been a director of Amdocs since 1998 and is</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Chairman of the Audit Committee. Mr. Gardner serves as Chief</w:t>
            </w:r>
          </w:p>
        </w:tc>
      </w:tr>
    </w:tbl>
    <w:p>
      <w:pPr>
        <w:ind w:left="3860" w:right="319"/>
        <w:spacing w:after="0" w:line="250" w:lineRule="auto"/>
        <w:rPr>
          <w:sz w:val="20"/>
          <w:szCs w:val="20"/>
          <w:color w:val="auto"/>
        </w:rPr>
      </w:pPr>
      <w:r>
        <w:rPr>
          <w:rFonts w:ascii="Times New Roman" w:cs="Times New Roman" w:eastAsia="Times New Roman" w:hAnsi="Times New Roman"/>
          <w:sz w:val="18"/>
          <w:szCs w:val="18"/>
          <w:color w:val="231F20"/>
        </w:rPr>
        <w:t>Operating Officer of Stonehage Fleming Family &amp; Partners Limited, an international Multi-Family Office business, since October 2019. Mr. Gardner has served as a member of the Audit &amp; Risk Committee of Worcester College, Oxford University since May 2017 and as its chair since June 2022. From 2016 to 2019, Mr. Gardner served as Chief Financial Officer of Ipes Holdings Limited, a provider of outsourced services to private equity firms. From 2014 to September 2016, Mr. Gardner served as Chief Financial Officer of International Personal Finance plc, an international home credit business. Mr. Gardner was Chief Financial Officer and a director of RSM Tenon Group PLC, a London-based accounting and advisory firm from 2011 until the acquisition in 2013 of its operating subsidiaries by Baker Tilly UK Holdings Limited, since renamed RSM UK Limited. Mr. Gardner was Chief Financial Officer of PA Consulting Group, a London-based business consulting firm from 2007 to 2011. Mr. Gardner was Chief Financial Officer and a director of ProStrakan Group plc, a pharmaceuticals company based in the United Kingdom and listed on the London Stock Exchange, from 2002 until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Gardner’s extensive experience as an accountant, technology investment banker and chief financial officer enables him to make valuable contributions to our strategic and financial affairs.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1" w:right="1440" w:bottom="1440" w:gutter="0" w:footer="0" w:header="0"/>
        </w:sectPr>
      </w:pPr>
    </w:p>
    <w:bookmarkStart w:id="7" w:name="page8"/>
    <w:bookmarkEnd w:id="7"/>
    <w:p>
      <w:pPr>
        <w:ind w:left="1320"/>
        <w:spacing w:after="0"/>
        <w:tabs>
          <w:tab w:leader="none" w:pos="42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7620</wp:posOffset>
            </wp:positionV>
            <wp:extent cx="53492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040"/>
          </w:cols>
          <w:pgMar w:left="420" w:top="1411" w:right="439" w:bottom="1440" w:gutter="0" w:footer="0" w:header="0"/>
        </w:sect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Rafael de la Vega</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w:t>
            </w: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Mr. de la Vega has been a director of Amdocs since 2018 and is</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Chairman of the Management Resources and Compensation</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Committee. Since 2017, he has served as the Chairman and</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Founder of the De La Vega Group, a consultancy and advisory</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services firm. From February 2016 to December 2016, Mr. de la</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Vega served as the Vice Chairman of AT&amp;T Inc. and CEO of</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Business Solutions &amp; International. From 2014 to 2016, Mr. de la</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Vega served as President and CEO of AT&amp;T Mobile and Business</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Solutions and from 2007 to 2014 he served as the President and</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CEO of AT&amp;T Mobility. Mr. de la Vega also held various positions</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at several telecommunications companies, including Cingular</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Wireless and Bell South Latin America. During his time at</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Cingular Wireless, he was responsible for the integration of AT&amp;T</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Wireless and Cingular Wireless. He also currently serves on the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board of directors of New York Life Insurance Company. From</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2016 to May 2024, Mr. de la Vega served on the board of directors</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of American Express Company. He also served on the Executive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Committee of the Boy Scouts of America until May 2018 and</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served as Chairman of the 2017 Boy Scouts Jamboree. He is the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Chairman Emeritus of Junior Achievement Worldwide. In June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2018, Mr. de la Vega joined as the Vice Chairman of the board of</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directors of Ubicquia LLC. In September 2018 he joined the board</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of advisors of RapidSOS. Mr. de la Vega also recently joined Forté</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Ventures as a Limited Partner. We believe Mr. de la Vega’s</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qualifications to sit on our Board of Directors include his extensive</w:t>
            </w:r>
          </w:p>
        </w:tc>
      </w:tr>
      <w:tr>
        <w:trPr>
          <w:trHeight w:val="234"/>
        </w:trPr>
        <w:tc>
          <w:tcPr>
            <w:tcW w:w="3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experience and leadership in the telecommunications industry.</w:t>
            </w:r>
          </w:p>
        </w:tc>
      </w:tr>
      <w:tr>
        <w:trPr>
          <w:trHeight w:val="414"/>
        </w:trPr>
        <w:tc>
          <w:tcPr>
            <w:tcW w:w="35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John A. MacDonald</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w:t>
            </w: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Mr. MacDonald has been a director of Amdocs since 2019 and is</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Chairman of the Technology and Innovation Committee. Mr.</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MacDonald is an experienced senior executive who has worked at</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some of Canada’s largest technology organizations. From May</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2016 to February 2024, Mr. MacDonald served on the board of</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directors of BookJane Inc. From 2012 to 2021, Mr. MacDonald</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served as a board member of Rogers Communications Inc. From</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2003 to 2008, Mr. MacDonald served as the President, Enterprise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Division of MTS Allstream. Before that, between 2002 to 2003,</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Mr. MacDonald was a President and Chief Operating Officer</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AT&amp;T Canada. AT&amp;T Canada was re-branded Allstream in 2003</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was subsequently acquired by MTS the following year. In</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1994 Mr. MacDonald joined Bell Canada as its Chief Technology</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 and retired from Bell Canada in 1999 as its President and</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Operating Officer. From 1977 to 1994 Mr. MacDonald</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worked at NBTel, where he became Chief Executive Officer in</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1994. We believe Mr. MacDonald’s qualifications to sit on our</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Board of Directors include his extensive experience and leadership</w:t>
            </w:r>
          </w:p>
        </w:tc>
      </w:tr>
      <w:tr>
        <w:trPr>
          <w:trHeight w:val="234"/>
        </w:trPr>
        <w:tc>
          <w:tcPr>
            <w:tcW w:w="3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the telecommunications industry.</w:t>
            </w:r>
          </w:p>
        </w:tc>
      </w:tr>
      <w:tr>
        <w:trPr>
          <w:trHeight w:val="414"/>
        </w:trPr>
        <w:tc>
          <w:tcPr>
            <w:tcW w:w="35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Yvette Kanouff</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w:t>
            </w: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Ms. Kanouff has been a director of Amdocs since 2020. Since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2018, Ms. Kanouff has served as a director of Sprinklr</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CXM, which became a public company in June 2021. Since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2019, Ms. Kanouff has served as a director of Science</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Applications International Corporation (SAIC). Since February</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2021, Ms. Kanouff has served as a director of Entegris ENTG. Ms.</w:t>
            </w: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Kanouff is currently a partner and chief technology officer at</w:t>
            </w:r>
          </w:p>
        </w:tc>
      </w:tr>
      <w:tr>
        <w:trPr>
          <w:trHeight w:val="234"/>
        </w:trPr>
        <w:tc>
          <w:tcPr>
            <w:tcW w:w="3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Silicon</w:t>
            </w:r>
          </w:p>
        </w:tc>
      </w:tr>
      <w:tr>
        <w:trPr>
          <w:trHeight w:val="391"/>
        </w:trPr>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w:t>
            </w:r>
          </w:p>
        </w:tc>
      </w:tr>
      <w:tr>
        <w:trPr>
          <w:trHeight w:val="763"/>
        </w:trPr>
        <w:tc>
          <w:tcPr>
            <w:tcW w:w="35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11" w:right="4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5"/>
                <w:szCs w:val="15"/>
                <w:color w:val="auto"/>
              </w:rPr>
            </w:pPr>
          </w:p>
        </w:tc>
        <w:tc>
          <w:tcPr>
            <w:tcW w:w="4880" w:type="dxa"/>
            <w:vAlign w:val="bottom"/>
            <w:tcBorders>
              <w:bottom w:val="single" w:sz="8" w:color="auto"/>
            </w:tcBorders>
          </w:tcPr>
          <w:p>
            <w:pPr>
              <w:spacing w:after="0"/>
              <w:rPr>
                <w:sz w:val="15"/>
                <w:szCs w:val="15"/>
                <w:color w:val="auto"/>
              </w:rPr>
            </w:pPr>
          </w:p>
        </w:tc>
        <w:tc>
          <w:tcPr>
            <w:tcW w:w="1300" w:type="dxa"/>
            <w:vAlign w:val="bottom"/>
          </w:tcPr>
          <w:p>
            <w:pPr>
              <w:spacing w:after="0"/>
              <w:rPr>
                <w:sz w:val="15"/>
                <w:szCs w:val="15"/>
                <w:color w:val="auto"/>
              </w:rPr>
            </w:pPr>
          </w:p>
        </w:tc>
      </w:tr>
      <w:tr>
        <w:trPr>
          <w:trHeight w:val="191"/>
        </w:trPr>
        <w:tc>
          <w:tcPr>
            <w:tcW w:w="1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Valley-based venture capital and private equity firm JC2 Ventures</w:t>
            </w:r>
          </w:p>
        </w:tc>
        <w:tc>
          <w:tcPr>
            <w:tcW w:w="1300" w:type="dxa"/>
            <w:vAlign w:val="bottom"/>
          </w:tcPr>
          <w:p>
            <w:pPr>
              <w:spacing w:after="0"/>
              <w:rPr>
                <w:sz w:val="16"/>
                <w:szCs w:val="16"/>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where Ms. Kanouff is responsible for technology strategy and</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relationships within JC2 Ventures investment</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companies, partners, and customers. Prior to that, Ms. Kanouff</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served as a senior vice president and general manager for Cisco’s</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Provider Business where she was responsible for more</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than $7 billion in direct revenue and more than 6,000 employees</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globally. Previously, Ms. Kanouff held leadership positions for</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numerous companies, including Cablevision, SeaChange</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and Time Warner. Ms. Kanouff holds a bachelor’s</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degree, a master’s degree in mathematics from the University of</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Florida and completed her HBS Corporate Director</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Ms. Kanouff is also a director and executive advisor of</w:t>
            </w:r>
          </w:p>
        </w:tc>
        <w:tc>
          <w:tcPr>
            <w:tcW w:w="130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several private technology companies.</w:t>
            </w:r>
          </w:p>
        </w:tc>
        <w:tc>
          <w:tcPr>
            <w:tcW w:w="1300" w:type="dxa"/>
            <w:vAlign w:val="bottom"/>
          </w:tcPr>
          <w:p>
            <w:pPr>
              <w:spacing w:after="0"/>
              <w:rPr>
                <w:sz w:val="20"/>
                <w:szCs w:val="20"/>
                <w:color w:val="auto"/>
              </w:rPr>
            </w:pPr>
          </w:p>
        </w:tc>
      </w:tr>
      <w:tr>
        <w:trPr>
          <w:trHeight w:val="414"/>
        </w:trPr>
        <w:tc>
          <w:tcPr>
            <w:tcW w:w="132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Sarah Ruth Davis</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 Davis has been a director of Amdocs since 2021. From 2007</w:t>
            </w:r>
          </w:p>
        </w:tc>
        <w:tc>
          <w:tcPr>
            <w:tcW w:w="1300" w:type="dxa"/>
            <w:vAlign w:val="bottom"/>
          </w:tcPr>
          <w:p>
            <w:pPr>
              <w:spacing w:after="0"/>
              <w:rPr>
                <w:sz w:val="24"/>
                <w:szCs w:val="24"/>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May 2021, Ms. Davis served in various executive roles at</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Loblaw Companies Limited, Canada’s largest retailer and the</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nation’s food and pharmacy leader. Since July 2024, Ms. Davis</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serves on the board of directors of Artemis Parent Inc. From 2017</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until May 2021, Ms. Davis served as the president of Loblaw</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Companies Limited. From 2014 until 2017, Ms. Davis served as</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chief administrative officer of Loblaw. Before being appointed</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the chief administrative officer, Ms. Davis served as Loblaw’s</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from 2010 until 2014. Prior to her</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appointment as chief financial officer, Ms. Davis served as the</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controller between 2007 to 2010. From 2005 until 2007,</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 was the controller and vice president of finance of Rogers</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Communications, Inc. Between 1996 to 2005, Ms. Davis served in</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various finance and accounting roles with Bell Canada, including</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of Bell Nexxia and the vice president of</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complex bids at BCE Emergis Inc., a Bell spin-off that owned an</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array of media and e-commerce companies. From 2014 until</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2022, Ms. Davis also served on the board of directors of</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AGF Management Limited, an investment manager traded on the</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Toronto Stock Exchange. Between 2010 and 2021 Ms. Davis</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served on the board of directors of President’s Choice Bank. From</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 until 2021, Ms. Davis served as the chairman of T&amp;T</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Supermarket Inc. Between 2012 to 2021, Ms. Davis served on the</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directors of PCF. In August 2021, Ms. Davis joined the</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boards of directors of Victoria’s Secret &amp; Co., a company traded</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the New York Stock Exchange, and Pet Valu Holdings Ltd., a</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 supply company traded on the Toronto Stock Exchange. Ms.</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Davis was named one of Canada’s Most Powerful Women: Top</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 in 2011 by the Women’s Executive Network and was the</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sponsor of the Women@Loblaw network. Ms. Davis</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a Bachelor of Commerce, honors degree from Queen’s</w:t>
            </w:r>
          </w:p>
        </w:tc>
        <w:tc>
          <w:tcPr>
            <w:tcW w:w="130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University and is a chartered accountant and Fellow of the CPA.</w:t>
            </w:r>
          </w:p>
        </w:tc>
        <w:tc>
          <w:tcPr>
            <w:tcW w:w="1300" w:type="dxa"/>
            <w:vAlign w:val="bottom"/>
          </w:tcPr>
          <w:p>
            <w:pPr>
              <w:spacing w:after="0"/>
              <w:rPr>
                <w:sz w:val="20"/>
                <w:szCs w:val="20"/>
                <w:color w:val="auto"/>
              </w:rPr>
            </w:pPr>
          </w:p>
        </w:tc>
      </w:tr>
      <w:tr>
        <w:trPr>
          <w:trHeight w:val="414"/>
        </w:trPr>
        <w:tc>
          <w:tcPr>
            <w:tcW w:w="132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Amos Genish</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64</w:t>
            </w:r>
          </w:p>
        </w:tc>
        <w:tc>
          <w:tcPr>
            <w:tcW w:w="8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Genish has been a director of Amdocs since 2023. Since May</w:t>
            </w:r>
          </w:p>
        </w:tc>
        <w:tc>
          <w:tcPr>
            <w:tcW w:w="1300" w:type="dxa"/>
            <w:vAlign w:val="bottom"/>
          </w:tcPr>
          <w:p>
            <w:pPr>
              <w:spacing w:after="0"/>
              <w:rPr>
                <w:sz w:val="24"/>
                <w:szCs w:val="24"/>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 Mr. Genish has served as a senior partner at BTG Pactual, a</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investment bank in Brazil, where he led the Digital Retail</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from May 2019 until the end of 2021, and from January</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Mr. Genish served as the executive chairman of V.tal, a large</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fiber operator in Brazil. Between 2017 and 2018, Mr. Genish</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served as chief executive officer of Telecom Italia. From 2015</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until the end of 2016, Mr. Genish served as president and chief</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 of Telefonica Brasil (Vivo). Before joining Vivo</w:t>
            </w:r>
          </w:p>
        </w:tc>
        <w:tc>
          <w:tcPr>
            <w:tcW w:w="130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 was chief</w:t>
            </w:r>
          </w:p>
        </w:tc>
        <w:tc>
          <w:tcPr>
            <w:tcW w:w="1300" w:type="dxa"/>
            <w:vAlign w:val="bottom"/>
          </w:tcPr>
          <w:p>
            <w:pPr>
              <w:spacing w:after="0"/>
              <w:rPr>
                <w:sz w:val="20"/>
                <w:szCs w:val="20"/>
                <w:color w:val="auto"/>
              </w:rPr>
            </w:pPr>
          </w:p>
        </w:tc>
      </w:tr>
      <w:tr>
        <w:trPr>
          <w:trHeight w:val="391"/>
        </w:trPr>
        <w:tc>
          <w:tcPr>
            <w:tcW w:w="1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60" w:type="dxa"/>
            <w:vAlign w:val="bottom"/>
            <w:gridSpan w:val="2"/>
          </w:tcPr>
          <w:p>
            <w:pPr>
              <w:jc w:val="right"/>
              <w:ind w:right="4090"/>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tcPr>
          <w:p>
            <w:pPr>
              <w:spacing w:after="0"/>
              <w:rPr>
                <w:sz w:val="24"/>
                <w:szCs w:val="24"/>
                <w:color w:val="auto"/>
              </w:rPr>
            </w:pPr>
          </w:p>
        </w:tc>
      </w:tr>
      <w:tr>
        <w:trPr>
          <w:trHeight w:val="763"/>
        </w:trPr>
        <w:tc>
          <w:tcPr>
            <w:tcW w:w="13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11" w:right="439" w:bottom="757" w:gutter="0" w:footer="0" w:header="0"/>
        </w:sectPr>
      </w:pPr>
    </w:p>
    <w:bookmarkStart w:id="9" w:name="page10"/>
    <w:bookmarkEnd w:id="9"/>
    <w:tbl>
      <w:tblPr>
        <w:tblLayout w:type="fixed"/>
        <w:tblInd w:w="300" w:type="dxa"/>
        <w:tblCellMar>
          <w:top w:w="0" w:type="dxa"/>
          <w:left w:w="0" w:type="dxa"/>
          <w:bottom w:w="0" w:type="dxa"/>
          <w:right w:w="0" w:type="dxa"/>
        </w:tblCellMar>
      </w:tblPr>
      <w:tr>
        <w:trPr>
          <w:trHeight w:val="173"/>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5"/>
                <w:szCs w:val="15"/>
                <w:color w:val="auto"/>
              </w:rPr>
            </w:pPr>
          </w:p>
        </w:tc>
        <w:tc>
          <w:tcPr>
            <w:tcW w:w="4880" w:type="dxa"/>
            <w:vAlign w:val="bottom"/>
            <w:tcBorders>
              <w:bottom w:val="single" w:sz="8" w:color="auto"/>
            </w:tcBorders>
          </w:tcPr>
          <w:p>
            <w:pPr>
              <w:spacing w:after="0"/>
              <w:rPr>
                <w:sz w:val="15"/>
                <w:szCs w:val="15"/>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executive officer of GVT from 2009 to 2014, a Brazilian telecom</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Pay TV operator that he co-founded in 1999, which went</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on the Brazilian stock exchange in 2007 and was later sold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Vivendi in 2009. After the sale of GVT to Vivendi, Mr. Genish</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 appointed to Vivendi’s management board, and in 2014 he led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negotiations for GVT’s sale to Telefonica for the amount of 7.5</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billion euros. In 1989, Mr. Genish served as CFO for Edunetics, a</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start-up company that developed curriculum multimedia-based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systems primarily for the US school market, and he helped lead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IPO on NASDAQ in 1992 and was appointed its chief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 in 1995. Between 1986 and 1989, Mr. Genish</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worked at Somech Chaikin (now KPMG Somech Chaikin), and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helped large holding companies with tax and audit matters. 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currently also serves as chairman of the board of the Israeli on-</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 mobility company Gett. From June 2020 until June 2021,</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Genish served on the board of directors of VEON Ltd.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VEON), and was the chairman of its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telecommunications committee. From April 2017 to April 2019,</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Genish served on the board of directors of Itaú Unibanco</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(NYSE: ITUB), the largest private sector bank in Brazil. Mr.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Genish holds a BA in economics and accounting from Tel Aviv</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University.</w:t>
            </w:r>
          </w:p>
        </w:tc>
      </w:tr>
      <w:tr>
        <w:trPr>
          <w:trHeight w:val="41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Shuky Sheffer</w:t>
            </w: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Sheffer is a director and has been our President and Chief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 since October 1, 2018. Mr. Sheffer previously</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served as Senior Vice President and President of the Global</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Group from October 2013 to September 30, 2018. Mr.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Sheffer served as Chief Executive Officer of Retalix Ltd., a global</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company, from 2009 until its acquisition by NCR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Corporation in 2013. Following the acquisition, he served as a</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Manager of Retalix through September 2013. From 1986</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2009, Mr. Sheffer served at various managerial positions at</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Amdocs, most recently as President of the Emerging Markets</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Divisions.</w:t>
            </w: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ind w:left="300" w:right="1059"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maintains four committees as set forth below. Members of each committee are appointed by the Board of Directors.</w:t>
      </w:r>
    </w:p>
    <w:p>
      <w:pPr>
        <w:spacing w:after="0" w:line="133" w:lineRule="exact"/>
        <w:rPr>
          <w:sz w:val="20"/>
          <w:szCs w:val="20"/>
          <w:color w:val="auto"/>
        </w:rPr>
      </w:pPr>
    </w:p>
    <w:p>
      <w:pPr>
        <w:ind w:left="300" w:right="339" w:firstLine="324"/>
        <w:spacing w:after="0" w:line="268" w:lineRule="auto"/>
        <w:rPr>
          <w:sz w:val="20"/>
          <w:szCs w:val="20"/>
          <w:color w:val="auto"/>
        </w:rPr>
      </w:pPr>
      <w:r>
        <w:rPr>
          <w:rFonts w:ascii="Times New Roman" w:cs="Times New Roman" w:eastAsia="Times New Roman" w:hAnsi="Times New Roman"/>
          <w:sz w:val="17"/>
          <w:szCs w:val="17"/>
          <w:i w:val="1"/>
          <w:iCs w:val="1"/>
          <w:color w:val="auto"/>
        </w:rPr>
        <w:t>Audit Committee</w:t>
      </w:r>
      <w:r>
        <w:rPr>
          <w:rFonts w:ascii="Times New Roman" w:cs="Times New Roman" w:eastAsia="Times New Roman" w:hAnsi="Times New Roman"/>
          <w:sz w:val="17"/>
          <w:szCs w:val="17"/>
          <w:color w:val="auto"/>
        </w:rPr>
        <w:t>. The Audit Committee reviews, acts on and reports to the Board of Directors with respect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Subject to their election, the Board of Directors has appointed Mr. Gardner (Chair), Mr. Minicucci and Ms. Davis to serve as members of the Audit Committee, all of whom are independent directors (including under the heightened independence requirements for members of the Audit Committee), as defined by the rules of Nasdaq, and pursuant to the categorical director independence standards adopted by our Board of Directors. The Board of Directors has determined that each of Mr. Gardner and Ms. Davis is an “audit committee financial expert” as defined by rules promulgated by the SEC, and that each member of the Audit Committee is financially literate as required by the rules of Nasdaq. In particular, we believe that the professional experiences of Mr. Gardner, Mr. Minicucci and Ms. Davis provide important insights into their work on the Audit Committee. For example, we believe Mr. Gardner’s extensive experience as an accountant, technology investment banker and chief financial officer enables him to make valuable contributions to the Committee. In addition, we believe that Mr. Minicucci’s experience as chief financial officer to a public company and treasurer of another public company have provided him with strong business acumen and strategic and financial expertise that benefits the Committee. We also believe Ms. Davis’s extensive executive experience with Loblaw and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1" w:right="1440" w:bottom="1440" w:gutter="0" w:footer="0" w:header="0"/>
        </w:sectPr>
      </w:pPr>
    </w:p>
    <w:bookmarkStart w:id="10" w:name="page11"/>
    <w:bookmarkEnd w:id="10"/>
    <w:p>
      <w:pPr>
        <w:spacing w:after="0" w:line="153"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 xml:space="preserve">her myriad roles in finance and accounting, along with her experience as a director of other public companies, position her to make valuable contributions to the Committee. The Audit Committee written charter is available on our website at </w:t>
      </w:r>
      <w:r>
        <w:rPr>
          <w:rFonts w:ascii="Times New Roman" w:cs="Times New Roman" w:eastAsia="Times New Roman" w:hAnsi="Times New Roman"/>
          <w:sz w:val="18"/>
          <w:szCs w:val="18"/>
          <w:i w:val="1"/>
          <w:iCs w:val="1"/>
          <w:color w:val="auto"/>
        </w:rPr>
        <w:t>www.amdocs.com.</w:t>
      </w:r>
    </w:p>
    <w:p>
      <w:pPr>
        <w:spacing w:after="0" w:line="147" w:lineRule="exact"/>
        <w:rPr>
          <w:sz w:val="20"/>
          <w:szCs w:val="20"/>
          <w:color w:val="auto"/>
        </w:rPr>
      </w:pPr>
    </w:p>
    <w:p>
      <w:pPr>
        <w:ind w:left="300" w:right="29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The Nominating and Corporate Governance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oversees the evaluations of our Board of Directors and reviews and recommends compensation (including equity-based compensation) for our directors. Subject to their election, the Board of Directors has appointed Messrs. Minicucci (Chair), Genish and MacDonald to serve as members of the Nominating and Corporate Governance Committee, all of whom are independent directors, as defined by the Nasdaq listing standards, and pursuant to the categorical director independence standards adopted by our Board of Directors. The Nominating and Corporate Governance Committee written charter is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 xml:space="preserve">. The Nominating and Corporate Governance Committee has approved corporate governance guidelines that are also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 You may request a copy of the corporate governance guidelines, at no cost, by writing to us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listed below under the heading “Annual Report on Form 20-F.”</w:t>
      </w:r>
    </w:p>
    <w:p>
      <w:pPr>
        <w:spacing w:after="0" w:line="147" w:lineRule="exact"/>
        <w:rPr>
          <w:sz w:val="20"/>
          <w:szCs w:val="20"/>
          <w:color w:val="auto"/>
        </w:rPr>
      </w:pPr>
    </w:p>
    <w:p>
      <w:pPr>
        <w:ind w:left="300" w:right="31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Management Resources and Compensation Committee</w:t>
      </w:r>
      <w:r>
        <w:rPr>
          <w:rFonts w:ascii="Times New Roman" w:cs="Times New Roman" w:eastAsia="Times New Roman" w:hAnsi="Times New Roman"/>
          <w:sz w:val="18"/>
          <w:szCs w:val="18"/>
          <w:color w:val="auto"/>
        </w:rPr>
        <w:t>. The Management Resources and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Subject to their election, the Board of Directors has appointed Messrs. de la Vega (Chair), Minicucci and MacDonald to serve as members of the Management Resources and Compensation Committee, all of whom are independent directors, as defined by the rules of Nasdaq, and pursuant to the categorical director independence standards adopted by our Board of Directors. Amongst its responsibilities, the Management Resources and Compensation Committee</w:t>
      </w:r>
      <w:r>
        <w:rPr>
          <w:rFonts w:ascii="Times New Roman" w:cs="Times New Roman" w:eastAsia="Times New Roman" w:hAnsi="Times New Roman"/>
          <w:sz w:val="18"/>
          <w:szCs w:val="18"/>
          <w:color w:val="231F20"/>
        </w:rPr>
        <w:t>:</w:t>
      </w:r>
    </w:p>
    <w:p>
      <w:pPr>
        <w:spacing w:after="0" w:line="190" w:lineRule="exact"/>
        <w:rPr>
          <w:sz w:val="20"/>
          <w:szCs w:val="20"/>
          <w:color w:val="auto"/>
        </w:rPr>
      </w:pPr>
    </w:p>
    <w:p>
      <w:pPr>
        <w:ind w:left="900" w:right="479" w:hanging="257"/>
        <w:spacing w:after="0" w:line="282" w:lineRule="auto"/>
        <w:tabs>
          <w:tab w:leader="none" w:pos="900" w:val="left"/>
        </w:tabs>
        <w:numPr>
          <w:ilvl w:val="0"/>
          <w:numId w:val="6"/>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231F20"/>
        </w:rPr>
        <w:t>retains, on an annual basis, an independent compensation consultant to assist in its evaluation of executive compensation according to industry benchmarks and best practice;</w:t>
      </w:r>
    </w:p>
    <w:p>
      <w:pPr>
        <w:spacing w:after="0" w:line="161" w:lineRule="exact"/>
        <w:rPr>
          <w:rFonts w:ascii="Wingdings" w:cs="Wingdings" w:eastAsia="Wingdings" w:hAnsi="Wingdings"/>
          <w:sz w:val="18"/>
          <w:szCs w:val="18"/>
          <w:b w:val="1"/>
          <w:bCs w:val="1"/>
          <w:color w:val="231F20"/>
        </w:rPr>
      </w:pPr>
    </w:p>
    <w:p>
      <w:pPr>
        <w:ind w:left="900" w:hanging="257"/>
        <w:spacing w:after="0"/>
        <w:tabs>
          <w:tab w:leader="none" w:pos="900" w:val="left"/>
        </w:tabs>
        <w:numPr>
          <w:ilvl w:val="0"/>
          <w:numId w:val="6"/>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231F20"/>
        </w:rPr>
        <w:t>periodically reviews the relevant peer groups used for compensation benchmarks;</w:t>
      </w:r>
    </w:p>
    <w:p>
      <w:pPr>
        <w:spacing w:after="0" w:line="225" w:lineRule="exact"/>
        <w:rPr>
          <w:rFonts w:ascii="Wingdings" w:cs="Wingdings" w:eastAsia="Wingdings" w:hAnsi="Wingdings"/>
          <w:sz w:val="18"/>
          <w:szCs w:val="18"/>
          <w:b w:val="1"/>
          <w:bCs w:val="1"/>
          <w:color w:val="231F20"/>
        </w:rPr>
      </w:pPr>
    </w:p>
    <w:p>
      <w:pPr>
        <w:ind w:left="900" w:hanging="257"/>
        <w:spacing w:after="0"/>
        <w:tabs>
          <w:tab w:leader="none" w:pos="900" w:val="left"/>
        </w:tabs>
        <w:numPr>
          <w:ilvl w:val="0"/>
          <w:numId w:val="6"/>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231F20"/>
        </w:rPr>
        <w:t>periodically reviews the implementation of our compensation philosophy and programs;</w:t>
      </w:r>
    </w:p>
    <w:p>
      <w:pPr>
        <w:spacing w:after="0" w:line="225" w:lineRule="exact"/>
        <w:rPr>
          <w:rFonts w:ascii="Wingdings" w:cs="Wingdings" w:eastAsia="Wingdings" w:hAnsi="Wingdings"/>
          <w:sz w:val="18"/>
          <w:szCs w:val="18"/>
          <w:b w:val="1"/>
          <w:bCs w:val="1"/>
          <w:color w:val="231F20"/>
        </w:rPr>
      </w:pPr>
    </w:p>
    <w:p>
      <w:pPr>
        <w:ind w:left="900" w:right="619" w:hanging="257"/>
        <w:spacing w:after="0" w:line="282" w:lineRule="auto"/>
        <w:tabs>
          <w:tab w:leader="none" w:pos="900" w:val="left"/>
        </w:tabs>
        <w:numPr>
          <w:ilvl w:val="0"/>
          <w:numId w:val="6"/>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231F20"/>
        </w:rPr>
        <w:t>administers our 1998 Stock Option and Incentive Plan, as amended, our 2023 Employee Share Purchase Plan and any other stock option or equity incentive plans in accordance with their terms; and</w:t>
      </w:r>
    </w:p>
    <w:p>
      <w:pPr>
        <w:spacing w:after="0" w:line="161" w:lineRule="exact"/>
        <w:rPr>
          <w:rFonts w:ascii="Wingdings" w:cs="Wingdings" w:eastAsia="Wingdings" w:hAnsi="Wingdings"/>
          <w:sz w:val="18"/>
          <w:szCs w:val="18"/>
          <w:b w:val="1"/>
          <w:bCs w:val="1"/>
          <w:color w:val="231F20"/>
        </w:rPr>
      </w:pPr>
    </w:p>
    <w:p>
      <w:pPr>
        <w:ind w:left="900" w:right="559" w:hanging="257"/>
        <w:spacing w:after="0" w:line="282" w:lineRule="auto"/>
        <w:tabs>
          <w:tab w:leader="none" w:pos="900" w:val="left"/>
        </w:tabs>
        <w:numPr>
          <w:ilvl w:val="0"/>
          <w:numId w:val="6"/>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231F20"/>
        </w:rPr>
        <w:t>oversees the administration of our clawback policies with respect to executive compensation, in line with its charter, including as required pursuant to SEC and Nasdaq rules.</w:t>
      </w:r>
    </w:p>
    <w:p>
      <w:pPr>
        <w:spacing w:after="0" w:line="162" w:lineRule="exact"/>
        <w:rPr>
          <w:sz w:val="20"/>
          <w:szCs w:val="20"/>
          <w:color w:val="auto"/>
        </w:rPr>
      </w:pPr>
    </w:p>
    <w:p>
      <w:pPr>
        <w:ind w:left="300" w:right="879"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Management Resources and Compensation Committee written charter is available on our website at </w:t>
      </w:r>
      <w:r>
        <w:rPr>
          <w:rFonts w:ascii="Times New Roman" w:cs="Times New Roman" w:eastAsia="Times New Roman" w:hAnsi="Times New Roman"/>
          <w:sz w:val="18"/>
          <w:szCs w:val="18"/>
          <w:i w:val="1"/>
          <w:iCs w:val="1"/>
          <w:color w:val="auto"/>
        </w:rPr>
        <w:t>www.amdocs.com.</w:t>
      </w:r>
    </w:p>
    <w:p>
      <w:pPr>
        <w:spacing w:after="0" w:line="119" w:lineRule="exact"/>
        <w:rPr>
          <w:sz w:val="20"/>
          <w:szCs w:val="20"/>
          <w:color w:val="auto"/>
        </w:rPr>
      </w:pPr>
    </w:p>
    <w:p>
      <w:pPr>
        <w:ind w:left="300" w:right="3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Technology and Innovation Committee</w:t>
      </w:r>
      <w:r>
        <w:rPr>
          <w:rFonts w:ascii="Times New Roman" w:cs="Times New Roman" w:eastAsia="Times New Roman" w:hAnsi="Times New Roman"/>
          <w:sz w:val="18"/>
          <w:szCs w:val="18"/>
          <w:color w:val="auto"/>
        </w:rPr>
        <w:t>. The Technology and Innovation Committee was established to assist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in reviewing our technological development, opportunities and innovation, in connection with the current and future business and markets. Subject to their election, the Board of Directors has appointed Mr. MacDonald (Chair), Mr. Gelman, Mr. Genish and Ms. Kanouff to serve as members of the Technology and Innovation Committee.</w:t>
      </w:r>
    </w:p>
    <w:p>
      <w:pPr>
        <w:spacing w:after="0" w:line="158" w:lineRule="exact"/>
        <w:rPr>
          <w:sz w:val="20"/>
          <w:szCs w:val="20"/>
          <w:color w:val="auto"/>
        </w:rPr>
      </w:pPr>
    </w:p>
    <w:p>
      <w:pPr>
        <w:ind w:left="300" w:right="419" w:firstLine="324"/>
        <w:spacing w:after="0" w:line="266" w:lineRule="auto"/>
        <w:rPr>
          <w:sz w:val="20"/>
          <w:szCs w:val="20"/>
          <w:color w:val="auto"/>
        </w:rPr>
      </w:pPr>
      <w:r>
        <w:rPr>
          <w:rFonts w:ascii="Times New Roman" w:cs="Times New Roman" w:eastAsia="Times New Roman" w:hAnsi="Times New Roman"/>
          <w:sz w:val="18"/>
          <w:szCs w:val="18"/>
          <w:color w:val="auto"/>
        </w:rPr>
        <w:t>Our non-employee directors (“Non-Employee Directors”) receive no compensation from us, except in connection with their membership on the Board of Directors and its committees as described below regarding Non-Employee Directors under the heading “Compensation of Directors.”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189" w:lineRule="exact"/>
        <w:rPr>
          <w:sz w:val="20"/>
          <w:szCs w:val="20"/>
          <w:color w:val="auto"/>
        </w:rPr>
      </w:pPr>
    </w:p>
    <w:p>
      <w:pPr>
        <w:ind w:left="300" w:right="479" w:firstLine="324"/>
        <w:spacing w:after="0" w:line="312" w:lineRule="auto"/>
        <w:rPr>
          <w:sz w:val="20"/>
          <w:szCs w:val="20"/>
          <w:color w:val="auto"/>
        </w:rPr>
      </w:pPr>
      <w:r>
        <w:rPr>
          <w:rFonts w:ascii="Times New Roman" w:cs="Times New Roman" w:eastAsia="Times New Roman" w:hAnsi="Times New Roman"/>
          <w:sz w:val="17"/>
          <w:szCs w:val="17"/>
          <w:color w:val="auto"/>
        </w:rPr>
        <w:t>During the past fiscal year 2024, the Board of Directors held five meetings. In addition, the Audit Committee held five meetings, the Management Resources and Compensation Committee held four meetings, the Nominating</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spacing w:after="0" w:line="153" w:lineRule="exact"/>
        <w:rPr>
          <w:sz w:val="20"/>
          <w:szCs w:val="20"/>
          <w:color w:val="auto"/>
        </w:rPr>
      </w:pPr>
    </w:p>
    <w:p>
      <w:pPr>
        <w:jc w:val="both"/>
        <w:ind w:left="300" w:right="359"/>
        <w:spacing w:after="0" w:line="270" w:lineRule="auto"/>
        <w:rPr>
          <w:sz w:val="20"/>
          <w:szCs w:val="20"/>
          <w:color w:val="auto"/>
        </w:rPr>
      </w:pPr>
      <w:r>
        <w:rPr>
          <w:rFonts w:ascii="Times New Roman" w:cs="Times New Roman" w:eastAsia="Times New Roman" w:hAnsi="Times New Roman"/>
          <w:sz w:val="17"/>
          <w:szCs w:val="17"/>
          <w:color w:val="auto"/>
        </w:rPr>
        <w:t>and Corporate Governance Committee held four meetings and the Technology and Innovation Committee held three meetings in the 2024 fiscal year. During fiscal year 2024, all of the directors that are nominees for re-election to the Board of Directors attended at least 75% of the aggregate of the number of Board of Directors meetings held during the time he or she was serving as a director and meetings held by all committees on which he or she then served.</w:t>
      </w:r>
    </w:p>
    <w:p>
      <w:pPr>
        <w:spacing w:after="0" w:line="3" w:lineRule="exact"/>
        <w:rPr>
          <w:sz w:val="20"/>
          <w:szCs w:val="20"/>
          <w:color w:val="auto"/>
        </w:rPr>
      </w:pPr>
    </w:p>
    <w:p>
      <w:pPr>
        <w:ind w:left="300" w:right="419"/>
        <w:spacing w:after="0" w:line="252" w:lineRule="auto"/>
        <w:rPr>
          <w:sz w:val="20"/>
          <w:szCs w:val="20"/>
          <w:color w:val="auto"/>
        </w:rPr>
      </w:pPr>
      <w:r>
        <w:rPr>
          <w:rFonts w:ascii="Times New Roman" w:cs="Times New Roman" w:eastAsia="Times New Roman" w:hAnsi="Times New Roman"/>
          <w:sz w:val="18"/>
          <w:szCs w:val="18"/>
          <w:color w:val="auto"/>
        </w:rPr>
        <w:t>During fiscal year 2024, our Non-Employee Directors held four meetings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Communicating with the Independent Directors</w:t>
      </w:r>
    </w:p>
    <w:p>
      <w:pPr>
        <w:spacing w:after="0" w:line="189" w:lineRule="exact"/>
        <w:rPr>
          <w:sz w:val="20"/>
          <w:szCs w:val="20"/>
          <w:color w:val="auto"/>
        </w:rPr>
      </w:pPr>
    </w:p>
    <w:p>
      <w:pPr>
        <w:ind w:left="300" w:right="379" w:firstLine="324"/>
        <w:spacing w:after="0" w:line="281" w:lineRule="auto"/>
        <w:rPr>
          <w:sz w:val="20"/>
          <w:szCs w:val="20"/>
          <w:color w:val="auto"/>
        </w:rPr>
      </w:pPr>
      <w:r>
        <w:rPr>
          <w:rFonts w:ascii="Times New Roman" w:cs="Times New Roman" w:eastAsia="Times New Roman" w:hAnsi="Times New Roman"/>
          <w:sz w:val="17"/>
          <w:szCs w:val="17"/>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24" w:lineRule="exact"/>
        <w:rPr>
          <w:sz w:val="20"/>
          <w:szCs w:val="20"/>
          <w:color w:val="auto"/>
        </w:rPr>
      </w:pPr>
    </w:p>
    <w:p>
      <w:pPr>
        <w:ind w:left="300" w:right="339" w:firstLine="324"/>
        <w:spacing w:after="0" w:line="258" w:lineRule="auto"/>
        <w:rPr>
          <w:sz w:val="20"/>
          <w:szCs w:val="20"/>
          <w:color w:val="auto"/>
        </w:rPr>
      </w:pPr>
      <w:r>
        <w:rPr>
          <w:rFonts w:ascii="Times New Roman" w:cs="Times New Roman" w:eastAsia="Times New Roman" w:hAnsi="Times New Roman"/>
          <w:sz w:val="18"/>
          <w:szCs w:val="18"/>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56" w:lineRule="exact"/>
        <w:rPr>
          <w:sz w:val="20"/>
          <w:szCs w:val="20"/>
          <w:color w:val="auto"/>
        </w:rPr>
      </w:pPr>
    </w:p>
    <w:p>
      <w:pPr>
        <w:ind w:left="300" w:right="359" w:firstLine="324"/>
        <w:spacing w:after="0" w:line="266" w:lineRule="auto"/>
        <w:rPr>
          <w:sz w:val="20"/>
          <w:szCs w:val="20"/>
          <w:color w:val="auto"/>
        </w:rPr>
      </w:pPr>
      <w:r>
        <w:rPr>
          <w:rFonts w:ascii="Times New Roman" w:cs="Times New Roman" w:eastAsia="Times New Roman" w:hAnsi="Times New Roman"/>
          <w:sz w:val="18"/>
          <w:szCs w:val="18"/>
          <w:color w:val="auto"/>
        </w:rPr>
        <w:t>Shareholders who wish to send communications on any topic to the Board of Directors or to our independent or presiding directors should address such communications c/o Corporate Secretary, Amdocs Inc., 625 Maryville Centre Drive, Suite 200, Saint Louis, Missouri 63141.</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Significant Corporate Governance Differences</w:t>
      </w:r>
    </w:p>
    <w:p>
      <w:pPr>
        <w:spacing w:after="0" w:line="189" w:lineRule="exact"/>
        <w:rPr>
          <w:sz w:val="20"/>
          <w:szCs w:val="20"/>
          <w:color w:val="auto"/>
        </w:rPr>
      </w:pPr>
    </w:p>
    <w:p>
      <w:pPr>
        <w:ind w:left="300" w:right="439" w:firstLine="324"/>
        <w:spacing w:after="0" w:line="282" w:lineRule="auto"/>
        <w:rPr>
          <w:sz w:val="20"/>
          <w:szCs w:val="20"/>
          <w:color w:val="auto"/>
        </w:rPr>
      </w:pPr>
      <w:r>
        <w:rPr>
          <w:rFonts w:ascii="Times New Roman" w:cs="Times New Roman" w:eastAsia="Times New Roman" w:hAnsi="Times New Roman"/>
          <w:sz w:val="18"/>
          <w:szCs w:val="18"/>
          <w:color w:val="auto"/>
        </w:rPr>
        <w:t>We believe there are no significant ways that our corporate governance practices differ from those followed by U.S. domestic issuers under the Nasdaq listing standards.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Qualification Standards</w:t>
      </w:r>
    </w:p>
    <w:p>
      <w:pPr>
        <w:spacing w:after="0" w:line="189" w:lineRule="exact"/>
        <w:rPr>
          <w:sz w:val="20"/>
          <w:szCs w:val="20"/>
          <w:color w:val="auto"/>
        </w:rPr>
      </w:pPr>
    </w:p>
    <w:p>
      <w:pPr>
        <w:ind w:left="300" w:right="379"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 formal set of categorical independence standards with respect to the determination of director independence. In accordance with these standards and Nasdaq rules, a director currently employed by us, or employed by us within the last three years, cannot be deemed to be an independent director and, consequently, Mr. Sheffer is not an independent director. Our Board of Directors has determined that each of the following nominees for director has no material relationship with us that would interfere with the exercise of independent judgment in carrying out the responsibilities of a director and is independent under such standards and rules: Messrs. Gelman, Minicucci, Gardner, de la Vega, MacDonald and Genish, Ms. Kanouff and Ms. Davis.</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full text of our categorical standards is attached to this Proxy Statement as Appendix A.</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Ethics and Business Conduct</w:t>
      </w:r>
    </w:p>
    <w:p>
      <w:pPr>
        <w:spacing w:after="0" w:line="189" w:lineRule="exact"/>
        <w:rPr>
          <w:sz w:val="20"/>
          <w:szCs w:val="20"/>
          <w:color w:val="auto"/>
        </w:rPr>
      </w:pPr>
    </w:p>
    <w:p>
      <w:pPr>
        <w:ind w:left="300" w:right="3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Ethics and Business Conduct that sets forth legal and ethical standards of conduct for our directors and employees, including our principal executive officer, principal financial officer and other executive officers, our subsidiaries and other business entities controlled by us worldwide. The code is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 xml:space="preserve"> and you may request a copy of our code of ethics, at no cost, by writing to or telephoning us at the address or telephone number listed below under the heading “Annual Report on Form 20-F.” We intend to post on our website within five business days all disclosures that are required by law or Nasdaq rules concerning any amendments to, or waivers from, any provision of the code.</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8"/>
          <w:szCs w:val="18"/>
          <w:b w:val="1"/>
          <w:bCs w:val="1"/>
          <w:color w:val="auto"/>
        </w:rPr>
        <w:t>Risk Management Oversight</w:t>
      </w:r>
    </w:p>
    <w:p>
      <w:pPr>
        <w:spacing w:after="0" w:line="189" w:lineRule="exact"/>
        <w:rPr>
          <w:sz w:val="20"/>
          <w:szCs w:val="20"/>
          <w:color w:val="auto"/>
        </w:rPr>
      </w:pPr>
    </w:p>
    <w:p>
      <w:pPr>
        <w:ind w:left="300" w:right="319"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assessing and managing risk, and periodically reviews areas of material risk within our organization in order to evaluate and enhance risk identification and mitigation strategies. Our Board of Directors oversees and reviews these risk management efforts as they relate to strategic and business risks. Our audit committee oversees and reviews the Company’s policies and processes with respect to enterprise risk management, discusses these efforts as they relate to operational and financial risks, and periodically reports and makes recommendations to our Board of Directors regarding these matters.</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Policies and Practices</w:t>
      </w:r>
    </w:p>
    <w:p>
      <w:pPr>
        <w:spacing w:after="0" w:line="189" w:lineRule="exact"/>
        <w:rPr>
          <w:sz w:val="20"/>
          <w:szCs w:val="20"/>
          <w:color w:val="auto"/>
        </w:rPr>
      </w:pPr>
    </w:p>
    <w:p>
      <w:pPr>
        <w:ind w:left="300" w:right="679" w:firstLine="324"/>
        <w:spacing w:after="0" w:line="282" w:lineRule="auto"/>
        <w:rPr>
          <w:sz w:val="20"/>
          <w:szCs w:val="20"/>
          <w:color w:val="auto"/>
        </w:rPr>
      </w:pPr>
      <w:r>
        <w:rPr>
          <w:rFonts w:ascii="Times New Roman" w:cs="Times New Roman" w:eastAsia="Times New Roman" w:hAnsi="Times New Roman"/>
          <w:sz w:val="18"/>
          <w:szCs w:val="18"/>
          <w:color w:val="auto"/>
        </w:rPr>
        <w:t>We structure our compensation to consist of both fixed and variable elements, including salary, equity, cash bonuses and insurance benefits.</w:t>
      </w:r>
    </w:p>
    <w:p>
      <w:pPr>
        <w:spacing w:after="0" w:line="121" w:lineRule="exact"/>
        <w:rPr>
          <w:sz w:val="20"/>
          <w:szCs w:val="20"/>
          <w:color w:val="auto"/>
        </w:rPr>
      </w:pPr>
    </w:p>
    <w:p>
      <w:pPr>
        <w:ind w:left="300" w:right="359" w:firstLine="324"/>
        <w:spacing w:after="0" w:line="253" w:lineRule="auto"/>
        <w:rPr>
          <w:sz w:val="20"/>
          <w:szCs w:val="20"/>
          <w:color w:val="auto"/>
        </w:rPr>
      </w:pPr>
      <w:r>
        <w:rPr>
          <w:rFonts w:ascii="Times New Roman" w:cs="Times New Roman" w:eastAsia="Times New Roman" w:hAnsi="Times New Roman"/>
          <w:sz w:val="18"/>
          <w:szCs w:val="18"/>
          <w:color w:val="auto"/>
        </w:rPr>
        <w:t>The fixed portions of compensation, such as salary, are designed to be market based and provide steady income regardless of our stock price performance. The variable portions of compensation, such as equity incentives and performance bonuses, are designed to reward the accomplishment of both short- and long-term corporate objectives. By basing a portion of our compensation on our long-term performance, we believe we reduce the risk that employees will focus on short-term goals to the detriment of our long-term stability. Further, our short-term incentive compensation is designed to reward short-term goals that we believe will enhance our long-term corporate success. Additionally, although we vary the elements of compensation that we use at different employee positions and rank, our compensation philosophy is applicable to all employees, including our executives. We believe this encourages consistent behavior across our organization, rather than establishing different approaches depending on an employee’s position or rank. We do not believe our compensation policies and practices encourage excessive or inappropriate risk taking.</w:t>
      </w:r>
    </w:p>
    <w:p>
      <w:pPr>
        <w:spacing w:after="0" w:line="165" w:lineRule="exact"/>
        <w:rPr>
          <w:sz w:val="20"/>
          <w:szCs w:val="20"/>
          <w:color w:val="auto"/>
        </w:rPr>
      </w:pPr>
    </w:p>
    <w:p>
      <w:pPr>
        <w:ind w:left="380" w:right="459" w:firstLine="324"/>
        <w:spacing w:after="0" w:line="282" w:lineRule="auto"/>
        <w:rPr>
          <w:sz w:val="20"/>
          <w:szCs w:val="20"/>
          <w:color w:val="auto"/>
        </w:rPr>
      </w:pPr>
      <w:r>
        <w:rPr>
          <w:rFonts w:ascii="Times New Roman" w:cs="Times New Roman" w:eastAsia="Times New Roman" w:hAnsi="Times New Roman"/>
          <w:sz w:val="18"/>
          <w:szCs w:val="18"/>
          <w:color w:val="231F20"/>
        </w:rPr>
        <w:t>The following table summarizes our compensation philosophy for our directors and executive management – “What we do?” and “What we don’t do?”:</w:t>
      </w:r>
    </w:p>
    <w:p>
      <w:pPr>
        <w:sectPr>
          <w:pgSz w:w="11900" w:h="16838" w:orient="portrait"/>
          <w:cols w:equalWidth="0" w:num="1">
            <w:col w:w="9019"/>
          </w:cols>
          <w:pgMar w:left="1440" w:top="1413" w:right="1440" w:bottom="1440" w:gutter="0" w:footer="0" w:header="0"/>
        </w:sectPr>
      </w:pPr>
    </w:p>
    <w:p>
      <w:pPr>
        <w:spacing w:after="0" w:line="15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31" w:lineRule="exact"/>
        <w:rPr>
          <w:sz w:val="20"/>
          <w:szCs w:val="20"/>
          <w:color w:val="auto"/>
        </w:rPr>
      </w:pPr>
    </w:p>
    <w:p>
      <w:pPr>
        <w:ind w:left="520" w:right="240" w:hanging="215"/>
        <w:spacing w:after="0" w:line="205" w:lineRule="auto"/>
        <w:tabs>
          <w:tab w:leader="none" w:pos="520" w:val="left"/>
        </w:tabs>
        <w:numPr>
          <w:ilvl w:val="0"/>
          <w:numId w:val="7"/>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color w:val="auto"/>
        </w:rPr>
        <w:t>We seek to provide an appropriate mix of short and long-term incentives</w:t>
      </w:r>
    </w:p>
    <w:p>
      <w:pPr>
        <w:spacing w:after="0" w:line="104" w:lineRule="exact"/>
        <w:rPr>
          <w:rFonts w:ascii="MS PGothic" w:cs="MS PGothic" w:eastAsia="MS PGothic" w:hAnsi="MS PGothic"/>
          <w:sz w:val="32"/>
          <w:szCs w:val="32"/>
          <w:color w:val="auto"/>
          <w:vertAlign w:val="subscript"/>
        </w:rPr>
      </w:pPr>
    </w:p>
    <w:p>
      <w:pPr>
        <w:ind w:left="520" w:right="180" w:hanging="215"/>
        <w:spacing w:after="0" w:line="214" w:lineRule="auto"/>
        <w:tabs>
          <w:tab w:leader="none" w:pos="520" w:val="left"/>
        </w:tabs>
        <w:numPr>
          <w:ilvl w:val="0"/>
          <w:numId w:val="7"/>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color w:val="auto"/>
        </w:rPr>
        <w:t>We target at least 50-70% of executive management compensation to be performance-contingent</w:t>
      </w:r>
    </w:p>
    <w:p>
      <w:pPr>
        <w:spacing w:after="0" w:line="104" w:lineRule="exact"/>
        <w:rPr>
          <w:rFonts w:ascii="MS PGothic" w:cs="MS PGothic" w:eastAsia="MS PGothic" w:hAnsi="MS PGothic"/>
          <w:sz w:val="32"/>
          <w:szCs w:val="32"/>
          <w:color w:val="auto"/>
          <w:vertAlign w:val="subscript"/>
        </w:rPr>
      </w:pPr>
    </w:p>
    <w:p>
      <w:pPr>
        <w:ind w:left="520"/>
        <w:spacing w:after="0"/>
        <w:rPr>
          <w:rFonts w:ascii="MS PGothic" w:cs="MS PGothic" w:eastAsia="MS PGothic" w:hAnsi="MS PGothic"/>
          <w:sz w:val="32"/>
          <w:szCs w:val="32"/>
          <w:color w:val="auto"/>
          <w:vertAlign w:val="subscript"/>
        </w:rPr>
      </w:pPr>
      <w:r>
        <w:rPr>
          <w:rFonts w:ascii="Times New Roman" w:cs="Times New Roman" w:eastAsia="Times New Roman" w:hAnsi="Times New Roman"/>
          <w:sz w:val="18"/>
          <w:szCs w:val="18"/>
          <w:color w:val="auto"/>
        </w:rPr>
        <w:t>We strive to align executive management</w:t>
      </w:r>
    </w:p>
    <w:p>
      <w:pPr>
        <w:spacing w:after="0" w:line="27" w:lineRule="exact"/>
        <w:rPr>
          <w:rFonts w:ascii="MS PGothic" w:cs="MS PGothic" w:eastAsia="MS PGothic" w:hAnsi="MS PGothic"/>
          <w:sz w:val="32"/>
          <w:szCs w:val="32"/>
          <w:color w:val="auto"/>
          <w:vertAlign w:val="subscript"/>
        </w:rPr>
      </w:pPr>
    </w:p>
    <w:p>
      <w:pPr>
        <w:ind w:left="520" w:right="100" w:hanging="215"/>
        <w:spacing w:after="0" w:line="250" w:lineRule="auto"/>
        <w:tabs>
          <w:tab w:leader="none" w:pos="52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compensation with shareholder return through equity incentive awards</w:t>
      </w:r>
    </w:p>
    <w:p>
      <w:pPr>
        <w:spacing w:after="0" w:line="103" w:lineRule="exact"/>
        <w:rPr>
          <w:rFonts w:ascii="MS PGothic" w:cs="MS PGothic" w:eastAsia="MS PGothic" w:hAnsi="MS PGothic"/>
          <w:sz w:val="18"/>
          <w:szCs w:val="18"/>
          <w:color w:val="auto"/>
        </w:rPr>
      </w:pPr>
    </w:p>
    <w:p>
      <w:pPr>
        <w:ind w:left="520" w:right="40" w:hanging="215"/>
        <w:spacing w:after="0" w:line="214" w:lineRule="auto"/>
        <w:tabs>
          <w:tab w:leader="none" w:pos="520" w:val="left"/>
        </w:tabs>
        <w:numPr>
          <w:ilvl w:val="0"/>
          <w:numId w:val="7"/>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color w:val="auto"/>
        </w:rPr>
        <w:t>We set performance objectives, which we believe will drive shareholder returns</w:t>
      </w:r>
    </w:p>
    <w:p>
      <w:pPr>
        <w:spacing w:after="0" w:line="104" w:lineRule="exact"/>
        <w:rPr>
          <w:rFonts w:ascii="MS PGothic" w:cs="MS PGothic" w:eastAsia="MS PGothic" w:hAnsi="MS PGothic"/>
          <w:sz w:val="32"/>
          <w:szCs w:val="32"/>
          <w:color w:val="auto"/>
          <w:vertAlign w:val="subscript"/>
        </w:rPr>
      </w:pPr>
    </w:p>
    <w:p>
      <w:pPr>
        <w:ind w:left="520"/>
        <w:spacing w:after="0"/>
        <w:rPr>
          <w:rFonts w:ascii="MS PGothic" w:cs="MS PGothic" w:eastAsia="MS PGothic" w:hAnsi="MS PGothic"/>
          <w:sz w:val="32"/>
          <w:szCs w:val="32"/>
          <w:color w:val="auto"/>
          <w:vertAlign w:val="subscript"/>
        </w:rPr>
      </w:pPr>
      <w:r>
        <w:rPr>
          <w:rFonts w:ascii="Times New Roman" w:cs="Times New Roman" w:eastAsia="Times New Roman" w:hAnsi="Times New Roman"/>
          <w:sz w:val="17"/>
          <w:szCs w:val="17"/>
          <w:color w:val="auto"/>
        </w:rPr>
        <w:t>We use a combination of performance metrics, such as</w:t>
      </w:r>
    </w:p>
    <w:p>
      <w:pPr>
        <w:spacing w:after="0" w:line="38" w:lineRule="exact"/>
        <w:rPr>
          <w:rFonts w:ascii="MS PGothic" w:cs="MS PGothic" w:eastAsia="MS PGothic" w:hAnsi="MS PGothic"/>
          <w:sz w:val="32"/>
          <w:szCs w:val="32"/>
          <w:color w:val="auto"/>
          <w:vertAlign w:val="subscript"/>
        </w:rPr>
      </w:pPr>
    </w:p>
    <w:p>
      <w:pPr>
        <w:ind w:left="520" w:right="260" w:hanging="215"/>
        <w:spacing w:after="0" w:line="226" w:lineRule="auto"/>
        <w:tabs>
          <w:tab w:leader="none" w:pos="520" w:val="left"/>
        </w:tabs>
        <w:numPr>
          <w:ilvl w:val="0"/>
          <w:numId w:val="7"/>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color w:val="auto"/>
        </w:rPr>
        <w:t>total shareholder return (TSR), earnings per share (EPS) and revenue growth, to ensure that no single measure affects compensation disproportionately</w:t>
      </w:r>
    </w:p>
    <w:p>
      <w:pPr>
        <w:spacing w:after="0" w:line="103" w:lineRule="exact"/>
        <w:rPr>
          <w:rFonts w:ascii="MS PGothic" w:cs="MS PGothic" w:eastAsia="MS PGothic" w:hAnsi="MS PGothic"/>
          <w:sz w:val="32"/>
          <w:szCs w:val="32"/>
          <w:color w:val="auto"/>
          <w:vertAlign w:val="subscript"/>
        </w:rPr>
      </w:pPr>
    </w:p>
    <w:p>
      <w:pPr>
        <w:ind w:left="520" w:right="120"/>
        <w:spacing w:after="0" w:line="261" w:lineRule="auto"/>
        <w:rPr>
          <w:rFonts w:ascii="MS PGothic" w:cs="MS PGothic" w:eastAsia="MS PGothic" w:hAnsi="MS PGothic"/>
          <w:sz w:val="32"/>
          <w:szCs w:val="32"/>
          <w:color w:val="auto"/>
          <w:vertAlign w:val="subscript"/>
        </w:rPr>
      </w:pPr>
      <w:r>
        <w:rPr>
          <w:rFonts w:ascii="Times New Roman" w:cs="Times New Roman" w:eastAsia="Times New Roman" w:hAnsi="Times New Roman"/>
          <w:sz w:val="18"/>
          <w:szCs w:val="18"/>
          <w:color w:val="auto"/>
        </w:rPr>
        <w:t>We generally subject equity grants to vesting periods of three to four years to motivate long-term</w:t>
      </w:r>
    </w:p>
    <w:p>
      <w:pPr>
        <w:ind w:left="520" w:right="620" w:hanging="215"/>
        <w:spacing w:after="0" w:line="250" w:lineRule="auto"/>
        <w:tabs>
          <w:tab w:leader="none" w:pos="52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performance, align the interests of executive management and shareholders and provide an incentive for retention</w:t>
      </w:r>
    </w:p>
    <w:p>
      <w:pPr>
        <w:spacing w:after="0" w:line="104" w:lineRule="exact"/>
        <w:rPr>
          <w:rFonts w:ascii="MS PGothic" w:cs="MS PGothic" w:eastAsia="MS PGothic" w:hAnsi="MS PGothic"/>
          <w:sz w:val="18"/>
          <w:szCs w:val="18"/>
          <w:color w:val="auto"/>
        </w:rPr>
      </w:pPr>
    </w:p>
    <w:p>
      <w:pPr>
        <w:ind w:left="520" w:right="220" w:hanging="215"/>
        <w:spacing w:after="0" w:line="274" w:lineRule="auto"/>
        <w:tabs>
          <w:tab w:leader="none" w:pos="520" w:val="left"/>
        </w:tabs>
        <w:numPr>
          <w:ilvl w:val="0"/>
          <w:numId w:val="7"/>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color w:val="auto"/>
        </w:rPr>
        <w:t>We established stock ownership requirements for executive management and non-employee directors We include a clawback policy for cash and equity</w:t>
      </w:r>
    </w:p>
    <w:p>
      <w:pPr>
        <w:spacing w:after="0" w:line="2" w:lineRule="exact"/>
        <w:rPr>
          <w:rFonts w:ascii="MS PGothic" w:cs="MS PGothic" w:eastAsia="MS PGothic" w:hAnsi="MS PGothic"/>
          <w:sz w:val="32"/>
          <w:szCs w:val="32"/>
          <w:color w:val="auto"/>
          <w:vertAlign w:val="subscript"/>
        </w:rPr>
      </w:pPr>
    </w:p>
    <w:p>
      <w:pPr>
        <w:ind w:left="520" w:right="240" w:hanging="215"/>
        <w:spacing w:after="0" w:line="260" w:lineRule="auto"/>
        <w:tabs>
          <w:tab w:leader="none" w:pos="52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incentive awards beyond those required under SEC and Nasdaq rules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31" w:lineRule="exact"/>
        <w:rPr>
          <w:sz w:val="20"/>
          <w:szCs w:val="20"/>
          <w:color w:val="auto"/>
        </w:rPr>
      </w:pPr>
    </w:p>
    <w:p>
      <w:pPr>
        <w:ind w:left="209" w:right="659" w:hanging="209"/>
        <w:spacing w:after="0" w:line="209" w:lineRule="auto"/>
        <w:tabs>
          <w:tab w:leader="none" w:pos="209" w:val="left"/>
        </w:tabs>
        <w:numPr>
          <w:ilvl w:val="0"/>
          <w:numId w:val="8"/>
        </w:numPr>
        <w:rPr>
          <w:rFonts w:ascii="MS PGothic" w:cs="MS PGothic" w:eastAsia="MS PGothic" w:hAnsi="MS PGothic"/>
          <w:sz w:val="31"/>
          <w:szCs w:val="31"/>
          <w:color w:val="auto"/>
          <w:vertAlign w:val="subscript"/>
        </w:rPr>
      </w:pPr>
      <w:r>
        <w:rPr>
          <w:rFonts w:ascii="Times New Roman" w:cs="Times New Roman" w:eastAsia="Times New Roman" w:hAnsi="Times New Roman"/>
          <w:sz w:val="16"/>
          <w:szCs w:val="16"/>
          <w:color w:val="auto"/>
        </w:rPr>
        <w:t>No minimum guaranteed vesting for performance-based equity awards</w:t>
      </w:r>
    </w:p>
    <w:p>
      <w:pPr>
        <w:spacing w:after="0" w:line="212" w:lineRule="exact"/>
        <w:rPr>
          <w:rFonts w:ascii="MS PGothic" w:cs="MS PGothic" w:eastAsia="MS PGothic" w:hAnsi="MS PGothic"/>
          <w:sz w:val="31"/>
          <w:szCs w:val="31"/>
          <w:color w:val="auto"/>
          <w:vertAlign w:val="subscript"/>
        </w:rPr>
      </w:pPr>
    </w:p>
    <w:p>
      <w:pPr>
        <w:ind w:left="209" w:hanging="209"/>
        <w:spacing w:after="0"/>
        <w:tabs>
          <w:tab w:leader="none" w:pos="209"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guaranteed performance bonuses</w:t>
      </w:r>
    </w:p>
    <w:p>
      <w:pPr>
        <w:spacing w:after="0" w:line="238" w:lineRule="exact"/>
        <w:rPr>
          <w:rFonts w:ascii="MS PGothic" w:cs="MS PGothic" w:eastAsia="MS PGothic" w:hAnsi="MS PGothic"/>
          <w:sz w:val="18"/>
          <w:szCs w:val="18"/>
          <w:color w:val="auto"/>
        </w:rPr>
      </w:pPr>
    </w:p>
    <w:p>
      <w:pPr>
        <w:ind w:left="209"/>
        <w:spacing w:after="0"/>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No executive contracts with multi-year guaranteed</w:t>
      </w:r>
    </w:p>
    <w:p>
      <w:pPr>
        <w:spacing w:after="0" w:line="38" w:lineRule="exact"/>
        <w:rPr>
          <w:rFonts w:ascii="MS PGothic" w:cs="MS PGothic" w:eastAsia="MS PGothic" w:hAnsi="MS PGothic"/>
          <w:sz w:val="18"/>
          <w:szCs w:val="18"/>
          <w:color w:val="auto"/>
        </w:rPr>
      </w:pPr>
    </w:p>
    <w:p>
      <w:pPr>
        <w:ind w:left="209" w:right="1259" w:hanging="209"/>
        <w:spacing w:after="0" w:line="260" w:lineRule="auto"/>
        <w:tabs>
          <w:tab w:leader="none" w:pos="209"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salary increases or nonperformance bonus arrangements</w:t>
      </w:r>
    </w:p>
    <w:p>
      <w:pPr>
        <w:spacing w:after="0" w:line="194" w:lineRule="exact"/>
        <w:rPr>
          <w:rFonts w:ascii="MS PGothic" w:cs="MS PGothic" w:eastAsia="MS PGothic" w:hAnsi="MS PGothic"/>
          <w:sz w:val="18"/>
          <w:szCs w:val="18"/>
          <w:color w:val="auto"/>
        </w:rPr>
      </w:pPr>
    </w:p>
    <w:p>
      <w:pPr>
        <w:ind w:left="209" w:hanging="209"/>
        <w:spacing w:after="0"/>
        <w:tabs>
          <w:tab w:leader="none" w:pos="209"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loans to executives or directors</w:t>
      </w:r>
    </w:p>
    <w:p>
      <w:pPr>
        <w:spacing w:after="0" w:line="3861" w:lineRule="exact"/>
        <w:rPr>
          <w:sz w:val="20"/>
          <w:szCs w:val="20"/>
          <w:color w:val="auto"/>
        </w:rPr>
      </w:pPr>
    </w:p>
    <w:p>
      <w:pPr>
        <w:sectPr>
          <w:pgSz w:w="11900" w:h="16838" w:orient="portrait"/>
          <w:cols w:equalWidth="0" w:num="2">
            <w:col w:w="4440" w:space="91"/>
            <w:col w:w="4488"/>
          </w:cols>
          <w:pgMar w:left="1440" w:top="1413" w:right="1440" w:bottom="1440" w:gutter="0" w:footer="0" w:header="0"/>
          <w:type w:val="continuous"/>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type w:val="continuous"/>
        </w:sectPr>
      </w:pPr>
    </w:p>
    <w:bookmarkStart w:id="13" w:name="page14"/>
    <w:bookmarkEnd w:id="13"/>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Board of Directors has decided to not raise director compensation for fiscal year 2025. As such, continuing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into fiscal year 2025, each of our Non-Employee Directors receives an annual cash payment of $80,000. Each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 of our Audit Committee who is a Non-Employee Director and who is not the chairman of such committee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receives an annual cash payment of $30,000. Each member of our Management Resources and Compensation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Committee who is a Non-Employee Director and who is not a committee chairman receives an annual cash payment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$20,000. Each member of our Nominating and Corporate Governance and Technology and Innovation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Committees who is a Non-Employee Director and who is not a committee chairman receives an annual cash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payment of $15,000. The Chairman of our Audit Committee receives an annual cash payment of $42,500 and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of our Management Resources and Compensation Committee receives an annual cash payment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$32,500. The Chairmen of our Nominating and Corporate Governance and Technology and Innovation Committees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each receive an annual cash payment of $27,500. Each Non-Employee Director receives an annual grant of ordinary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at a total value of $255,000. The Chairman of the Board of Directors receives an additional annual amount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equal to $200,000 awarded in the form of ordinary shares. All ordinary share awards to our Non-Employee Directors</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vest in four equal installments of 25% each on the first day of the month following the end of each fiscal quarter, if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only if the Non-Employee Director is still serving as a Non-Employee Director on such day. The price per share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the purpose of determining the value of the grants to our Non-Employee Directors is the Nasdaq closing price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shares on the last trading day preceding the grant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line="153" w:lineRule="exact"/>
        <w:rPr>
          <w:sz w:val="20"/>
          <w:szCs w:val="20"/>
          <w:color w:val="auto"/>
        </w:rPr>
      </w:pPr>
    </w:p>
    <w:p>
      <w:pPr>
        <w:ind w:left="300" w:right="359" w:firstLine="324"/>
        <w:spacing w:after="0" w:line="266" w:lineRule="auto"/>
        <w:rPr>
          <w:sz w:val="20"/>
          <w:szCs w:val="20"/>
          <w:color w:val="auto"/>
        </w:rPr>
      </w:pPr>
      <w:r>
        <w:rPr>
          <w:rFonts w:ascii="Times New Roman" w:cs="Times New Roman" w:eastAsia="Times New Roman" w:hAnsi="Times New Roman"/>
          <w:sz w:val="18"/>
          <w:szCs w:val="18"/>
          <w:color w:val="231F20"/>
        </w:rPr>
        <w:t>We enforce stock ownership guidelines that capture the Board of Directors and executive management population, requiring each to comply with benchmark equity holdings at all times (to be achieved over 5 years). The policy includes the following holding guidelines:</w:t>
      </w:r>
    </w:p>
    <w:p>
      <w:pPr>
        <w:spacing w:after="0" w:line="149" w:lineRule="exact"/>
        <w:rPr>
          <w:sz w:val="20"/>
          <w:szCs w:val="20"/>
          <w:color w:val="auto"/>
        </w:rPr>
      </w:pPr>
    </w:p>
    <w:p>
      <w:pPr>
        <w:ind w:left="940" w:hanging="324"/>
        <w:spacing w:after="0"/>
        <w:tabs>
          <w:tab w:leader="none" w:pos="9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Board of Directors – 6X over annual cash retainer</w:t>
      </w:r>
    </w:p>
    <w:p>
      <w:pPr>
        <w:spacing w:after="0" w:line="184" w:lineRule="exact"/>
        <w:rPr>
          <w:rFonts w:ascii="Times New Roman" w:cs="Times New Roman" w:eastAsia="Times New Roman" w:hAnsi="Times New Roman"/>
          <w:sz w:val="18"/>
          <w:szCs w:val="18"/>
          <w:color w:val="231F20"/>
        </w:rPr>
      </w:pPr>
    </w:p>
    <w:p>
      <w:pPr>
        <w:ind w:left="940" w:hanging="324"/>
        <w:spacing w:after="0"/>
        <w:tabs>
          <w:tab w:leader="none" w:pos="9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CEO – 6X over annual base salary</w:t>
      </w:r>
    </w:p>
    <w:p>
      <w:pPr>
        <w:spacing w:after="0" w:line="184" w:lineRule="exact"/>
        <w:rPr>
          <w:rFonts w:ascii="Times New Roman" w:cs="Times New Roman" w:eastAsia="Times New Roman" w:hAnsi="Times New Roman"/>
          <w:sz w:val="18"/>
          <w:szCs w:val="18"/>
          <w:color w:val="231F20"/>
        </w:rPr>
      </w:pPr>
    </w:p>
    <w:p>
      <w:pPr>
        <w:ind w:left="940" w:hanging="324"/>
        <w:spacing w:after="0"/>
        <w:tabs>
          <w:tab w:leader="none" w:pos="9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CFO / COO and top executives – 2X-4X over annual base salary</w:t>
      </w:r>
    </w:p>
    <w:p>
      <w:pPr>
        <w:spacing w:after="0" w:line="198" w:lineRule="exact"/>
        <w:rPr>
          <w:sz w:val="20"/>
          <w:szCs w:val="20"/>
          <w:color w:val="auto"/>
        </w:rPr>
      </w:pPr>
    </w:p>
    <w:p>
      <w:pPr>
        <w:ind w:left="300" w:right="359" w:firstLine="324"/>
        <w:spacing w:after="0" w:line="261" w:lineRule="auto"/>
        <w:rPr>
          <w:sz w:val="20"/>
          <w:szCs w:val="20"/>
          <w:color w:val="auto"/>
        </w:rPr>
      </w:pPr>
      <w:r>
        <w:rPr>
          <w:rFonts w:ascii="Times New Roman" w:cs="Times New Roman" w:eastAsia="Times New Roman" w:hAnsi="Times New Roman"/>
          <w:sz w:val="18"/>
          <w:szCs w:val="18"/>
          <w:color w:val="auto"/>
        </w:rPr>
        <w:t>We also reimburse all of our Non-Employee Directors for their reasonable travel expenses incurred in connection with attending Board or committee meetings and for other reasonable expenses incurred while executing their responsibilities as directors. Cash and equity compensation paid to our Non-Employee Directors may be prorated for partial-year service.</w:t>
      </w:r>
    </w:p>
    <w:p>
      <w:pPr>
        <w:spacing w:after="0" w:line="139" w:lineRule="exact"/>
        <w:rPr>
          <w:sz w:val="20"/>
          <w:szCs w:val="20"/>
          <w:color w:val="auto"/>
        </w:rPr>
      </w:pPr>
    </w:p>
    <w:p>
      <w:pPr>
        <w:ind w:left="300" w:right="359" w:firstLine="324"/>
        <w:spacing w:after="0" w:line="312" w:lineRule="auto"/>
        <w:rPr>
          <w:sz w:val="20"/>
          <w:szCs w:val="20"/>
          <w:color w:val="auto"/>
        </w:rPr>
      </w:pPr>
      <w:r>
        <w:rPr>
          <w:rFonts w:ascii="Times New Roman" w:cs="Times New Roman" w:eastAsia="Times New Roman" w:hAnsi="Times New Roman"/>
          <w:sz w:val="17"/>
          <w:szCs w:val="17"/>
          <w:color w:val="auto"/>
        </w:rPr>
        <w:t>During the 2024 fiscal year, we granted to the 9 Non-Employee Directors that served in at least part of the 2024 fiscal year an aggregate of 31,096 shares at a weighted average price of $80.23 per share, which vested quarterly.</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202" w:lineRule="exact"/>
        <w:rPr>
          <w:sz w:val="20"/>
          <w:szCs w:val="20"/>
          <w:color w:val="auto"/>
        </w:rPr>
      </w:pPr>
    </w:p>
    <w:p>
      <w:pPr>
        <w:ind w:left="300" w:right="319" w:firstLine="324"/>
        <w:spacing w:after="0" w:line="266" w:lineRule="auto"/>
        <w:rPr>
          <w:sz w:val="20"/>
          <w:szCs w:val="20"/>
          <w:color w:val="auto"/>
        </w:rPr>
      </w:pPr>
      <w:r>
        <w:rPr>
          <w:rFonts w:ascii="Times New Roman" w:cs="Times New Roman" w:eastAsia="Times New Roman" w:hAnsi="Times New Roman"/>
          <w:sz w:val="18"/>
          <w:szCs w:val="18"/>
          <w:color w:val="auto"/>
        </w:rPr>
        <w:t>It is proposed that each of the following nine (9) individuals be elected to serve as a director of Amdocs Limited until the next annual general meeting of shareholders or until his or her earlier resignation or removal or until his or her respective successor is elected and qualified:</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Eli Gelman</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Robert A. Minicucci</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Adrian Gardner</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Rafael de la Vega</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John A. MacDonald</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Yvette Kanouff</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Sarah Ruth Davis</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Amos Genish</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Shuky Sheffer</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89" w:lineRule="exact"/>
        <w:rPr>
          <w:sz w:val="20"/>
          <w:szCs w:val="20"/>
          <w:color w:val="auto"/>
        </w:rPr>
      </w:pPr>
    </w:p>
    <w:p>
      <w:pPr>
        <w:ind w:left="300" w:right="639" w:firstLine="324"/>
        <w:spacing w:after="0" w:line="282" w:lineRule="auto"/>
        <w:rPr>
          <w:sz w:val="20"/>
          <w:szCs w:val="20"/>
          <w:color w:val="auto"/>
        </w:rPr>
      </w:pPr>
      <w:r>
        <w:rPr>
          <w:rFonts w:ascii="Times New Roman" w:cs="Times New Roman" w:eastAsia="Times New Roman" w:hAnsi="Times New Roman"/>
          <w:sz w:val="18"/>
          <w:szCs w:val="18"/>
          <w:color w:val="auto"/>
        </w:rPr>
        <w:t>The affirmative vote of holders of a majority of our ordinary shares represented in person or by proxy at the General Meeting is necessary for the election of each director nominee named above.</w:t>
      </w:r>
    </w:p>
    <w:p>
      <w:pPr>
        <w:spacing w:after="0" w:line="131" w:lineRule="exact"/>
        <w:rPr>
          <w:sz w:val="20"/>
          <w:szCs w:val="20"/>
          <w:color w:val="auto"/>
        </w:rPr>
      </w:pPr>
    </w:p>
    <w:p>
      <w:pPr>
        <w:ind w:left="300" w:right="33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EACH OF THE DIRECTOR NOMINEES NAMED ABOVE.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 AND MANAGEMENT</w:t>
      </w:r>
    </w:p>
    <w:p>
      <w:pPr>
        <w:spacing w:after="0" w:line="166" w:lineRule="exact"/>
        <w:rPr>
          <w:sz w:val="20"/>
          <w:szCs w:val="20"/>
          <w:color w:val="auto"/>
        </w:rPr>
      </w:pPr>
    </w:p>
    <w:p>
      <w:pPr>
        <w:ind w:left="300" w:right="3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following table sets forth specified information with respect to the beneficial ownership of the ordinary shares as of December 3, 2024 of (i) any person known by us to be the beneficial owner of more than 5% of our ordinary shares, and (ii) all of our directors and executive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w:t>
      </w:r>
      <w:r>
        <w:rPr>
          <w:rFonts w:ascii="Times New Roman" w:cs="Times New Roman" w:eastAsia="Times New Roman" w:hAnsi="Times New Roman"/>
          <w:sz w:val="18"/>
          <w:szCs w:val="18"/>
          <w:color w:val="231F20"/>
        </w:rPr>
        <w:t>112,819,363</w:t>
      </w:r>
      <w:r>
        <w:rPr>
          <w:rFonts w:ascii="Times New Roman" w:cs="Times New Roman" w:eastAsia="Times New Roman" w:hAnsi="Times New Roman"/>
          <w:sz w:val="18"/>
          <w:szCs w:val="18"/>
          <w:color w:val="auto"/>
        </w:rPr>
        <w:t xml:space="preserve"> ordinary shares outstanding as of December 3, 2024, net of shares held in treasury. Information concerning shareholders other than our directors and officers is based on periodic public filings made by such shareholders and may not necessarily be accurate as of December 3, 2024. None of our major shareholders have voting rights that are different from those of any other shareholder.</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14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5560" w:type="dxa"/>
            <w:vAlign w:val="bottom"/>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80" w:type="dxa"/>
            <w:vAlign w:val="bottom"/>
          </w:tcPr>
          <w:p>
            <w:pPr>
              <w:spacing w:after="0"/>
              <w:rPr>
                <w:sz w:val="15"/>
                <w:szCs w:val="15"/>
                <w:color w:val="auto"/>
              </w:rPr>
            </w:pPr>
          </w:p>
        </w:tc>
        <w:tc>
          <w:tcPr>
            <w:tcW w:w="12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FMR LLC(1)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17,510,389</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Janus Henderson Group plc(2)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6,625,875</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Pzena Investment Management LLC(3)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6,482,552</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officers as a group (12 persons)(4)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2,004,553</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219710</wp:posOffset>
            </wp:positionV>
            <wp:extent cx="8229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62" w:lineRule="exact"/>
        <w:rPr>
          <w:sz w:val="20"/>
          <w:szCs w:val="20"/>
          <w:color w:val="auto"/>
        </w:rPr>
      </w:pPr>
    </w:p>
    <w:p>
      <w:pPr>
        <w:ind w:left="620" w:right="519" w:hanging="328"/>
        <w:spacing w:after="0" w:line="256"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FMR LLC, or FMR, with the SEC on February 9, 2024, as of December 29, 2023, FMR had sole power to vote or direct the vote over 15,622,881 shares and sole power to dispose or direct the disposition of 17,510,389 shares. Abigail P. Johnson is a Director, the Chairman of FMR and the Chief Executive Officer of FMR. Members of the Johnson family, including Abigail P. Johnson, directly or through trusts, own approximately 49% of the voting power of FMR. The address of FMR is 245 Summer Street, Boston, Massachusetts 02210.</w:t>
      </w:r>
    </w:p>
    <w:p>
      <w:pPr>
        <w:spacing w:after="0" w:line="79" w:lineRule="exact"/>
        <w:rPr>
          <w:rFonts w:ascii="Times New Roman" w:cs="Times New Roman" w:eastAsia="Times New Roman" w:hAnsi="Times New Roman"/>
          <w:sz w:val="18"/>
          <w:szCs w:val="18"/>
          <w:color w:val="auto"/>
        </w:rPr>
      </w:pPr>
    </w:p>
    <w:p>
      <w:pPr>
        <w:ind w:left="620" w:right="319" w:hanging="328"/>
        <w:spacing w:after="0" w:line="253"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Janus Henderson Group plc, or Janus Henderson, with the SEC on November 11, 2024, as of September 30, 2024, 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JHIUS may be deemed to be the beneficial owner of 6,624,413 shares or 5.8% of the shares outstanding of Amdocs Common Stock held by such Managed Portfolios. However, JHIUS does not have the right to receive any dividends from, or the proceeds from the sale of, the securities held in the Managed Portfolios and disclaims any ownership associated with such rights. The address of Janus Henderson is 201 Bishopsgate EC2M 3AE, United Kingdom.</w:t>
      </w:r>
    </w:p>
    <w:p>
      <w:pPr>
        <w:spacing w:after="0" w:line="79" w:lineRule="exact"/>
        <w:rPr>
          <w:rFonts w:ascii="Times New Roman" w:cs="Times New Roman" w:eastAsia="Times New Roman" w:hAnsi="Times New Roman"/>
          <w:sz w:val="18"/>
          <w:szCs w:val="18"/>
          <w:color w:val="auto"/>
        </w:rPr>
      </w:pPr>
    </w:p>
    <w:p>
      <w:pPr>
        <w:ind w:left="620" w:right="299" w:hanging="328"/>
        <w:spacing w:after="0" w:line="261"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Pzena Investment Management LLC with the SEC on October 21, 2024, as of September 30, 2024, Pzena Investment Management LLC had sole power to vote or direct the vote over 4,401,835 shares and sole power to dispose or direct the disposition of 6,482,552 shares. The address of Pzena Investment Management LLC is 320 Park Avenue, 8th Floor, New York, New York 10022.</w:t>
      </w:r>
    </w:p>
    <w:p>
      <w:pPr>
        <w:spacing w:after="0" w:line="71" w:lineRule="exact"/>
        <w:rPr>
          <w:rFonts w:ascii="Times New Roman" w:cs="Times New Roman" w:eastAsia="Times New Roman" w:hAnsi="Times New Roman"/>
          <w:sz w:val="18"/>
          <w:szCs w:val="18"/>
          <w:color w:val="auto"/>
        </w:rPr>
      </w:pPr>
    </w:p>
    <w:p>
      <w:pPr>
        <w:ind w:left="620" w:right="439" w:hanging="328"/>
        <w:spacing w:after="0" w:line="266"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held by such directors and executive officers that are exercisable within 60 days after December 3, 2024. As of such date, none of our directors or executive officers beneficially owned 1% or more of our outstanding ordinary shares.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MATTERS</w:t>
      </w:r>
    </w:p>
    <w:p>
      <w:pPr>
        <w:spacing w:after="0" w:line="189" w:lineRule="exact"/>
        <w:rPr>
          <w:sz w:val="20"/>
          <w:szCs w:val="20"/>
          <w:color w:val="auto"/>
        </w:rPr>
      </w:pPr>
    </w:p>
    <w:p>
      <w:pPr>
        <w:ind w:left="300" w:right="379"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160" w:lineRule="exact"/>
        <w:rPr>
          <w:sz w:val="20"/>
          <w:szCs w:val="20"/>
          <w:color w:val="auto"/>
        </w:rPr>
      </w:pPr>
    </w:p>
    <w:p>
      <w:pPr>
        <w:ind w:left="300" w:right="619"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our audited financial statements for the fiscal year ended September 30, 2024 and has discussed these financial statements with our management and independent registered public accounting firm.</w:t>
      </w:r>
    </w:p>
    <w:p>
      <w:pPr>
        <w:spacing w:after="0" w:line="135" w:lineRule="exact"/>
        <w:rPr>
          <w:sz w:val="20"/>
          <w:szCs w:val="20"/>
          <w:color w:val="auto"/>
        </w:rPr>
      </w:pPr>
    </w:p>
    <w:p>
      <w:pPr>
        <w:ind w:left="300" w:right="459"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has also discussed with our independent registered public accounting firm the matters required to be discussed by the Public Company Accounting Oversight Board (PCAOB) Auditing Standard No. 16 (Communications with Audit Committees) (AS 16), which requires our independent registered public accounting firm to discuss with our Audit Committee, among other things, the following:</w:t>
      </w:r>
    </w:p>
    <w:p>
      <w:pPr>
        <w:spacing w:after="0" w:line="139" w:lineRule="exact"/>
        <w:rPr>
          <w:sz w:val="20"/>
          <w:szCs w:val="20"/>
          <w:color w:val="auto"/>
        </w:rPr>
      </w:pPr>
    </w:p>
    <w:p>
      <w:pPr>
        <w:ind w:left="940" w:hanging="32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to account for significant unusual transactions;</w:t>
      </w:r>
    </w:p>
    <w:p>
      <w:pPr>
        <w:spacing w:after="0" w:line="198" w:lineRule="exact"/>
        <w:rPr>
          <w:rFonts w:ascii="Times New Roman" w:cs="Times New Roman" w:eastAsia="Times New Roman" w:hAnsi="Times New Roman"/>
          <w:sz w:val="18"/>
          <w:szCs w:val="18"/>
          <w:color w:val="auto"/>
        </w:rPr>
      </w:pPr>
    </w:p>
    <w:p>
      <w:pPr>
        <w:ind w:left="940" w:right="499" w:hanging="324"/>
        <w:spacing w:after="0" w:line="282"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significant accounting policies in controversial or emerging areas for which there is a lack of authoritative guidance or consensus;</w:t>
      </w:r>
    </w:p>
    <w:p>
      <w:pPr>
        <w:spacing w:after="0" w:line="12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used by management in formulating particularly sensitive accounting estimates and the basis for the auditors’ conclusions regarding the reasonableness of those estimates; and</w:t>
      </w:r>
    </w:p>
    <w:p>
      <w:pPr>
        <w:spacing w:after="0" w:line="121" w:lineRule="exact"/>
        <w:rPr>
          <w:rFonts w:ascii="Times New Roman" w:cs="Times New Roman" w:eastAsia="Times New Roman" w:hAnsi="Times New Roman"/>
          <w:sz w:val="18"/>
          <w:szCs w:val="18"/>
          <w:color w:val="auto"/>
        </w:rPr>
      </w:pPr>
    </w:p>
    <w:p>
      <w:pPr>
        <w:ind w:left="940" w:right="399" w:hanging="324"/>
        <w:spacing w:after="0" w:line="282"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management over matters that could be (individually or in the aggregate) significant to the Company’s financial statements or the auditor’s report.</w:t>
      </w:r>
    </w:p>
    <w:p>
      <w:pPr>
        <w:spacing w:after="0" w:line="135" w:lineRule="exact"/>
        <w:rPr>
          <w:sz w:val="20"/>
          <w:szCs w:val="20"/>
          <w:color w:val="auto"/>
        </w:rPr>
      </w:pPr>
    </w:p>
    <w:p>
      <w:pPr>
        <w:ind w:left="300" w:right="299" w:firstLine="324"/>
        <w:spacing w:after="0" w:line="256" w:lineRule="auto"/>
        <w:rPr>
          <w:sz w:val="20"/>
          <w:szCs w:val="20"/>
          <w:color w:val="auto"/>
        </w:rPr>
      </w:pPr>
      <w:r>
        <w:rPr>
          <w:rFonts w:ascii="Times New Roman" w:cs="Times New Roman" w:eastAsia="Times New Roman" w:hAnsi="Times New Roman"/>
          <w:sz w:val="18"/>
          <w:szCs w:val="18"/>
          <w:color w:val="auto"/>
        </w:rPr>
        <w:t>Our independent registered public accounting firm also provided the Audit Committee with the written disclosures and the letter required by PCAOB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147" w:lineRule="exact"/>
        <w:rPr>
          <w:sz w:val="20"/>
          <w:szCs w:val="20"/>
          <w:color w:val="auto"/>
        </w:rPr>
      </w:pPr>
    </w:p>
    <w:p>
      <w:pPr>
        <w:ind w:left="300" w:right="419" w:firstLine="324"/>
        <w:spacing w:after="0" w:line="261"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2024.</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02" w:lineRule="exact"/>
        <w:rPr>
          <w:sz w:val="20"/>
          <w:szCs w:val="20"/>
          <w:color w:val="auto"/>
        </w:rPr>
      </w:pPr>
    </w:p>
    <w:p>
      <w:pPr>
        <w:ind w:left="300" w:right="359"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43" w:lineRule="exact"/>
        <w:rPr>
          <w:sz w:val="20"/>
          <w:szCs w:val="20"/>
          <w:color w:val="auto"/>
        </w:rPr>
      </w:pPr>
    </w:p>
    <w:p>
      <w:pPr>
        <w:ind w:left="300" w:right="33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year 2024, our Audit Committee approved all of the services provided by Ernst &amp; Young.</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PROPOSAL II</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STOCK OPTION AND INCENTIVE PLAN</w:t>
      </w:r>
    </w:p>
    <w:p>
      <w:pPr>
        <w:spacing w:after="0" w:line="202" w:lineRule="exact"/>
        <w:rPr>
          <w:sz w:val="20"/>
          <w:szCs w:val="20"/>
          <w:color w:val="auto"/>
        </w:rPr>
      </w:pPr>
    </w:p>
    <w:p>
      <w:pPr>
        <w:ind w:left="300" w:right="439" w:firstLine="324"/>
        <w:spacing w:after="0" w:line="261" w:lineRule="auto"/>
        <w:rPr>
          <w:sz w:val="20"/>
          <w:szCs w:val="20"/>
          <w:color w:val="auto"/>
        </w:rPr>
      </w:pPr>
      <w:r>
        <w:rPr>
          <w:rFonts w:ascii="Times New Roman" w:cs="Times New Roman" w:eastAsia="Times New Roman" w:hAnsi="Times New Roman"/>
          <w:sz w:val="18"/>
          <w:szCs w:val="18"/>
          <w:color w:val="auto"/>
        </w:rPr>
        <w:t>On December 11, 2024, our Board of Directors adopted, subject to shareholder approval, an amendment to our 1998 Stock Option and Incentive Plan, as amended, which we refer to as the 1998 Plan, extending the term of the 1998 Plan to January 31, 2035. The amendment made no other changes to the 1998 Plan. We are not proposing to add any shares to the 1998 Plan.</w:t>
      </w:r>
    </w:p>
    <w:p>
      <w:pPr>
        <w:spacing w:after="0" w:line="139" w:lineRule="exact"/>
        <w:rPr>
          <w:sz w:val="20"/>
          <w:szCs w:val="20"/>
          <w:color w:val="auto"/>
        </w:rPr>
      </w:pPr>
    </w:p>
    <w:p>
      <w:pPr>
        <w:ind w:left="300" w:right="379" w:firstLine="324"/>
        <w:spacing w:after="0" w:line="255" w:lineRule="auto"/>
        <w:rPr>
          <w:sz w:val="20"/>
          <w:szCs w:val="20"/>
          <w:color w:val="auto"/>
        </w:rPr>
      </w:pPr>
      <w:r>
        <w:rPr>
          <w:rFonts w:ascii="Times New Roman" w:cs="Times New Roman" w:eastAsia="Times New Roman" w:hAnsi="Times New Roman"/>
          <w:sz w:val="18"/>
          <w:szCs w:val="18"/>
          <w:color w:val="auto"/>
        </w:rPr>
        <w:t>The 1998 Plan was last amended in February 2024. As of December 3, 2024, which is the Record Date, of the 73,550,000 ordinary shares reserved for issuance under the 1998 Plan, awards with respect to an aggregate of 68,752,774 ordinary shares (net of cancellations and forfeitures) had been granted, of which 64,887,968 shares have been issued upon option exercises and vesting of restricted stock and restricted stock unit awards, 1,175,211 remain subject to outstanding option awards, 2,073,604 remain subject to outstanding unvested restricted stock awards and 615,991 remain subject to outstanding unvested restricted stock unit awards, and 4,797,226 ordinary shares remain available for future awards.</w:t>
      </w:r>
    </w:p>
    <w:p>
      <w:pPr>
        <w:spacing w:after="0" w:line="148" w:lineRule="exact"/>
        <w:rPr>
          <w:sz w:val="20"/>
          <w:szCs w:val="20"/>
          <w:color w:val="auto"/>
        </w:rPr>
      </w:pPr>
    </w:p>
    <w:p>
      <w:pPr>
        <w:ind w:left="300" w:right="499" w:firstLine="324"/>
        <w:spacing w:after="0" w:line="266" w:lineRule="auto"/>
        <w:rPr>
          <w:sz w:val="20"/>
          <w:szCs w:val="20"/>
          <w:color w:val="auto"/>
        </w:rPr>
      </w:pPr>
      <w:r>
        <w:rPr>
          <w:rFonts w:ascii="Times New Roman" w:cs="Times New Roman" w:eastAsia="Times New Roman" w:hAnsi="Times New Roman"/>
          <w:sz w:val="18"/>
          <w:szCs w:val="18"/>
          <w:color w:val="auto"/>
        </w:rPr>
        <w:t>Based on 112,819,363 ordinary shares outstanding as of December 3, 2024, the number of shares reserved for issuance pursuant to outstanding awards granted and the number of shares available for future grants represented approximately 5.84% of our ordinary shares outstanding.</w:t>
      </w:r>
    </w:p>
    <w:p>
      <w:pPr>
        <w:spacing w:after="0" w:line="149" w:lineRule="exact"/>
        <w:rPr>
          <w:sz w:val="20"/>
          <w:szCs w:val="20"/>
          <w:color w:val="auto"/>
        </w:rPr>
      </w:pPr>
    </w:p>
    <w:p>
      <w:pPr>
        <w:ind w:left="300" w:right="419" w:firstLine="324"/>
        <w:spacing w:after="0" w:line="258" w:lineRule="auto"/>
        <w:rPr>
          <w:sz w:val="20"/>
          <w:szCs w:val="20"/>
          <w:color w:val="auto"/>
        </w:rPr>
      </w:pPr>
      <w:r>
        <w:rPr>
          <w:rFonts w:ascii="Times New Roman" w:cs="Times New Roman" w:eastAsia="Times New Roman" w:hAnsi="Times New Roman"/>
          <w:sz w:val="18"/>
          <w:szCs w:val="18"/>
          <w:color w:val="auto"/>
        </w:rPr>
        <w:t>As of December 3, 2024, the closing price of our ordinary shares was $87.26 per share. Of the options to purchase 1,175,211 ordinary shares that were outstanding as of December 3, 2024, 81,520 options to purchase ordinary shares were at an exercise price of $87.27 or greater. Exercise prices of the options to purchase ordinary shares range from $48.18 to $92.00 per share. The weighted average remaining life of the options outstanding as of December 3, 2024 was 4.15 years, and their weighted average exercise price was $66.02.</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table summarizes information, as of December 3, 2024, regarding our equity compensation plans.</w:t>
      </w: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 2024</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420" w:type="dxa"/>
            <w:vAlign w:val="bottom"/>
          </w:tcPr>
          <w:p>
            <w:pPr>
              <w:spacing w:after="0"/>
              <w:rPr>
                <w:sz w:val="12"/>
                <w:szCs w:val="12"/>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4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42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8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8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Plans(1)</w:t>
            </w:r>
          </w:p>
        </w:tc>
        <w:tc>
          <w:tcPr>
            <w:tcW w:w="0" w:type="dxa"/>
            <w:vAlign w:val="bottom"/>
          </w:tcPr>
          <w:p>
            <w:pPr>
              <w:spacing w:after="0"/>
              <w:rPr>
                <w:sz w:val="1"/>
                <w:szCs w:val="1"/>
                <w:color w:val="auto"/>
              </w:rPr>
            </w:pPr>
          </w:p>
        </w:tc>
      </w:tr>
      <w:tr>
        <w:trPr>
          <w:trHeight w:val="191"/>
        </w:trPr>
        <w:tc>
          <w:tcPr>
            <w:tcW w:w="38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280" w:type="dxa"/>
            <w:vAlign w:val="bottom"/>
            <w:tcBorders>
              <w:top w:val="single" w:sz="8" w:color="auto"/>
            </w:tcBorders>
            <w:shd w:val="clear" w:color="auto" w:fill="CFF0FC"/>
          </w:tcPr>
          <w:p>
            <w:pPr>
              <w:spacing w:after="0"/>
              <w:rPr>
                <w:sz w:val="16"/>
                <w:szCs w:val="16"/>
                <w:color w:val="auto"/>
              </w:rPr>
            </w:pPr>
          </w:p>
        </w:tc>
        <w:tc>
          <w:tcPr>
            <w:tcW w:w="4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1,791,202</w:t>
            </w:r>
          </w:p>
        </w:tc>
        <w:tc>
          <w:tcPr>
            <w:tcW w:w="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5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6,649,084  (3)</w:t>
            </w:r>
          </w:p>
        </w:tc>
        <w:tc>
          <w:tcPr>
            <w:tcW w:w="0" w:type="dxa"/>
            <w:vAlign w:val="bottom"/>
          </w:tcPr>
          <w:p>
            <w:pPr>
              <w:spacing w:after="0"/>
              <w:rPr>
                <w:sz w:val="1"/>
                <w:szCs w:val="1"/>
                <w:color w:val="auto"/>
              </w:rPr>
            </w:pP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Total</w:t>
            </w: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1,791,202</w:t>
            </w:r>
          </w:p>
        </w:tc>
        <w:tc>
          <w:tcPr>
            <w:tcW w:w="42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vMerge w:val="restart"/>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6,649,084</w:t>
            </w: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ind w:left="10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66.02</w:t>
            </w:r>
          </w:p>
        </w:tc>
        <w:tc>
          <w:tcPr>
            <w:tcW w:w="180" w:type="dxa"/>
            <w:vAlign w:val="bottom"/>
            <w:tcBorders>
              <w:bottom w:val="single" w:sz="8" w:color="CFF0FC"/>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-24765</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-7620</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77470</wp:posOffset>
            </wp:positionV>
            <wp:extent cx="8229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37" w:lineRule="exact"/>
        <w:rPr>
          <w:sz w:val="20"/>
          <w:szCs w:val="20"/>
          <w:color w:val="auto"/>
        </w:rPr>
      </w:pPr>
    </w:p>
    <w:p>
      <w:pPr>
        <w:ind w:left="620" w:right="479" w:hanging="328"/>
        <w:spacing w:after="0" w:line="282"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shares listed under the column heading “Number of Ordinary Shares to be Issued Upon Exercise of Outstanding Options, Warrants and Rights.”</w:t>
      </w:r>
    </w:p>
    <w:p>
      <w:pPr>
        <w:spacing w:after="0" w:line="53"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1,175,211 ordinary shares and 615,991 restricted stock units.</w:t>
      </w:r>
    </w:p>
    <w:p>
      <w:pPr>
        <w:spacing w:after="0" w:line="117" w:lineRule="exact"/>
        <w:rPr>
          <w:rFonts w:ascii="Times New Roman" w:cs="Times New Roman" w:eastAsia="Times New Roman" w:hAnsi="Times New Roman"/>
          <w:sz w:val="18"/>
          <w:szCs w:val="18"/>
          <w:color w:val="auto"/>
        </w:rPr>
      </w:pPr>
    </w:p>
    <w:p>
      <w:pPr>
        <w:ind w:left="620" w:right="519" w:hanging="328"/>
        <w:spacing w:after="0" w:line="266"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4,797,226 shares available for future issuance under the 1998 Plan and 1,851,858 shares available for future issuance under our 2023 Employee Share Purchase Plan, or the ESPP, which allows eligible employees to purchase ordinary shares with accumulated payroll deductions.</w:t>
      </w:r>
    </w:p>
    <w:p>
      <w:pPr>
        <w:spacing w:after="0" w:line="67" w:lineRule="exact"/>
        <w:rPr>
          <w:rFonts w:ascii="Times New Roman" w:cs="Times New Roman" w:eastAsia="Times New Roman" w:hAnsi="Times New Roman"/>
          <w:sz w:val="18"/>
          <w:szCs w:val="18"/>
          <w:color w:val="auto"/>
        </w:rPr>
      </w:pPr>
    </w:p>
    <w:p>
      <w:pPr>
        <w:ind w:left="620" w:right="419" w:hanging="328"/>
        <w:spacing w:after="0" w:line="266"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1,791,202 ordinary shares reflected, 1,175,211 are ordinary shares to be issued upon exercise of outstanding options with a weighted average exercise price of $66.02 and a weighted average remaining life of 4.15 years, and 615,991 are restricted stock units.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 w:name="page19"/>
    <w:bookmarkEnd w:id="18"/>
    <w:p>
      <w:pPr>
        <w:spacing w:after="0" w:line="153" w:lineRule="exact"/>
        <w:rPr>
          <w:sz w:val="20"/>
          <w:szCs w:val="20"/>
          <w:color w:val="auto"/>
        </w:rPr>
      </w:pPr>
    </w:p>
    <w:p>
      <w:pPr>
        <w:ind w:left="300" w:right="379" w:firstLine="324"/>
        <w:spacing w:after="0" w:line="272" w:lineRule="auto"/>
        <w:rPr>
          <w:sz w:val="20"/>
          <w:szCs w:val="20"/>
          <w:color w:val="auto"/>
        </w:rPr>
      </w:pPr>
      <w:r>
        <w:rPr>
          <w:rFonts w:ascii="Times New Roman" w:cs="Times New Roman" w:eastAsia="Times New Roman" w:hAnsi="Times New Roman"/>
          <w:sz w:val="17"/>
          <w:szCs w:val="17"/>
          <w:color w:val="auto"/>
        </w:rPr>
        <w:t>Under our practices over the last three fiscal years, and as set forth in the table below, the combined run rate for usage of ordinary shares, or the burn rate, used for grants to participants under the 1998 Plan (for the avoidance of doubt, not including any shares issued under the ESPP) has been 1.14% for fiscal year 2022, 1.15% for fiscal year</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2023 and 1.21% for fiscal year 2024:</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2860" w:type="dxa"/>
            <w:vAlign w:val="bottom"/>
            <w:gridSpan w:val="5"/>
            <w:vMerge w:val="restart"/>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October 1 to</w:t>
            </w:r>
          </w:p>
        </w:tc>
        <w:tc>
          <w:tcPr>
            <w:tcW w:w="0" w:type="dxa"/>
            <w:vAlign w:val="bottom"/>
          </w:tcPr>
          <w:p>
            <w:pPr>
              <w:spacing w:after="0"/>
              <w:rPr>
                <w:sz w:val="1"/>
                <w:szCs w:val="1"/>
                <w:color w:val="auto"/>
              </w:rPr>
            </w:pPr>
          </w:p>
        </w:tc>
      </w:tr>
      <w:tr>
        <w:trPr>
          <w:trHeight w:val="173"/>
        </w:trPr>
        <w:tc>
          <w:tcPr>
            <w:tcW w:w="338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Type of Award</w:t>
            </w:r>
          </w:p>
        </w:tc>
        <w:tc>
          <w:tcPr>
            <w:tcW w:w="2860" w:type="dxa"/>
            <w:vAlign w:val="bottom"/>
            <w:gridSpan w:val="5"/>
            <w:vMerge w:val="continue"/>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w:t>
            </w:r>
          </w:p>
        </w:tc>
        <w:tc>
          <w:tcPr>
            <w:tcW w:w="0" w:type="dxa"/>
            <w:vAlign w:val="bottom"/>
          </w:tcPr>
          <w:p>
            <w:pPr>
              <w:spacing w:after="0"/>
              <w:rPr>
                <w:sz w:val="1"/>
                <w:szCs w:val="1"/>
                <w:color w:val="auto"/>
              </w:rPr>
            </w:pPr>
          </w:p>
        </w:tc>
      </w:tr>
      <w:tr>
        <w:trPr>
          <w:trHeight w:val="142"/>
        </w:trPr>
        <w:tc>
          <w:tcPr>
            <w:tcW w:w="3380" w:type="dxa"/>
            <w:vAlign w:val="bottom"/>
            <w:vMerge w:val="continue"/>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granted</w:t>
            </w: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basic ordinary</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outstanding</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122,812</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115,489</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112,771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Burn rate</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1.14 %</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1.15 %</w:t>
            </w: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1.21 %</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0.69 %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00" w:right="419" w:firstLine="324"/>
        <w:spacing w:after="0" w:line="255" w:lineRule="auto"/>
        <w:rPr>
          <w:sz w:val="20"/>
          <w:szCs w:val="20"/>
          <w:color w:val="auto"/>
        </w:rPr>
      </w:pPr>
      <w:r>
        <w:rPr>
          <w:rFonts w:ascii="Times New Roman" w:cs="Times New Roman" w:eastAsia="Times New Roman" w:hAnsi="Times New Roman"/>
          <w:sz w:val="18"/>
          <w:szCs w:val="18"/>
          <w:color w:val="auto"/>
        </w:rPr>
        <w:t>The Board of Directors considers availability of the 1998 Plan from which the Company may issue equity incentive awards to be important to the business prospects and operations of the Company. The Board of Directors considers grants of options, restricted stock and restricted stock units to be an effective method to attract and retain officers, directors, employees and consultants, and to encourage long-term performance and productivity. If our shareholders do not approve this amendment, we will not be able to grant awards under the 1998 Plan after January 28, 2025. The Board of Directors believes that the extension of the term of the 1998 Plan is in the best interests of the Company and its shareholders.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the 1998 Stock Option and Incentive Plan (as proposed to be amended)</w:t>
      </w:r>
    </w:p>
    <w:p>
      <w:pPr>
        <w:spacing w:after="0" w:line="189" w:lineRule="exact"/>
        <w:rPr>
          <w:sz w:val="20"/>
          <w:szCs w:val="20"/>
          <w:color w:val="auto"/>
        </w:rPr>
      </w:pPr>
    </w:p>
    <w:p>
      <w:pPr>
        <w:ind w:left="300" w:right="439"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1998 Stock Option and Incentive Plan (as proposed to be amended), a copy of which is attached as Appendix B. The following summary is qualified in its entirety by reference to the 1998 Plan.</w:t>
      </w:r>
    </w:p>
    <w:p>
      <w:pPr>
        <w:spacing w:after="0" w:line="133" w:lineRule="exact"/>
        <w:rPr>
          <w:sz w:val="20"/>
          <w:szCs w:val="20"/>
          <w:color w:val="auto"/>
        </w:rPr>
      </w:pPr>
    </w:p>
    <w:p>
      <w:pPr>
        <w:ind w:left="300" w:right="5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purpose of the 1998 Plan is to afford an incentive to grantees to acquire a proprietary interest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to continue in service of the Company, to increase their efforts on behalf of the Company and to promote the success of the Company’s business.</w:t>
      </w:r>
    </w:p>
    <w:p>
      <w:pPr>
        <w:spacing w:after="0" w:line="146" w:lineRule="exact"/>
        <w:rPr>
          <w:sz w:val="20"/>
          <w:szCs w:val="20"/>
          <w:color w:val="auto"/>
        </w:rPr>
      </w:pPr>
    </w:p>
    <w:p>
      <w:pPr>
        <w:ind w:left="300" w:right="5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1998 Plan provides for the grant of stock options (which may be either incentive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or nonqualified stock options), stock appreciation rights, restricted stock awards and other stock-based awards, which we collectively refers to as “awards.”</w:t>
      </w:r>
    </w:p>
    <w:p>
      <w:pPr>
        <w:spacing w:after="0" w:line="133" w:lineRule="exact"/>
        <w:rPr>
          <w:sz w:val="20"/>
          <w:szCs w:val="20"/>
          <w:color w:val="auto"/>
        </w:rPr>
      </w:pPr>
    </w:p>
    <w:p>
      <w:pPr>
        <w:ind w:left="300" w:right="33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Grantees receive the right to purchase a specified number of ordinary shares at a specified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and subject to such other terms and conditions as are specified in connection with the option grant. Options may not be granted at an exercise price that is less than 100% of the fair market value of our ordinary shares on the date of grant and may not be granted for a term in excess of ten years. Payment of the exercise price of options may be by cash, delivery of ordinary shares, a combination thereof, or, in connection with a broker-assisted exercise. The 1998 Plan provides that, unless otherwise determined by the Committee, options will vest as to 25% of the ordinary shares subject to such award on each of the first, second, third and fourth anniversaries of the date of grant of the option. Although we have never done so, the 1998 Plan permits us to make loans to grantees in connection with the exercise of outstanding options. Options may generally only be exercised while the grantee is in our service or employ. If the grantee’s service ends for any reason other than cause, death or disability, his or her options that are exercisable will expire 90 days after such cessation. Termination for cause results in expiration of the option upon the termination date. Termination due to death or disability allows, in general, for the option to be exercised for 12 months, but in no event after the option’s stated final expiration date. The 1998 Plan prohibits the grant of options containing a provision entitling a grantee to the automatic grant of additional options in connection with any exercise by the grantee of his or her options.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151" w:lineRule="exact"/>
        <w:rPr>
          <w:sz w:val="20"/>
          <w:szCs w:val="20"/>
          <w:color w:val="auto"/>
        </w:rPr>
      </w:pPr>
    </w:p>
    <w:p>
      <w:pPr>
        <w:ind w:left="300" w:right="41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Restricted stock awards entitle grantees to acquire ordinary shares subject to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Amdocs Limited or any of its subsidiaries to repurchase all or part of such shares from the grantee in the event that the conditions specified in the applicable award are not satisfied prior to the end of the applicable restriction period established for such award. The vesting of restricted stock awards can be based on the achievement of specified performance goals or on the passage of time.</w:t>
      </w:r>
    </w:p>
    <w:p>
      <w:pPr>
        <w:spacing w:after="0" w:line="156" w:lineRule="exact"/>
        <w:rPr>
          <w:sz w:val="20"/>
          <w:szCs w:val="20"/>
          <w:color w:val="auto"/>
        </w:rPr>
      </w:pPr>
    </w:p>
    <w:p>
      <w:pPr>
        <w:ind w:left="300" w:right="5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Committee may also grant stock appreciation rights without the grant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option, which rights shall permit the grantee to receive, at the time of any exercise of such rights, cash equal to the amount by which the fair market value of all ordinary shares in respect to which the right was exercised exceeds the exercise price thereof. The exercise price of a stock appreciation right shall not be less than the fair market value on the date the stock appreciation right is granted and no stock appreciation right may be granted with a term in excess of 10 years. As of the date of this Proxy Statement, we have never granted stock appreciation rights under the 1998 Plan.</w:t>
      </w:r>
    </w:p>
    <w:p>
      <w:pPr>
        <w:spacing w:after="0" w:line="142" w:lineRule="exact"/>
        <w:rPr>
          <w:sz w:val="20"/>
          <w:szCs w:val="20"/>
          <w:color w:val="auto"/>
        </w:rPr>
      </w:pPr>
    </w:p>
    <w:p>
      <w:pPr>
        <w:ind w:left="300" w:right="6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The committee administering the 1998 Plan may grant other awards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ordinary shares may be acquired or awards denominated in stock units. As of the date of this Proxy Statement, we have granted restricted stock units, but no other stock-based awards under the 1998 Plan.</w:t>
      </w:r>
    </w:p>
    <w:p>
      <w:pPr>
        <w:spacing w:after="0" w:line="133" w:lineRule="exact"/>
        <w:rPr>
          <w:sz w:val="20"/>
          <w:szCs w:val="20"/>
          <w:color w:val="auto"/>
        </w:rPr>
      </w:pPr>
    </w:p>
    <w:p>
      <w:pPr>
        <w:jc w:val="both"/>
        <w:ind w:left="300" w:right="3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Eligibility to Receive Awards. </w:t>
      </w:r>
      <w:r>
        <w:rPr>
          <w:rFonts w:ascii="Times New Roman" w:cs="Times New Roman" w:eastAsia="Times New Roman" w:hAnsi="Times New Roman"/>
          <w:sz w:val="18"/>
          <w:szCs w:val="18"/>
          <w:color w:val="auto"/>
        </w:rPr>
        <w:t>All officers, directors, employees and consultants of Amdocs Limited, or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or subsidiary of Amdocs Limited, are eligible to receive awards under the 1998 Plan. Under the 1998 Plan, a subsidiary means any entity in which Amdocs Limited holds, directly or indirectly, a controlling interest (by vote or by value) in such entity.</w:t>
      </w:r>
    </w:p>
    <w:p>
      <w:pPr>
        <w:spacing w:after="0" w:line="153" w:lineRule="exact"/>
        <w:rPr>
          <w:sz w:val="20"/>
          <w:szCs w:val="20"/>
          <w:color w:val="auto"/>
        </w:rPr>
      </w:pPr>
    </w:p>
    <w:p>
      <w:pPr>
        <w:ind w:left="300" w:right="31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Shares Available. </w:t>
      </w:r>
      <w:r>
        <w:rPr>
          <w:rFonts w:ascii="Times New Roman" w:cs="Times New Roman" w:eastAsia="Times New Roman" w:hAnsi="Times New Roman"/>
          <w:sz w:val="18"/>
          <w:szCs w:val="18"/>
          <w:color w:val="auto"/>
        </w:rPr>
        <w:t>Awards may be made under the 1998 Plan for up to 73,550,000 ordinary shares,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sublimit on the number of ordinary shares that may be issued pursuant to “full value” awards (i.e., awards other than stock options and stock appreciation rights, such as restricted stock or awards denominated in stock units). As of December 3, 2024, the number of ordinary shares that remained available for issuance pursuant to the sublimit on such full value awards was 8,497,711 ordinary shares (which number includes the sublimit increase that was approved by shareholders in February 2024 and is adjusted for full value awards issued since that time), provided that in no event will full value awards granted under this sublimit exceed the aggregate number of shares remaining available for future awards under the 1998 Plan. If any award expires or is terminated, surrendered, cancelled (including the repurchase of unvested restricted stock at its original issuance price) or forfeited, the unused shares covered by such award (other than any shares surrendered by reason of exercise or payment of the award to the extent it is settled in shares) will again be available for grant under the 1998 Plan, with the exception of (i) shares that were subject to a stock-settled stock appreciation right and were not issued upon the net settlement or net exercise of such stock appreciation right, (ii) shares used to pay the exercise price of a stock option, (iii) shares delivered to or withheld by the Company to pay the withholding taxes related to an award, or (iv) shares repurchased on the open market with proceeds of a stock option exercise. Any shares subject to a full value award that cease to be subject to such award (other than by reason of exercise or payment of the award to the extent it is settled in shares) shall again be available for full value awards, without regard to the sublimit on full value awards.</w:t>
      </w:r>
    </w:p>
    <w:p>
      <w:pPr>
        <w:spacing w:after="0" w:line="153" w:lineRule="exact"/>
        <w:rPr>
          <w:sz w:val="20"/>
          <w:szCs w:val="20"/>
          <w:color w:val="auto"/>
        </w:rPr>
      </w:pPr>
    </w:p>
    <w:p>
      <w:pPr>
        <w:ind w:left="300" w:right="3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1998 Plan is administered by a committee established by the Board of Directors,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 to as the Committee. The Committee has the authority to administer the 1998 Plan and to exercise all the powers and authorities either specifically granted to it under the 1998 Plan or necessary or advisable in the administration of the 1998 Plan, and to make all other determinations deemed necessary or advisable for the administration of the 1998 Plan.</w:t>
      </w:r>
    </w:p>
    <w:p>
      <w:pPr>
        <w:spacing w:after="0" w:line="143" w:lineRule="exact"/>
        <w:rPr>
          <w:sz w:val="20"/>
          <w:szCs w:val="20"/>
          <w:color w:val="auto"/>
        </w:rPr>
      </w:pPr>
    </w:p>
    <w:p>
      <w:pPr>
        <w:ind w:left="300" w:right="43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Assumed or Substitute Awards. </w:t>
      </w:r>
      <w:r>
        <w:rPr>
          <w:rFonts w:ascii="Times New Roman" w:cs="Times New Roman" w:eastAsia="Times New Roman" w:hAnsi="Times New Roman"/>
          <w:sz w:val="18"/>
          <w:szCs w:val="18"/>
          <w:color w:val="auto"/>
        </w:rPr>
        <w:t>If, in connection with a business combination transaction, we assume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substitute for awards originally granted by another entity, and such assumed or substituted awards will be administered under the 1998 Plan, such awards (1) will not count as part of the total number of ordinary shares that may be made subject to awards under the 1998 Plan, subject to any limitations required by the U.S. Internal Revenue Code of 1986, as amended, and (2) will be on such terms as the Board of Directors deems appropriate notwithstanding any limitations on the terms and conditions of awards contained in the 1998 Plan.</w:t>
      </w:r>
    </w:p>
    <w:p>
      <w:pPr>
        <w:spacing w:after="0" w:line="155" w:lineRule="exact"/>
        <w:rPr>
          <w:sz w:val="20"/>
          <w:szCs w:val="20"/>
          <w:color w:val="auto"/>
        </w:rPr>
      </w:pPr>
    </w:p>
    <w:p>
      <w:pPr>
        <w:ind w:left="300" w:right="319"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Adjustments. </w:t>
      </w:r>
      <w:r>
        <w:rPr>
          <w:rFonts w:ascii="Times New Roman" w:cs="Times New Roman" w:eastAsia="Times New Roman" w:hAnsi="Times New Roman"/>
          <w:sz w:val="17"/>
          <w:szCs w:val="17"/>
          <w:color w:val="auto"/>
        </w:rPr>
        <w:t>The Committee is required to make appropriate adjustments in connection with the 1998 Plan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outstanding awards to reflect stock dividends, recapitalizations, stock splits, combinations or exchanges of ordinary shares and other similar transactions which result in any increase or decrease in the number of issued ordinary shares effected without receipt of consideration. In the event of a proposed sale of all or substantially all the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spacing w:after="0" w:line="153"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assets of the Company, merger, liquidation, dissolution or other similar event, the Committee is authorized to provide for outstanding awards to be assumed or substituted for, to accelerate the awards to make them fully exercisable prior to consummation of the acquisition event, to provide that the awards will terminate as of a fixed date following their acceleration or to provide for a cash-out of any outstanding options.</w:t>
      </w:r>
    </w:p>
    <w:p>
      <w:pPr>
        <w:spacing w:after="0" w:line="151" w:lineRule="exact"/>
        <w:rPr>
          <w:sz w:val="20"/>
          <w:szCs w:val="20"/>
          <w:color w:val="auto"/>
        </w:rPr>
      </w:pPr>
    </w:p>
    <w:p>
      <w:pPr>
        <w:ind w:left="300" w:right="359" w:firstLine="324"/>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Amendment or Termination. </w:t>
      </w:r>
      <w:r>
        <w:rPr>
          <w:rFonts w:ascii="Times New Roman" w:cs="Times New Roman" w:eastAsia="Times New Roman" w:hAnsi="Times New Roman"/>
          <w:sz w:val="17"/>
          <w:szCs w:val="17"/>
          <w:color w:val="auto"/>
        </w:rPr>
        <w:t>No award may be made under the 1998 Plan after January 31, 2035. The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may at any time suspend, terminate, modify or amend the 1998 Plan, however, shareholders must approve any amendment that would (1) increase the aggregate number of ordinary shares issuable under the 1998 Plan, (2) materially increase the benefits accruing to grantees, (3) change the class of employees eligible for participation, (4) reduce the basis upon which the minimum option exercise price is determined, (5) extend the period during which awards may be granted or (6) provide for an option that is exercisable more than 10 years after the date it is granted.</w:t>
      </w:r>
    </w:p>
    <w:p>
      <w:pPr>
        <w:spacing w:after="0" w:line="128" w:lineRule="exact"/>
        <w:rPr>
          <w:sz w:val="20"/>
          <w:szCs w:val="20"/>
          <w:color w:val="auto"/>
        </w:rPr>
      </w:pPr>
    </w:p>
    <w:p>
      <w:pPr>
        <w:ind w:left="300" w:right="29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 Repricing of Options or Stock Appreciation Rights. </w:t>
      </w:r>
      <w:r>
        <w:rPr>
          <w:rFonts w:ascii="Times New Roman" w:cs="Times New Roman" w:eastAsia="Times New Roman" w:hAnsi="Times New Roman"/>
          <w:sz w:val="18"/>
          <w:szCs w:val="18"/>
          <w:color w:val="auto"/>
        </w:rPr>
        <w:t>The 1998 Plan prohibits the repricing of options or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under the 1998 Plan without shareholder approval. Specifically, except in connection with a corporate transaction involving us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w:t>
      </w:r>
    </w:p>
    <w:p>
      <w:pPr>
        <w:spacing w:after="0" w:line="144" w:lineRule="exact"/>
        <w:rPr>
          <w:sz w:val="20"/>
          <w:szCs w:val="20"/>
          <w:color w:val="auto"/>
        </w:rPr>
      </w:pPr>
    </w:p>
    <w:p>
      <w:pPr>
        <w:ind w:left="300" w:right="3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Nontransferability. </w:t>
      </w:r>
      <w:r>
        <w:rPr>
          <w:rFonts w:ascii="Times New Roman" w:cs="Times New Roman" w:eastAsia="Times New Roman" w:hAnsi="Times New Roman"/>
          <w:sz w:val="18"/>
          <w:szCs w:val="18"/>
          <w:color w:val="auto"/>
        </w:rPr>
        <w:t>Awards granted under the 1998 Plan are not transferable other than by will or by the laws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descent and distribution, other than pursuant to a qualified domestic relations order.</w:t>
      </w:r>
    </w:p>
    <w:p>
      <w:pPr>
        <w:spacing w:after="0" w:line="131" w:lineRule="exact"/>
        <w:rPr>
          <w:sz w:val="20"/>
          <w:szCs w:val="20"/>
          <w:color w:val="auto"/>
        </w:rPr>
      </w:pPr>
    </w:p>
    <w:p>
      <w:pPr>
        <w:ind w:left="300" w:right="3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102 Awards. </w:t>
      </w:r>
      <w:r>
        <w:rPr>
          <w:rFonts w:ascii="Times New Roman" w:cs="Times New Roman" w:eastAsia="Times New Roman" w:hAnsi="Times New Roman"/>
          <w:sz w:val="18"/>
          <w:szCs w:val="18"/>
          <w:color w:val="auto"/>
        </w:rPr>
        <w:t>Under the 1998 Plan, nonqualified stock options and restricted stock awards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to employees and consultants of Amdocs Limited or any of its subsidiaries or parents pursuant to the provisions of Section 102 of the Israel Income Tax Ordinance (New Version) 1961. Section 102 is designed to afford qualified recipients with specified favorable tax treatment in Israel.</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It is proposed that the following Ordinary Resolution be adopted at the General Meeting:</w:t>
      </w:r>
    </w:p>
    <w:p>
      <w:pPr>
        <w:spacing w:after="0" w:line="196" w:lineRule="exact"/>
        <w:rPr>
          <w:sz w:val="20"/>
          <w:szCs w:val="20"/>
          <w:color w:val="auto"/>
        </w:rPr>
      </w:pPr>
    </w:p>
    <w:p>
      <w:pPr>
        <w:ind w:left="300" w:right="1119"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RESOLVED</w:t>
      </w:r>
      <w:r>
        <w:rPr>
          <w:rFonts w:ascii="Times New Roman" w:cs="Times New Roman" w:eastAsia="Times New Roman" w:hAnsi="Times New Roman"/>
          <w:sz w:val="18"/>
          <w:szCs w:val="18"/>
          <w:color w:val="auto"/>
        </w:rPr>
        <w:t>, that the 1998 Stock Option and Incentive Plan, as amended, in the form attached to the Company’s Proxy Statement as Appendix B, be and hereby is approved.”</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89" w:lineRule="exact"/>
        <w:rPr>
          <w:sz w:val="20"/>
          <w:szCs w:val="20"/>
          <w:color w:val="auto"/>
        </w:rPr>
      </w:pPr>
    </w:p>
    <w:p>
      <w:pPr>
        <w:jc w:val="both"/>
        <w:ind w:left="300" w:right="459" w:firstLine="324"/>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 majority of the ordinary shares issued and outstanding is necessary for the approval of the Ordinary Resolution to approve the amendment to the 1998 Plan. If Proposal II is not approved by the shareholders, the 1998 Plan will continue in accordance with its existing terms and the Board of Directors will evaluate other alternatives for achieving the purposes of the plan.</w:t>
      </w:r>
    </w:p>
    <w:p>
      <w:pPr>
        <w:spacing w:after="0" w:line="149" w:lineRule="exact"/>
        <w:rPr>
          <w:sz w:val="20"/>
          <w:szCs w:val="20"/>
          <w:color w:val="auto"/>
        </w:rPr>
      </w:pPr>
    </w:p>
    <w:p>
      <w:pPr>
        <w:ind w:left="300" w:right="619"/>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APPROVAL OF THE AMENDMENT AND CONTINUATION OF THE 1998 PLAN AS SET FORTH IN APPENDIX B ATTACHED HERETO.</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APPROVAL OF INCREASE OF THE QUARTERLY DIVIDEND RATE</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02" w:lineRule="exact"/>
        <w:rPr>
          <w:sz w:val="20"/>
          <w:szCs w:val="20"/>
          <w:color w:val="auto"/>
        </w:rPr>
      </w:pPr>
    </w:p>
    <w:p>
      <w:pPr>
        <w:ind w:left="300" w:right="439" w:firstLine="324"/>
        <w:spacing w:after="0" w:line="282" w:lineRule="auto"/>
        <w:rPr>
          <w:sz w:val="20"/>
          <w:szCs w:val="20"/>
          <w:color w:val="auto"/>
        </w:rPr>
      </w:pPr>
      <w:r>
        <w:rPr>
          <w:rFonts w:ascii="Times New Roman" w:cs="Times New Roman" w:eastAsia="Times New Roman" w:hAnsi="Times New Roman"/>
          <w:sz w:val="18"/>
          <w:szCs w:val="18"/>
          <w:color w:val="auto"/>
        </w:rPr>
        <w:t>Article 92 of our Articles of Incorporation provides that our Board of Directors may declare and pay dividends on our ordinary shares, subject to compliance with applicable law.</w:t>
      </w:r>
    </w:p>
    <w:p>
      <w:pPr>
        <w:spacing w:after="0" w:line="121" w:lineRule="exact"/>
        <w:rPr>
          <w:sz w:val="20"/>
          <w:szCs w:val="20"/>
          <w:color w:val="auto"/>
        </w:rPr>
      </w:pPr>
    </w:p>
    <w:p>
      <w:pPr>
        <w:ind w:left="300" w:right="459" w:firstLine="324"/>
        <w:spacing w:after="0" w:line="282" w:lineRule="auto"/>
        <w:rPr>
          <w:sz w:val="20"/>
          <w:szCs w:val="20"/>
          <w:color w:val="auto"/>
        </w:rPr>
      </w:pPr>
      <w:r>
        <w:rPr>
          <w:rFonts w:ascii="Times New Roman" w:cs="Times New Roman" w:eastAsia="Times New Roman" w:hAnsi="Times New Roman"/>
          <w:sz w:val="18"/>
          <w:szCs w:val="18"/>
          <w:color w:val="auto"/>
        </w:rPr>
        <w:t>In 2012, our shareholders approved the institution of a quarterly cash dividend program at the quarterly rate of $0.13 per ordinary share.</w:t>
      </w:r>
    </w:p>
    <w:p>
      <w:pPr>
        <w:spacing w:after="0" w:line="121" w:lineRule="exact"/>
        <w:rPr>
          <w:sz w:val="20"/>
          <w:szCs w:val="20"/>
          <w:color w:val="auto"/>
        </w:rPr>
      </w:pPr>
    </w:p>
    <w:p>
      <w:pPr>
        <w:ind w:left="300" w:right="439" w:firstLine="324"/>
        <w:spacing w:after="0" w:line="256" w:lineRule="auto"/>
        <w:rPr>
          <w:sz w:val="20"/>
          <w:szCs w:val="20"/>
          <w:color w:val="auto"/>
        </w:rPr>
      </w:pPr>
      <w:r>
        <w:rPr>
          <w:rFonts w:ascii="Times New Roman" w:cs="Times New Roman" w:eastAsia="Times New Roman" w:hAnsi="Times New Roman"/>
          <w:sz w:val="18"/>
          <w:szCs w:val="18"/>
          <w:color w:val="auto"/>
        </w:rPr>
        <w:t>Under this authorization, our Board of Directors has the authority to reduce the quarterly dividend or discontinue the dividend program should it determine that doing so is in the best interests of our shareholders or is necessary pursuant to Guernsey law, but our Board of Directors does not have authority to increase the per share amount or frequency of the dividend without shareholder approval. In 2022, our shareholders approved an increase to $0.395 per share; in 2023, our shareholders approved an increase to $0.435; and in 2024, our shareholders approved an increase to $0.479.</w:t>
      </w:r>
    </w:p>
    <w:p>
      <w:pPr>
        <w:spacing w:after="0" w:line="160" w:lineRule="exact"/>
        <w:rPr>
          <w:sz w:val="20"/>
          <w:szCs w:val="20"/>
          <w:color w:val="auto"/>
        </w:rPr>
      </w:pPr>
    </w:p>
    <w:p>
      <w:pPr>
        <w:jc w:val="both"/>
        <w:ind w:left="300" w:right="519" w:firstLine="324"/>
        <w:spacing w:after="0" w:line="266" w:lineRule="auto"/>
        <w:rPr>
          <w:sz w:val="20"/>
          <w:szCs w:val="20"/>
          <w:color w:val="auto"/>
        </w:rPr>
      </w:pPr>
      <w:r>
        <w:rPr>
          <w:rFonts w:ascii="Times New Roman" w:cs="Times New Roman" w:eastAsia="Times New Roman" w:hAnsi="Times New Roman"/>
          <w:sz w:val="18"/>
          <w:szCs w:val="18"/>
          <w:color w:val="auto"/>
        </w:rPr>
        <w:t>In November 2024, our Board of Directors approved an increase in the quarterly cash dividend rate to $0.527 per ordinary share. In order to permit us to implement this dividend rate increase, our Board of Directors proposes that our shareholders approve the ordinary resolution set forth below.</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Proposed Increase in Quarterly Dividend Rate</w:t>
      </w:r>
    </w:p>
    <w:p>
      <w:pPr>
        <w:spacing w:after="0" w:line="189" w:lineRule="exact"/>
        <w:rPr>
          <w:sz w:val="20"/>
          <w:szCs w:val="20"/>
          <w:color w:val="auto"/>
        </w:rPr>
      </w:pPr>
    </w:p>
    <w:p>
      <w:pPr>
        <w:ind w:left="300" w:right="319" w:firstLine="324"/>
        <w:spacing w:after="0" w:line="252" w:lineRule="auto"/>
        <w:rPr>
          <w:sz w:val="20"/>
          <w:szCs w:val="20"/>
          <w:color w:val="auto"/>
        </w:rPr>
      </w:pPr>
      <w:r>
        <w:rPr>
          <w:rFonts w:ascii="Times New Roman" w:cs="Times New Roman" w:eastAsia="Times New Roman" w:hAnsi="Times New Roman"/>
          <w:sz w:val="18"/>
          <w:szCs w:val="18"/>
          <w:color w:val="auto"/>
        </w:rPr>
        <w:t>Our Board of Directors believes that it is in the best interest of our shareholders to increase the quarterly dividend rate in light of our financial and business performance and outlook. For example, since we implemented our dividend program in 2012, we have generated increases in annual revenue, net income and free cash flow. At the same time, we have continued to repurchase our ordinary shares, through a subsidiary, and repurchased approximately $</w:t>
      </w:r>
      <w:r>
        <w:rPr>
          <w:rFonts w:ascii="Times New Roman" w:cs="Times New Roman" w:eastAsia="Times New Roman" w:hAnsi="Times New Roman"/>
          <w:sz w:val="18"/>
          <w:szCs w:val="18"/>
          <w:color w:val="231F20"/>
        </w:rPr>
        <w:t>508.5</w:t>
      </w:r>
      <w:r>
        <w:rPr>
          <w:rFonts w:ascii="Times New Roman" w:cs="Times New Roman" w:eastAsia="Times New Roman" w:hAnsi="Times New Roman"/>
          <w:sz w:val="18"/>
          <w:szCs w:val="18"/>
          <w:color w:val="auto"/>
        </w:rPr>
        <w:t xml:space="preserve"> million, $489.5 million and $563.1 million (excluding broker and transaction fees) of our ordinary shares during the fiscal years ended September 30, 2022, 2023 and 2024, respectively. As a general long-term guideline, we expect to retain a portion of our free cash flow (calculated as cash flow from operations less net capital expenditures and other) to support the growth of our business, including possible mergers and acquisitions. The increase in the quarterly dividend rate coincides with our fiscal year 2025 guideline to return to shareholders a majority of our free cash flow subject to financial performance, outlook and liquidity, the size of possible mergers and acquisitions activity, financial market conditions and prevailing industry condition, through our ongoing share repurchase and dividend program. This is not a complete presentation of our financial position, results of operations and cash flows in conformity with U.S. generally accepted accounting principles, so we encourage you to review our consolidated financial statements for the fiscal year ended September 30, 2024 set forth in our Annual Report on Form 20-F filed on December 17, 2024 with the U.S. Securities and Exchange Commission, or the SEC.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Timing of the Dividend Program</w:t>
      </w:r>
    </w:p>
    <w:p>
      <w:pPr>
        <w:spacing w:after="0" w:line="202" w:lineRule="exact"/>
        <w:rPr>
          <w:sz w:val="20"/>
          <w:szCs w:val="20"/>
          <w:color w:val="auto"/>
        </w:rPr>
      </w:pPr>
    </w:p>
    <w:p>
      <w:pPr>
        <w:ind w:left="300" w:right="3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If our shareholders approve the proposal, our Board of Directors will continue to consider on a quarterly basis whether to declare and pay, if any, a dividend in accordance with the terms of the dividend program and in accordance with applicable Guernsey law </w:t>
      </w:r>
      <w:r>
        <w:rPr>
          <w:rFonts w:ascii="Times New Roman" w:cs="Times New Roman" w:eastAsia="Times New Roman" w:hAnsi="Times New Roman"/>
          <w:sz w:val="18"/>
          <w:szCs w:val="18"/>
          <w:color w:val="231F20"/>
        </w:rPr>
        <w:t>and based on several factors including our financial performance, outlook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liquidity</w:t>
      </w:r>
      <w:r>
        <w:rPr>
          <w:rFonts w:ascii="Times New Roman" w:cs="Times New Roman" w:eastAsia="Times New Roman" w:hAnsi="Times New Roman"/>
          <w:sz w:val="18"/>
          <w:szCs w:val="18"/>
          <w:color w:val="000000"/>
        </w:rPr>
        <w:t>. Guernsey law requires that our Board of Directors consider a dividend’s effects on our solvency before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it may be declared or paid. Provided that the per share amount and the frequency of the dividend do not increase, then no further shareholder approval will be required for dividends payable pursuant to our quarterly cash dividend program. However, any increase to the per share amount or frequency of the dividend would require further shareholder approval.</w:t>
      </w:r>
    </w:p>
    <w:p>
      <w:pPr>
        <w:spacing w:after="0" w:line="151" w:lineRule="exact"/>
        <w:rPr>
          <w:sz w:val="20"/>
          <w:szCs w:val="20"/>
          <w:color w:val="auto"/>
        </w:rPr>
      </w:pPr>
    </w:p>
    <w:p>
      <w:pPr>
        <w:ind w:left="300" w:right="559" w:firstLine="324"/>
        <w:spacing w:after="0" w:line="282" w:lineRule="auto"/>
        <w:rPr>
          <w:sz w:val="20"/>
          <w:szCs w:val="20"/>
          <w:color w:val="auto"/>
        </w:rPr>
      </w:pPr>
      <w:r>
        <w:rPr>
          <w:rFonts w:ascii="Times New Roman" w:cs="Times New Roman" w:eastAsia="Times New Roman" w:hAnsi="Times New Roman"/>
          <w:sz w:val="18"/>
          <w:szCs w:val="18"/>
          <w:color w:val="auto"/>
        </w:rPr>
        <w:t>Subject to shareholder approval, we expect to begin paying the dividend at the increased rate commencing in April 2025.</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2" w:name="page23"/>
    <w:bookmarkEnd w:id="22"/>
    <w:p>
      <w:pPr>
        <w:ind w:left="300" w:right="719" w:firstLine="324"/>
        <w:spacing w:after="0" w:line="282" w:lineRule="auto"/>
        <w:rPr>
          <w:sz w:val="20"/>
          <w:szCs w:val="20"/>
          <w:color w:val="auto"/>
        </w:rPr>
      </w:pPr>
      <w:r>
        <w:rPr>
          <w:rFonts w:ascii="Times New Roman" w:cs="Times New Roman" w:eastAsia="Times New Roman" w:hAnsi="Times New Roman"/>
          <w:sz w:val="18"/>
          <w:szCs w:val="18"/>
          <w:color w:val="auto"/>
        </w:rPr>
        <w:t>In the event that shareholder approval is not obtained, the quarterly dividend rate will remain at $0.479 per share.</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Considerations Related to Distributions</w:t>
      </w:r>
    </w:p>
    <w:p>
      <w:pPr>
        <w:spacing w:after="0" w:line="202" w:lineRule="exact"/>
        <w:rPr>
          <w:sz w:val="20"/>
          <w:szCs w:val="20"/>
          <w:color w:val="auto"/>
        </w:rPr>
      </w:pPr>
    </w:p>
    <w:p>
      <w:pPr>
        <w:ind w:left="300" w:right="33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following discussion describes certain U.S. federal income tax consequences of the receipt of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distributions on our ordinary shares to a U.S. holder. For purposes of this discussion, a U.S. holder is a person that is subject to U.S. federal income tax on a net basis, and that for U.S. federal income tax purposes (i) is a beneficial owner of our ordinary shares, (ii) holds our ordinary shares as capital assets, (iii) is not a partnership and (iv) is not treated as tax resident or otherwise subject to net income tax in any jurisdiction outside the United States. This discussion is general in nature and does not address all aspects of U.S. federal income taxation that may be relevant to a U.S. holder in light of its particular circumstances, nor does it address any minimum or Medicare contribution tax consequences.</w:t>
      </w:r>
    </w:p>
    <w:p>
      <w:pPr>
        <w:spacing w:after="0" w:line="151" w:lineRule="exact"/>
        <w:rPr>
          <w:sz w:val="20"/>
          <w:szCs w:val="20"/>
          <w:color w:val="auto"/>
        </w:rPr>
      </w:pPr>
    </w:p>
    <w:p>
      <w:pPr>
        <w:ind w:left="300" w:right="799" w:firstLine="324"/>
        <w:spacing w:after="0" w:line="282" w:lineRule="auto"/>
        <w:rPr>
          <w:sz w:val="20"/>
          <w:szCs w:val="20"/>
          <w:color w:val="auto"/>
        </w:rPr>
      </w:pPr>
      <w:r>
        <w:rPr>
          <w:rFonts w:ascii="Times New Roman" w:cs="Times New Roman" w:eastAsia="Times New Roman" w:hAnsi="Times New Roman"/>
          <w:sz w:val="18"/>
          <w:szCs w:val="18"/>
          <w:color w:val="auto"/>
        </w:rPr>
        <w:t>Except as described below, the following discussion assumes that we are not a passive foreign investment company (a “PFIC”) for any taxable year.</w:t>
      </w:r>
    </w:p>
    <w:p>
      <w:pPr>
        <w:spacing w:after="0" w:line="121" w:lineRule="exact"/>
        <w:rPr>
          <w:sz w:val="20"/>
          <w:szCs w:val="20"/>
          <w:color w:val="auto"/>
        </w:rPr>
      </w:pPr>
    </w:p>
    <w:p>
      <w:pPr>
        <w:ind w:left="300" w:right="299" w:firstLine="324"/>
        <w:spacing w:after="0" w:line="254" w:lineRule="auto"/>
        <w:rPr>
          <w:sz w:val="20"/>
          <w:szCs w:val="20"/>
          <w:color w:val="auto"/>
        </w:rPr>
      </w:pPr>
      <w:r>
        <w:rPr>
          <w:rFonts w:ascii="Times New Roman" w:cs="Times New Roman" w:eastAsia="Times New Roman" w:hAnsi="Times New Roman"/>
          <w:sz w:val="18"/>
          <w:szCs w:val="18"/>
          <w:color w:val="auto"/>
        </w:rPr>
        <w:t>In general, a U.S. holder receiving a distribution with respect to the ordinary shares will be required to include such distribution (including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61" w:lineRule="exact"/>
        <w:rPr>
          <w:sz w:val="20"/>
          <w:szCs w:val="20"/>
          <w:color w:val="auto"/>
        </w:rPr>
      </w:pPr>
    </w:p>
    <w:p>
      <w:pPr>
        <w:ind w:left="300" w:right="319" w:firstLine="324"/>
        <w:spacing w:after="0" w:line="253" w:lineRule="auto"/>
        <w:rPr>
          <w:sz w:val="20"/>
          <w:szCs w:val="20"/>
          <w:color w:val="auto"/>
        </w:rPr>
      </w:pPr>
      <w:r>
        <w:rPr>
          <w:rFonts w:ascii="Times New Roman" w:cs="Times New Roman" w:eastAsia="Times New Roman" w:hAnsi="Times New Roman"/>
          <w:sz w:val="18"/>
          <w:szCs w:val="18"/>
          <w:color w:val="auto"/>
        </w:rPr>
        <w:t>Dividends are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“qualified foreign corporations,” including shares of a non-U.S. corporation that are readily tradable on an established securities market in the United States. Since our ordinary shares are listed on the Nasdaq, we believe that dividends paid by us with respect to our ordinary shares should constitute “qualified dividend income” for U.S. federal income tax purposes, provided that the applicable holding period and other requirements are satisfied by the relevant shareholder. The preferential rate will not apply to dividends received to the extent that the U.S. holder elects to treat dividends as “investment income.” In addition, dividends paid by us will not qualify for the preferential tax rate if we are, for the tax year in which the dividends are paid, or were, for the preceding tax year, a PFIC, as described below. Non-corporate U.S. holders should consult their tax advisors regarding the availability of these preferential rates in their particular circumstances.</w:t>
      </w:r>
    </w:p>
    <w:p>
      <w:pPr>
        <w:spacing w:after="0" w:line="149" w:lineRule="exact"/>
        <w:rPr>
          <w:sz w:val="20"/>
          <w:szCs w:val="20"/>
          <w:color w:val="auto"/>
        </w:rPr>
      </w:pPr>
    </w:p>
    <w:p>
      <w:pPr>
        <w:ind w:left="300" w:right="699" w:firstLine="324"/>
        <w:spacing w:after="0" w:line="282" w:lineRule="auto"/>
        <w:rPr>
          <w:sz w:val="20"/>
          <w:szCs w:val="20"/>
          <w:color w:val="auto"/>
        </w:rPr>
      </w:pPr>
      <w:r>
        <w:rPr>
          <w:rFonts w:ascii="Times New Roman" w:cs="Times New Roman" w:eastAsia="Times New Roman" w:hAnsi="Times New Roman"/>
          <w:sz w:val="18"/>
          <w:szCs w:val="18"/>
          <w:color w:val="auto"/>
        </w:rPr>
        <w:t>Dividends paid by us generally will be classified as foreign source “passive category income” or, in certain cases, “general category income” for U.S. foreign tax credit purposes.</w:t>
      </w:r>
    </w:p>
    <w:p>
      <w:pPr>
        <w:spacing w:after="0" w:line="121" w:lineRule="exact"/>
        <w:rPr>
          <w:sz w:val="20"/>
          <w:szCs w:val="20"/>
          <w:color w:val="auto"/>
        </w:rPr>
      </w:pPr>
    </w:p>
    <w:p>
      <w:pPr>
        <w:ind w:left="300" w:right="419" w:firstLine="324"/>
        <w:spacing w:after="0" w:line="261" w:lineRule="auto"/>
        <w:rPr>
          <w:sz w:val="20"/>
          <w:szCs w:val="20"/>
          <w:color w:val="auto"/>
        </w:rPr>
      </w:pPr>
      <w:r>
        <w:rPr>
          <w:rFonts w:ascii="Times New Roman" w:cs="Times New Roman" w:eastAsia="Times New Roman" w:hAnsi="Times New Roman"/>
          <w:sz w:val="18"/>
          <w:szCs w:val="18"/>
          <w:color w:val="auto"/>
        </w:rPr>
        <w:t>We will be a PFIC for any taxable year in which (i) 75% or more of our gross income is “passive” (e.g., dividends, interest, certain royalties and gains from financial investments), or (ii) 50% or more of the average value of our assets including goodwill (generally determined on a quarterly basis) consists of assets that produce, or are held for the production of, passive income.</w:t>
      </w:r>
    </w:p>
    <w:p>
      <w:pPr>
        <w:spacing w:after="0" w:line="153" w:lineRule="exact"/>
        <w:rPr>
          <w:sz w:val="20"/>
          <w:szCs w:val="20"/>
          <w:color w:val="auto"/>
        </w:rPr>
      </w:pPr>
    </w:p>
    <w:p>
      <w:pPr>
        <w:ind w:left="300" w:right="359" w:firstLine="324"/>
        <w:spacing w:after="0" w:line="255" w:lineRule="auto"/>
        <w:rPr>
          <w:sz w:val="20"/>
          <w:szCs w:val="20"/>
          <w:color w:val="auto"/>
        </w:rPr>
      </w:pPr>
      <w:r>
        <w:rPr>
          <w:rFonts w:ascii="Times New Roman" w:cs="Times New Roman" w:eastAsia="Times New Roman" w:hAnsi="Times New Roman"/>
          <w:sz w:val="18"/>
          <w:szCs w:val="18"/>
          <w:color w:val="auto"/>
        </w:rPr>
        <w:t>We believe that we were not a PFIC for our taxable year ended September 30, 2024. Although we do not expect to be a PFIC for the current taxable year, we cannot give assurance in this regard because our PFIC status for the current taxable year will depend on the composition of our income and assets and the average value of our assets for the year, and thus could be determined only after the end of the taxable year. U.S. holders should refer to the section “</w:t>
      </w:r>
      <w:r>
        <w:rPr>
          <w:rFonts w:ascii="Times New Roman" w:cs="Times New Roman" w:eastAsia="Times New Roman" w:hAnsi="Times New Roman"/>
          <w:sz w:val="18"/>
          <w:szCs w:val="18"/>
          <w:i w:val="1"/>
          <w:iCs w:val="1"/>
          <w:color w:val="auto"/>
        </w:rPr>
        <w:t>Taxation of Holders of Ordinary Shares – Certain United States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Considerations</w:t>
      </w:r>
      <w:r>
        <w:rPr>
          <w:rFonts w:ascii="Times New Roman" w:cs="Times New Roman" w:eastAsia="Times New Roman" w:hAnsi="Times New Roman"/>
          <w:sz w:val="18"/>
          <w:szCs w:val="18"/>
          <w:color w:val="auto"/>
        </w:rPr>
        <w:t>” in our Annual Report on Form 20-F for a discussion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that may apply to the receipt of certain excess distributions if we are a PFIC for any taxable year.</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3" w:name="page24"/>
    <w:bookmarkEnd w:id="23"/>
    <w:p>
      <w:pPr>
        <w:ind w:left="300" w:right="479" w:firstLine="324"/>
        <w:spacing w:after="0" w:line="255" w:lineRule="auto"/>
        <w:rPr>
          <w:sz w:val="20"/>
          <w:szCs w:val="20"/>
          <w:color w:val="auto"/>
        </w:rPr>
      </w:pPr>
      <w:r>
        <w:rPr>
          <w:rFonts w:ascii="Times New Roman" w:cs="Times New Roman" w:eastAsia="Times New Roman" w:hAnsi="Times New Roman"/>
          <w:sz w:val="18"/>
          <w:szCs w:val="18"/>
          <w:color w:val="auto"/>
        </w:rPr>
        <w:t>Payments to U.S. holders generally will be subject to information reporting requirements with respect to dividends that are paid within the United States or through U.S.-related financial intermediaries, unless the U.S. holder is an “exempt recipient.” Such payments may also be subject to backup withholding unless the U.S. holder provides a taxpayer identification number and a duly executed Internal Revenue Service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Internal Revenue Service.</w:t>
      </w:r>
    </w:p>
    <w:p>
      <w:pPr>
        <w:spacing w:after="0" w:line="144" w:lineRule="exact"/>
        <w:rPr>
          <w:sz w:val="20"/>
          <w:szCs w:val="20"/>
          <w:color w:val="auto"/>
        </w:rPr>
      </w:pPr>
    </w:p>
    <w:p>
      <w:pPr>
        <w:ind w:left="300" w:right="79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U.S. holders are urged to consult their tax advisors regarding the tax treatment of any distributions received by such holder in respect of ordinary shares.</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It is proposed that the following ordinary resolution be adopted at the General Meeting:</w:t>
      </w:r>
    </w:p>
    <w:p>
      <w:pPr>
        <w:spacing w:after="0" w:line="183" w:lineRule="exact"/>
        <w:rPr>
          <w:sz w:val="20"/>
          <w:szCs w:val="20"/>
          <w:color w:val="auto"/>
        </w:rPr>
      </w:pPr>
    </w:p>
    <w:p>
      <w:pPr>
        <w:ind w:left="300" w:right="579"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RESOLVED</w:t>
      </w:r>
      <w:r>
        <w:rPr>
          <w:rFonts w:ascii="Times New Roman" w:cs="Times New Roman" w:eastAsia="Times New Roman" w:hAnsi="Times New Roman"/>
          <w:sz w:val="18"/>
          <w:szCs w:val="18"/>
          <w:color w:val="auto"/>
        </w:rPr>
        <w:t>, that an increase in the dividend rate under Amdocs Limited’s quarterly cash dividend program from $0.479 per share to $0.527 per share be, and hereby is, approved.”</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89" w:lineRule="exact"/>
        <w:rPr>
          <w:sz w:val="20"/>
          <w:szCs w:val="20"/>
          <w:color w:val="auto"/>
        </w:rPr>
      </w:pPr>
    </w:p>
    <w:p>
      <w:pPr>
        <w:jc w:val="both"/>
        <w:ind w:left="300" w:right="639" w:firstLine="324"/>
        <w:spacing w:after="0" w:line="266" w:lineRule="auto"/>
        <w:rPr>
          <w:sz w:val="20"/>
          <w:szCs w:val="20"/>
          <w:color w:val="auto"/>
        </w:rPr>
      </w:pPr>
      <w:r>
        <w:rPr>
          <w:rFonts w:ascii="Times New Roman" w:cs="Times New Roman" w:eastAsia="Times New Roman" w:hAnsi="Times New Roman"/>
          <w:sz w:val="18"/>
          <w:szCs w:val="18"/>
          <w:color w:val="auto"/>
        </w:rPr>
        <w:t>The affirmative vote of holders of a majority of our ordinary shares represented in person or by proxy at the General Meeting is necessary for approval of the increase in the dividend rate under our quarterly cash dividend program.</w:t>
      </w:r>
    </w:p>
    <w:p>
      <w:pPr>
        <w:spacing w:after="0" w:line="131" w:lineRule="exact"/>
        <w:rPr>
          <w:sz w:val="20"/>
          <w:szCs w:val="20"/>
          <w:color w:val="auto"/>
        </w:rPr>
      </w:pPr>
    </w:p>
    <w:p>
      <w:pPr>
        <w:jc w:val="both"/>
        <w:ind w:left="300" w:right="779"/>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RECOMMENDS THAT THE SHAREHOLDERS VOTE “FOR” THE INCREASE IN THE QUARTERLY DIVIDEND RATE UNDER THE CASH DIVIDEND PROGRAM.</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OUR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2024</w:t>
      </w:r>
    </w:p>
    <w:p>
      <w:pPr>
        <w:spacing w:after="0" w:line="166" w:lineRule="exact"/>
        <w:rPr>
          <w:sz w:val="20"/>
          <w:szCs w:val="20"/>
          <w:color w:val="auto"/>
        </w:rPr>
      </w:pPr>
    </w:p>
    <w:p>
      <w:pPr>
        <w:ind w:left="300" w:right="319" w:firstLine="324"/>
        <w:spacing w:after="0" w:line="258" w:lineRule="auto"/>
        <w:rPr>
          <w:sz w:val="20"/>
          <w:szCs w:val="20"/>
          <w:color w:val="auto"/>
        </w:rPr>
      </w:pPr>
      <w:r>
        <w:rPr>
          <w:rFonts w:ascii="Times New Roman" w:cs="Times New Roman" w:eastAsia="Times New Roman" w:hAnsi="Times New Roman"/>
          <w:sz w:val="18"/>
          <w:szCs w:val="18"/>
          <w:color w:val="auto"/>
        </w:rPr>
        <w:t>Our Annual Report for the fiscal year ended September 30, 2024 is available on our website at https://www.amdocs.com/news-press/annual-report-2024. Our Consolidated Financial Statements for the fiscal year ended September 30, 2024 are included in our Annual Report. At the General Meeting, we will review the Operating and Financial Review and Prospects section of our Annual Report and will answer appropriate questions related thereto.</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It is proposed that the following ordinary resolution be adopted at the General Meeting:</w:t>
      </w:r>
    </w:p>
    <w:p>
      <w:pPr>
        <w:spacing w:after="0" w:line="185" w:lineRule="exact"/>
        <w:rPr>
          <w:sz w:val="20"/>
          <w:szCs w:val="20"/>
          <w:color w:val="auto"/>
        </w:rPr>
      </w:pPr>
    </w:p>
    <w:p>
      <w:pPr>
        <w:ind w:left="300" w:right="999" w:firstLine="324"/>
        <w:spacing w:after="0" w:line="282" w:lineRule="auto"/>
        <w:rPr>
          <w:sz w:val="20"/>
          <w:szCs w:val="20"/>
          <w:color w:val="auto"/>
        </w:rPr>
      </w:pPr>
      <w:r>
        <w:rPr>
          <w:rFonts w:ascii="Times New Roman" w:cs="Times New Roman" w:eastAsia="Times New Roman" w:hAnsi="Times New Roman"/>
          <w:sz w:val="18"/>
          <w:szCs w:val="18"/>
          <w:color w:val="auto"/>
        </w:rPr>
        <w:t>“RESOLVED, that the Consolidated Financial Statements of Amdocs Limited for the fiscal year ended September 30, 2024 be, and the same hereby are, approved.”</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89" w:lineRule="exact"/>
        <w:rPr>
          <w:sz w:val="20"/>
          <w:szCs w:val="20"/>
          <w:color w:val="auto"/>
        </w:rPr>
      </w:pPr>
    </w:p>
    <w:p>
      <w:pPr>
        <w:jc w:val="both"/>
        <w:ind w:left="300" w:right="659" w:firstLine="324"/>
        <w:spacing w:after="0" w:line="266" w:lineRule="auto"/>
        <w:rPr>
          <w:sz w:val="20"/>
          <w:szCs w:val="20"/>
          <w:color w:val="auto"/>
        </w:rPr>
      </w:pPr>
      <w:r>
        <w:rPr>
          <w:rFonts w:ascii="Times New Roman" w:cs="Times New Roman" w:eastAsia="Times New Roman" w:hAnsi="Times New Roman"/>
          <w:sz w:val="18"/>
          <w:szCs w:val="18"/>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31" w:lineRule="exact"/>
        <w:rPr>
          <w:sz w:val="20"/>
          <w:szCs w:val="20"/>
          <w:color w:val="auto"/>
        </w:rPr>
      </w:pPr>
    </w:p>
    <w:p>
      <w:pPr>
        <w:ind w:left="300" w:right="77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APPROVAL OF OUR CONSOLIDATED FINANCIAL STATEMENTS.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PROPOSAL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AND APPROVAL OF INDEPENDENT REGISTERED PUBLIC ACCOUNTING FIRM</w:t>
      </w:r>
    </w:p>
    <w:p>
      <w:pPr>
        <w:spacing w:after="0" w:line="166" w:lineRule="exact"/>
        <w:rPr>
          <w:sz w:val="20"/>
          <w:szCs w:val="20"/>
          <w:color w:val="auto"/>
        </w:rPr>
      </w:pPr>
    </w:p>
    <w:p>
      <w:pPr>
        <w:ind w:left="300" w:right="319" w:firstLine="324"/>
        <w:spacing w:after="0" w:line="254"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the firm of Ernst &amp; Young LLP to continue to serve as our independent registered public accounting firm for the fiscal year ending September 30, 2025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2024 and has served as our independent public accounting firm since 1988. One or more representatives of Ernst &amp; Young LLP are expected to be present at the General Meeting, will have an opportunity to make a statement if he or she so desires and will be available to respond to appropriate questions.</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 Accountant Fees and Other Matters</w:t>
      </w:r>
    </w:p>
    <w:p>
      <w:pPr>
        <w:spacing w:after="0" w:line="189" w:lineRule="exact"/>
        <w:rPr>
          <w:sz w:val="20"/>
          <w:szCs w:val="20"/>
          <w:color w:val="auto"/>
        </w:rPr>
      </w:pPr>
    </w:p>
    <w:p>
      <w:pPr>
        <w:jc w:val="both"/>
        <w:ind w:left="300" w:right="47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720" w:type="dxa"/>
            <w:vAlign w:val="bottom"/>
            <w:shd w:val="clear" w:color="auto" w:fill="CEEEFE"/>
          </w:tcPr>
          <w:p>
            <w:pPr>
              <w:spacing w:after="0"/>
              <w:rPr>
                <w:sz w:val="20"/>
                <w:szCs w:val="20"/>
                <w:color w:val="auto"/>
              </w:rPr>
            </w:pPr>
            <w:r>
              <w:rPr>
                <w:rFonts w:ascii="Times New Roman" w:cs="Times New Roman" w:eastAsia="Times New Roman" w:hAnsi="Times New Roman"/>
                <w:sz w:val="18"/>
                <w:szCs w:val="18"/>
                <w:color w:val="auto"/>
              </w:rPr>
              <w:t>Audit Fees(1)</w:t>
            </w:r>
          </w:p>
        </w:tc>
        <w:tc>
          <w:tcPr>
            <w:tcW w:w="400" w:type="dxa"/>
            <w:vAlign w:val="bottom"/>
            <w:gridSpan w:val="2"/>
            <w:shd w:val="clear" w:color="auto" w:fill="CEEEF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EEEFE"/>
          </w:tcPr>
          <w:p>
            <w:pPr>
              <w:jc w:val="right"/>
              <w:spacing w:after="0"/>
              <w:rPr>
                <w:sz w:val="20"/>
                <w:szCs w:val="20"/>
                <w:color w:val="auto"/>
              </w:rPr>
            </w:pPr>
            <w:r>
              <w:rPr>
                <w:rFonts w:ascii="Times New Roman" w:cs="Times New Roman" w:eastAsia="Times New Roman" w:hAnsi="Times New Roman"/>
                <w:sz w:val="18"/>
                <w:szCs w:val="18"/>
                <w:color w:val="auto"/>
              </w:rPr>
              <w:t>3,700,000</w:t>
            </w:r>
          </w:p>
        </w:tc>
        <w:tc>
          <w:tcPr>
            <w:tcW w:w="420" w:type="dxa"/>
            <w:vAlign w:val="bottom"/>
            <w:gridSpan w:val="2"/>
            <w:shd w:val="clear" w:color="auto" w:fill="CEEEF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EEEFE"/>
          </w:tcPr>
          <w:p>
            <w:pPr>
              <w:ind w:left="220"/>
              <w:spacing w:after="0"/>
              <w:rPr>
                <w:sz w:val="20"/>
                <w:szCs w:val="20"/>
                <w:color w:val="auto"/>
              </w:rPr>
            </w:pPr>
            <w:r>
              <w:rPr>
                <w:rFonts w:ascii="Times New Roman" w:cs="Times New Roman" w:eastAsia="Times New Roman" w:hAnsi="Times New Roman"/>
                <w:sz w:val="18"/>
                <w:szCs w:val="18"/>
                <w:color w:val="auto"/>
                <w:w w:val="99"/>
              </w:rPr>
              <w:t>3,500,000</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1,900,000</w:t>
            </w:r>
          </w:p>
        </w:tc>
      </w:tr>
      <w:tr>
        <w:trPr>
          <w:trHeight w:val="216"/>
        </w:trPr>
        <w:tc>
          <w:tcPr>
            <w:tcW w:w="5720" w:type="dxa"/>
            <w:vAlign w:val="bottom"/>
            <w:shd w:val="clear" w:color="auto" w:fill="CEEEFE"/>
          </w:tcPr>
          <w:p>
            <w:pPr>
              <w:spacing w:after="0"/>
              <w:rPr>
                <w:sz w:val="20"/>
                <w:szCs w:val="20"/>
                <w:color w:val="auto"/>
              </w:rPr>
            </w:pPr>
            <w:r>
              <w:rPr>
                <w:rFonts w:ascii="Times New Roman" w:cs="Times New Roman" w:eastAsia="Times New Roman" w:hAnsi="Times New Roman"/>
                <w:sz w:val="18"/>
                <w:szCs w:val="18"/>
                <w:color w:val="auto"/>
              </w:rPr>
              <w:t>Tax Fees(3)</w:t>
            </w:r>
          </w:p>
        </w:tc>
        <w:tc>
          <w:tcPr>
            <w:tcW w:w="400" w:type="dxa"/>
            <w:vAlign w:val="bottom"/>
            <w:gridSpan w:val="2"/>
            <w:shd w:val="clear" w:color="auto" w:fill="CEEEF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EEEFE"/>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420" w:type="dxa"/>
            <w:vAlign w:val="bottom"/>
            <w:gridSpan w:val="2"/>
            <w:shd w:val="clear" w:color="auto" w:fill="CEEEF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EEEFE"/>
          </w:tcPr>
          <w:p>
            <w:pPr>
              <w:ind w:left="220"/>
              <w:spacing w:after="0"/>
              <w:rPr>
                <w:sz w:val="20"/>
                <w:szCs w:val="20"/>
                <w:color w:val="auto"/>
              </w:rPr>
            </w:pPr>
            <w:r>
              <w:rPr>
                <w:rFonts w:ascii="Times New Roman" w:cs="Times New Roman" w:eastAsia="Times New Roman" w:hAnsi="Times New Roman"/>
                <w:sz w:val="18"/>
                <w:szCs w:val="18"/>
                <w:color w:val="auto"/>
                <w:w w:val="99"/>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85725</wp:posOffset>
            </wp:positionV>
            <wp:extent cx="822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4" w:lineRule="exact"/>
        <w:rPr>
          <w:sz w:val="20"/>
          <w:szCs w:val="20"/>
          <w:color w:val="auto"/>
        </w:rPr>
      </w:pPr>
    </w:p>
    <w:p>
      <w:pPr>
        <w:ind w:left="620" w:right="519" w:hanging="328"/>
        <w:spacing w:after="0" w:line="312"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consist of fees associated with the annual audit and reviews of our quarterly financial results submitted on Form 6-K, consultations on various accounting issues and performance of local statutory audits.</w:t>
      </w:r>
    </w:p>
    <w:p>
      <w:pPr>
        <w:spacing w:after="0" w:line="31" w:lineRule="exact"/>
        <w:rPr>
          <w:rFonts w:ascii="Times New Roman" w:cs="Times New Roman" w:eastAsia="Times New Roman" w:hAnsi="Times New Roman"/>
          <w:sz w:val="17"/>
          <w:szCs w:val="17"/>
          <w:color w:val="auto"/>
        </w:rPr>
      </w:pPr>
    </w:p>
    <w:p>
      <w:pPr>
        <w:ind w:left="620" w:right="519" w:hanging="328"/>
        <w:spacing w:after="0" w:line="28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services principally include Statement on the System and Organization Controls Report (SOC 1 Report) issuances and due diligence examinations.</w:t>
      </w:r>
    </w:p>
    <w:p>
      <w:pPr>
        <w:spacing w:after="0" w:line="53"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associated with tax compliance, tax advice and tax planning services.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It is proposed that the following ordinary resolution be adopted at the General Meeting:</w:t>
      </w:r>
    </w:p>
    <w:p>
      <w:pPr>
        <w:spacing w:after="0" w:line="198" w:lineRule="exact"/>
        <w:rPr>
          <w:sz w:val="20"/>
          <w:szCs w:val="20"/>
          <w:color w:val="auto"/>
        </w:rPr>
      </w:pPr>
    </w:p>
    <w:p>
      <w:pPr>
        <w:ind w:left="300" w:right="499" w:firstLine="324"/>
        <w:spacing w:after="0" w:line="258" w:lineRule="auto"/>
        <w:rPr>
          <w:sz w:val="20"/>
          <w:szCs w:val="20"/>
          <w:color w:val="auto"/>
        </w:rPr>
      </w:pPr>
      <w:r>
        <w:rPr>
          <w:rFonts w:ascii="Times New Roman" w:cs="Times New Roman" w:eastAsia="Times New Roman" w:hAnsi="Times New Roman"/>
          <w:sz w:val="18"/>
          <w:szCs w:val="18"/>
          <w:color w:val="auto"/>
        </w:rPr>
        <w:t>“RESOLVED, that (i) the appointment of Ernst &amp; Young LLP as Amdocs Limited’s independent registered public accounting firm for the fiscal year ending September 30, 2025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89" w:lineRule="exact"/>
        <w:rPr>
          <w:sz w:val="20"/>
          <w:szCs w:val="20"/>
          <w:color w:val="auto"/>
        </w:rPr>
      </w:pPr>
    </w:p>
    <w:p>
      <w:pPr>
        <w:ind w:left="300" w:right="419" w:firstLine="324"/>
        <w:spacing w:after="0" w:line="289" w:lineRule="auto"/>
        <w:rPr>
          <w:sz w:val="20"/>
          <w:szCs w:val="20"/>
          <w:color w:val="auto"/>
        </w:rPr>
      </w:pPr>
      <w:r>
        <w:rPr>
          <w:rFonts w:ascii="Times New Roman" w:cs="Times New Roman" w:eastAsia="Times New Roman" w:hAnsi="Times New Roman"/>
          <w:sz w:val="17"/>
          <w:szCs w:val="17"/>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127" w:lineRule="exact"/>
        <w:rPr>
          <w:sz w:val="20"/>
          <w:szCs w:val="20"/>
          <w:color w:val="auto"/>
        </w:rPr>
      </w:pPr>
    </w:p>
    <w:p>
      <w:pPr>
        <w:ind w:left="300" w:right="579"/>
        <w:spacing w:after="0" w:line="259" w:lineRule="auto"/>
        <w:rPr>
          <w:sz w:val="20"/>
          <w:szCs w:val="20"/>
          <w:color w:val="auto"/>
        </w:rPr>
      </w:pPr>
      <w:r>
        <w:rPr>
          <w:rFonts w:ascii="Times New Roman" w:cs="Times New Roman" w:eastAsia="Times New Roman" w:hAnsi="Times New Roman"/>
          <w:sz w:val="18"/>
          <w:szCs w:val="18"/>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2" w:lineRule="exact"/>
        <w:rPr>
          <w:sz w:val="20"/>
          <w:szCs w:val="20"/>
          <w:color w:val="auto"/>
        </w:rPr>
      </w:pPr>
    </w:p>
    <w:p>
      <w:pPr>
        <w:ind w:left="300" w:right="339" w:firstLine="324"/>
        <w:spacing w:after="0" w:line="266" w:lineRule="auto"/>
        <w:rPr>
          <w:sz w:val="20"/>
          <w:szCs w:val="20"/>
          <w:color w:val="auto"/>
        </w:rPr>
      </w:pPr>
      <w:r>
        <w:rPr>
          <w:rFonts w:ascii="Times New Roman" w:cs="Times New Roman" w:eastAsia="Times New Roman" w:hAnsi="Times New Roman"/>
          <w:sz w:val="18"/>
          <w:szCs w:val="18"/>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Annual Report on Form 20-F</w:t>
      </w:r>
    </w:p>
    <w:p>
      <w:pPr>
        <w:spacing w:after="0" w:line="189" w:lineRule="exact"/>
        <w:rPr>
          <w:sz w:val="20"/>
          <w:szCs w:val="20"/>
          <w:color w:val="auto"/>
        </w:rPr>
      </w:pPr>
    </w:p>
    <w:p>
      <w:pPr>
        <w:jc w:val="both"/>
        <w:ind w:left="300" w:right="459" w:firstLine="324"/>
        <w:spacing w:after="0" w:line="277" w:lineRule="auto"/>
        <w:rPr>
          <w:sz w:val="20"/>
          <w:szCs w:val="20"/>
          <w:color w:val="auto"/>
        </w:rPr>
      </w:pPr>
      <w:r>
        <w:rPr>
          <w:rFonts w:ascii="Times New Roman" w:cs="Times New Roman" w:eastAsia="Times New Roman" w:hAnsi="Times New Roman"/>
          <w:sz w:val="17"/>
          <w:szCs w:val="17"/>
          <w:color w:val="auto"/>
        </w:rPr>
        <w:t xml:space="preserve">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website located at http://www.sec.gov as well as on our website at </w:t>
      </w:r>
      <w:r>
        <w:rPr>
          <w:rFonts w:ascii="Times New Roman" w:cs="Times New Roman" w:eastAsia="Times New Roman" w:hAnsi="Times New Roman"/>
          <w:sz w:val="17"/>
          <w:szCs w:val="17"/>
          <w:i w:val="1"/>
          <w:iCs w:val="1"/>
          <w:color w:val="auto"/>
        </w:rPr>
        <w:t>www.amdocs.com</w:t>
      </w:r>
      <w:r>
        <w:rPr>
          <w:rFonts w:ascii="Times New Roman" w:cs="Times New Roman" w:eastAsia="Times New Roman" w:hAnsi="Times New Roman"/>
          <w:sz w:val="17"/>
          <w:szCs w:val="17"/>
          <w:color w:val="auto"/>
        </w:rPr>
        <w:t>. Requests for copies of our Annual Report on Form 20-F should be provided to our principal U.S. subsidiary at:</w:t>
      </w:r>
    </w:p>
    <w:p>
      <w:pPr>
        <w:spacing w:after="0" w:line="1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Amdocs, Inc.</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Attention: Matthew E. Smith</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625 Maryville Centre Drive, Suite 200</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Saint Louis, Missouri 63141</w:t>
      </w:r>
    </w:p>
    <w:p>
      <w:pPr>
        <w:spacing w:after="0" w:line="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Telephone: 314-212-8328</w:t>
      </w:r>
    </w:p>
    <w:p>
      <w:pPr>
        <w:spacing w:after="0" w:line="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E-mail: dox_info@amdocs.com</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202" w:lineRule="exact"/>
        <w:rPr>
          <w:sz w:val="20"/>
          <w:szCs w:val="20"/>
          <w:color w:val="auto"/>
        </w:rPr>
      </w:pPr>
    </w:p>
    <w:p>
      <w:pPr>
        <w:ind w:left="300" w:right="299" w:firstLine="324"/>
        <w:spacing w:after="0" w:line="273" w:lineRule="auto"/>
        <w:rPr>
          <w:sz w:val="20"/>
          <w:szCs w:val="20"/>
          <w:color w:val="auto"/>
        </w:rPr>
      </w:pPr>
      <w:r>
        <w:rPr>
          <w:rFonts w:ascii="Times New Roman" w:cs="Times New Roman" w:eastAsia="Times New Roman" w:hAnsi="Times New Roman"/>
          <w:sz w:val="17"/>
          <w:szCs w:val="17"/>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D.F. King &amp; Co., Inc. to assist in the solicitation of proxies. We will also reimburse brokerage houses and other custodians, nominees and fiduciaries for their expenses in accordance with Nasdaq rules concerning the sending of proxies and proxy materials to the beneficial owners of our ordinary shares.</w:t>
      </w:r>
    </w:p>
    <w:p>
      <w:pPr>
        <w:spacing w:after="0" w:line="17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4606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Matthew E. Smith</w:t>
      </w:r>
    </w:p>
    <w:p>
      <w:pPr>
        <w:spacing w:after="0" w:line="23" w:lineRule="exact"/>
        <w:rPr>
          <w:sz w:val="20"/>
          <w:szCs w:val="20"/>
          <w:color w:val="auto"/>
        </w:rPr>
      </w:pPr>
    </w:p>
    <w:p>
      <w:pPr>
        <w:ind w:left="486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23, 2024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7" w:name="page28"/>
    <w:bookmarkEnd w:id="27"/>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CATEGORICAL STANDARDS</w:t>
      </w:r>
    </w:p>
    <w:p>
      <w:pPr>
        <w:spacing w:after="0" w:line="202" w:lineRule="exact"/>
        <w:rPr>
          <w:sz w:val="20"/>
          <w:szCs w:val="20"/>
          <w:color w:val="auto"/>
        </w:rPr>
      </w:pPr>
    </w:p>
    <w:p>
      <w:pPr>
        <w:ind w:left="300" w:right="379" w:firstLine="324"/>
        <w:spacing w:after="0" w:line="261" w:lineRule="auto"/>
        <w:rPr>
          <w:sz w:val="20"/>
          <w:szCs w:val="20"/>
          <w:color w:val="auto"/>
        </w:rPr>
      </w:pPr>
      <w:r>
        <w:rPr>
          <w:rFonts w:ascii="Times New Roman" w:cs="Times New Roman" w:eastAsia="Times New Roman" w:hAnsi="Times New Roman"/>
          <w:sz w:val="18"/>
          <w:szCs w:val="18"/>
          <w:color w:val="auto"/>
        </w:rPr>
        <w:t>In addition to applying the requirements under the Nasdaq rules, the Board has adopted guidelines to assist it in determining whether a director has a relationship that would interfere with the exercise of independent judgment in carrying out the responsibilities of a director. Under these guidelines, a director will be considered to have such a relationship if during the last three years prior to the independence determination date:</w:t>
      </w:r>
    </w:p>
    <w:p>
      <w:pPr>
        <w:spacing w:after="0" w:line="137" w:lineRule="exact"/>
        <w:rPr>
          <w:sz w:val="20"/>
          <w:szCs w:val="20"/>
          <w:color w:val="auto"/>
        </w:rPr>
      </w:pPr>
    </w:p>
    <w:p>
      <w:pPr>
        <w:ind w:left="940" w:right="519" w:hanging="324"/>
        <w:spacing w:after="0" w:line="261"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Charitable Contributions</w:t>
      </w:r>
      <w:r>
        <w:rPr>
          <w:rFonts w:ascii="Times New Roman" w:cs="Times New Roman" w:eastAsia="Times New Roman" w:hAnsi="Times New Roman"/>
          <w:sz w:val="18"/>
          <w:szCs w:val="18"/>
          <w:color w:val="auto"/>
        </w:rPr>
        <w:t>. The director, or an immediate family member of the director, has served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a charitable organization that receives payments from the Company in an amount which, in any single fiscal year since the determination date, exceeds the greater of $200,000, or 5% of such charitable organization’s revenues; or</w:t>
      </w:r>
    </w:p>
    <w:p>
      <w:pPr>
        <w:spacing w:after="0" w:line="139" w:lineRule="exact"/>
        <w:rPr>
          <w:rFonts w:ascii="Times New Roman" w:cs="Times New Roman" w:eastAsia="Times New Roman" w:hAnsi="Times New Roman"/>
          <w:sz w:val="18"/>
          <w:szCs w:val="18"/>
          <w:color w:val="auto"/>
        </w:rPr>
      </w:pPr>
    </w:p>
    <w:p>
      <w:pPr>
        <w:ind w:left="940" w:right="339" w:hanging="324"/>
        <w:spacing w:after="0" w:line="258"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The director or an immediate family member of the director has served, as an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another company which was 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revenues.</w:t>
      </w:r>
    </w:p>
    <w:p>
      <w:pPr>
        <w:spacing w:after="0" w:line="158" w:lineRule="exact"/>
        <w:rPr>
          <w:sz w:val="20"/>
          <w:szCs w:val="20"/>
          <w:color w:val="auto"/>
        </w:rPr>
      </w:pPr>
    </w:p>
    <w:p>
      <w:pPr>
        <w:ind w:left="300" w:right="479" w:firstLine="324"/>
        <w:spacing w:after="0" w:line="261" w:lineRule="auto"/>
        <w:rPr>
          <w:sz w:val="20"/>
          <w:szCs w:val="20"/>
          <w:color w:val="auto"/>
        </w:rPr>
      </w:pPr>
      <w:r>
        <w:rPr>
          <w:rFonts w:ascii="Times New Roman" w:cs="Times New Roman" w:eastAsia="Times New Roman" w:hAnsi="Times New Roman"/>
          <w:sz w:val="18"/>
          <w:szCs w:val="18"/>
          <w:color w:val="auto"/>
        </w:rPr>
        <w:t>For purposes of the above standards: (i) “COMPANY” includes Amdocs Limited and any parent or subsidiary that would be required under U.S. generally accepted accounting principles to prepare financial statements on a consolidated basis; and (ii) “IMMEDIATE FAMILY MEMBER” includes a person’s spouse, parents, children and siblings, whether by blood, marriage or adoption, or anyone residing in such person’s home.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8" w:name="page29"/>
    <w:bookmarkEnd w:id="28"/>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AMDOCS LIMITED</w:t>
      </w:r>
    </w:p>
    <w:p>
      <w:pPr>
        <w:spacing w:after="0" w:line="200" w:lineRule="exact"/>
        <w:rPr>
          <w:sz w:val="20"/>
          <w:szCs w:val="20"/>
          <w:color w:val="auto"/>
        </w:rPr>
      </w:pPr>
    </w:p>
    <w:p>
      <w:pPr>
        <w:spacing w:after="0" w:line="22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1998 STOCK OPTION AND INCENTIVE PLAN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ON JANUARY 31, 2025</w:t>
      </w:r>
    </w:p>
    <w:p>
      <w:pPr>
        <w:spacing w:after="0" w:line="345" w:lineRule="exact"/>
        <w:rPr>
          <w:sz w:val="20"/>
          <w:szCs w:val="20"/>
          <w:color w:val="auto"/>
        </w:rPr>
      </w:pPr>
    </w:p>
    <w:p>
      <w:pPr>
        <w:ind w:left="860" w:hanging="568"/>
        <w:spacing w:after="0"/>
        <w:tabs>
          <w:tab w:leader="none" w:pos="8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 Type of Awards; Construction</w:t>
      </w:r>
    </w:p>
    <w:p>
      <w:pPr>
        <w:spacing w:after="0" w:line="206" w:lineRule="exact"/>
        <w:rPr>
          <w:sz w:val="20"/>
          <w:szCs w:val="20"/>
          <w:color w:val="auto"/>
        </w:rPr>
      </w:pPr>
    </w:p>
    <w:p>
      <w:pPr>
        <w:jc w:val="both"/>
        <w:ind w:left="820" w:right="299"/>
        <w:spacing w:after="0" w:line="244" w:lineRule="auto"/>
        <w:rPr>
          <w:sz w:val="20"/>
          <w:szCs w:val="20"/>
          <w:color w:val="auto"/>
        </w:rPr>
      </w:pPr>
      <w:r>
        <w:rPr>
          <w:rFonts w:ascii="Times New Roman" w:cs="Times New Roman" w:eastAsia="Times New Roman" w:hAnsi="Times New Roman"/>
          <w:sz w:val="21"/>
          <w:szCs w:val="21"/>
          <w:color w:val="auto"/>
        </w:rPr>
        <w:t>The purpose of the Amdocs Limited 1998 Stock Option and Incentive Plan (as amended from time to time,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176" w:lineRule="exact"/>
        <w:rPr>
          <w:sz w:val="20"/>
          <w:szCs w:val="20"/>
          <w:color w:val="auto"/>
        </w:rPr>
      </w:pPr>
    </w:p>
    <w:p>
      <w:pPr>
        <w:ind w:left="860" w:hanging="568"/>
        <w:spacing w:after="0"/>
        <w:tabs>
          <w:tab w:leader="none" w:pos="8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p>
    <w:p>
      <w:pPr>
        <w:spacing w:after="0" w:line="2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As used in this Plan, the following words and phrases shall have the meanings indicated:</w:t>
      </w:r>
    </w:p>
    <w:p>
      <w:pPr>
        <w:spacing w:after="0" w:line="206" w:lineRule="exact"/>
        <w:rPr>
          <w:sz w:val="20"/>
          <w:szCs w:val="20"/>
          <w:color w:val="auto"/>
        </w:rPr>
      </w:pPr>
    </w:p>
    <w:p>
      <w:pPr>
        <w:ind w:left="1580" w:right="319" w:hanging="770"/>
        <w:spacing w:after="0" w:line="258" w:lineRule="auto"/>
        <w:tabs>
          <w:tab w:leader="none" w:pos="15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Shares” shall mean shares of ordinary shares, par value £0.01 per share, of the Company.</w:t>
      </w:r>
    </w:p>
    <w:p>
      <w:pPr>
        <w:spacing w:after="0" w:line="158" w:lineRule="exact"/>
        <w:rPr>
          <w:rFonts w:ascii="Times New Roman" w:cs="Times New Roman" w:eastAsia="Times New Roman" w:hAnsi="Times New Roman"/>
          <w:sz w:val="22"/>
          <w:szCs w:val="22"/>
          <w:color w:val="auto"/>
        </w:rPr>
      </w:pPr>
    </w:p>
    <w:p>
      <w:pPr>
        <w:jc w:val="both"/>
        <w:ind w:left="1580" w:right="319" w:hanging="770"/>
        <w:spacing w:after="0" w:line="238" w:lineRule="auto"/>
        <w:tabs>
          <w:tab w:leader="none" w:pos="15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176" w:lineRule="exact"/>
        <w:rPr>
          <w:rFonts w:ascii="Times New Roman" w:cs="Times New Roman" w:eastAsia="Times New Roman" w:hAnsi="Times New Roman"/>
          <w:sz w:val="22"/>
          <w:szCs w:val="22"/>
          <w:color w:val="auto"/>
        </w:rPr>
      </w:pPr>
    </w:p>
    <w:p>
      <w:pPr>
        <w:jc w:val="both"/>
        <w:ind w:left="1580" w:right="299" w:hanging="770"/>
        <w:spacing w:after="0" w:line="235" w:lineRule="auto"/>
        <w:tabs>
          <w:tab w:leader="none" w:pos="15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 Market Value” per share as of a particular date shall mean (i) if the shares of Ordinary Shares are not then listed on a national securities exchange or traded in an over-the-counter market, such value as the Committee, in its sole discretion, shall determine; or (ii) if the shares of Ordinary Shares are then traded on a national securities exchange the closing sales price per share of Ordinary Shares on the national securities exchange, on which the Ordinary Shares are principally traded, for the last preceding date on which there was a sale of such Ordinary Shares 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9" w:name="page30"/>
    <w:bookmarkEnd w:id="29"/>
    <w:p>
      <w:pPr>
        <w:spacing w:after="0" w:line="185" w:lineRule="exact"/>
        <w:rPr>
          <w:sz w:val="20"/>
          <w:szCs w:val="20"/>
          <w:color w:val="auto"/>
        </w:rPr>
      </w:pPr>
    </w:p>
    <w:p>
      <w:pPr>
        <w:jc w:val="both"/>
        <w:ind w:left="1580" w:right="299"/>
        <w:spacing w:after="0" w:line="239" w:lineRule="auto"/>
        <w:rPr>
          <w:sz w:val="20"/>
          <w:szCs w:val="20"/>
          <w:color w:val="auto"/>
        </w:rPr>
      </w:pPr>
      <w:r>
        <w:rPr>
          <w:rFonts w:ascii="Times New Roman" w:cs="Times New Roman" w:eastAsia="Times New Roman" w:hAnsi="Times New Roman"/>
          <w:sz w:val="22"/>
          <w:szCs w:val="22"/>
          <w:color w:val="auto"/>
        </w:rPr>
        <w:t>such exchange, or (iii) 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spacing w:after="0" w:line="180" w:lineRule="exact"/>
        <w:rPr>
          <w:sz w:val="20"/>
          <w:szCs w:val="20"/>
          <w:color w:val="auto"/>
        </w:rPr>
      </w:pPr>
    </w:p>
    <w:p>
      <w:pPr>
        <w:jc w:val="both"/>
        <w:ind w:left="1580" w:right="299" w:hanging="770"/>
        <w:spacing w:after="0" w:line="239" w:lineRule="auto"/>
        <w:tabs>
          <w:tab w:leader="none" w:pos="15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180" w:lineRule="exact"/>
        <w:rPr>
          <w:rFonts w:ascii="Times New Roman" w:cs="Times New Roman" w:eastAsia="Times New Roman" w:hAnsi="Times New Roman"/>
          <w:sz w:val="22"/>
          <w:szCs w:val="22"/>
          <w:color w:val="auto"/>
        </w:rPr>
      </w:pPr>
    </w:p>
    <w:p>
      <w:pPr>
        <w:jc w:val="both"/>
        <w:ind w:left="1580" w:right="299" w:hanging="770"/>
        <w:spacing w:after="0" w:line="239" w:lineRule="auto"/>
        <w:tabs>
          <w:tab w:leader="none" w:pos="15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shall mean an entity which directly or indirectly holds a controlling interest (by vote or by value) in the Company. Whether employment by or service with a Parent is included within the scope of this Plan shall be determined by the Committee.</w:t>
      </w:r>
    </w:p>
    <w:p>
      <w:pPr>
        <w:spacing w:after="0" w:line="180" w:lineRule="exact"/>
        <w:rPr>
          <w:rFonts w:ascii="Times New Roman" w:cs="Times New Roman" w:eastAsia="Times New Roman" w:hAnsi="Times New Roman"/>
          <w:sz w:val="22"/>
          <w:szCs w:val="22"/>
          <w:color w:val="auto"/>
        </w:rPr>
      </w:pPr>
    </w:p>
    <w:p>
      <w:pPr>
        <w:jc w:val="both"/>
        <w:ind w:left="1580" w:right="299" w:hanging="770"/>
        <w:spacing w:after="0" w:line="239" w:lineRule="auto"/>
        <w:tabs>
          <w:tab w:leader="none" w:pos="15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shall mean an entity of which the Company directly or indirectly holds a controlling interest (by vote or by value) in such entity. Whether employment by or service with a Subsidiary is included within the scope of this Plan shall be determined by the Committee.</w:t>
      </w:r>
    </w:p>
    <w:p>
      <w:pPr>
        <w:spacing w:after="0" w:line="180" w:lineRule="exact"/>
        <w:rPr>
          <w:rFonts w:ascii="Times New Roman" w:cs="Times New Roman" w:eastAsia="Times New Roman" w:hAnsi="Times New Roman"/>
          <w:sz w:val="22"/>
          <w:szCs w:val="22"/>
          <w:color w:val="auto"/>
        </w:rPr>
      </w:pPr>
    </w:p>
    <w:p>
      <w:pPr>
        <w:jc w:val="both"/>
        <w:ind w:left="1580" w:right="319" w:hanging="770"/>
        <w:spacing w:after="0" w:line="239" w:lineRule="auto"/>
        <w:tabs>
          <w:tab w:leader="none" w:pos="15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180" w:lineRule="exact"/>
        <w:rPr>
          <w:rFonts w:ascii="Times New Roman" w:cs="Times New Roman" w:eastAsia="Times New Roman" w:hAnsi="Times New Roman"/>
          <w:sz w:val="22"/>
          <w:szCs w:val="22"/>
          <w:color w:val="auto"/>
        </w:rPr>
      </w:pPr>
    </w:p>
    <w:p>
      <w:pPr>
        <w:ind w:left="860" w:hanging="568"/>
        <w:spacing w:after="0"/>
        <w:tabs>
          <w:tab w:leader="none" w:pos="8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p>
    <w:p>
      <w:pPr>
        <w:spacing w:after="0" w:line="206" w:lineRule="exact"/>
        <w:rPr>
          <w:sz w:val="20"/>
          <w:szCs w:val="20"/>
          <w:color w:val="auto"/>
        </w:rPr>
      </w:pPr>
    </w:p>
    <w:p>
      <w:pPr>
        <w:jc w:val="both"/>
        <w:ind w:left="820" w:right="299"/>
        <w:spacing w:after="0" w:line="258" w:lineRule="auto"/>
        <w:rPr>
          <w:sz w:val="20"/>
          <w:szCs w:val="20"/>
          <w:color w:val="auto"/>
        </w:rPr>
      </w:pPr>
      <w:r>
        <w:rPr>
          <w:rFonts w:ascii="Times New Roman" w:cs="Times New Roman" w:eastAsia="Times New Roman" w:hAnsi="Times New Roman"/>
          <w:sz w:val="22"/>
          <w:szCs w:val="22"/>
          <w:color w:val="auto"/>
        </w:rPr>
        <w:t>The Plan shall be administered by a committee (the “Committee”) established by the Board of Directors of the Company (the “Board”).</w:t>
      </w:r>
    </w:p>
    <w:p>
      <w:pPr>
        <w:spacing w:after="0" w:line="158" w:lineRule="exact"/>
        <w:rPr>
          <w:sz w:val="20"/>
          <w:szCs w:val="20"/>
          <w:color w:val="auto"/>
        </w:rPr>
      </w:pPr>
    </w:p>
    <w:p>
      <w:pPr>
        <w:jc w:val="both"/>
        <w:ind w:left="820" w:right="299"/>
        <w:spacing w:after="0" w:line="244" w:lineRule="auto"/>
        <w:rPr>
          <w:sz w:val="20"/>
          <w:szCs w:val="20"/>
          <w:color w:val="auto"/>
        </w:rPr>
      </w:pPr>
      <w:r>
        <w:rPr>
          <w:rFonts w:ascii="Times New Roman" w:cs="Times New Roman" w:eastAsia="Times New Roman" w:hAnsi="Times New Roman"/>
          <w:sz w:val="21"/>
          <w:szCs w:val="21"/>
          <w:color w:val="auto"/>
        </w:rPr>
        <w:t>The Committee shall have the authority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or Restricted Stock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 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176" w:lineRule="exact"/>
        <w:rPr>
          <w:sz w:val="20"/>
          <w:szCs w:val="20"/>
          <w:color w:val="auto"/>
        </w:rPr>
      </w:pPr>
    </w:p>
    <w:p>
      <w:pPr>
        <w:jc w:val="both"/>
        <w:ind w:left="820" w:right="319"/>
        <w:spacing w:after="0" w:line="282" w:lineRule="auto"/>
        <w:rPr>
          <w:sz w:val="20"/>
          <w:szCs w:val="20"/>
          <w:color w:val="auto"/>
        </w:rPr>
      </w:pPr>
      <w:r>
        <w:rPr>
          <w:rFonts w:ascii="Times New Roman" w:cs="Times New Roman" w:eastAsia="Times New Roman" w:hAnsi="Times New Roman"/>
          <w:sz w:val="21"/>
          <w:szCs w:val="21"/>
          <w:color w:val="auto"/>
        </w:rPr>
        <w:t>The Committee may delegate to one or more of its members or to one or more agents such administrative duties as it may deem advisable, and the Committee or any person to whom</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p>
      <w:pPr>
        <w:spacing w:after="0" w:line="185" w:lineRule="exact"/>
        <w:rPr>
          <w:sz w:val="20"/>
          <w:szCs w:val="20"/>
          <w:color w:val="auto"/>
        </w:rPr>
      </w:pPr>
    </w:p>
    <w:p>
      <w:pPr>
        <w:jc w:val="both"/>
        <w:ind w:left="820" w:right="299"/>
        <w:spacing w:after="0" w:line="239" w:lineRule="auto"/>
        <w:rPr>
          <w:sz w:val="20"/>
          <w:szCs w:val="20"/>
          <w:color w:val="auto"/>
        </w:rPr>
      </w:pPr>
      <w:r>
        <w:rPr>
          <w:rFonts w:ascii="Times New Roman" w:cs="Times New Roman" w:eastAsia="Times New Roman" w:hAnsi="Times New Roman"/>
          <w:sz w:val="22"/>
          <w:szCs w:val="22"/>
          <w:color w:val="auto"/>
        </w:rPr>
        <w:t>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180" w:lineRule="exact"/>
        <w:rPr>
          <w:sz w:val="20"/>
          <w:szCs w:val="20"/>
          <w:color w:val="auto"/>
        </w:rPr>
      </w:pPr>
    </w:p>
    <w:p>
      <w:pPr>
        <w:jc w:val="both"/>
        <w:ind w:left="820" w:right="319"/>
        <w:spacing w:after="0" w:line="282" w:lineRule="auto"/>
        <w:rPr>
          <w:sz w:val="20"/>
          <w:szCs w:val="20"/>
          <w:color w:val="auto"/>
        </w:rPr>
      </w:pPr>
      <w:r>
        <w:rPr>
          <w:rFonts w:ascii="Times New Roman" w:cs="Times New Roman" w:eastAsia="Times New Roman" w:hAnsi="Times New Roman"/>
          <w:sz w:val="21"/>
          <w:szCs w:val="21"/>
          <w:color w:val="auto"/>
        </w:rPr>
        <w:t>No member of the Board or Committee shall be liable for any action taken or determination made in good faith with respect to the Plan or any award granted hereunder.</w:t>
      </w:r>
    </w:p>
    <w:p>
      <w:pPr>
        <w:spacing w:after="0" w:line="135" w:lineRule="exact"/>
        <w:rPr>
          <w:sz w:val="20"/>
          <w:szCs w:val="20"/>
          <w:color w:val="auto"/>
        </w:rPr>
      </w:pPr>
    </w:p>
    <w:p>
      <w:pPr>
        <w:ind w:left="860" w:hanging="568"/>
        <w:spacing w:after="0"/>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p>
    <w:p>
      <w:pPr>
        <w:spacing w:after="0" w:line="206" w:lineRule="exact"/>
        <w:rPr>
          <w:sz w:val="20"/>
          <w:szCs w:val="20"/>
          <w:color w:val="auto"/>
        </w:rPr>
      </w:pPr>
    </w:p>
    <w:p>
      <w:pPr>
        <w:jc w:val="both"/>
        <w:ind w:left="820" w:right="299"/>
        <w:spacing w:after="0" w:line="236" w:lineRule="auto"/>
        <w:rPr>
          <w:sz w:val="20"/>
          <w:szCs w:val="20"/>
          <w:color w:val="auto"/>
        </w:rPr>
      </w:pPr>
      <w:r>
        <w:rPr>
          <w:rFonts w:ascii="Times New Roman" w:cs="Times New Roman" w:eastAsia="Times New Roman" w:hAnsi="Times New Roman"/>
          <w:sz w:val="22"/>
          <w:szCs w:val="22"/>
          <w:color w:val="auto"/>
        </w:rPr>
        <w:t>Officers, Directors, other employees and consultants of the Company or of any Subsidiary or Parent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181" w:lineRule="exact"/>
        <w:rPr>
          <w:sz w:val="20"/>
          <w:szCs w:val="20"/>
          <w:color w:val="auto"/>
        </w:rPr>
      </w:pPr>
    </w:p>
    <w:p>
      <w:pPr>
        <w:ind w:left="860" w:hanging="568"/>
        <w:spacing w:after="0"/>
        <w:tabs>
          <w:tab w:leader="none" w:pos="8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Ordinary Shares</w:t>
      </w:r>
    </w:p>
    <w:p>
      <w:pPr>
        <w:spacing w:after="0" w:line="206" w:lineRule="exact"/>
        <w:rPr>
          <w:sz w:val="20"/>
          <w:szCs w:val="20"/>
          <w:color w:val="auto"/>
        </w:rPr>
      </w:pPr>
    </w:p>
    <w:p>
      <w:pPr>
        <w:jc w:val="both"/>
        <w:ind w:left="820" w:right="299"/>
        <w:spacing w:after="0" w:line="239" w:lineRule="auto"/>
        <w:rPr>
          <w:sz w:val="20"/>
          <w:szCs w:val="20"/>
          <w:color w:val="auto"/>
        </w:rPr>
      </w:pPr>
      <w:r>
        <w:rPr>
          <w:rFonts w:ascii="Times New Roman" w:cs="Times New Roman" w:eastAsia="Times New Roman" w:hAnsi="Times New Roman"/>
          <w:sz w:val="22"/>
          <w:szCs w:val="22"/>
          <w:color w:val="auto"/>
        </w:rPr>
        <w:t>The maximum number of Ordinary Shares reserved for grant of awards under the Plan shall be 73,550,000. Such shares may, in whole or in part, be authorized but unissued shares. The foregoing numbers of shares may be increased or decreased by the events set forth in Section 10 hereof.</w:t>
      </w:r>
    </w:p>
    <w:p>
      <w:pPr>
        <w:spacing w:after="0" w:line="180" w:lineRule="exact"/>
        <w:rPr>
          <w:sz w:val="20"/>
          <w:szCs w:val="20"/>
          <w:color w:val="auto"/>
        </w:rPr>
      </w:pPr>
    </w:p>
    <w:p>
      <w:pPr>
        <w:jc w:val="both"/>
        <w:ind w:left="820" w:right="299"/>
        <w:spacing w:after="0" w:line="233" w:lineRule="auto"/>
        <w:rPr>
          <w:sz w:val="20"/>
          <w:szCs w:val="20"/>
          <w:color w:val="auto"/>
        </w:rPr>
      </w:pPr>
      <w:r>
        <w:rPr>
          <w:rFonts w:ascii="Times New Roman" w:cs="Times New Roman" w:eastAsia="Times New Roman" w:hAnsi="Times New Roman"/>
          <w:sz w:val="22"/>
          <w:szCs w:val="22"/>
          <w:color w:val="auto"/>
        </w:rPr>
        <w:t>If any outstanding award under the Plan should, for any reason expire, be canceled or be terminated without having been exercised in full, the shares of Ordinary Shares allocable to the unexercised, canceled or terminated portion of such award shall (unless the Plan shall have been terminated) become available for subsequent grants of awards under the Plan; provided that an award under the plan may not again be made available for issuance under the plan if such Ordinary Shares are: (i) Ordinary Shares that were subject to stock-settled stock appreciation rights and were not issued upon the net settlement or net exercise of such stock appreciation rights, (ii) Ordinary Shares used to pay the Option Price, (iii) Ordinary Shares delivered to or withheld by the Company to pay the withholding taxes related to an award, or (iv) Ordinary Shares repurchased on the open market with proceeds of an Option exercise.</w:t>
      </w:r>
    </w:p>
    <w:p>
      <w:pPr>
        <w:spacing w:after="0" w:line="187" w:lineRule="exact"/>
        <w:rPr>
          <w:sz w:val="20"/>
          <w:szCs w:val="20"/>
          <w:color w:val="auto"/>
        </w:rPr>
      </w:pPr>
    </w:p>
    <w:p>
      <w:pPr>
        <w:ind w:left="860" w:hanging="568"/>
        <w:spacing w:after="0"/>
        <w:tabs>
          <w:tab w:leader="none" w:pos="8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Conditions of Options</w:t>
      </w:r>
    </w:p>
    <w:p>
      <w:pPr>
        <w:spacing w:after="0" w:line="206" w:lineRule="exact"/>
        <w:rPr>
          <w:sz w:val="20"/>
          <w:szCs w:val="20"/>
          <w:color w:val="auto"/>
        </w:rPr>
      </w:pPr>
    </w:p>
    <w:p>
      <w:pPr>
        <w:jc w:val="both"/>
        <w:ind w:left="820" w:right="299"/>
        <w:spacing w:after="0" w:line="239" w:lineRule="auto"/>
        <w:rPr>
          <w:sz w:val="20"/>
          <w:szCs w:val="20"/>
          <w:color w:val="auto"/>
        </w:rPr>
      </w:pPr>
      <w:r>
        <w:rPr>
          <w:rFonts w:ascii="Times New Roman" w:cs="Times New Roman" w:eastAsia="Times New Roman" w:hAnsi="Times New Roman"/>
          <w:sz w:val="22"/>
          <w:szCs w:val="22"/>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180" w:lineRule="exact"/>
        <w:rPr>
          <w:sz w:val="20"/>
          <w:szCs w:val="20"/>
          <w:color w:val="auto"/>
        </w:rPr>
      </w:pPr>
    </w:p>
    <w:p>
      <w:pPr>
        <w:ind w:left="1580" w:right="319" w:hanging="770"/>
        <w:spacing w:after="0" w:line="258" w:lineRule="auto"/>
        <w:tabs>
          <w:tab w:leader="none" w:pos="15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Each Option Agreement shall state the number of shares of Ordinary Shares to which the Option relates.</w:t>
      </w:r>
    </w:p>
    <w:p>
      <w:pPr>
        <w:spacing w:after="0" w:line="158" w:lineRule="exact"/>
        <w:rPr>
          <w:rFonts w:ascii="Times New Roman" w:cs="Times New Roman" w:eastAsia="Times New Roman" w:hAnsi="Times New Roman"/>
          <w:sz w:val="22"/>
          <w:szCs w:val="22"/>
          <w:color w:val="auto"/>
        </w:rPr>
      </w:pPr>
    </w:p>
    <w:p>
      <w:pPr>
        <w:ind w:left="1580" w:right="319" w:hanging="770"/>
        <w:spacing w:after="0" w:line="258" w:lineRule="auto"/>
        <w:tabs>
          <w:tab w:leader="none" w:pos="15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OPTION. Each Option Agreement shall specifically state that the Option constitutes an Incentive Stock Option or a Nonqualified Stock Option.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spacing w:after="0" w:line="185" w:lineRule="exact"/>
        <w:rPr>
          <w:sz w:val="20"/>
          <w:szCs w:val="20"/>
          <w:color w:val="auto"/>
        </w:rPr>
      </w:pPr>
    </w:p>
    <w:p>
      <w:pPr>
        <w:jc w:val="both"/>
        <w:ind w:left="1580" w:right="299" w:hanging="770"/>
        <w:spacing w:after="0" w:line="236" w:lineRule="auto"/>
        <w:tabs>
          <w:tab w:leader="none" w:pos="15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 PRICE. Each Option Agreement shall state the Option Price, which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181" w:lineRule="exact"/>
        <w:rPr>
          <w:rFonts w:ascii="Times New Roman" w:cs="Times New Roman" w:eastAsia="Times New Roman" w:hAnsi="Times New Roman"/>
          <w:sz w:val="22"/>
          <w:szCs w:val="22"/>
          <w:color w:val="auto"/>
        </w:rPr>
      </w:pPr>
    </w:p>
    <w:p>
      <w:pPr>
        <w:jc w:val="both"/>
        <w:ind w:left="1580" w:right="299" w:hanging="770"/>
        <w:spacing w:after="0" w:line="233" w:lineRule="auto"/>
        <w:tabs>
          <w:tab w:leader="none" w:pos="15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pacing w:after="0" w:line="184" w:lineRule="exact"/>
        <w:rPr>
          <w:rFonts w:ascii="Times New Roman" w:cs="Times New Roman" w:eastAsia="Times New Roman" w:hAnsi="Times New Roman"/>
          <w:sz w:val="22"/>
          <w:szCs w:val="22"/>
          <w:color w:val="auto"/>
        </w:rPr>
      </w:pPr>
    </w:p>
    <w:p>
      <w:pPr>
        <w:jc w:val="both"/>
        <w:ind w:left="1580" w:right="299" w:hanging="770"/>
        <w:spacing w:after="0" w:line="235" w:lineRule="auto"/>
        <w:tabs>
          <w:tab w:leader="none" w:pos="15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178" w:lineRule="exact"/>
        <w:rPr>
          <w:rFonts w:ascii="Times New Roman" w:cs="Times New Roman" w:eastAsia="Times New Roman" w:hAnsi="Times New Roman"/>
          <w:sz w:val="22"/>
          <w:szCs w:val="22"/>
          <w:color w:val="auto"/>
        </w:rPr>
      </w:pPr>
    </w:p>
    <w:p>
      <w:pPr>
        <w:jc w:val="both"/>
        <w:ind w:left="1580" w:right="29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shall become exercisable in cumulative installments of 25% on the first, second, third and fourth anniversary of the date on which such Option is granted,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179" w:lineRule="exact"/>
        <w:rPr>
          <w:rFonts w:ascii="Times New Roman" w:cs="Times New Roman" w:eastAsia="Times New Roman" w:hAnsi="Times New Roman"/>
          <w:sz w:val="22"/>
          <w:szCs w:val="22"/>
          <w:color w:val="auto"/>
        </w:rPr>
      </w:pPr>
    </w:p>
    <w:p>
      <w:pPr>
        <w:jc w:val="both"/>
        <w:ind w:left="1580" w:right="299" w:hanging="770"/>
        <w:spacing w:after="0" w:line="246" w:lineRule="auto"/>
        <w:tabs>
          <w:tab w:leader="none" w:pos="15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 the Grantee has 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 than by reason of</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spacing w:after="0" w:line="185" w:lineRule="exact"/>
        <w:rPr>
          <w:sz w:val="20"/>
          <w:szCs w:val="20"/>
          <w:color w:val="auto"/>
        </w:rPr>
      </w:pPr>
    </w:p>
    <w:p>
      <w:pPr>
        <w:jc w:val="both"/>
        <w:ind w:left="1580" w:right="299"/>
        <w:spacing w:after="0" w:line="233" w:lineRule="auto"/>
        <w:rPr>
          <w:sz w:val="20"/>
          <w:szCs w:val="20"/>
          <w:color w:val="auto"/>
        </w:rPr>
      </w:pPr>
      <w:r>
        <w:rPr>
          <w:rFonts w:ascii="Times New Roman" w:cs="Times New Roman" w:eastAsia="Times New Roman" w:hAnsi="Times New Roman"/>
          <w:sz w:val="22"/>
          <w:szCs w:val="22"/>
          <w:color w:val="auto"/>
        </w:rPr>
        <w:t>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Subsidiary, or Parent, as the case may be, shall terminate the Grantee’s employment for cause (as determined by the Committee), all Options theretofore granted to such Grantee shall, to the extent not theretofore exercised, 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spacing w:after="0" w:line="187" w:lineRule="exact"/>
        <w:rPr>
          <w:sz w:val="20"/>
          <w:szCs w:val="20"/>
          <w:color w:val="auto"/>
        </w:rPr>
      </w:pPr>
    </w:p>
    <w:p>
      <w:pPr>
        <w:jc w:val="both"/>
        <w:ind w:left="1580" w:right="299" w:hanging="770"/>
        <w:spacing w:after="0" w:line="232" w:lineRule="auto"/>
        <w:tabs>
          <w:tab w:leader="none" w:pos="15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spacing w:after="0" w:line="191" w:lineRule="exact"/>
        <w:rPr>
          <w:rFonts w:ascii="Times New Roman" w:cs="Times New Roman" w:eastAsia="Times New Roman" w:hAnsi="Times New Roman"/>
          <w:sz w:val="22"/>
          <w:szCs w:val="22"/>
          <w:color w:val="auto"/>
        </w:rPr>
      </w:pPr>
    </w:p>
    <w:p>
      <w:pPr>
        <w:jc w:val="both"/>
        <w:ind w:left="1580" w:right="299" w:hanging="770"/>
        <w:spacing w:after="0" w:line="232" w:lineRule="auto"/>
        <w:tabs>
          <w:tab w:leader="none" w:pos="15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Subject to any law, the Company may make loans to Grantees as the Committee, in its discretion, may determine in connection with the exercise of outstanding options granted under the Plan. Such loans shall (i) 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 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 w:name="page34"/>
    <w:bookmarkEnd w:id="33"/>
    <w:p>
      <w:pPr>
        <w:spacing w:after="0" w:line="185" w:lineRule="exact"/>
        <w:rPr>
          <w:sz w:val="20"/>
          <w:szCs w:val="20"/>
          <w:color w:val="auto"/>
        </w:rPr>
      </w:pPr>
    </w:p>
    <w:p>
      <w:pPr>
        <w:jc w:val="both"/>
        <w:ind w:left="1580" w:right="299"/>
        <w:spacing w:after="0" w:line="238" w:lineRule="auto"/>
        <w:rPr>
          <w:sz w:val="20"/>
          <w:szCs w:val="20"/>
          <w:color w:val="auto"/>
        </w:rPr>
      </w:pPr>
      <w:r>
        <w:rPr>
          <w:rFonts w:ascii="Times New Roman" w:cs="Times New Roman" w:eastAsia="Times New Roman" w:hAnsi="Times New Roman"/>
          <w:sz w:val="22"/>
          <w:szCs w:val="22"/>
          <w:color w:val="auto"/>
        </w:rPr>
        <w:t>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177" w:lineRule="exact"/>
        <w:rPr>
          <w:sz w:val="20"/>
          <w:szCs w:val="20"/>
          <w:color w:val="auto"/>
        </w:rPr>
      </w:pPr>
    </w:p>
    <w:p>
      <w:pPr>
        <w:jc w:val="both"/>
        <w:ind w:left="1580" w:right="299" w:hanging="770"/>
        <w:spacing w:after="0" w:line="244" w:lineRule="auto"/>
        <w:tabs>
          <w:tab w:leader="none" w:pos="158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PROVISIONS. The Option Agreements evidencing Options under the Plan shall contain such other terms and conditions, not inconsistent with the Plan, as the Committee may determine.</w:t>
      </w:r>
    </w:p>
    <w:p>
      <w:pPr>
        <w:spacing w:after="0" w:line="173" w:lineRule="exact"/>
        <w:rPr>
          <w:rFonts w:ascii="Times New Roman" w:cs="Times New Roman" w:eastAsia="Times New Roman" w:hAnsi="Times New Roman"/>
          <w:sz w:val="22"/>
          <w:szCs w:val="22"/>
          <w:color w:val="auto"/>
        </w:rPr>
      </w:pPr>
    </w:p>
    <w:p>
      <w:pPr>
        <w:jc w:val="both"/>
        <w:ind w:left="1580" w:right="299" w:hanging="770"/>
        <w:spacing w:after="0" w:line="239" w:lineRule="auto"/>
        <w:tabs>
          <w:tab w:leader="none" w:pos="158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OF OPTIONS. A Grantee who decides to exercise an Option in whole or in part shall give notice to the Company or its designated agent of such exercise in writing on a form approved by the Committee. Such notice shall specify the manner in which the Grantee will make payment of the Option Price.</w:t>
      </w:r>
    </w:p>
    <w:p>
      <w:pPr>
        <w:spacing w:after="0" w:line="180" w:lineRule="exact"/>
        <w:rPr>
          <w:rFonts w:ascii="Times New Roman" w:cs="Times New Roman" w:eastAsia="Times New Roman" w:hAnsi="Times New Roman"/>
          <w:sz w:val="22"/>
          <w:szCs w:val="22"/>
          <w:color w:val="auto"/>
        </w:rPr>
      </w:pPr>
    </w:p>
    <w:p>
      <w:pPr>
        <w:ind w:left="860" w:hanging="568"/>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Nonqualified Stock Options</w:t>
      </w:r>
    </w:p>
    <w:p>
      <w:pPr>
        <w:spacing w:after="0" w:line="206" w:lineRule="exact"/>
        <w:rPr>
          <w:sz w:val="20"/>
          <w:szCs w:val="20"/>
          <w:color w:val="auto"/>
        </w:rPr>
      </w:pPr>
    </w:p>
    <w:p>
      <w:pPr>
        <w:jc w:val="both"/>
        <w:ind w:left="820" w:right="319"/>
        <w:spacing w:after="0" w:line="258" w:lineRule="auto"/>
        <w:rPr>
          <w:sz w:val="20"/>
          <w:szCs w:val="20"/>
          <w:color w:val="auto"/>
        </w:rPr>
      </w:pPr>
      <w:r>
        <w:rPr>
          <w:rFonts w:ascii="Times New Roman" w:cs="Times New Roman" w:eastAsia="Times New Roman" w:hAnsi="Times New Roman"/>
          <w:sz w:val="22"/>
          <w:szCs w:val="22"/>
          <w:color w:val="auto"/>
        </w:rPr>
        <w:t>Options intended to constitute Nonqualified Stock Options shall be subject only to the general terms and conditions specified in Section 6 hereof.</w:t>
      </w:r>
    </w:p>
    <w:p>
      <w:pPr>
        <w:spacing w:after="0" w:line="158" w:lineRule="exact"/>
        <w:rPr>
          <w:sz w:val="20"/>
          <w:szCs w:val="20"/>
          <w:color w:val="auto"/>
        </w:rPr>
      </w:pPr>
    </w:p>
    <w:p>
      <w:pPr>
        <w:ind w:left="300"/>
        <w:spacing w:after="0"/>
        <w:tabs>
          <w:tab w:leader="none" w:pos="800" w:val="left"/>
        </w:tabs>
        <w:rPr>
          <w:sz w:val="20"/>
          <w:szCs w:val="20"/>
          <w:color w:val="auto"/>
        </w:rPr>
      </w:pPr>
      <w:r>
        <w:rPr>
          <w:rFonts w:ascii="Times New Roman" w:cs="Times New Roman" w:eastAsia="Times New Roman" w:hAnsi="Times New Roman"/>
          <w:sz w:val="22"/>
          <w:szCs w:val="22"/>
          <w:color w:val="auto"/>
        </w:rPr>
        <w:t>7A.</w:t>
      </w:r>
      <w:r>
        <w:rPr>
          <w:sz w:val="20"/>
          <w:szCs w:val="20"/>
          <w:color w:val="auto"/>
        </w:rPr>
        <w:tab/>
      </w:r>
      <w:r>
        <w:rPr>
          <w:rFonts w:ascii="Times New Roman" w:cs="Times New Roman" w:eastAsia="Times New Roman" w:hAnsi="Times New Roman"/>
          <w:sz w:val="21"/>
          <w:szCs w:val="21"/>
          <w:u w:val="single" w:color="auto"/>
          <w:color w:val="auto"/>
        </w:rPr>
        <w:t>102 Securities</w:t>
      </w:r>
    </w:p>
    <w:p>
      <w:pPr>
        <w:spacing w:after="0" w:line="206" w:lineRule="exact"/>
        <w:rPr>
          <w:sz w:val="20"/>
          <w:szCs w:val="20"/>
          <w:color w:val="auto"/>
        </w:rPr>
      </w:pPr>
    </w:p>
    <w:p>
      <w:pPr>
        <w:jc w:val="both"/>
        <w:ind w:left="820" w:right="299"/>
        <w:spacing w:after="0" w:line="235" w:lineRule="auto"/>
        <w:rPr>
          <w:sz w:val="20"/>
          <w:szCs w:val="20"/>
          <w:color w:val="auto"/>
        </w:rPr>
      </w:pPr>
      <w:r>
        <w:rPr>
          <w:rFonts w:ascii="Times New Roman" w:cs="Times New Roman" w:eastAsia="Times New Roman" w:hAnsi="Times New Roman"/>
          <w:sz w:val="22"/>
          <w:szCs w:val="22"/>
          <w:color w:val="auto"/>
        </w:rPr>
        <w:t>Any 102 Securities which shall be granted to employees or consultants of the Company, any Subsidiary or Parent, or if required by law, shall be issued to a trustee nominated by the Board or the Committee (in accordance with the provisions of Section 102) (the “Trustee”) and held for the benefit of the Grantee in accordance with any of the alternatives under Section 102 as shall be prescribed from time to time by the Committee. The Trustee may also hold in trust any shares issued upon exercise of such 102 Securities, pursuant to the provisions of Section 102.</w:t>
      </w:r>
    </w:p>
    <w:p>
      <w:pPr>
        <w:spacing w:after="0" w:line="183" w:lineRule="exact"/>
        <w:rPr>
          <w:sz w:val="20"/>
          <w:szCs w:val="20"/>
          <w:color w:val="auto"/>
        </w:rPr>
      </w:pPr>
    </w:p>
    <w:p>
      <w:pPr>
        <w:ind w:left="860" w:hanging="568"/>
        <w:spacing w:after="0"/>
        <w:tabs>
          <w:tab w:leader="none" w:pos="8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Stock Options</w:t>
      </w:r>
    </w:p>
    <w:p>
      <w:pPr>
        <w:spacing w:after="0" w:line="206" w:lineRule="exact"/>
        <w:rPr>
          <w:sz w:val="20"/>
          <w:szCs w:val="20"/>
          <w:color w:val="auto"/>
        </w:rPr>
      </w:pPr>
    </w:p>
    <w:p>
      <w:pPr>
        <w:jc w:val="both"/>
        <w:ind w:left="820" w:right="299"/>
        <w:spacing w:after="0" w:line="244" w:lineRule="auto"/>
        <w:rPr>
          <w:sz w:val="20"/>
          <w:szCs w:val="20"/>
          <w:color w:val="auto"/>
        </w:rPr>
      </w:pPr>
      <w:r>
        <w:rPr>
          <w:rFonts w:ascii="Times New Roman" w:cs="Times New Roman" w:eastAsia="Times New Roman" w:hAnsi="Times New Roman"/>
          <w:sz w:val="22"/>
          <w:szCs w:val="22"/>
          <w:color w:val="auto"/>
        </w:rPr>
        <w:t>Options intended to constitute Incentive Stock Options shall be subject to the following special terms and conditions, in addition to the general terms and conditions specified in Section 6 hereof.</w:t>
      </w:r>
    </w:p>
    <w:p>
      <w:pPr>
        <w:spacing w:after="0" w:line="173" w:lineRule="exact"/>
        <w:rPr>
          <w:sz w:val="20"/>
          <w:szCs w:val="20"/>
          <w:color w:val="auto"/>
        </w:rPr>
      </w:pPr>
    </w:p>
    <w:p>
      <w:pPr>
        <w:jc w:val="both"/>
        <w:ind w:left="1580" w:right="299" w:hanging="770"/>
        <w:spacing w:after="0" w:line="233" w:lineRule="auto"/>
        <w:tabs>
          <w:tab w:leader="none" w:pos="15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VALUE OF SHARES. The aggregate Fair Market Value (determined as of the date the Incentive Stock Option is granted) of the shares of equity securities of the Company with respect to which Incentive Stock 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spacing w:after="0" w:line="185" w:lineRule="exact"/>
        <w:rPr>
          <w:sz w:val="20"/>
          <w:szCs w:val="20"/>
          <w:color w:val="auto"/>
        </w:rPr>
      </w:pPr>
    </w:p>
    <w:p>
      <w:pPr>
        <w:jc w:val="both"/>
        <w:ind w:left="1580" w:right="299" w:hanging="770"/>
        <w:spacing w:after="0" w:line="236" w:lineRule="auto"/>
        <w:tabs>
          <w:tab w:leader="none" w:pos="158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181" w:lineRule="exact"/>
        <w:rPr>
          <w:rFonts w:ascii="Times New Roman" w:cs="Times New Roman" w:eastAsia="Times New Roman" w:hAnsi="Times New Roman"/>
          <w:sz w:val="22"/>
          <w:szCs w:val="22"/>
          <w:color w:val="auto"/>
        </w:rPr>
      </w:pPr>
    </w:p>
    <w:p>
      <w:pPr>
        <w:ind w:left="860" w:hanging="568"/>
        <w:spacing w:after="0"/>
        <w:tabs>
          <w:tab w:leader="none" w:pos="8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w:t>
      </w:r>
    </w:p>
    <w:p>
      <w:pPr>
        <w:spacing w:after="0" w:line="206" w:lineRule="exact"/>
        <w:rPr>
          <w:sz w:val="20"/>
          <w:szCs w:val="20"/>
          <w:color w:val="auto"/>
        </w:rPr>
      </w:pPr>
    </w:p>
    <w:p>
      <w:pPr>
        <w:jc w:val="both"/>
        <w:ind w:left="820" w:right="299"/>
        <w:spacing w:after="0" w:line="235" w:lineRule="auto"/>
        <w:rPr>
          <w:sz w:val="20"/>
          <w:szCs w:val="20"/>
          <w:color w:val="auto"/>
        </w:rPr>
      </w:pPr>
      <w:r>
        <w:rPr>
          <w:rFonts w:ascii="Times New Roman" w:cs="Times New Roman" w:eastAsia="Times New Roman" w:hAnsi="Times New Roman"/>
          <w:sz w:val="22"/>
          <w:szCs w:val="22"/>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183" w:lineRule="exact"/>
        <w:rPr>
          <w:sz w:val="20"/>
          <w:szCs w:val="20"/>
          <w:color w:val="auto"/>
        </w:rPr>
      </w:pPr>
    </w:p>
    <w:p>
      <w:pPr>
        <w:ind w:left="1580" w:right="319" w:hanging="770"/>
        <w:spacing w:after="0" w:line="258" w:lineRule="auto"/>
        <w:tabs>
          <w:tab w:leader="none" w:pos="15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determine the number of shares of Ordinary Shares to be issued to the Grantee pursuant to the award.</w:t>
      </w:r>
    </w:p>
    <w:p>
      <w:pPr>
        <w:sectPr>
          <w:pgSz w:w="11900" w:h="16838" w:orient="portrait"/>
          <w:cols w:equalWidth="0" w:num="1">
            <w:col w:w="9019"/>
          </w:cols>
          <w:pgMar w:left="1440" w:top="1440" w:right="1440" w:bottom="1440" w:gutter="0" w:footer="0" w:header="0"/>
        </w:sectPr>
      </w:pP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(b)(i)</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both"/>
        <w:ind w:right="299" w:firstLine="114"/>
        <w:spacing w:after="0" w:line="231" w:lineRule="auto"/>
        <w:rPr>
          <w:sz w:val="20"/>
          <w:szCs w:val="20"/>
          <w:color w:val="auto"/>
        </w:rPr>
      </w:pPr>
      <w:r>
        <w:rPr>
          <w:rFonts w:ascii="Times New Roman" w:cs="Times New Roman" w:eastAsia="Times New Roman" w:hAnsi="Times New Roman"/>
          <w:sz w:val="22"/>
          <w:szCs w:val="22"/>
          <w:color w:val="auto"/>
        </w:rPr>
        <w:t>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 stock issued pursuant to Restricted Stock awards shall bear an appropriate legend referring to such restrictions, and any attempt to dispose of any such shares of stock in contravention of such restrictions shall be null and void and without effect. During the Restricted Period, such certificates shall be held in escrow by an escrow agent appointed by the Committee. In determining the Restricted Period of an award, the Committee may provide that the foregoing restrictions shall lapse with respect to specified percentages of the awarded shares on successive anniversaries of the date of such award, provided that the restrictions with respect to no more than 25% of the awarded shares shall lapse prior to the first anniversary of the date of grant, no more than additional 25% shall lapse prior to the second anniversary of the date of grant, no more than additional 25% shall lapse prior to the third anniversary of the date of grant and no more than additional 25% shall lapse prior to the fourth anniversary of the date of grant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provided further, however, that the foregoing vesting schedule shall not apply to (A) Restricted Stock granted with restrictions related to satisfaction of performance criteria; or (B) extraordinary circumstances as shall be determined by the Committee which shall include, without limitation, death or disability, a merger, consolidation, sale, reorganization, recapitalization, or change in control of the Company; or any other nonrecurring significant event affecting the Company, a Participant or the Plan.</w:t>
      </w:r>
    </w:p>
    <w:p>
      <w:pPr>
        <w:spacing w:after="0" w:line="200" w:lineRule="exact"/>
        <w:rPr>
          <w:sz w:val="20"/>
          <w:szCs w:val="20"/>
          <w:color w:val="auto"/>
        </w:rPr>
      </w:pPr>
    </w:p>
    <w:p>
      <w:pPr>
        <w:sectPr>
          <w:pgSz w:w="11900" w:h="16838" w:orient="portrait"/>
          <w:cols w:equalWidth="0" w:num="2">
            <w:col w:w="1260" w:space="320"/>
            <w:col w:w="7439"/>
          </w:cols>
          <w:pgMar w:left="1440" w:top="1440" w:right="1440" w:bottom="1440" w:gutter="0" w:footer="0" w:header="0"/>
          <w:type w:val="continuous"/>
        </w:sectPr>
      </w:pPr>
    </w:p>
    <w:p>
      <w:pPr>
        <w:spacing w:after="0" w:line="3" w:lineRule="exact"/>
        <w:rPr>
          <w:sz w:val="20"/>
          <w:szCs w:val="20"/>
          <w:color w:val="auto"/>
        </w:rPr>
      </w:pPr>
    </w:p>
    <w:p>
      <w:pPr>
        <w:ind w:left="1580" w:right="299" w:hanging="770"/>
        <w:spacing w:after="0" w:line="282" w:lineRule="auto"/>
        <w:tabs>
          <w:tab w:leader="none" w:pos="15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may adjust the performance goals to take into account changes in law and accounting and tax rules and to make such adjustments as the Committee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5" w:name="page36"/>
    <w:bookmarkEnd w:id="35"/>
    <w:p>
      <w:pPr>
        <w:spacing w:after="0" w:line="185" w:lineRule="exact"/>
        <w:rPr>
          <w:sz w:val="20"/>
          <w:szCs w:val="20"/>
          <w:color w:val="auto"/>
        </w:rPr>
      </w:pPr>
    </w:p>
    <w:p>
      <w:pPr>
        <w:jc w:val="both"/>
        <w:ind w:left="1580" w:right="299"/>
        <w:spacing w:after="0" w:line="238" w:lineRule="auto"/>
        <w:rPr>
          <w:sz w:val="20"/>
          <w:szCs w:val="20"/>
          <w:color w:val="auto"/>
        </w:rPr>
      </w:pPr>
      <w:r>
        <w:rPr>
          <w:rFonts w:ascii="Times New Roman" w:cs="Times New Roman" w:eastAsia="Times New Roman" w:hAnsi="Times New Roman"/>
          <w:sz w:val="22"/>
          <w:szCs w:val="22"/>
          <w:color w:val="auto"/>
        </w:rPr>
        <w:t>deems necessary or appropriate to reflect the inclusion or exclusion of the impact of extraordinary or unusual items, events or circumstances. The Committee also may adjust the performance goals by reducing the amount to be received by any Grantee pursuant to an award if and to the extent that the Committee deems it appropriate.</w:t>
      </w:r>
    </w:p>
    <w:p>
      <w:pPr>
        <w:spacing w:after="0" w:line="177" w:lineRule="exact"/>
        <w:rPr>
          <w:sz w:val="20"/>
          <w:szCs w:val="20"/>
          <w:color w:val="auto"/>
        </w:rPr>
      </w:pPr>
    </w:p>
    <w:p>
      <w:pPr>
        <w:jc w:val="both"/>
        <w:ind w:left="1580" w:right="299" w:hanging="770"/>
        <w:spacing w:after="0" w:line="235" w:lineRule="auto"/>
        <w:tabs>
          <w:tab w:leader="none" w:pos="15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repurchased by the Company or its Subsidiary at a price per share equal to the par value thereof.</w:t>
      </w:r>
    </w:p>
    <w:p>
      <w:pPr>
        <w:spacing w:after="0" w:line="183" w:lineRule="exact"/>
        <w:rPr>
          <w:rFonts w:ascii="Times New Roman" w:cs="Times New Roman" w:eastAsia="Times New Roman" w:hAnsi="Times New Roman"/>
          <w:sz w:val="22"/>
          <w:szCs w:val="22"/>
          <w:color w:val="auto"/>
        </w:rPr>
      </w:pPr>
    </w:p>
    <w:p>
      <w:pPr>
        <w:jc w:val="both"/>
        <w:ind w:left="1580" w:right="299" w:hanging="770"/>
        <w:spacing w:after="0" w:line="244" w:lineRule="auto"/>
        <w:tabs>
          <w:tab w:leader="none" w:pos="15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173" w:lineRule="exact"/>
        <w:rPr>
          <w:rFonts w:ascii="Times New Roman" w:cs="Times New Roman" w:eastAsia="Times New Roman" w:hAnsi="Times New Roman"/>
          <w:sz w:val="22"/>
          <w:szCs w:val="22"/>
          <w:color w:val="auto"/>
        </w:rPr>
      </w:pPr>
    </w:p>
    <w:p>
      <w:pPr>
        <w:jc w:val="both"/>
        <w:ind w:left="1580" w:right="299" w:hanging="770"/>
        <w:spacing w:after="0" w:line="238" w:lineRule="auto"/>
        <w:tabs>
          <w:tab w:leader="none" w:pos="15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177" w:lineRule="exact"/>
        <w:rPr>
          <w:sz w:val="20"/>
          <w:szCs w:val="20"/>
          <w:color w:val="auto"/>
        </w:rPr>
      </w:pPr>
    </w:p>
    <w:p>
      <w:pPr>
        <w:ind w:left="300"/>
        <w:spacing w:after="0"/>
        <w:tabs>
          <w:tab w:leader="none" w:pos="800" w:val="left"/>
        </w:tabs>
        <w:rPr>
          <w:sz w:val="20"/>
          <w:szCs w:val="20"/>
          <w:color w:val="auto"/>
        </w:rPr>
      </w:pPr>
      <w:r>
        <w:rPr>
          <w:rFonts w:ascii="Times New Roman" w:cs="Times New Roman" w:eastAsia="Times New Roman" w:hAnsi="Times New Roman"/>
          <w:sz w:val="22"/>
          <w:szCs w:val="22"/>
          <w:color w:val="auto"/>
        </w:rPr>
        <w:t>9A.</w:t>
      </w:r>
      <w:r>
        <w:rPr>
          <w:sz w:val="20"/>
          <w:szCs w:val="20"/>
          <w:color w:val="auto"/>
        </w:rPr>
        <w:tab/>
      </w:r>
      <w:r>
        <w:rPr>
          <w:rFonts w:ascii="Times New Roman" w:cs="Times New Roman" w:eastAsia="Times New Roman" w:hAnsi="Times New Roman"/>
          <w:sz w:val="21"/>
          <w:szCs w:val="21"/>
          <w:u w:val="single" w:color="auto"/>
          <w:color w:val="auto"/>
        </w:rPr>
        <w:t>Stock Appreciation Rights</w:t>
      </w:r>
    </w:p>
    <w:p>
      <w:pPr>
        <w:spacing w:after="0" w:line="206" w:lineRule="exact"/>
        <w:rPr>
          <w:sz w:val="20"/>
          <w:szCs w:val="20"/>
          <w:color w:val="auto"/>
        </w:rPr>
      </w:pPr>
    </w:p>
    <w:p>
      <w:pPr>
        <w:jc w:val="both"/>
        <w:ind w:left="1580" w:right="299" w:hanging="770"/>
        <w:spacing w:after="0" w:line="238" w:lineRule="auto"/>
        <w:tabs>
          <w:tab w:leader="none" w:pos="15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also grant stock appreciation rights (“SARs”)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w:t>
      </w:r>
    </w:p>
    <w:p>
      <w:pPr>
        <w:spacing w:after="0" w:line="176" w:lineRule="exact"/>
        <w:rPr>
          <w:rFonts w:ascii="Times New Roman" w:cs="Times New Roman" w:eastAsia="Times New Roman" w:hAnsi="Times New Roman"/>
          <w:sz w:val="22"/>
          <w:szCs w:val="22"/>
          <w:color w:val="auto"/>
        </w:rPr>
      </w:pPr>
    </w:p>
    <w:p>
      <w:pPr>
        <w:jc w:val="both"/>
        <w:ind w:left="1580" w:right="299" w:hanging="770"/>
        <w:spacing w:after="0" w:line="251" w:lineRule="auto"/>
        <w:tabs>
          <w:tab w:leader="none" w:pos="15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shall establish the exercise price of each SAR and specify it in the applicable SAR agreement. The exercise price shall not be less than 100% of the Fair Market Value on the date the SAR is granted; provided that if the Committee approves the grant of an SAR effective as of a future date, the exercise price shall be not less than 100% of the Fair Market Value on such future date.</w:t>
      </w:r>
    </w:p>
    <w:p>
      <w:pPr>
        <w:spacing w:after="0" w:line="168" w:lineRule="exact"/>
        <w:rPr>
          <w:rFonts w:ascii="Times New Roman" w:cs="Times New Roman" w:eastAsia="Times New Roman" w:hAnsi="Times New Roman"/>
          <w:sz w:val="21"/>
          <w:szCs w:val="21"/>
          <w:color w:val="auto"/>
        </w:rPr>
      </w:pPr>
    </w:p>
    <w:p>
      <w:pPr>
        <w:jc w:val="both"/>
        <w:ind w:left="1580" w:right="299" w:hanging="770"/>
        <w:spacing w:after="0" w:line="261" w:lineRule="auto"/>
        <w:tabs>
          <w:tab w:leader="none" w:pos="15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SAR shall be exercisable at such times and subject to such terms and conditions as the Committee may specify in the applicable SAR agreement; provided, however, that no SAR will be granted with a term in excess of 10 years.</w:t>
      </w:r>
    </w:p>
    <w:p>
      <w:pPr>
        <w:spacing w:after="0" w:line="157" w:lineRule="exact"/>
        <w:rPr>
          <w:sz w:val="20"/>
          <w:szCs w:val="20"/>
          <w:color w:val="auto"/>
        </w:rPr>
      </w:pPr>
    </w:p>
    <w:p>
      <w:pPr>
        <w:ind w:left="300"/>
        <w:spacing w:after="0"/>
        <w:tabs>
          <w:tab w:leader="none" w:pos="800" w:val="left"/>
        </w:tabs>
        <w:rPr>
          <w:sz w:val="20"/>
          <w:szCs w:val="20"/>
          <w:color w:val="auto"/>
        </w:rPr>
      </w:pPr>
      <w:r>
        <w:rPr>
          <w:rFonts w:ascii="Times New Roman" w:cs="Times New Roman" w:eastAsia="Times New Roman" w:hAnsi="Times New Roman"/>
          <w:sz w:val="22"/>
          <w:szCs w:val="22"/>
          <w:color w:val="auto"/>
        </w:rPr>
        <w:t>9B.</w:t>
      </w:r>
      <w:r>
        <w:rPr>
          <w:sz w:val="20"/>
          <w:szCs w:val="20"/>
          <w:color w:val="auto"/>
        </w:rPr>
        <w:tab/>
      </w:r>
      <w:r>
        <w:rPr>
          <w:rFonts w:ascii="Times New Roman" w:cs="Times New Roman" w:eastAsia="Times New Roman" w:hAnsi="Times New Roman"/>
          <w:sz w:val="21"/>
          <w:szCs w:val="21"/>
          <w:u w:val="single" w:color="auto"/>
          <w:color w:val="auto"/>
        </w:rPr>
        <w:t>Other Stock-Based Awards</w:t>
      </w:r>
    </w:p>
    <w:p>
      <w:pPr>
        <w:spacing w:after="0" w:line="206" w:lineRule="exact"/>
        <w:rPr>
          <w:sz w:val="20"/>
          <w:szCs w:val="20"/>
          <w:color w:val="auto"/>
        </w:rPr>
      </w:pPr>
    </w:p>
    <w:p>
      <w:pPr>
        <w:ind w:left="1580" w:right="319"/>
        <w:spacing w:after="0" w:line="251" w:lineRule="auto"/>
        <w:rPr>
          <w:sz w:val="20"/>
          <w:szCs w:val="20"/>
          <w:color w:val="auto"/>
        </w:rPr>
      </w:pPr>
      <w:r>
        <w:rPr>
          <w:rFonts w:ascii="Times New Roman" w:cs="Times New Roman" w:eastAsia="Times New Roman" w:hAnsi="Times New Roman"/>
          <w:sz w:val="21"/>
          <w:szCs w:val="21"/>
          <w:color w:val="auto"/>
        </w:rPr>
        <w:t>The Committee may grant other awards under the Plan pursuant to which shares of Ordinary Shares (which may, but need not, be shares of Restricted Stock pursuant to Section 9 hereof) are or may in the future be acquired, or awards denominated in stock units, including ones valued using measures other than market value. Such other stock based awards may be granted alone, in addition to,</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6" w:name="page37"/>
    <w:bookmarkEnd w:id="36"/>
    <w:p>
      <w:pPr>
        <w:spacing w:after="0" w:line="185" w:lineRule="exact"/>
        <w:rPr>
          <w:sz w:val="20"/>
          <w:szCs w:val="20"/>
          <w:color w:val="auto"/>
        </w:rPr>
      </w:pPr>
    </w:p>
    <w:p>
      <w:pPr>
        <w:ind w:left="1580" w:right="319"/>
        <w:spacing w:after="0" w:line="248" w:lineRule="auto"/>
        <w:rPr>
          <w:sz w:val="20"/>
          <w:szCs w:val="20"/>
          <w:color w:val="auto"/>
        </w:rPr>
      </w:pPr>
      <w:r>
        <w:rPr>
          <w:rFonts w:ascii="Times New Roman" w:cs="Times New Roman" w:eastAsia="Times New Roman" w:hAnsi="Times New Roman"/>
          <w:sz w:val="21"/>
          <w:szCs w:val="21"/>
          <w:color w:val="auto"/>
        </w:rPr>
        <w:t>or in tandem with any award of any typed granted under the Plan and must be consistent with the purposes of the Plan. As of December 4, 2023, the Committee may not award such stock-based awards that are “full-value” awards, including but not limited to Shares of Restricted Stock or awards denominated in stock units (but excluding options and SARs), in an aggregate amount that exceeds 6,577,354 Ordinary Shares. From and after February 2, 2024, the Committee may grant such “full-value” awards with respect to an additional 3,000,000 Ordinary Shares.</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9C.  </w:t>
      </w:r>
      <w:r>
        <w:rPr>
          <w:rFonts w:ascii="Times New Roman" w:cs="Times New Roman" w:eastAsia="Times New Roman" w:hAnsi="Times New Roman"/>
          <w:sz w:val="22"/>
          <w:szCs w:val="22"/>
          <w:u w:val="single" w:color="auto"/>
          <w:color w:val="auto"/>
        </w:rPr>
        <w:t>Limitations and Conditions.</w:t>
      </w:r>
    </w:p>
    <w:p>
      <w:pPr>
        <w:spacing w:after="0" w:line="206" w:lineRule="exact"/>
        <w:rPr>
          <w:sz w:val="20"/>
          <w:szCs w:val="20"/>
          <w:color w:val="auto"/>
        </w:rPr>
      </w:pPr>
    </w:p>
    <w:p>
      <w:pPr>
        <w:jc w:val="both"/>
        <w:ind w:left="1580" w:right="299" w:hanging="770"/>
        <w:spacing w:after="0" w:line="233" w:lineRule="auto"/>
        <w:tabs>
          <w:tab w:leader="none" w:pos="15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makes an acquisition or is a party to a merger or consolidation and the Company assumes or substitutes for the options or other awards consistent with the purpose of this Plan of the Company acquired, merged or consolidated which are administered pursuant to this Plan, shares of Ordinary Shares subject to the assumed or substituted options or other awards shall not count as part of the total number of shares of Ordinary Shares that may be made subject to awards under this Plan or the limitation on other stock-based awards under Section 9B hereof, except as may be required by reason of Section 422 and related provisions of the Code. Any assumed or substituted awards to be administered under the Plan shall be on such terms as the Board deems appropriate in the circumstances, notwithstanding any limitations on the terms and conditions of awards contained in the Plan.</w:t>
      </w:r>
    </w:p>
    <w:p>
      <w:pPr>
        <w:spacing w:after="0" w:line="184" w:lineRule="exact"/>
        <w:rPr>
          <w:rFonts w:ascii="Times New Roman" w:cs="Times New Roman" w:eastAsia="Times New Roman" w:hAnsi="Times New Roman"/>
          <w:sz w:val="22"/>
          <w:szCs w:val="22"/>
          <w:color w:val="auto"/>
        </w:rPr>
      </w:pPr>
    </w:p>
    <w:p>
      <w:pPr>
        <w:jc w:val="both"/>
        <w:ind w:left="1580" w:right="299" w:hanging="770"/>
        <w:spacing w:after="0" w:line="245" w:lineRule="auto"/>
        <w:tabs>
          <w:tab w:leader="none" w:pos="15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5 above, 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 For the avoidance of doubt, any shares that have been made subject to an award made prior to February 2, 2024 and of the type described in the last sentence of Section 9B that cease to be subject to such award (other than by reason of exercise or payment of the award to the extent it is settled in shares) shall again be available for awards of the type described in the last sentence of Section 9B, without regard to the sublimit set forth in the last sentence of Section 9B, and shall not be considered as having been theretofore made subject to award.</w:t>
      </w:r>
    </w:p>
    <w:p>
      <w:pPr>
        <w:spacing w:after="0" w:line="177" w:lineRule="exact"/>
        <w:rPr>
          <w:rFonts w:ascii="Times New Roman" w:cs="Times New Roman" w:eastAsia="Times New Roman" w:hAnsi="Times New Roman"/>
          <w:sz w:val="21"/>
          <w:szCs w:val="21"/>
          <w:color w:val="auto"/>
        </w:rPr>
      </w:pPr>
    </w:p>
    <w:p>
      <w:pPr>
        <w:ind w:left="1580" w:right="299" w:hanging="770"/>
        <w:spacing w:after="0" w:line="258" w:lineRule="auto"/>
        <w:tabs>
          <w:tab w:leader="none" w:pos="15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herein shall affect the right of the Company to terminate any Grantee’s employment at any time or for any reason.</w:t>
      </w:r>
    </w:p>
    <w:p>
      <w:pPr>
        <w:spacing w:after="0" w:line="158" w:lineRule="exact"/>
        <w:rPr>
          <w:sz w:val="20"/>
          <w:szCs w:val="20"/>
          <w:color w:val="auto"/>
        </w:rPr>
      </w:pPr>
    </w:p>
    <w:p>
      <w:pPr>
        <w:ind w:left="860" w:hanging="568"/>
        <w:spacing w:after="0"/>
        <w:tabs>
          <w:tab w:leader="none" w:pos="8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Certain Changes</w:t>
      </w:r>
    </w:p>
    <w:p>
      <w:pPr>
        <w:spacing w:after="0" w:line="206" w:lineRule="exact"/>
        <w:rPr>
          <w:rFonts w:ascii="Times New Roman" w:cs="Times New Roman" w:eastAsia="Times New Roman" w:hAnsi="Times New Roman"/>
          <w:sz w:val="22"/>
          <w:szCs w:val="22"/>
          <w:color w:val="auto"/>
        </w:rPr>
      </w:pPr>
    </w:p>
    <w:p>
      <w:pPr>
        <w:jc w:val="both"/>
        <w:ind w:left="1580" w:right="299" w:hanging="770"/>
        <w:spacing w:after="0" w:line="247" w:lineRule="auto"/>
        <w:tabs>
          <w:tab w:leader="none" w:pos="158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is any change in the shares of Ordinary Shares through the declaration of stock dividends, recapitalization, stock splits, combinations or exchanges of such shares, or other similar transactions, which result in any increase or decrease in the number of issued Ordinary Shares effected without receipt of consideration (provided, however, that conversion of any convertible security of the Company shall not be deemed to have been effected without receipt of consideration), the number of shares of Ordinary Shares available for awards, the number of such shares covered by outstanding awards, and the price per share of Options shall be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7" w:name="page38"/>
    <w:bookmarkEnd w:id="37"/>
    <w:p>
      <w:pPr>
        <w:spacing w:after="0" w:line="185" w:lineRule="exact"/>
        <w:rPr>
          <w:sz w:val="20"/>
          <w:szCs w:val="20"/>
          <w:color w:val="auto"/>
        </w:rPr>
      </w:pPr>
    </w:p>
    <w:p>
      <w:pPr>
        <w:jc w:val="both"/>
        <w:ind w:left="1580" w:right="299"/>
        <w:spacing w:after="0" w:line="244" w:lineRule="auto"/>
        <w:rPr>
          <w:sz w:val="20"/>
          <w:szCs w:val="20"/>
          <w:color w:val="auto"/>
        </w:rPr>
      </w:pPr>
      <w:r>
        <w:rPr>
          <w:rFonts w:ascii="Times New Roman" w:cs="Times New Roman" w:eastAsia="Times New Roman" w:hAnsi="Times New Roman"/>
          <w:sz w:val="22"/>
          <w:szCs w:val="22"/>
          <w:color w:val="auto"/>
        </w:rPr>
        <w:t>proportionately adjusted by the Committee to reflect such change in the issued shares of Ordinary Shares; provided, however, that any fractional shares resulting from such adjustment shall be eliminated.</w:t>
      </w:r>
    </w:p>
    <w:p>
      <w:pPr>
        <w:spacing w:after="0" w:line="173" w:lineRule="exact"/>
        <w:rPr>
          <w:sz w:val="20"/>
          <w:szCs w:val="20"/>
          <w:color w:val="auto"/>
        </w:rPr>
      </w:pPr>
    </w:p>
    <w:p>
      <w:pPr>
        <w:jc w:val="both"/>
        <w:ind w:left="1580" w:right="299" w:hanging="770"/>
        <w:spacing w:after="0" w:line="239" w:lineRule="auto"/>
        <w:tabs>
          <w:tab w:leader="none" w:pos="15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180" w:lineRule="exact"/>
        <w:rPr>
          <w:rFonts w:ascii="Times New Roman" w:cs="Times New Roman" w:eastAsia="Times New Roman" w:hAnsi="Times New Roman"/>
          <w:sz w:val="22"/>
          <w:szCs w:val="22"/>
          <w:color w:val="auto"/>
        </w:rPr>
      </w:pPr>
    </w:p>
    <w:p>
      <w:pPr>
        <w:jc w:val="both"/>
        <w:ind w:left="2360" w:right="299" w:hanging="772"/>
        <w:spacing w:after="0" w:line="234" w:lineRule="auto"/>
        <w:tabs>
          <w:tab w:leader="none" w:pos="23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of any award hereunder shall have the right to exercise an Option (at its then Option price) or to receive in respect of other types of awards the kind and amount of shares of stock and other securities, 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spacing w:after="0" w:line="183" w:lineRule="exact"/>
        <w:rPr>
          <w:rFonts w:ascii="Times New Roman" w:cs="Times New Roman" w:eastAsia="Times New Roman" w:hAnsi="Times New Roman"/>
          <w:sz w:val="22"/>
          <w:szCs w:val="22"/>
          <w:color w:val="auto"/>
        </w:rPr>
      </w:pPr>
    </w:p>
    <w:p>
      <w:pPr>
        <w:jc w:val="both"/>
        <w:ind w:left="2360" w:right="299" w:hanging="772"/>
        <w:spacing w:after="0" w:line="235" w:lineRule="auto"/>
        <w:tabs>
          <w:tab w:leader="none" w:pos="23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183" w:lineRule="exact"/>
        <w:rPr>
          <w:sz w:val="20"/>
          <w:szCs w:val="20"/>
          <w:color w:val="auto"/>
        </w:rPr>
      </w:pPr>
    </w:p>
    <w:p>
      <w:pPr>
        <w:jc w:val="both"/>
        <w:ind w:left="1580" w:right="299"/>
        <w:spacing w:after="0" w:line="244" w:lineRule="auto"/>
        <w:rPr>
          <w:sz w:val="20"/>
          <w:szCs w:val="20"/>
          <w:color w:val="auto"/>
        </w:rPr>
      </w:pPr>
      <w:r>
        <w:rPr>
          <w:rFonts w:ascii="Times New Roman" w:cs="Times New Roman" w:eastAsia="Times New Roman" w:hAnsi="Times New Roman"/>
          <w:sz w:val="21"/>
          <w:szCs w:val="21"/>
          <w:color w:val="auto"/>
        </w:rPr>
        <w:t>In the event of a proposed sale of all or substantially all of the assets of the Company or the merger of the Company with or into another corporation, the Committee may provide that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w:t>
      </w:r>
    </w:p>
    <w:p>
      <w:pPr>
        <w:spacing w:after="0" w:line="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(i) or 10(b)(ii) above.</w:t>
      </w:r>
    </w:p>
    <w:p>
      <w:pPr>
        <w:spacing w:after="0" w:line="182" w:lineRule="exact"/>
        <w:rPr>
          <w:sz w:val="20"/>
          <w:szCs w:val="20"/>
          <w:color w:val="auto"/>
        </w:rPr>
      </w:pPr>
    </w:p>
    <w:p>
      <w:pPr>
        <w:jc w:val="both"/>
        <w:ind w:left="1580" w:right="299" w:hanging="770"/>
        <w:spacing w:after="0" w:line="238" w:lineRule="auto"/>
        <w:tabs>
          <w:tab w:leader="none" w:pos="15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176" w:lineRule="exact"/>
        <w:rPr>
          <w:rFonts w:ascii="Times New Roman" w:cs="Times New Roman" w:eastAsia="Times New Roman" w:hAnsi="Times New Roman"/>
          <w:sz w:val="22"/>
          <w:szCs w:val="22"/>
          <w:color w:val="auto"/>
        </w:rPr>
      </w:pPr>
    </w:p>
    <w:p>
      <w:pPr>
        <w:jc w:val="both"/>
        <w:ind w:left="1580" w:right="299" w:hanging="770"/>
        <w:spacing w:after="0" w:line="236" w:lineRule="auto"/>
        <w:tabs>
          <w:tab w:leader="none" w:pos="15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herein before expressly provided in this Section 10, the Grantee of an award hereunder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8" w:name="page39"/>
    <w:bookmarkEnd w:id="38"/>
    <w:p>
      <w:pPr>
        <w:spacing w:after="0" w:line="185" w:lineRule="exact"/>
        <w:rPr>
          <w:sz w:val="20"/>
          <w:szCs w:val="20"/>
          <w:color w:val="auto"/>
        </w:rPr>
      </w:pPr>
    </w:p>
    <w:p>
      <w:pPr>
        <w:jc w:val="both"/>
        <w:ind w:left="1580" w:right="299"/>
        <w:spacing w:after="0" w:line="244" w:lineRule="auto"/>
        <w:rPr>
          <w:sz w:val="20"/>
          <w:szCs w:val="20"/>
          <w:color w:val="auto"/>
        </w:rPr>
      </w:pPr>
      <w:r>
        <w:rPr>
          <w:rFonts w:ascii="Times New Roman" w:cs="Times New Roman" w:eastAsia="Times New Roman" w:hAnsi="Times New Roman"/>
          <w:sz w:val="21"/>
          <w:szCs w:val="21"/>
          <w:color w:val="auto"/>
        </w:rPr>
        <w:t>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173" w:lineRule="exact"/>
        <w:rPr>
          <w:sz w:val="20"/>
          <w:szCs w:val="20"/>
          <w:color w:val="auto"/>
        </w:rPr>
      </w:pPr>
    </w:p>
    <w:p>
      <w:pPr>
        <w:ind w:left="860" w:hanging="568"/>
        <w:spacing w:after="0"/>
        <w:tabs>
          <w:tab w:leader="none" w:pos="8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06" w:lineRule="exact"/>
        <w:rPr>
          <w:rFonts w:ascii="Times New Roman" w:cs="Times New Roman" w:eastAsia="Times New Roman" w:hAnsi="Times New Roman"/>
          <w:sz w:val="22"/>
          <w:szCs w:val="22"/>
          <w:color w:val="auto"/>
        </w:rPr>
      </w:pPr>
    </w:p>
    <w:p>
      <w:pPr>
        <w:ind w:left="860" w:hanging="568"/>
        <w:spacing w:after="0"/>
        <w:tabs>
          <w:tab w:leader="none" w:pos="8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and Term of the Plan</w:t>
      </w:r>
    </w:p>
    <w:p>
      <w:pPr>
        <w:spacing w:after="0" w:line="206" w:lineRule="exact"/>
        <w:rPr>
          <w:sz w:val="20"/>
          <w:szCs w:val="20"/>
          <w:color w:val="auto"/>
        </w:rPr>
      </w:pPr>
    </w:p>
    <w:p>
      <w:pPr>
        <w:ind w:left="820" w:right="299"/>
        <w:spacing w:after="0" w:line="258" w:lineRule="auto"/>
        <w:rPr>
          <w:sz w:val="20"/>
          <w:szCs w:val="20"/>
          <w:color w:val="auto"/>
        </w:rPr>
      </w:pPr>
      <w:r>
        <w:rPr>
          <w:rFonts w:ascii="Times New Roman" w:cs="Times New Roman" w:eastAsia="Times New Roman" w:hAnsi="Times New Roman"/>
          <w:sz w:val="22"/>
          <w:szCs w:val="22"/>
          <w:color w:val="auto"/>
        </w:rPr>
        <w:t>Awards may be granted pursuant to the Plan from time to time by no later than January 31, 2035, but awards previously granted may extend beyond such date.</w:t>
      </w:r>
    </w:p>
    <w:p>
      <w:pPr>
        <w:spacing w:after="0" w:line="158" w:lineRule="exact"/>
        <w:rPr>
          <w:sz w:val="20"/>
          <w:szCs w:val="20"/>
          <w:color w:val="auto"/>
        </w:rPr>
      </w:pPr>
    </w:p>
    <w:p>
      <w:pPr>
        <w:ind w:left="860" w:hanging="568"/>
        <w:spacing w:after="0"/>
        <w:tabs>
          <w:tab w:leader="none" w:pos="8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Awards</w:t>
      </w:r>
    </w:p>
    <w:p>
      <w:pPr>
        <w:spacing w:after="0" w:line="206" w:lineRule="exact"/>
        <w:rPr>
          <w:sz w:val="20"/>
          <w:szCs w:val="20"/>
          <w:color w:val="auto"/>
        </w:rPr>
      </w:pPr>
    </w:p>
    <w:p>
      <w:pPr>
        <w:jc w:val="both"/>
        <w:ind w:left="820" w:right="299"/>
        <w:spacing w:after="0" w:line="239" w:lineRule="auto"/>
        <w:rPr>
          <w:sz w:val="20"/>
          <w:szCs w:val="20"/>
          <w:color w:val="auto"/>
        </w:rPr>
      </w:pPr>
      <w:r>
        <w:rPr>
          <w:rFonts w:ascii="Times New Roman" w:cs="Times New Roman" w:eastAsia="Times New Roman" w:hAnsi="Times New Roman"/>
          <w:sz w:val="22"/>
          <w:szCs w:val="22"/>
          <w:color w:val="auto"/>
        </w:rPr>
        <w:t>Awards granted under the Plan shall not be transferable otherwise than by will or by the laws of descent and distribution, other than pursuant to a valid domestic relations order issued by a court pursuant to Section 414(p) of the Code, and awards may be exercised or otherwise realized, during the lifetime of the Grantee, only by the Grantee.</w:t>
      </w:r>
    </w:p>
    <w:p>
      <w:pPr>
        <w:spacing w:after="0" w:line="180" w:lineRule="exact"/>
        <w:rPr>
          <w:sz w:val="20"/>
          <w:szCs w:val="20"/>
          <w:color w:val="auto"/>
        </w:rPr>
      </w:pPr>
    </w:p>
    <w:p>
      <w:pPr>
        <w:ind w:left="860" w:hanging="568"/>
        <w:spacing w:after="0"/>
        <w:tabs>
          <w:tab w:leader="none" w:pos="8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of Shareholders</w:t>
      </w:r>
    </w:p>
    <w:p>
      <w:pPr>
        <w:spacing w:after="0" w:line="206" w:lineRule="exact"/>
        <w:rPr>
          <w:sz w:val="20"/>
          <w:szCs w:val="20"/>
          <w:color w:val="auto"/>
        </w:rPr>
      </w:pPr>
    </w:p>
    <w:p>
      <w:pPr>
        <w:jc w:val="both"/>
        <w:ind w:left="820" w:right="299"/>
        <w:spacing w:after="0" w:line="238" w:lineRule="auto"/>
        <w:rPr>
          <w:sz w:val="20"/>
          <w:szCs w:val="20"/>
          <w:color w:val="auto"/>
        </w:rPr>
      </w:pPr>
      <w:r>
        <w:rPr>
          <w:rFonts w:ascii="Times New Roman" w:cs="Times New Roman" w:eastAsia="Times New Roman" w:hAnsi="Times New Roman"/>
          <w:sz w:val="22"/>
          <w:szCs w:val="22"/>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pacing w:after="0" w:line="177" w:lineRule="exact"/>
        <w:rPr>
          <w:sz w:val="20"/>
          <w:szCs w:val="20"/>
          <w:color w:val="auto"/>
        </w:rPr>
      </w:pPr>
    </w:p>
    <w:p>
      <w:pPr>
        <w:ind w:left="860" w:hanging="568"/>
        <w:spacing w:after="0"/>
        <w:tabs>
          <w:tab w:leader="none" w:pos="8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by Grantee Regarding Withholding Taxes</w:t>
      </w:r>
    </w:p>
    <w:p>
      <w:pPr>
        <w:spacing w:after="0" w:line="206" w:lineRule="exact"/>
        <w:rPr>
          <w:sz w:val="20"/>
          <w:szCs w:val="20"/>
          <w:color w:val="auto"/>
        </w:rPr>
      </w:pPr>
    </w:p>
    <w:p>
      <w:pPr>
        <w:jc w:val="both"/>
        <w:ind w:left="820" w:right="299"/>
        <w:spacing w:after="0" w:line="235" w:lineRule="auto"/>
        <w:rPr>
          <w:sz w:val="20"/>
          <w:szCs w:val="20"/>
          <w:color w:val="auto"/>
        </w:rPr>
      </w:pPr>
      <w:r>
        <w:rPr>
          <w:rFonts w:ascii="Times New Roman" w:cs="Times New Roman" w:eastAsia="Times New Roman" w:hAnsi="Times New Roman"/>
          <w:sz w:val="22"/>
          <w:szCs w:val="22"/>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9" w:name="page40"/>
    <w:bookmarkEnd w:id="39"/>
    <w:p>
      <w:pPr>
        <w:spacing w:after="0" w:line="185" w:lineRule="exact"/>
        <w:rPr>
          <w:sz w:val="20"/>
          <w:szCs w:val="20"/>
          <w:color w:val="auto"/>
        </w:rPr>
      </w:pPr>
    </w:p>
    <w:p>
      <w:pPr>
        <w:ind w:left="820" w:right="319"/>
        <w:spacing w:after="0" w:line="258" w:lineRule="auto"/>
        <w:rPr>
          <w:sz w:val="20"/>
          <w:szCs w:val="20"/>
          <w:color w:val="auto"/>
        </w:rPr>
      </w:pPr>
      <w:r>
        <w:rPr>
          <w:rFonts w:ascii="Times New Roman" w:cs="Times New Roman" w:eastAsia="Times New Roman" w:hAnsi="Times New Roman"/>
          <w:sz w:val="22"/>
          <w:szCs w:val="22"/>
          <w:color w:val="auto"/>
        </w:rPr>
        <w:t>local taxes of any kind required by law to be withheld upon the exercise of an Option or realization of any award from any payment of any kind due to the Grantee.</w:t>
      </w:r>
    </w:p>
    <w:p>
      <w:pPr>
        <w:spacing w:after="0" w:line="158" w:lineRule="exact"/>
        <w:rPr>
          <w:sz w:val="20"/>
          <w:szCs w:val="20"/>
          <w:color w:val="auto"/>
        </w:rPr>
      </w:pPr>
    </w:p>
    <w:p>
      <w:pPr>
        <w:ind w:left="860" w:hanging="568"/>
        <w:spacing w:after="0"/>
        <w:tabs>
          <w:tab w:leader="none" w:pos="8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 of the Plan</w:t>
      </w:r>
    </w:p>
    <w:p>
      <w:pPr>
        <w:spacing w:after="0" w:line="206" w:lineRule="exact"/>
        <w:rPr>
          <w:sz w:val="20"/>
          <w:szCs w:val="20"/>
          <w:color w:val="auto"/>
        </w:rPr>
      </w:pPr>
    </w:p>
    <w:p>
      <w:pPr>
        <w:jc w:val="both"/>
        <w:ind w:left="820" w:right="299"/>
        <w:spacing w:after="0" w:line="243" w:lineRule="auto"/>
        <w:rPr>
          <w:sz w:val="20"/>
          <w:szCs w:val="20"/>
          <w:color w:val="auto"/>
        </w:rPr>
      </w:pPr>
      <w:r>
        <w:rPr>
          <w:rFonts w:ascii="Times New Roman" w:cs="Times New Roman" w:eastAsia="Times New Roman" w:hAnsi="Times New Roman"/>
          <w:sz w:val="21"/>
          <w:szCs w:val="21"/>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 In addition, unless such action is approved by the Company’s shareholders: (1) no outstanding Option or SAR granted under the Plan may be amended to provide an exercise price per share that is lower than the then-current exercise price per share of such outstanding Option or SAR (other than adjustments pursuant to Section 10) and (2) the Board may not cancel any outstanding Option or SAR (whether or not granted under the Plan) and grant in substitution therefore new awards under the Plan covering the same or a different number of shares of Ordinary Shares and having an exercise price per share lower than the then-current exercise price per share of the cancelled Option or SAR. No Option or SAR granted under the Plan shall contain any provision entitling the Grantee to the automatic grant of additional Options or SARs in connection with any exercise of the original Option or SAR.</w:t>
      </w:r>
    </w:p>
    <w:p>
      <w:pPr>
        <w:spacing w:after="0" w:line="200" w:lineRule="exact"/>
        <w:rPr>
          <w:sz w:val="20"/>
          <w:szCs w:val="20"/>
          <w:color w:val="auto"/>
        </w:rPr>
      </w:pPr>
    </w:p>
    <w:p>
      <w:pPr>
        <w:spacing w:after="0" w:line="226" w:lineRule="exact"/>
        <w:rPr>
          <w:sz w:val="20"/>
          <w:szCs w:val="20"/>
          <w:color w:val="auto"/>
        </w:rPr>
      </w:pPr>
    </w:p>
    <w:p>
      <w:pPr>
        <w:ind w:left="860" w:hanging="568"/>
        <w:spacing w:after="0"/>
        <w:tabs>
          <w:tab w:leader="none" w:pos="8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Shareholder</w:t>
      </w:r>
    </w:p>
    <w:p>
      <w:pPr>
        <w:spacing w:after="0" w:line="206" w:lineRule="exact"/>
        <w:rPr>
          <w:sz w:val="20"/>
          <w:szCs w:val="20"/>
          <w:color w:val="auto"/>
        </w:rPr>
      </w:pPr>
    </w:p>
    <w:p>
      <w:pPr>
        <w:jc w:val="both"/>
        <w:ind w:left="820" w:right="299"/>
        <w:spacing w:after="0" w:line="236" w:lineRule="auto"/>
        <w:rPr>
          <w:sz w:val="20"/>
          <w:szCs w:val="20"/>
          <w:color w:val="auto"/>
        </w:rPr>
      </w:pPr>
      <w:r>
        <w:rPr>
          <w:rFonts w:ascii="Times New Roman" w:cs="Times New Roman" w:eastAsia="Times New Roman" w:hAnsi="Times New Roman"/>
          <w:sz w:val="22"/>
          <w:szCs w:val="22"/>
          <w:color w:val="auto"/>
        </w:rPr>
        <w:t>Except as provided in Section 9(d) hereof, a Grantee or a transferee of an award shall have no rights as a shareholder with respect to any shares covered by the award until the date of the issuance of a stock certificate 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181" w:lineRule="exact"/>
        <w:rPr>
          <w:sz w:val="20"/>
          <w:szCs w:val="20"/>
          <w:color w:val="auto"/>
        </w:rPr>
      </w:pPr>
    </w:p>
    <w:p>
      <w:pPr>
        <w:ind w:left="860" w:hanging="568"/>
        <w:spacing w:after="0"/>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to Employment</w:t>
      </w:r>
    </w:p>
    <w:p>
      <w:pPr>
        <w:spacing w:after="0" w:line="206" w:lineRule="exact"/>
        <w:rPr>
          <w:sz w:val="20"/>
          <w:szCs w:val="20"/>
          <w:color w:val="auto"/>
        </w:rPr>
      </w:pPr>
    </w:p>
    <w:p>
      <w:pPr>
        <w:jc w:val="both"/>
        <w:ind w:left="820" w:right="299"/>
        <w:spacing w:after="0" w:line="235" w:lineRule="auto"/>
        <w:rPr>
          <w:sz w:val="20"/>
          <w:szCs w:val="20"/>
          <w:color w:val="auto"/>
        </w:rPr>
      </w:pPr>
      <w:r>
        <w:rPr>
          <w:rFonts w:ascii="Times New Roman" w:cs="Times New Roman" w:eastAsia="Times New Roman" w:hAnsi="Times New Roman"/>
          <w:sz w:val="22"/>
          <w:szCs w:val="22"/>
          <w:color w:val="auto"/>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p>
      <w:pPr>
        <w:spacing w:after="0" w:line="185" w:lineRule="exact"/>
        <w:rPr>
          <w:sz w:val="20"/>
          <w:szCs w:val="20"/>
          <w:color w:val="auto"/>
        </w:rPr>
      </w:pPr>
    </w:p>
    <w:p>
      <w:pPr>
        <w:ind w:left="860" w:hanging="568"/>
        <w:spacing w:after="0"/>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Beneficiary</w:t>
      </w:r>
    </w:p>
    <w:p>
      <w:pPr>
        <w:spacing w:after="0" w:line="206" w:lineRule="exact"/>
        <w:rPr>
          <w:sz w:val="20"/>
          <w:szCs w:val="20"/>
          <w:color w:val="auto"/>
        </w:rPr>
      </w:pPr>
    </w:p>
    <w:p>
      <w:pPr>
        <w:jc w:val="both"/>
        <w:ind w:left="820" w:right="299"/>
        <w:spacing w:after="0" w:line="239" w:lineRule="auto"/>
        <w:rPr>
          <w:sz w:val="20"/>
          <w:szCs w:val="20"/>
          <w:color w:val="auto"/>
        </w:rPr>
      </w:pPr>
      <w:r>
        <w:rPr>
          <w:rFonts w:ascii="Times New Roman" w:cs="Times New Roman" w:eastAsia="Times New Roman" w:hAnsi="Times New Roman"/>
          <w:sz w:val="22"/>
          <w:szCs w:val="22"/>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180" w:lineRule="exact"/>
        <w:rPr>
          <w:sz w:val="20"/>
          <w:szCs w:val="20"/>
          <w:color w:val="auto"/>
        </w:rPr>
      </w:pPr>
    </w:p>
    <w:p>
      <w:pPr>
        <w:ind w:left="860" w:hanging="568"/>
        <w:spacing w:after="0"/>
        <w:tabs>
          <w:tab w:leader="none" w:pos="8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p>
    <w:p>
      <w:pPr>
        <w:spacing w:after="0" w:line="206" w:lineRule="exact"/>
        <w:rPr>
          <w:sz w:val="20"/>
          <w:szCs w:val="20"/>
          <w:color w:val="auto"/>
        </w:rPr>
      </w:pPr>
    </w:p>
    <w:p>
      <w:pPr>
        <w:ind w:left="820" w:right="319"/>
        <w:spacing w:after="0" w:line="258" w:lineRule="auto"/>
        <w:rPr>
          <w:sz w:val="20"/>
          <w:szCs w:val="20"/>
          <w:color w:val="auto"/>
        </w:rPr>
      </w:pPr>
      <w:r>
        <w:rPr>
          <w:rFonts w:ascii="Times New Roman" w:cs="Times New Roman" w:eastAsia="Times New Roman" w:hAnsi="Times New Roman"/>
          <w:sz w:val="22"/>
          <w:szCs w:val="22"/>
          <w:color w:val="auto"/>
        </w:rPr>
        <w:t>The Plan and all determinations made and actions taken pursuant hereto shall be governed by the laws of the State of New York.</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p>
      <w:pPr>
        <w:spacing w:after="0" w:line="1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 OF</w:t>
      </w:r>
    </w:p>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January 31, 2025</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INTERNET AVAILABILITY OF PROXY MATERIAL:</w:t>
      </w: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Notice of Meeting, Proxy Statement, Proxy Card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are available at www.amdocs.com/proxy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Please sign, date and mail</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your proxy card in the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envelope provided as soon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as possible.</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Please detach along perforated line and mail in the envelope provided.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AMDOCS’ BOARD OF DIRECTORS RECOMMENDS A VOTE “FOR” THE ELECTION OF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DIRECTOR NOMINEES</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AND A VOTE “FOR” PROPOSALS 2, 3, 4 AND 5.</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PLEASE SIGN, DATE AND RETURN PROMPTLY IN THE ENCLOSED ENVELOPE. PLEASE MARK YOUR VOTE</w:t>
      </w:r>
    </w:p>
    <w:p>
      <w:pPr>
        <w:jc w:val="center"/>
        <w:ind w:right="-99"/>
        <w:spacing w:after="0" w:line="233" w:lineRule="auto"/>
        <w:rPr>
          <w:sz w:val="20"/>
          <w:szCs w:val="20"/>
          <w:color w:val="auto"/>
        </w:rPr>
      </w:pPr>
      <w:r>
        <w:rPr>
          <w:rFonts w:ascii="Times New Roman" w:cs="Times New Roman" w:eastAsia="Times New Roman" w:hAnsi="Times New Roman"/>
          <w:sz w:val="14"/>
          <w:szCs w:val="14"/>
          <w:b w:val="1"/>
          <w:bCs w:val="1"/>
          <w:color w:val="auto"/>
        </w:rPr>
        <w:t>IN BLUE OR BLACK INK AS</w:t>
      </w:r>
    </w:p>
    <w:p>
      <w:pPr>
        <w:spacing w:after="0" w:line="1" w:lineRule="exact"/>
        <w:rPr>
          <w:sz w:val="20"/>
          <w:szCs w:val="20"/>
          <w:color w:val="auto"/>
        </w:rPr>
      </w:pPr>
    </w:p>
    <w:p>
      <w:pPr>
        <w:jc w:val="center"/>
        <w:ind w:left="298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SHOWN HERE </w:t>
      </w:r>
      <w:r>
        <w:rPr>
          <w:rFonts w:ascii="MS PGothic" w:cs="MS PGothic" w:eastAsia="MS PGothic" w:hAnsi="MS PGothic"/>
          <w:sz w:val="14"/>
          <w:szCs w:val="14"/>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6172200" cy="31756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2200" cy="3175635"/>
                    </a:xfrm>
                    <a:prstGeom prst="rect">
                      <a:avLst/>
                    </a:prstGeom>
                    <a:noFill/>
                  </pic:spPr>
                </pic:pic>
              </a:graphicData>
            </a:graphic>
          </wp:anchor>
        </w:drawing>
      </w:r>
    </w:p>
    <w:p>
      <w:pPr>
        <w:sectPr>
          <w:pgSz w:w="11900" w:h="16838" w:orient="portrait"/>
          <w:cols w:equalWidth="0" w:num="1">
            <w:col w:w="9640"/>
          </w:cols>
          <w:pgMar w:left="1080" w:top="1440" w:right="1179" w:bottom="1440" w:gutter="0" w:footer="0" w:header="0"/>
        </w:sectPr>
      </w:pPr>
    </w:p>
    <w:tbl>
      <w:tblPr>
        <w:tblLayout w:type="fixed"/>
        <w:tblInd w:w="20" w:type="dxa"/>
        <w:tblCellMar>
          <w:top w:w="0" w:type="dxa"/>
          <w:left w:w="0" w:type="dxa"/>
          <w:bottom w:w="0" w:type="dxa"/>
          <w:right w:w="0" w:type="dxa"/>
        </w:tblCellMar>
      </w:tblPr>
      <w:tr>
        <w:trPr>
          <w:trHeight w:val="152"/>
        </w:trPr>
        <w:tc>
          <w:tcPr>
            <w:tcW w:w="15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 ELECTION OF</w:t>
            </w:r>
          </w:p>
        </w:tc>
        <w:tc>
          <w:tcPr>
            <w:tcW w:w="800" w:type="dxa"/>
            <w:vAlign w:val="bottom"/>
          </w:tcPr>
          <w:p>
            <w:pPr>
              <w:jc w:val="center"/>
              <w:ind w:left="168"/>
              <w:spacing w:after="0" w:line="153" w:lineRule="exact"/>
              <w:rPr>
                <w:sz w:val="20"/>
                <w:szCs w:val="20"/>
                <w:color w:val="auto"/>
              </w:rPr>
            </w:pPr>
            <w:r>
              <w:rPr>
                <w:rFonts w:ascii="Times New Roman" w:cs="Times New Roman" w:eastAsia="Times New Roman" w:hAnsi="Times New Roman"/>
                <w:sz w:val="14"/>
                <w:szCs w:val="14"/>
                <w:color w:val="auto"/>
              </w:rPr>
              <w:t>FOR</w:t>
            </w:r>
          </w:p>
        </w:tc>
        <w:tc>
          <w:tcPr>
            <w:tcW w:w="9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AGAINST</w:t>
            </w:r>
          </w:p>
        </w:tc>
        <w:tc>
          <w:tcPr>
            <w:tcW w:w="740" w:type="dxa"/>
            <w:vAlign w:val="bottom"/>
          </w:tcPr>
          <w:p>
            <w:pPr>
              <w:jc w:val="center"/>
              <w:ind w:left="68"/>
              <w:spacing w:after="0" w:line="153" w:lineRule="exact"/>
              <w:rPr>
                <w:sz w:val="20"/>
                <w:szCs w:val="20"/>
                <w:color w:val="auto"/>
              </w:rPr>
            </w:pPr>
            <w:r>
              <w:rPr>
                <w:rFonts w:ascii="Times New Roman" w:cs="Times New Roman" w:eastAsia="Times New Roman" w:hAnsi="Times New Roman"/>
                <w:sz w:val="14"/>
                <w:szCs w:val="14"/>
                <w:color w:val="auto"/>
                <w:w w:val="98"/>
              </w:rPr>
              <w:t>ABSTAIN</w:t>
            </w: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DIRECTORS:</w:t>
            </w:r>
          </w:p>
        </w:tc>
        <w:tc>
          <w:tcPr>
            <w:tcW w:w="800" w:type="dxa"/>
            <w:vAlign w:val="bottom"/>
            <w:vMerge w:val="restart"/>
          </w:tcPr>
          <w:p>
            <w:pPr>
              <w:jc w:val="center"/>
              <w:ind w:left="14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vMerge w:val="restart"/>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58"/>
        </w:trPr>
        <w:tc>
          <w:tcPr>
            <w:tcW w:w="15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Eli Gelman</w:t>
            </w:r>
          </w:p>
        </w:tc>
        <w:tc>
          <w:tcPr>
            <w:tcW w:w="8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Robert A. Minicucci</w:t>
            </w:r>
          </w:p>
        </w:tc>
        <w:tc>
          <w:tcPr>
            <w:tcW w:w="80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5"/>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Adrian Gardner</w:t>
            </w:r>
          </w:p>
        </w:tc>
        <w:tc>
          <w:tcPr>
            <w:tcW w:w="80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5"/>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Rafael de la Vega</w:t>
            </w:r>
          </w:p>
        </w:tc>
        <w:tc>
          <w:tcPr>
            <w:tcW w:w="80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6"/>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John A. MacDonald</w:t>
            </w:r>
          </w:p>
        </w:tc>
        <w:tc>
          <w:tcPr>
            <w:tcW w:w="80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5"/>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Yvette Kanouff</w:t>
            </w:r>
          </w:p>
        </w:tc>
        <w:tc>
          <w:tcPr>
            <w:tcW w:w="80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5"/>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Sarah Ruth Davis</w:t>
            </w:r>
          </w:p>
        </w:tc>
        <w:tc>
          <w:tcPr>
            <w:tcW w:w="80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5"/>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Amos Genish</w:t>
            </w:r>
          </w:p>
        </w:tc>
        <w:tc>
          <w:tcPr>
            <w:tcW w:w="80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42"/>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Shuky Sheffer</w:t>
            </w:r>
          </w:p>
        </w:tc>
        <w:tc>
          <w:tcPr>
            <w:tcW w:w="80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380" w:type="dxa"/>
            <w:vAlign w:val="bottom"/>
            <w:tcBorders>
              <w:top w:val="single" w:sz="8" w:color="auto"/>
            </w:tcBorders>
          </w:tcPr>
          <w:p>
            <w:pPr>
              <w:ind w:left="400"/>
              <w:spacing w:after="0" w:line="149" w:lineRule="exact"/>
              <w:rPr>
                <w:sz w:val="20"/>
                <w:szCs w:val="20"/>
                <w:color w:val="auto"/>
              </w:rPr>
            </w:pPr>
            <w:r>
              <w:rPr>
                <w:rFonts w:ascii="Times New Roman" w:cs="Times New Roman" w:eastAsia="Times New Roman" w:hAnsi="Times New Roman"/>
                <w:sz w:val="14"/>
                <w:szCs w:val="14"/>
                <w:color w:val="auto"/>
              </w:rPr>
              <w:t>To change the address on your account, please</w:t>
            </w:r>
          </w:p>
        </w:tc>
        <w:tc>
          <w:tcPr>
            <w:tcW w:w="760" w:type="dxa"/>
            <w:vAlign w:val="bottom"/>
            <w:tcBorders>
              <w:top w:val="single" w:sz="8" w:color="auto"/>
            </w:tcBorders>
          </w:tcPr>
          <w:p>
            <w:pPr>
              <w:ind w:left="280"/>
              <w:spacing w:after="0" w:line="141" w:lineRule="exact"/>
              <w:rPr>
                <w:sz w:val="20"/>
                <w:szCs w:val="20"/>
                <w:color w:val="auto"/>
              </w:rPr>
            </w:pPr>
            <w:r>
              <w:rPr>
                <w:rFonts w:ascii="MS PGothic" w:cs="MS PGothic" w:eastAsia="MS PGothic" w:hAnsi="MS PGothic"/>
                <w:sz w:val="14"/>
                <w:szCs w:val="14"/>
                <w:color w:val="auto"/>
              </w:rPr>
              <w:t>☐</w:t>
            </w:r>
          </w:p>
        </w:tc>
      </w:tr>
      <w:tr>
        <w:trPr>
          <w:trHeight w:val="139"/>
        </w:trPr>
        <w:tc>
          <w:tcPr>
            <w:tcW w:w="3380" w:type="dxa"/>
            <w:vAlign w:val="bottom"/>
          </w:tcPr>
          <w:p>
            <w:pPr>
              <w:ind w:left="400"/>
              <w:spacing w:after="0" w:line="139" w:lineRule="exact"/>
              <w:rPr>
                <w:sz w:val="20"/>
                <w:szCs w:val="20"/>
                <w:color w:val="auto"/>
              </w:rPr>
            </w:pPr>
            <w:r>
              <w:rPr>
                <w:rFonts w:ascii="Times New Roman" w:cs="Times New Roman" w:eastAsia="Times New Roman" w:hAnsi="Times New Roman"/>
                <w:sz w:val="14"/>
                <w:szCs w:val="14"/>
                <w:color w:val="auto"/>
              </w:rPr>
              <w:t>check the box at right and indicate your new</w:t>
            </w:r>
          </w:p>
        </w:tc>
        <w:tc>
          <w:tcPr>
            <w:tcW w:w="760" w:type="dxa"/>
            <w:vAlign w:val="bottom"/>
          </w:tcPr>
          <w:p>
            <w:pPr>
              <w:spacing w:after="0"/>
              <w:rPr>
                <w:sz w:val="12"/>
                <w:szCs w:val="12"/>
                <w:color w:val="auto"/>
              </w:rPr>
            </w:pPr>
          </w:p>
        </w:tc>
      </w:tr>
      <w:tr>
        <w:trPr>
          <w:trHeight w:val="148"/>
        </w:trPr>
        <w:tc>
          <w:tcPr>
            <w:tcW w:w="33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address in the address space above. Please note</w:t>
            </w:r>
          </w:p>
        </w:tc>
        <w:tc>
          <w:tcPr>
            <w:tcW w:w="760" w:type="dxa"/>
            <w:vAlign w:val="bottom"/>
          </w:tcPr>
          <w:p>
            <w:pPr>
              <w:spacing w:after="0"/>
              <w:rPr>
                <w:sz w:val="12"/>
                <w:szCs w:val="12"/>
                <w:color w:val="auto"/>
              </w:rPr>
            </w:pPr>
          </w:p>
        </w:tc>
      </w:tr>
      <w:tr>
        <w:trPr>
          <w:trHeight w:val="148"/>
        </w:trPr>
        <w:tc>
          <w:tcPr>
            <w:tcW w:w="33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that changes to the registered name(s) on the</w:t>
            </w:r>
          </w:p>
        </w:tc>
        <w:tc>
          <w:tcPr>
            <w:tcW w:w="760" w:type="dxa"/>
            <w:vAlign w:val="bottom"/>
          </w:tcPr>
          <w:p>
            <w:pPr>
              <w:spacing w:after="0"/>
              <w:rPr>
                <w:sz w:val="12"/>
                <w:szCs w:val="12"/>
                <w:color w:val="auto"/>
              </w:rPr>
            </w:pPr>
          </w:p>
        </w:tc>
      </w:tr>
      <w:tr>
        <w:trPr>
          <w:trHeight w:val="188"/>
        </w:trPr>
        <w:tc>
          <w:tcPr>
            <w:tcW w:w="33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 may not be submitted via this method.</w:t>
            </w:r>
          </w:p>
        </w:tc>
        <w:tc>
          <w:tcPr>
            <w:tcW w:w="7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2552700</wp:posOffset>
            </wp:positionH>
            <wp:positionV relativeFrom="paragraph">
              <wp:posOffset>113665</wp:posOffset>
            </wp:positionV>
            <wp:extent cx="34290" cy="2311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3380"/>
        <w:spacing w:after="0"/>
        <w:tabs>
          <w:tab w:leader="none" w:pos="3940" w:val="left"/>
          <w:tab w:leader="none" w:pos="4800" w:val="left"/>
        </w:tabs>
        <w:rPr>
          <w:sz w:val="20"/>
          <w:szCs w:val="20"/>
          <w:color w:val="auto"/>
        </w:rPr>
      </w:pPr>
      <w:r>
        <w:rPr>
          <w:rFonts w:ascii="Times New Roman" w:cs="Times New Roman" w:eastAsia="Times New Roman" w:hAnsi="Times New Roman"/>
          <w:sz w:val="14"/>
          <w:szCs w:val="14"/>
          <w:color w:val="auto"/>
        </w:rPr>
        <w:t>FOR</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Times New Roman" w:cs="Times New Roman" w:eastAsia="Times New Roman" w:hAnsi="Times New Roman"/>
          <w:sz w:val="13"/>
          <w:szCs w:val="13"/>
          <w:color w:val="auto"/>
        </w:rPr>
        <w:t>ABSTAIN</w:t>
      </w:r>
    </w:p>
    <w:p>
      <w:pPr>
        <w:spacing w:after="0" w:line="102" w:lineRule="exact"/>
        <w:rPr>
          <w:sz w:val="20"/>
          <w:szCs w:val="20"/>
          <w:color w:val="auto"/>
        </w:rPr>
      </w:pPr>
    </w:p>
    <w:p>
      <w:pPr>
        <w:spacing w:after="0" w:line="161" w:lineRule="exact"/>
        <w:tabs>
          <w:tab w:leader="none" w:pos="3420" w:val="left"/>
          <w:tab w:leader="none" w:pos="4200" w:val="left"/>
          <w:tab w:leader="none" w:pos="5040" w:val="left"/>
        </w:tabs>
        <w:rPr>
          <w:sz w:val="20"/>
          <w:szCs w:val="20"/>
          <w:color w:val="auto"/>
        </w:rPr>
      </w:pPr>
      <w:r>
        <w:rPr>
          <w:rFonts w:ascii="Times New Roman" w:cs="Times New Roman" w:eastAsia="Times New Roman" w:hAnsi="Times New Roman"/>
          <w:sz w:val="14"/>
          <w:szCs w:val="14"/>
          <w:color w:val="auto"/>
        </w:rPr>
        <w:t>2.  To approve an extension of the term of the</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Amdocs Limited 1998 Stock Option and</w:t>
      </w:r>
    </w:p>
    <w:p>
      <w:pPr>
        <w:ind w:left="220"/>
        <w:spacing w:after="0" w:line="221" w:lineRule="auto"/>
        <w:rPr>
          <w:sz w:val="20"/>
          <w:szCs w:val="20"/>
          <w:color w:val="auto"/>
        </w:rPr>
      </w:pPr>
      <w:r>
        <w:rPr>
          <w:rFonts w:ascii="Times New Roman" w:cs="Times New Roman" w:eastAsia="Times New Roman" w:hAnsi="Times New Roman"/>
          <w:sz w:val="14"/>
          <w:szCs w:val="14"/>
          <w:color w:val="auto"/>
        </w:rPr>
        <w:t>Incentive Plan to January 31, 2035</w:t>
      </w:r>
    </w:p>
    <w:p>
      <w:pPr>
        <w:ind w:left="220"/>
        <w:spacing w:after="0"/>
        <w:rPr>
          <w:sz w:val="20"/>
          <w:szCs w:val="20"/>
          <w:color w:val="auto"/>
        </w:rPr>
      </w:pPr>
      <w:r>
        <w:rPr>
          <w:rFonts w:ascii="Times New Roman" w:cs="Times New Roman" w:eastAsia="Times New Roman" w:hAnsi="Times New Roman"/>
          <w:sz w:val="14"/>
          <w:szCs w:val="14"/>
          <w:color w:val="auto"/>
        </w:rPr>
        <w:t>(Proposal II).</w:t>
      </w:r>
    </w:p>
    <w:p>
      <w:pPr>
        <w:spacing w:after="0" w:line="237" w:lineRule="exact"/>
        <w:rPr>
          <w:sz w:val="20"/>
          <w:szCs w:val="20"/>
          <w:color w:val="auto"/>
        </w:rPr>
      </w:pPr>
    </w:p>
    <w:p>
      <w:pPr>
        <w:spacing w:after="0" w:line="161" w:lineRule="exact"/>
        <w:tabs>
          <w:tab w:leader="none" w:pos="3420" w:val="left"/>
          <w:tab w:leader="none" w:pos="4200" w:val="left"/>
          <w:tab w:leader="none" w:pos="5040" w:val="left"/>
        </w:tabs>
        <w:rPr>
          <w:sz w:val="20"/>
          <w:szCs w:val="20"/>
          <w:color w:val="auto"/>
        </w:rPr>
      </w:pPr>
      <w:r>
        <w:rPr>
          <w:rFonts w:ascii="Times New Roman" w:cs="Times New Roman" w:eastAsia="Times New Roman" w:hAnsi="Times New Roman"/>
          <w:sz w:val="14"/>
          <w:szCs w:val="14"/>
          <w:color w:val="auto"/>
        </w:rPr>
        <w:t>3.  To approve an increase in the dividend rate</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under our quarterly cash dividend program</w:t>
      </w:r>
    </w:p>
    <w:p>
      <w:pPr>
        <w:ind w:left="220"/>
        <w:spacing w:after="0" w:line="221" w:lineRule="auto"/>
        <w:rPr>
          <w:sz w:val="20"/>
          <w:szCs w:val="20"/>
          <w:color w:val="auto"/>
        </w:rPr>
      </w:pPr>
      <w:r>
        <w:rPr>
          <w:rFonts w:ascii="Times New Roman" w:cs="Times New Roman" w:eastAsia="Times New Roman" w:hAnsi="Times New Roman"/>
          <w:sz w:val="14"/>
          <w:szCs w:val="14"/>
          <w:color w:val="auto"/>
        </w:rPr>
        <w:t>from $0.479 per share to $0.527 per share</w:t>
      </w:r>
    </w:p>
    <w:p>
      <w:pPr>
        <w:ind w:left="220"/>
        <w:spacing w:after="0"/>
        <w:rPr>
          <w:sz w:val="20"/>
          <w:szCs w:val="20"/>
          <w:color w:val="auto"/>
        </w:rPr>
      </w:pPr>
      <w:r>
        <w:rPr>
          <w:rFonts w:ascii="Times New Roman" w:cs="Times New Roman" w:eastAsia="Times New Roman" w:hAnsi="Times New Roman"/>
          <w:sz w:val="14"/>
          <w:szCs w:val="14"/>
          <w:color w:val="auto"/>
        </w:rPr>
        <w:t>(Proposal III).</w:t>
      </w:r>
    </w:p>
    <w:p>
      <w:pPr>
        <w:spacing w:after="0" w:line="224" w:lineRule="exact"/>
        <w:rPr>
          <w:sz w:val="20"/>
          <w:szCs w:val="20"/>
          <w:color w:val="auto"/>
        </w:rPr>
      </w:pPr>
    </w:p>
    <w:p>
      <w:pPr>
        <w:spacing w:after="0" w:line="161" w:lineRule="exact"/>
        <w:tabs>
          <w:tab w:leader="none" w:pos="3420" w:val="left"/>
          <w:tab w:leader="none" w:pos="4200" w:val="left"/>
          <w:tab w:leader="none" w:pos="5040" w:val="left"/>
        </w:tabs>
        <w:rPr>
          <w:sz w:val="20"/>
          <w:szCs w:val="20"/>
          <w:color w:val="auto"/>
        </w:rPr>
      </w:pPr>
      <w:r>
        <w:rPr>
          <w:rFonts w:ascii="Times New Roman" w:cs="Times New Roman" w:eastAsia="Times New Roman" w:hAnsi="Times New Roman"/>
          <w:sz w:val="14"/>
          <w:szCs w:val="14"/>
          <w:color w:val="auto"/>
        </w:rPr>
        <w:t>4.  To approve our Consolidated Financial</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Statements for the fiscal year ended</w:t>
      </w:r>
    </w:p>
    <w:p>
      <w:pPr>
        <w:ind w:left="220"/>
        <w:spacing w:after="0"/>
        <w:rPr>
          <w:sz w:val="20"/>
          <w:szCs w:val="20"/>
          <w:color w:val="auto"/>
        </w:rPr>
      </w:pPr>
      <w:r>
        <w:rPr>
          <w:rFonts w:ascii="Times New Roman" w:cs="Times New Roman" w:eastAsia="Times New Roman" w:hAnsi="Times New Roman"/>
          <w:sz w:val="14"/>
          <w:szCs w:val="14"/>
          <w:color w:val="auto"/>
        </w:rPr>
        <w:t>September 30, 2024 (Proposal IV).</w:t>
      </w:r>
    </w:p>
    <w:p>
      <w:pPr>
        <w:spacing w:after="0" w:line="170" w:lineRule="exact"/>
        <w:rPr>
          <w:sz w:val="20"/>
          <w:szCs w:val="20"/>
          <w:color w:val="auto"/>
        </w:rPr>
      </w:pPr>
    </w:p>
    <w:p>
      <w:pPr>
        <w:spacing w:after="0" w:line="161" w:lineRule="exact"/>
        <w:tabs>
          <w:tab w:leader="none" w:pos="3420" w:val="left"/>
          <w:tab w:leader="none" w:pos="4200" w:val="left"/>
          <w:tab w:leader="none" w:pos="5040" w:val="left"/>
        </w:tabs>
        <w:rPr>
          <w:sz w:val="20"/>
          <w:szCs w:val="20"/>
          <w:color w:val="auto"/>
        </w:rPr>
      </w:pPr>
      <w:r>
        <w:rPr>
          <w:rFonts w:ascii="Times New Roman" w:cs="Times New Roman" w:eastAsia="Times New Roman" w:hAnsi="Times New Roman"/>
          <w:sz w:val="14"/>
          <w:szCs w:val="14"/>
          <w:color w:val="auto"/>
        </w:rPr>
        <w:t>5.  To ratify and approve the appointment of Ernst &amp;</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1" w:lineRule="exact"/>
        <w:rPr>
          <w:sz w:val="20"/>
          <w:szCs w:val="20"/>
          <w:color w:val="auto"/>
        </w:rPr>
      </w:pPr>
    </w:p>
    <w:p>
      <w:pPr>
        <w:ind w:left="220" w:right="2240"/>
        <w:spacing w:after="0" w:line="225" w:lineRule="auto"/>
        <w:rPr>
          <w:sz w:val="20"/>
          <w:szCs w:val="20"/>
          <w:color w:val="auto"/>
        </w:rPr>
      </w:pPr>
      <w:r>
        <w:rPr>
          <w:rFonts w:ascii="Times New Roman" w:cs="Times New Roman" w:eastAsia="Times New Roman" w:hAnsi="Times New Roman"/>
          <w:sz w:val="14"/>
          <w:szCs w:val="14"/>
          <w:color w:val="auto"/>
        </w:rPr>
        <w:t>Young LLP as our independent registered public accounting firm for the fiscal year ending September 30, 2025,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27" w:lineRule="exact"/>
        <w:rPr>
          <w:sz w:val="20"/>
          <w:szCs w:val="20"/>
          <w:color w:val="auto"/>
        </w:rPr>
      </w:pPr>
    </w:p>
    <w:p>
      <w:pPr>
        <w:ind w:left="220" w:right="240"/>
        <w:spacing w:after="0" w:line="233" w:lineRule="auto"/>
        <w:rPr>
          <w:sz w:val="20"/>
          <w:szCs w:val="20"/>
          <w:color w:val="auto"/>
        </w:rPr>
      </w:pPr>
      <w:r>
        <w:rPr>
          <w:rFonts w:ascii="Times New Roman" w:cs="Times New Roman" w:eastAsia="Times New Roman" w:hAnsi="Times New Roman"/>
          <w:sz w:val="14"/>
          <w:szCs w:val="14"/>
          <w:color w:val="auto"/>
        </w:rPr>
        <w:t>Our shareholders will also act on such other business as may properly come before the annual general meeting.</w:t>
      </w:r>
    </w:p>
    <w:p>
      <w:pPr>
        <w:ind w:left="220" w:right="40"/>
        <w:spacing w:after="0" w:line="233" w:lineRule="auto"/>
        <w:rPr>
          <w:sz w:val="20"/>
          <w:szCs w:val="20"/>
          <w:color w:val="auto"/>
        </w:rPr>
      </w:pPr>
      <w:r>
        <w:rPr>
          <w:rFonts w:ascii="Times New Roman" w:cs="Times New Roman" w:eastAsia="Times New Roman" w:hAnsi="Times New Roman"/>
          <w:sz w:val="14"/>
          <w:szCs w:val="14"/>
          <w:color w:val="auto"/>
        </w:rPr>
        <w:t>The Board of Directors has fixed the close of business on December 3, 2024 as the record date for the determination of our shareholders entitled to notice of, and to vote on the matters proposed at, the annual general meeting and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1253490</wp:posOffset>
            </wp:positionH>
            <wp:positionV relativeFrom="paragraph">
              <wp:posOffset>122555</wp:posOffset>
            </wp:positionV>
            <wp:extent cx="34290" cy="2311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23114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122555</wp:posOffset>
            </wp:positionV>
            <wp:extent cx="655955" cy="2311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5955" cy="231140"/>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4140" w:space="80"/>
            <w:col w:w="5420"/>
          </w:cols>
          <w:pgMar w:left="1080" w:top="1440" w:right="1179" w:bottom="1440" w:gutter="0" w:footer="0" w:header="0"/>
          <w:type w:val="continuous"/>
        </w:sectPr>
      </w:pPr>
    </w:p>
    <w:tbl>
      <w:tblPr>
        <w:tblLayout w:type="fixed"/>
        <w:tblInd w:w="80" w:type="dxa"/>
        <w:tblCellMar>
          <w:top w:w="0" w:type="dxa"/>
          <w:left w:w="0" w:type="dxa"/>
          <w:bottom w:w="0" w:type="dxa"/>
          <w:right w:w="0" w:type="dxa"/>
        </w:tblCellMar>
      </w:tblPr>
      <w:tr>
        <w:trPr>
          <w:trHeight w:val="139"/>
        </w:trPr>
        <w:tc>
          <w:tcPr>
            <w:tcW w:w="112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Signature of</w:t>
            </w:r>
          </w:p>
        </w:tc>
        <w:tc>
          <w:tcPr>
            <w:tcW w:w="2260" w:type="dxa"/>
            <w:vAlign w:val="bottom"/>
            <w:tcBorders>
              <w:top w:val="single" w:sz="8" w:color="auto"/>
              <w:right w:val="single" w:sz="8" w:color="auto"/>
            </w:tcBorders>
          </w:tcPr>
          <w:p>
            <w:pPr>
              <w:spacing w:after="0"/>
              <w:rPr>
                <w:sz w:val="12"/>
                <w:szCs w:val="12"/>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060" w:type="dxa"/>
            <w:vAlign w:val="bottom"/>
            <w:tcBorders>
              <w:top w:val="single" w:sz="8" w:color="auto"/>
              <w:right w:val="single" w:sz="8" w:color="auto"/>
            </w:tcBorders>
          </w:tcPr>
          <w:p>
            <w:pPr>
              <w:spacing w:after="0"/>
              <w:rPr>
                <w:sz w:val="12"/>
                <w:szCs w:val="12"/>
                <w:color w:val="auto"/>
              </w:rPr>
            </w:pPr>
          </w:p>
        </w:tc>
        <w:tc>
          <w:tcPr>
            <w:tcW w:w="110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Signature of</w:t>
            </w:r>
          </w:p>
        </w:tc>
        <w:tc>
          <w:tcPr>
            <w:tcW w:w="1940" w:type="dxa"/>
            <w:vAlign w:val="bottom"/>
            <w:tcBorders>
              <w:top w:val="single" w:sz="8" w:color="auto"/>
              <w:right w:val="single" w:sz="8" w:color="auto"/>
            </w:tcBorders>
          </w:tcPr>
          <w:p>
            <w:pPr>
              <w:spacing w:after="0"/>
              <w:rPr>
                <w:sz w:val="12"/>
                <w:szCs w:val="12"/>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8"/>
              </w:rPr>
              <w:t>Date:</w:t>
            </w:r>
          </w:p>
        </w:tc>
        <w:tc>
          <w:tcPr>
            <w:tcW w:w="0" w:type="dxa"/>
            <w:vAlign w:val="bottom"/>
          </w:tcPr>
          <w:p>
            <w:pPr>
              <w:spacing w:after="0"/>
              <w:rPr>
                <w:sz w:val="1"/>
                <w:szCs w:val="1"/>
                <w:color w:val="auto"/>
              </w:rPr>
            </w:pPr>
          </w:p>
        </w:tc>
      </w:tr>
      <w:tr>
        <w:trPr>
          <w:trHeight w:val="107"/>
        </w:trPr>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Shareholder</w:t>
            </w:r>
          </w:p>
        </w:tc>
        <w:tc>
          <w:tcPr>
            <w:tcW w:w="2260" w:type="dxa"/>
            <w:vAlign w:val="bottom"/>
            <w:tcBorders>
              <w:right w:val="single" w:sz="8" w:color="auto"/>
            </w:tcBorders>
          </w:tcPr>
          <w:p>
            <w:pPr>
              <w:spacing w:after="0"/>
              <w:rPr>
                <w:sz w:val="9"/>
                <w:szCs w:val="9"/>
                <w:color w:val="auto"/>
              </w:rPr>
            </w:pPr>
          </w:p>
        </w:tc>
        <w:tc>
          <w:tcPr>
            <w:tcW w:w="600" w:type="dxa"/>
            <w:vAlign w:val="bottom"/>
            <w:vMerge w:val="continue"/>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Shareholder</w:t>
            </w:r>
          </w:p>
        </w:tc>
        <w:tc>
          <w:tcPr>
            <w:tcW w:w="1940" w:type="dxa"/>
            <w:vAlign w:val="bottom"/>
            <w:tcBorders>
              <w:right w:val="single" w:sz="8" w:color="auto"/>
            </w:tcBorders>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120" w:type="dxa"/>
            <w:vAlign w:val="bottom"/>
            <w:tcBorders>
              <w:right w:val="single" w:sz="8" w:color="auto"/>
            </w:tcBorders>
            <w:vMerge w:val="continue"/>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100" w:type="dxa"/>
            <w:vAlign w:val="bottom"/>
            <w:vMerge w:val="continue"/>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500" w:right="340"/>
        <w:spacing w:after="0" w:line="241" w:lineRule="auto"/>
        <w:rPr>
          <w:sz w:val="20"/>
          <w:szCs w:val="20"/>
          <w:color w:val="auto"/>
        </w:rPr>
      </w:pPr>
      <w:r>
        <w:rPr>
          <w:rFonts w:ascii="Times New Roman" w:cs="Times New Roman" w:eastAsia="Times New Roman" w:hAnsi="Times New Roman"/>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799465</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40"/>
          </w:cols>
          <w:pgMar w:left="1080" w:top="1440" w:right="1179" w:bottom="1440" w:gutter="0" w:footer="0" w:header="0"/>
          <w:type w:val="continuous"/>
        </w:sectPr>
      </w:pPr>
    </w:p>
    <w:bookmarkStart w:id="42" w:name="page43"/>
    <w:bookmarkEnd w:id="42"/>
    <w:p>
      <w:pPr>
        <w:spacing w:after="0" w:line="1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undersigned hereby appoints each of Eli Gelman and Michal Topolski and Matthew Smith and Zvi Joseph as Proxies, each with the power to appoint his or her substitute, and hereby authorizes each of them to represent and vote, as designated on the reverse side, all Ordinary Shares of Amdocs Limited (the “Company”) held of record by the undersigned on December 3, 2024, at the annual General Meeting of shareholders to be held on January 31, 2025 or any adjournment thereof.</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1061720</wp:posOffset>
            </wp:positionV>
            <wp:extent cx="70377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20"/>
          </w:cols>
          <w:pgMar w:left="1080" w:top="1440" w:right="119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31, 2025</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-127000</wp:posOffset>
            </wp:positionV>
            <wp:extent cx="2035810" cy="1581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35810" cy="158115"/>
                    </a:xfrm>
                    <a:prstGeom prst="rect">
                      <a:avLst/>
                    </a:prstGeom>
                    <a:noFill/>
                  </pic:spPr>
                </pic:pic>
              </a:graphicData>
            </a:graphic>
          </wp:anchor>
        </w:drawing>
      </w:r>
    </w:p>
    <w:p>
      <w:pPr>
        <w:spacing w:after="0" w:line="131" w:lineRule="exact"/>
        <w:rPr>
          <w:sz w:val="20"/>
          <w:szCs w:val="20"/>
          <w:color w:val="auto"/>
        </w:rPr>
      </w:pPr>
    </w:p>
    <w:p>
      <w:pPr>
        <w:ind w:left="20" w:right="240"/>
        <w:spacing w:after="0" w:line="270" w:lineRule="auto"/>
        <w:rPr>
          <w:sz w:val="20"/>
          <w:szCs w:val="20"/>
          <w:color w:val="auto"/>
        </w:rPr>
      </w:pPr>
      <w:r>
        <w:rPr>
          <w:rFonts w:ascii="Times New Roman" w:cs="Times New Roman" w:eastAsia="Times New Roman" w:hAnsi="Times New Roman"/>
          <w:sz w:val="16"/>
          <w:szCs w:val="16"/>
          <w:b w:val="1"/>
          <w:bCs w:val="1"/>
          <w:u w:val="single" w:color="auto"/>
          <w:color w:val="auto"/>
        </w:rPr>
        <w:t>INTERNET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Access “</w:t>
      </w:r>
      <w:r>
        <w:rPr>
          <w:rFonts w:ascii="Times New Roman" w:cs="Times New Roman" w:eastAsia="Times New Roman" w:hAnsi="Times New Roman"/>
          <w:sz w:val="16"/>
          <w:szCs w:val="16"/>
          <w:b w:val="1"/>
          <w:bCs w:val="1"/>
          <w:color w:val="auto"/>
        </w:rPr>
        <w:t>www.voteproxy.com</w:t>
      </w:r>
      <w:r>
        <w:rPr>
          <w:rFonts w:ascii="Times New Roman" w:cs="Times New Roman" w:eastAsia="Times New Roman" w:hAnsi="Times New Roman"/>
          <w:sz w:val="16"/>
          <w:szCs w:val="16"/>
          <w:color w:val="auto"/>
        </w:rPr>
        <w:t>” and follow the on-screen instructions or scan the QR code with your smartphone. Have your proxy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card available when you access the web page.</w:t>
      </w:r>
    </w:p>
    <w:p>
      <w:pPr>
        <w:spacing w:after="0" w:line="1" w:lineRule="exact"/>
        <w:rPr>
          <w:sz w:val="20"/>
          <w:szCs w:val="20"/>
          <w:color w:val="auto"/>
        </w:rPr>
      </w:pPr>
    </w:p>
    <w:p>
      <w:pPr>
        <w:ind w:left="20" w:right="160"/>
        <w:spacing w:after="0" w:line="264" w:lineRule="auto"/>
        <w:rPr>
          <w:sz w:val="20"/>
          <w:szCs w:val="20"/>
          <w:color w:val="auto"/>
        </w:rPr>
      </w:pPr>
      <w:r>
        <w:rPr>
          <w:rFonts w:ascii="Times New Roman" w:cs="Times New Roman" w:eastAsia="Times New Roman" w:hAnsi="Times New Roman"/>
          <w:sz w:val="16"/>
          <w:szCs w:val="16"/>
          <w:b w:val="1"/>
          <w:bCs w:val="1"/>
          <w:u w:val="single" w:color="auto"/>
          <w:color w:val="auto"/>
        </w:rPr>
        <w:t>TELEPHONE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Call toll-free</w:t>
      </w:r>
      <w:r>
        <w:rPr>
          <w:rFonts w:ascii="Times New Roman" w:cs="Times New Roman" w:eastAsia="Times New Roman" w:hAnsi="Times New Roman"/>
          <w:sz w:val="16"/>
          <w:szCs w:val="16"/>
          <w:b w:val="1"/>
          <w:bCs w:val="1"/>
          <w:color w:val="auto"/>
        </w:rPr>
        <w:t xml:space="preserve"> 1-800-PROXIES </w:t>
      </w:r>
      <w:r>
        <w:rPr>
          <w:rFonts w:ascii="Times New Roman" w:cs="Times New Roman" w:eastAsia="Times New Roman" w:hAnsi="Times New Roman"/>
          <w:sz w:val="16"/>
          <w:szCs w:val="16"/>
          <w:color w:val="auto"/>
        </w:rPr>
        <w:t>(1-800-776-9437) in the United States or</w:t>
      </w:r>
      <w:r>
        <w:rPr>
          <w:rFonts w:ascii="Times New Roman" w:cs="Times New Roman" w:eastAsia="Times New Roman" w:hAnsi="Times New Roman"/>
          <w:sz w:val="16"/>
          <w:szCs w:val="16"/>
          <w:b w:val="1"/>
          <w:bCs w:val="1"/>
          <w:color w:val="auto"/>
        </w:rPr>
        <w:t xml:space="preserve"> 1-718-921-8500 </w:t>
      </w:r>
      <w:r>
        <w:rPr>
          <w:rFonts w:ascii="Times New Roman" w:cs="Times New Roman" w:eastAsia="Times New Roman" w:hAnsi="Times New Roman"/>
          <w:sz w:val="16"/>
          <w:szCs w:val="16"/>
          <w:color w:val="auto"/>
        </w:rPr>
        <w:t>from foreign countries from any touch-tone telephone and follow the instructions. Have your proxy card available when you call. Vote online/phone until 11:59 PM EST the day before the meeting.</w:t>
      </w: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MAIL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Sign, date and mail your proxy card in the envelope provided as soon as possible.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IN PERSON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You may vote your shares in person by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6137910" cy="883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3791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COMPANY NUMBER</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247015</wp:posOffset>
            </wp:positionV>
            <wp:extent cx="6038850" cy="1581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8850" cy="158115"/>
                    </a:xfrm>
                    <a:prstGeom prst="rect">
                      <a:avLst/>
                    </a:prstGeom>
                    <a:noFill/>
                  </pic:spPr>
                </pic:pic>
              </a:graphicData>
            </a:graphic>
          </wp:anchor>
        </w:drawing>
      </w:r>
    </w:p>
    <w:p>
      <w:pPr>
        <w:spacing w:after="0" w:line="377" w:lineRule="exact"/>
        <w:rPr>
          <w:sz w:val="20"/>
          <w:szCs w:val="20"/>
          <w:color w:val="auto"/>
        </w:rPr>
      </w:pPr>
    </w:p>
    <w:p>
      <w:pPr>
        <w:ind w:left="280" w:right="880"/>
        <w:spacing w:after="0" w:line="335" w:lineRule="auto"/>
        <w:rPr>
          <w:sz w:val="20"/>
          <w:szCs w:val="20"/>
          <w:color w:val="auto"/>
        </w:rPr>
      </w:pPr>
      <w:r>
        <w:rPr>
          <w:rFonts w:ascii="Times New Roman" w:cs="Times New Roman" w:eastAsia="Times New Roman" w:hAnsi="Times New Roman"/>
          <w:sz w:val="16"/>
          <w:szCs w:val="16"/>
          <w:b w:val="1"/>
          <w:bCs w:val="1"/>
          <w:color w:val="auto"/>
        </w:rPr>
        <w:t>NOTICE OF INTERNET AVAILABILITY OF PROXY MATERIAL: The Notice of Meeting, Proxy Statement, Proxy Card are available at www.amdocs.com/proxy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-169545</wp:posOffset>
            </wp:positionV>
            <wp:extent cx="604329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43295" cy="1460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color w:val="auto"/>
        </w:rPr>
        <w:t>i Please detach along perforated line and mail in the envelope provided IF you are not voting via telephone or the internet. i</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AMDOCS’ BOARD OF DIRECTORS RECOMMENDS A VOTE “FOR”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AND A VOTE “FOR” PROPOSALS 2, 3, 4 AND 5.</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PLEASE SIGN, DATE AND RETURN PROMPTLY IN THE ENCLOSED ENVELOPE. PLEASE MARK YOUR VOTE IN BLUE OR</w:t>
      </w:r>
    </w:p>
    <w:p>
      <w:pPr>
        <w:jc w:val="center"/>
        <w:spacing w:after="0" w:line="234" w:lineRule="auto"/>
        <w:rPr>
          <w:sz w:val="20"/>
          <w:szCs w:val="20"/>
          <w:color w:val="auto"/>
        </w:rPr>
      </w:pPr>
      <w:r>
        <w:rPr>
          <w:rFonts w:ascii="Times New Roman" w:cs="Times New Roman" w:eastAsia="Times New Roman" w:hAnsi="Times New Roman"/>
          <w:sz w:val="14"/>
          <w:szCs w:val="14"/>
          <w:b w:val="1"/>
          <w:bCs w:val="1"/>
          <w:color w:val="auto"/>
        </w:rPr>
        <w:t>BLACK INK AS</w:t>
      </w:r>
    </w:p>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SHOWN HERE </w:t>
      </w:r>
      <w:r>
        <w:rPr>
          <w:rFonts w:ascii="MS PGothic" w:cs="MS PGothic" w:eastAsia="MS PGothic" w:hAnsi="MS PGothic"/>
          <w:sz w:val="14"/>
          <w:szCs w:val="14"/>
          <w:color w:val="auto"/>
          <w:highlight w:val="black"/>
        </w:rPr>
        <w:t>☒</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880" w:type="dxa"/>
            <w:vAlign w:val="bottom"/>
            <w:tcBorders>
              <w:top w:val="single" w:sz="8" w:color="auto"/>
            </w:tcBorders>
            <w:gridSpan w:val="2"/>
          </w:tcPr>
          <w:p>
            <w:pPr>
              <w:ind w:left="20"/>
              <w:spacing w:after="0" w:line="160" w:lineRule="exact"/>
              <w:rPr>
                <w:sz w:val="20"/>
                <w:szCs w:val="20"/>
                <w:color w:val="auto"/>
              </w:rPr>
            </w:pPr>
            <w:r>
              <w:rPr>
                <w:rFonts w:ascii="Times New Roman" w:cs="Times New Roman" w:eastAsia="Times New Roman" w:hAnsi="Times New Roman"/>
                <w:sz w:val="14"/>
                <w:szCs w:val="14"/>
                <w:color w:val="auto"/>
              </w:rPr>
              <w:t>1. ELECTION OF</w:t>
            </w:r>
          </w:p>
        </w:tc>
        <w:tc>
          <w:tcPr>
            <w:tcW w:w="50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FOR</w:t>
            </w:r>
          </w:p>
        </w:tc>
        <w:tc>
          <w:tcPr>
            <w:tcW w:w="1040" w:type="dxa"/>
            <w:vAlign w:val="bottom"/>
            <w:tcBorders>
              <w:top w:val="single" w:sz="8" w:color="auto"/>
            </w:tcBorders>
          </w:tcPr>
          <w:p>
            <w:pPr>
              <w:jc w:val="center"/>
              <w:ind w:right="28"/>
              <w:spacing w:after="0" w:line="160" w:lineRule="exact"/>
              <w:rPr>
                <w:sz w:val="20"/>
                <w:szCs w:val="20"/>
                <w:color w:val="auto"/>
              </w:rPr>
            </w:pPr>
            <w:r>
              <w:rPr>
                <w:rFonts w:ascii="Times New Roman" w:cs="Times New Roman" w:eastAsia="Times New Roman" w:hAnsi="Times New Roman"/>
                <w:sz w:val="14"/>
                <w:szCs w:val="14"/>
                <w:color w:val="auto"/>
              </w:rPr>
              <w:t>AGAINST</w:t>
            </w:r>
          </w:p>
        </w:tc>
        <w:tc>
          <w:tcPr>
            <w:tcW w:w="700" w:type="dxa"/>
            <w:vAlign w:val="bottom"/>
            <w:tcBorders>
              <w:top w:val="single" w:sz="8" w:color="auto"/>
              <w:right w:val="single" w:sz="8" w:color="auto"/>
            </w:tcBorders>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color w:val="auto"/>
                <w:w w:val="98"/>
              </w:rPr>
              <w:t>ABSTAIN</w:t>
            </w: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center"/>
              <w:ind w:right="108"/>
              <w:spacing w:after="0" w:line="160" w:lineRule="exact"/>
              <w:rPr>
                <w:sz w:val="20"/>
                <w:szCs w:val="20"/>
                <w:color w:val="auto"/>
              </w:rPr>
            </w:pPr>
            <w:r>
              <w:rPr>
                <w:rFonts w:ascii="Times New Roman" w:cs="Times New Roman" w:eastAsia="Times New Roman" w:hAnsi="Times New Roman"/>
                <w:sz w:val="14"/>
                <w:szCs w:val="14"/>
                <w:color w:val="auto"/>
              </w:rPr>
              <w:t>FOR</w:t>
            </w:r>
          </w:p>
        </w:tc>
        <w:tc>
          <w:tcPr>
            <w:tcW w:w="800" w:type="dxa"/>
            <w:vAlign w:val="bottom"/>
            <w:tcBorders>
              <w:top w:val="single" w:sz="8" w:color="auto"/>
            </w:tcBorders>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color w:val="auto"/>
              </w:rPr>
              <w:t>AGAINST</w:t>
            </w:r>
          </w:p>
        </w:tc>
        <w:tc>
          <w:tcPr>
            <w:tcW w:w="76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ABSTAIN</w:t>
            </w:r>
          </w:p>
        </w:tc>
        <w:tc>
          <w:tcPr>
            <w:tcW w:w="0" w:type="dxa"/>
            <w:vAlign w:val="bottom"/>
          </w:tcPr>
          <w:p>
            <w:pPr>
              <w:spacing w:after="0"/>
              <w:rPr>
                <w:sz w:val="1"/>
                <w:szCs w:val="1"/>
                <w:color w:val="auto"/>
              </w:rPr>
            </w:pPr>
          </w:p>
        </w:tc>
      </w:tr>
      <w:tr>
        <w:trPr>
          <w:trHeight w:val="149"/>
        </w:trPr>
        <w:tc>
          <w:tcPr>
            <w:tcW w:w="1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DIRECTORS:</w:t>
            </w:r>
          </w:p>
        </w:tc>
        <w:tc>
          <w:tcPr>
            <w:tcW w:w="5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vMerge w:val="restart"/>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vMerge w:val="restart"/>
          </w:tcPr>
          <w:p>
            <w:pPr>
              <w:jc w:val="center"/>
              <w:ind w:right="128"/>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gridSpan w:val="2"/>
            <w:vMerge w:val="restart"/>
          </w:tcPr>
          <w:p>
            <w:pPr>
              <w:jc w:val="center"/>
              <w:ind w:right="180"/>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4"/>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Eli Gelman</w:t>
            </w:r>
          </w:p>
        </w:tc>
        <w:tc>
          <w:tcPr>
            <w:tcW w:w="5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To approve an extension of the term of</w:t>
            </w:r>
          </w:p>
        </w:tc>
        <w:tc>
          <w:tcPr>
            <w:tcW w:w="7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Robert A. Minicucci</w:t>
            </w:r>
          </w:p>
        </w:tc>
        <w:tc>
          <w:tcPr>
            <w:tcW w:w="5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vMerge w:val="restart"/>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1"/>
                <w:szCs w:val="11"/>
                <w:color w:val="auto"/>
              </w:rPr>
            </w:pPr>
          </w:p>
        </w:tc>
        <w:tc>
          <w:tcPr>
            <w:tcW w:w="312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4"/>
                <w:szCs w:val="14"/>
                <w:color w:val="auto"/>
              </w:rPr>
              <w:t>the Amdocs Limited 1998 Stock Option</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8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0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color w:val="auto"/>
              </w:rPr>
              <w:t>and Incentive Plan to January 31, 2035</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Adrian Gardner</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7"/>
                <w:szCs w:val="17"/>
                <w:color w:val="auto"/>
              </w:rPr>
            </w:pP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(Proposal II).</w:t>
            </w: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Rafael de la Vega</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John A. MacDonald</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To approve an increase in the dividend</w:t>
            </w:r>
          </w:p>
        </w:tc>
        <w:tc>
          <w:tcPr>
            <w:tcW w:w="700" w:type="dxa"/>
            <w:vAlign w:val="bottom"/>
          </w:tcPr>
          <w:p>
            <w:pPr>
              <w:jc w:val="center"/>
              <w:ind w:right="128"/>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gridSpan w:val="2"/>
          </w:tcPr>
          <w:p>
            <w:pPr>
              <w:jc w:val="center"/>
              <w:ind w:right="180"/>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9"/>
        </w:trPr>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Yvette Kanouff</w:t>
            </w:r>
          </w:p>
        </w:tc>
        <w:tc>
          <w:tcPr>
            <w:tcW w:w="5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vMerge w:val="restart"/>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2"/>
                <w:szCs w:val="12"/>
                <w:color w:val="auto"/>
              </w:rPr>
            </w:pPr>
          </w:p>
        </w:tc>
        <w:tc>
          <w:tcPr>
            <w:tcW w:w="312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4"/>
                <w:szCs w:val="14"/>
                <w:color w:val="auto"/>
              </w:rPr>
              <w:t>rate under our quarterly cash dividend</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0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color w:val="auto"/>
              </w:rPr>
              <w:t>program from $0.479 per share to $0.527</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Sarah Ruth Davis</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9"/>
                <w:szCs w:val="19"/>
                <w:color w:val="auto"/>
              </w:rPr>
            </w:pP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per share (Proposal III).</w:t>
            </w: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Amos Genish</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vMerge w:val="restart"/>
          </w:tcPr>
          <w:p>
            <w:pPr>
              <w:jc w:val="center"/>
              <w:ind w:right="128"/>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gridSpan w:val="2"/>
            <w:vMerge w:val="restart"/>
          </w:tcPr>
          <w:p>
            <w:pPr>
              <w:jc w:val="center"/>
              <w:ind w:right="180"/>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9"/>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Shuky Sheffer</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To approve our Consolidated Financial</w:t>
            </w:r>
          </w:p>
        </w:tc>
        <w:tc>
          <w:tcPr>
            <w:tcW w:w="7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12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4"/>
                <w:szCs w:val="14"/>
                <w:color w:val="auto"/>
              </w:rPr>
              <w:t>Statements for the fiscal year ended</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September 30, 2024 (Proposal IV).</w:t>
            </w: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To ratify and approve the appointment of Ernst &amp;</w:t>
            </w:r>
          </w:p>
        </w:tc>
        <w:tc>
          <w:tcPr>
            <w:tcW w:w="700" w:type="dxa"/>
            <w:vAlign w:val="bottom"/>
          </w:tcPr>
          <w:p>
            <w:pPr>
              <w:jc w:val="center"/>
              <w:ind w:right="128"/>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gridSpan w:val="2"/>
          </w:tcPr>
          <w:p>
            <w:pPr>
              <w:jc w:val="center"/>
              <w:ind w:right="180"/>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4"/>
                <w:szCs w:val="14"/>
                <w:color w:val="auto"/>
              </w:rPr>
              <w:t>Young LLP as our independent registered public</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accounting firm for the fiscal year ending</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September 30, 2025, and until the next annual</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general meeting, and authorize the Audit</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Committee of the Board of Directors to fix the</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remuneration of such independent registered public</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accounting firm in accordance with the nature and</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extent of its services (Proposal V).</w:t>
            </w: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3"/>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380" w:type="dxa"/>
            <w:vAlign w:val="bottom"/>
            <w:gridSpan w:val="7"/>
            <w:vMerge w:val="restart"/>
          </w:tcPr>
          <w:p>
            <w:pPr>
              <w:ind w:left="60"/>
              <w:spacing w:after="0"/>
              <w:rPr>
                <w:sz w:val="20"/>
                <w:szCs w:val="20"/>
                <w:color w:val="auto"/>
              </w:rPr>
            </w:pPr>
            <w:r>
              <w:rPr>
                <w:rFonts w:ascii="Times New Roman" w:cs="Times New Roman" w:eastAsia="Times New Roman" w:hAnsi="Times New Roman"/>
                <w:sz w:val="14"/>
                <w:szCs w:val="14"/>
                <w:color w:val="auto"/>
              </w:rPr>
              <w:t>Our shareholders will also act on such other business as may properly come before the</w:t>
            </w:r>
          </w:p>
        </w:tc>
        <w:tc>
          <w:tcPr>
            <w:tcW w:w="0" w:type="dxa"/>
            <w:vAlign w:val="bottom"/>
          </w:tcPr>
          <w:p>
            <w:pPr>
              <w:spacing w:after="0"/>
              <w:rPr>
                <w:sz w:val="1"/>
                <w:szCs w:val="1"/>
                <w:color w:val="auto"/>
              </w:rPr>
            </w:pPr>
          </w:p>
        </w:tc>
      </w:tr>
      <w:tr>
        <w:trPr>
          <w:trHeight w:val="128"/>
        </w:trPr>
        <w:tc>
          <w:tcPr>
            <w:tcW w:w="3420" w:type="dxa"/>
            <w:vAlign w:val="bottom"/>
            <w:gridSpan w:val="4"/>
          </w:tcPr>
          <w:p>
            <w:pPr>
              <w:ind w:left="260"/>
              <w:spacing w:after="0" w:line="129" w:lineRule="exact"/>
              <w:rPr>
                <w:sz w:val="20"/>
                <w:szCs w:val="20"/>
                <w:color w:val="auto"/>
              </w:rPr>
            </w:pPr>
            <w:r>
              <w:rPr>
                <w:rFonts w:ascii="Times New Roman" w:cs="Times New Roman" w:eastAsia="Times New Roman" w:hAnsi="Times New Roman"/>
                <w:sz w:val="14"/>
                <w:szCs w:val="14"/>
                <w:color w:val="auto"/>
              </w:rPr>
              <w:t>To change the address on your account, please check</w:t>
            </w:r>
          </w:p>
        </w:tc>
        <w:tc>
          <w:tcPr>
            <w:tcW w:w="700" w:type="dxa"/>
            <w:vAlign w:val="bottom"/>
            <w:tcBorders>
              <w:right w:val="single" w:sz="8" w:color="auto"/>
            </w:tcBorders>
            <w:gridSpan w:val="2"/>
          </w:tcPr>
          <w:p>
            <w:pPr>
              <w:jc w:val="center"/>
              <w:ind w:right="100"/>
              <w:spacing w:after="0" w:line="129"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1"/>
                <w:szCs w:val="11"/>
                <w:color w:val="auto"/>
              </w:rPr>
            </w:pPr>
          </w:p>
        </w:tc>
        <w:tc>
          <w:tcPr>
            <w:tcW w:w="53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20" w:type="dxa"/>
            <w:vAlign w:val="bottom"/>
            <w:gridSpan w:val="4"/>
          </w:tcPr>
          <w:p>
            <w:pPr>
              <w:ind w:left="260"/>
              <w:spacing w:after="0" w:line="139" w:lineRule="exact"/>
              <w:rPr>
                <w:sz w:val="20"/>
                <w:szCs w:val="20"/>
                <w:color w:val="auto"/>
              </w:rPr>
            </w:pPr>
            <w:r>
              <w:rPr>
                <w:rFonts w:ascii="Times New Roman" w:cs="Times New Roman" w:eastAsia="Times New Roman" w:hAnsi="Times New Roman"/>
                <w:sz w:val="14"/>
                <w:szCs w:val="14"/>
                <w:color w:val="auto"/>
              </w:rPr>
              <w:t>the box at right and indicate your new address in the</w:t>
            </w: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4"/>
                <w:szCs w:val="14"/>
                <w:color w:val="auto"/>
              </w:rPr>
              <w:t>annual general meeting.</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gridSpan w:val="4"/>
          </w:tcPr>
          <w:p>
            <w:pPr>
              <w:ind w:left="260"/>
              <w:spacing w:after="0" w:line="149" w:lineRule="exact"/>
              <w:rPr>
                <w:sz w:val="20"/>
                <w:szCs w:val="20"/>
                <w:color w:val="auto"/>
              </w:rPr>
            </w:pPr>
            <w:r>
              <w:rPr>
                <w:rFonts w:ascii="Times New Roman" w:cs="Times New Roman" w:eastAsia="Times New Roman" w:hAnsi="Times New Roman"/>
                <w:sz w:val="14"/>
                <w:szCs w:val="14"/>
                <w:color w:val="auto"/>
              </w:rPr>
              <w:t>address space above. Please note that changes to the</w:t>
            </w: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380" w:type="dxa"/>
            <w:vAlign w:val="bottom"/>
            <w:gridSpan w:val="7"/>
          </w:tcPr>
          <w:p>
            <w:pPr>
              <w:ind w:left="60"/>
              <w:spacing w:after="0" w:line="149" w:lineRule="exact"/>
              <w:rPr>
                <w:sz w:val="20"/>
                <w:szCs w:val="20"/>
                <w:color w:val="auto"/>
              </w:rPr>
            </w:pPr>
            <w:r>
              <w:rPr>
                <w:rFonts w:ascii="Times New Roman" w:cs="Times New Roman" w:eastAsia="Times New Roman" w:hAnsi="Times New Roman"/>
                <w:sz w:val="14"/>
                <w:szCs w:val="14"/>
                <w:color w:val="auto"/>
              </w:rPr>
              <w:t>The Board of Directors has fixed the close of business on December 3, 2024 as the record</w:t>
            </w:r>
          </w:p>
        </w:tc>
        <w:tc>
          <w:tcPr>
            <w:tcW w:w="0" w:type="dxa"/>
            <w:vAlign w:val="bottom"/>
          </w:tcPr>
          <w:p>
            <w:pPr>
              <w:spacing w:after="0"/>
              <w:rPr>
                <w:sz w:val="1"/>
                <w:szCs w:val="1"/>
                <w:color w:val="auto"/>
              </w:rPr>
            </w:pPr>
          </w:p>
        </w:tc>
      </w:tr>
      <w:tr>
        <w:trPr>
          <w:trHeight w:val="148"/>
        </w:trPr>
        <w:tc>
          <w:tcPr>
            <w:tcW w:w="3420" w:type="dxa"/>
            <w:vAlign w:val="bottom"/>
            <w:gridSpan w:val="4"/>
          </w:tcPr>
          <w:p>
            <w:pPr>
              <w:ind w:left="260"/>
              <w:spacing w:after="0" w:line="149" w:lineRule="exact"/>
              <w:rPr>
                <w:sz w:val="20"/>
                <w:szCs w:val="20"/>
                <w:color w:val="auto"/>
              </w:rPr>
            </w:pPr>
            <w:r>
              <w:rPr>
                <w:rFonts w:ascii="Times New Roman" w:cs="Times New Roman" w:eastAsia="Times New Roman" w:hAnsi="Times New Roman"/>
                <w:sz w:val="14"/>
                <w:szCs w:val="14"/>
                <w:color w:val="auto"/>
              </w:rPr>
              <w:t>registered name(s) on the account may not be</w:t>
            </w: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380" w:type="dxa"/>
            <w:vAlign w:val="bottom"/>
            <w:gridSpan w:val="7"/>
          </w:tcPr>
          <w:p>
            <w:pPr>
              <w:ind w:left="60"/>
              <w:spacing w:after="0" w:line="149" w:lineRule="exact"/>
              <w:rPr>
                <w:sz w:val="20"/>
                <w:szCs w:val="20"/>
                <w:color w:val="auto"/>
              </w:rPr>
            </w:pPr>
            <w:r>
              <w:rPr>
                <w:rFonts w:ascii="Times New Roman" w:cs="Times New Roman" w:eastAsia="Times New Roman" w:hAnsi="Times New Roman"/>
                <w:sz w:val="14"/>
                <w:szCs w:val="14"/>
                <w:color w:val="auto"/>
              </w:rPr>
              <w:t>date for the determination of our shareholders entitled to notice of, and to vote on the</w:t>
            </w:r>
          </w:p>
        </w:tc>
        <w:tc>
          <w:tcPr>
            <w:tcW w:w="0" w:type="dxa"/>
            <w:vAlign w:val="bottom"/>
          </w:tcPr>
          <w:p>
            <w:pPr>
              <w:spacing w:after="0"/>
              <w:rPr>
                <w:sz w:val="1"/>
                <w:szCs w:val="1"/>
                <w:color w:val="auto"/>
              </w:rPr>
            </w:pPr>
          </w:p>
        </w:tc>
      </w:tr>
      <w:tr>
        <w:trPr>
          <w:trHeight w:val="171"/>
        </w:trPr>
        <w:tc>
          <w:tcPr>
            <w:tcW w:w="18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submitted via this method.</w:t>
            </w: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62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matters proposed at, the annual general meeting and any adjournments thereof.</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Signature of</w:t>
            </w:r>
          </w:p>
        </w:tc>
        <w:tc>
          <w:tcPr>
            <w:tcW w:w="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Signature of</w:t>
            </w:r>
          </w:p>
        </w:tc>
        <w:tc>
          <w:tcPr>
            <w:tcW w:w="1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60" w:type="dxa"/>
            <w:vAlign w:val="bottom"/>
            <w:vMerge w:val="continue"/>
          </w:tcPr>
          <w:p>
            <w:pPr>
              <w:spacing w:after="0"/>
              <w:rPr>
                <w:sz w:val="10"/>
                <w:szCs w:val="10"/>
                <w:color w:val="auto"/>
              </w:rPr>
            </w:pPr>
          </w:p>
        </w:tc>
        <w:tc>
          <w:tcPr>
            <w:tcW w:w="72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Date:</w:t>
            </w:r>
          </w:p>
        </w:tc>
        <w:tc>
          <w:tcPr>
            <w:tcW w:w="24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Date:</w:t>
            </w: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Shareholder</w:t>
            </w:r>
          </w:p>
        </w:tc>
        <w:tc>
          <w:tcPr>
            <w:tcW w:w="720" w:type="dxa"/>
            <w:vAlign w:val="bottom"/>
            <w:tcBorders>
              <w:lef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Shareholder</w:t>
            </w:r>
          </w:p>
        </w:tc>
        <w:tc>
          <w:tcPr>
            <w:tcW w:w="1260" w:type="dxa"/>
            <w:vAlign w:val="bottom"/>
            <w:vMerge w:val="restart"/>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160" w:type="dxa"/>
            <w:vAlign w:val="bottom"/>
            <w:vMerge w:val="continue"/>
          </w:tcPr>
          <w:p>
            <w:pPr>
              <w:spacing w:after="0"/>
              <w:rPr>
                <w:sz w:val="5"/>
                <w:szCs w:val="5"/>
                <w:color w:val="auto"/>
              </w:rPr>
            </w:pPr>
          </w:p>
        </w:tc>
        <w:tc>
          <w:tcPr>
            <w:tcW w:w="7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140" w:type="dxa"/>
            <w:vAlign w:val="bottom"/>
            <w:vMerge w:val="continue"/>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2518410</wp:posOffset>
            </wp:positionH>
            <wp:positionV relativeFrom="paragraph">
              <wp:posOffset>-217805</wp:posOffset>
            </wp:positionV>
            <wp:extent cx="34290" cy="2311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23114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-217805</wp:posOffset>
            </wp:positionV>
            <wp:extent cx="34290" cy="231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231140"/>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-217805</wp:posOffset>
            </wp:positionV>
            <wp:extent cx="33655" cy="2311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231140"/>
                    </a:xfrm>
                    <a:prstGeom prst="rect">
                      <a:avLst/>
                    </a:prstGeom>
                    <a:noFill/>
                  </pic:spPr>
                </pic:pic>
              </a:graphicData>
            </a:graphic>
          </wp:anchor>
        </w:drawing>
      </w:r>
    </w:p>
    <w:p>
      <w:pPr>
        <w:spacing w:after="0" w:line="11" w:lineRule="exact"/>
        <w:rPr>
          <w:sz w:val="20"/>
          <w:szCs w:val="20"/>
          <w:color w:val="auto"/>
        </w:rPr>
      </w:pPr>
    </w:p>
    <w:p>
      <w:pPr>
        <w:jc w:val="both"/>
        <w:ind w:left="500" w:right="420"/>
        <w:spacing w:after="0" w:line="241" w:lineRule="auto"/>
        <w:rPr>
          <w:sz w:val="20"/>
          <w:szCs w:val="20"/>
          <w:color w:val="auto"/>
        </w:rPr>
      </w:pPr>
      <w:r>
        <w:rPr>
          <w:rFonts w:ascii="Times New Roman" w:cs="Times New Roman" w:eastAsia="Times New Roman" w:hAnsi="Times New Roman"/>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730885</wp:posOffset>
            </wp:positionV>
            <wp:extent cx="70377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68" w:right="109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AMDOCS LIMITED</w:t>
      </w:r>
    </w:p>
    <w:p>
      <w:pPr>
        <w:spacing w:after="0" w:line="200" w:lineRule="exact"/>
        <w:rPr>
          <w:sz w:val="20"/>
          <w:szCs w:val="20"/>
          <w:color w:val="auto"/>
        </w:rPr>
      </w:pPr>
    </w:p>
    <w:p>
      <w:pPr>
        <w:spacing w:after="0" w:line="241" w:lineRule="exact"/>
        <w:rPr>
          <w:sz w:val="20"/>
          <w:szCs w:val="20"/>
          <w:color w:val="auto"/>
        </w:rPr>
      </w:pPr>
    </w:p>
    <w:p>
      <w:pPr>
        <w:ind w:left="5960"/>
        <w:spacing w:after="0"/>
        <w:tabs>
          <w:tab w:leader="none" w:pos="6400" w:val="left"/>
        </w:tabs>
        <w:rPr>
          <w:sz w:val="20"/>
          <w:szCs w:val="20"/>
          <w:color w:val="auto"/>
        </w:rPr>
      </w:pPr>
      <w:r>
        <w:rPr>
          <w:rFonts w:ascii="Times New Roman" w:cs="Times New Roman" w:eastAsia="Times New Roman" w:hAnsi="Times New Roman"/>
          <w:sz w:val="18"/>
          <w:szCs w:val="18"/>
          <w:color w:val="auto"/>
        </w:rPr>
        <w:t>By:</w:t>
        <w:tab/>
        <w:t>/s/ Matthew E. Smith</w:t>
      </w:r>
    </w:p>
    <w:p>
      <w:pPr>
        <w:spacing w:after="0" w:line="27" w:lineRule="exact"/>
        <w:rPr>
          <w:sz w:val="20"/>
          <w:szCs w:val="20"/>
          <w:color w:val="auto"/>
        </w:rPr>
      </w:pPr>
    </w:p>
    <w:tbl>
      <w:tblPr>
        <w:tblLayout w:type="fixed"/>
        <w:tblInd w:w="6400" w:type="dxa"/>
        <w:tblCellMar>
          <w:top w:w="0" w:type="dxa"/>
          <w:left w:w="0" w:type="dxa"/>
          <w:bottom w:w="0" w:type="dxa"/>
          <w:right w:w="0" w:type="dxa"/>
        </w:tblCellMar>
      </w:tblPr>
      <w:tr>
        <w:trPr>
          <w:trHeight w:val="191"/>
        </w:trPr>
        <w:tc>
          <w:tcPr>
            <w:tcW w:w="6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7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Matthew E. Smith</w:t>
            </w:r>
          </w:p>
        </w:tc>
      </w:tr>
      <w:tr>
        <w:trPr>
          <w:trHeight w:val="23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Secretary and Authorized Signatory</w:t>
            </w: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December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621665</wp:posOffset>
            </wp:positionV>
            <wp:extent cx="70377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68" w:right="109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1."/>
      <w:numFmt w:val="decimal"/>
      <w:start w:val="2"/>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2"/>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decimal"/>
      <w:start w:val="1"/>
    </w:lvl>
    <w:lvl w:ilvl="1">
      <w:lvlJc w:val="left"/>
      <w:lvlText w:val="(%2)"/>
      <w:numFmt w:val="lowerLetter"/>
      <w:start w:val="4"/>
    </w:lvl>
  </w:abstractNum>
  <w:abstractNum w:abstractNumId="18">
    <w:nsid w:val="3006C83E"/>
    <w:multiLevelType w:val="hybridMultilevel"/>
    <w:lvl w:ilvl="0">
      <w:lvlJc w:val="left"/>
      <w:lvlText w:val="%1."/>
      <w:numFmt w:val="decimal"/>
      <w:start w:val="3"/>
    </w:lvl>
    <w:lvl w:ilvl="1">
      <w:lvlJc w:val="left"/>
      <w:lvlText w:val="%2"/>
      <w:numFmt w:val="lowerLetter"/>
      <w:start w:val="1"/>
    </w:lvl>
  </w:abstractNum>
  <w:abstractNum w:abstractNumId="19">
    <w:nsid w:val="614FD4A1"/>
    <w:multiLevelType w:val="hybridMultilevel"/>
    <w:lvl w:ilvl="0">
      <w:lvlJc w:val="left"/>
      <w:lvlText w:val="%1."/>
      <w:numFmt w:val="decimal"/>
      <w:start w:val="4"/>
    </w:lvl>
  </w:abstractNum>
  <w:abstractNum w:abstractNumId="20">
    <w:nsid w:val="419AC241"/>
    <w:multiLevelType w:val="hybridMultilevel"/>
    <w:lvl w:ilvl="0">
      <w:lvlJc w:val="left"/>
      <w:lvlText w:val="%1."/>
      <w:numFmt w:val="decimal"/>
      <w:start w:val="5"/>
    </w:lvl>
  </w:abstractNum>
  <w:abstractNum w:abstractNumId="21">
    <w:nsid w:val="5577F8E1"/>
    <w:multiLevelType w:val="hybridMultilevel"/>
    <w:lvl w:ilvl="0">
      <w:lvlJc w:val="left"/>
      <w:lvlText w:val="%1."/>
      <w:numFmt w:val="decimal"/>
      <w:start w:val="6"/>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lowerLetter"/>
      <w:start w:val="3"/>
    </w:lvl>
  </w:abstractNum>
  <w:abstractNum w:abstractNumId="24">
    <w:nsid w:val="3804823E"/>
    <w:multiLevelType w:val="hybridMultilevel"/>
    <w:lvl w:ilvl="0">
      <w:lvlJc w:val="left"/>
      <w:lvlText w:val="(%1)"/>
      <w:numFmt w:val="lowerLetter"/>
      <w:start w:val="7"/>
    </w:lvl>
  </w:abstractNum>
  <w:abstractNum w:abstractNumId="25">
    <w:nsid w:val="77465F01"/>
    <w:multiLevelType w:val="hybridMultilevel"/>
    <w:lvl w:ilvl="0">
      <w:lvlJc w:val="left"/>
      <w:lvlText w:val="%1"/>
      <w:numFmt w:val="decimal"/>
      <w:start w:val="1"/>
    </w:lvl>
    <w:lvl w:ilvl="1">
      <w:lvlJc w:val="left"/>
      <w:lvlText w:val="(%2)"/>
      <w:numFmt w:val="lowerLetter"/>
      <w:start w:val="9"/>
    </w:lvl>
  </w:abstractNum>
  <w:abstractNum w:abstractNumId="26">
    <w:nsid w:val="7724C67E"/>
    <w:multiLevelType w:val="hybridMultilevel"/>
    <w:lvl w:ilvl="0">
      <w:lvlJc w:val="left"/>
      <w:lvlText w:val="%1."/>
      <w:numFmt w:val="decimal"/>
      <w:start w:val="7"/>
    </w:lvl>
    <w:lvl w:ilvl="1">
      <w:lvlJc w:val="left"/>
      <w:lvlText w:val="%2"/>
      <w:numFmt w:val="lowerLetter"/>
      <w:start w:val="1"/>
    </w:lvl>
  </w:abstractNum>
  <w:abstractNum w:abstractNumId="27">
    <w:nsid w:val="5C482A97"/>
    <w:multiLevelType w:val="hybridMultilevel"/>
    <w:lvl w:ilvl="0">
      <w:lvlJc w:val="left"/>
      <w:lvlText w:val="%1."/>
      <w:numFmt w:val="decimal"/>
      <w:start w:val="8"/>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decimal"/>
      <w:start w:val="1"/>
    </w:lvl>
    <w:lvl w:ilvl="1">
      <w:lvlJc w:val="left"/>
      <w:lvlText w:val="(%2)"/>
      <w:numFmt w:val="lowerLetter"/>
      <w:start w:val="2"/>
    </w:lvl>
  </w:abstractNum>
  <w:abstractNum w:abstractNumId="30">
    <w:nsid w:val="51EAD36B"/>
    <w:multiLevelType w:val="hybridMultilevel"/>
    <w:lvl w:ilvl="0">
      <w:lvlJc w:val="left"/>
      <w:lvlText w:val="%1."/>
      <w:numFmt w:val="decimal"/>
      <w:start w:val="9"/>
    </w:lvl>
    <w:lvl w:ilvl="1">
      <w:lvlJc w:val="left"/>
      <w:lvlText w:val="%2"/>
      <w:numFmt w:val="lowerLetter"/>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Roman"/>
      <w:start w:val="2"/>
    </w:lvl>
  </w:abstractNum>
  <w:abstractNum w:abstractNumId="33">
    <w:nsid w:val="153EA438"/>
    <w:multiLevelType w:val="hybridMultilevel"/>
    <w:lvl w:ilvl="0">
      <w:lvlJc w:val="left"/>
      <w:lvlText w:val="(%1)"/>
      <w:numFmt w:val="lowerLetter"/>
      <w:start w:val="3"/>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Roman"/>
      <w:start w:val="1"/>
    </w:lvl>
  </w:abstractNum>
  <w:abstractNum w:abstractNumId="36">
    <w:nsid w:val="6A2342EC"/>
    <w:multiLevelType w:val="hybridMultilevel"/>
    <w:lvl w:ilvl="0">
      <w:lvlJc w:val="left"/>
      <w:lvlText w:val="%1."/>
      <w:numFmt w:val="decimal"/>
      <w:start w:val="10"/>
    </w:lvl>
    <w:lvl w:ilvl="1">
      <w:lvlJc w:val="left"/>
      <w:lvlText w:val="(%2)"/>
      <w:numFmt w:val="lowerLetter"/>
      <w:start w:val="1"/>
    </w:lvl>
  </w:abstractNum>
  <w:abstractNum w:abstractNumId="37">
    <w:nsid w:val="2A487CB0"/>
    <w:multiLevelType w:val="hybridMultilevel"/>
    <w:lvl w:ilvl="0">
      <w:lvlJc w:val="left"/>
      <w:lvlText w:val="(%1)"/>
      <w:numFmt w:val="lowerLetter"/>
      <w:start w:val="2"/>
    </w:lvl>
    <w:lvl w:ilvl="1">
      <w:lvlJc w:val="left"/>
      <w:lvlText w:val="(%2)"/>
      <w:numFmt w:val="lowerRoman"/>
      <w:start w:val="1"/>
    </w:lvl>
  </w:abstractNum>
  <w:abstractNum w:abstractNumId="38">
    <w:nsid w:val="1D4ED43B"/>
    <w:multiLevelType w:val="hybridMultilevel"/>
    <w:lvl w:ilvl="0">
      <w:lvlJc w:val="left"/>
      <w:lvlText w:val="(%1)"/>
      <w:numFmt w:val="lowerLetter"/>
      <w:start w:val="3"/>
    </w:lvl>
  </w:abstractNum>
  <w:abstractNum w:abstractNumId="39">
    <w:nsid w:val="725A06FB"/>
    <w:multiLevelType w:val="hybridMultilevel"/>
    <w:lvl w:ilvl="0">
      <w:lvlJc w:val="left"/>
      <w:lvlText w:val="%1."/>
      <w:numFmt w:val="decimal"/>
      <w:start w:val="11"/>
    </w:lvl>
  </w:abstractNum>
  <w:abstractNum w:abstractNumId="40">
    <w:nsid w:val="2CD89A32"/>
    <w:multiLevelType w:val="hybridMultilevel"/>
    <w:lvl w:ilvl="0">
      <w:lvlJc w:val="left"/>
      <w:lvlText w:val="%1."/>
      <w:numFmt w:val="decimal"/>
      <w:start w:val="13"/>
    </w:lvl>
  </w:abstractNum>
  <w:abstractNum w:abstractNumId="41">
    <w:nsid w:val="57E4CCAF"/>
    <w:multiLevelType w:val="hybridMultilevel"/>
    <w:lvl w:ilvl="0">
      <w:lvlJc w:val="left"/>
      <w:lvlText w:val="%1."/>
      <w:numFmt w:val="decimal"/>
      <w:start w:val="14"/>
    </w:lvl>
  </w:abstractNum>
  <w:abstractNum w:abstractNumId="42">
    <w:nsid w:val="7A6D8D3C"/>
    <w:multiLevelType w:val="hybridMultilevel"/>
    <w:lvl w:ilvl="0">
      <w:lvlJc w:val="left"/>
      <w:lvlText w:val="%1."/>
      <w:numFmt w:val="decimal"/>
      <w:start w:val="15"/>
    </w:lvl>
  </w:abstractNum>
  <w:abstractNum w:abstractNumId="43">
    <w:nsid w:val="4B588F54"/>
    <w:multiLevelType w:val="hybridMultilevel"/>
    <w:lvl w:ilvl="0">
      <w:lvlJc w:val="left"/>
      <w:lvlText w:val="%1."/>
      <w:numFmt w:val="decimal"/>
      <w:start w:val="16"/>
    </w:lvl>
  </w:abstractNum>
  <w:abstractNum w:abstractNumId="44">
    <w:nsid w:val="542289EC"/>
    <w:multiLevelType w:val="hybridMultilevel"/>
    <w:lvl w:ilvl="0">
      <w:lvlJc w:val="left"/>
      <w:lvlText w:val="%1."/>
      <w:numFmt w:val="decimal"/>
      <w:start w:val="17"/>
    </w:lvl>
  </w:abstractNum>
  <w:abstractNum w:abstractNumId="45">
    <w:nsid w:val="6DE91B18"/>
    <w:multiLevelType w:val="hybridMultilevel"/>
    <w:lvl w:ilvl="0">
      <w:lvlJc w:val="left"/>
      <w:lvlText w:val="%1."/>
      <w:numFmt w:val="decimal"/>
      <w:start w:val="18"/>
    </w:lvl>
  </w:abstractNum>
  <w:abstractNum w:abstractNumId="46">
    <w:nsid w:val="38437FDB"/>
    <w:multiLevelType w:val="hybridMultilevel"/>
    <w:lvl w:ilvl="0">
      <w:lvlJc w:val="left"/>
      <w:lvlText w:val="%1."/>
      <w:numFmt w:val="decimal"/>
      <w:start w:val="19"/>
    </w:lvl>
  </w:abstractNum>
  <w:abstractNum w:abstractNumId="47">
    <w:nsid w:val="7644A45C"/>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2024-12-23T15:27:46Z</dcterms:created>
  <dcterms:modified xsi:type="dcterms:W3CDTF">2024-12-23T15:27:46Z</dcterms:modified>
</cp:coreProperties>
</file>