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month of May 2019</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5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262255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5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580"/>
          </w:cols>
          <w:pgMar w:left="440" w:top="368" w:right="87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14, 2019, Amdocs Limited (“Amdocs”) issued a press release announcing financial results for the quarter ended March 31, 2019. A copy of the press release is furnished as Exhibit 99.1 to this Report of Foreign Private Issuer on Form 6-K.</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80"/>
          </w:cols>
          <w:pgMar w:left="440" w:top="274" w:right="47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2019</w:t>
      </w:r>
    </w:p>
    <w:p>
      <w:pPr>
        <w:sectPr>
          <w:pgSz w:w="11900" w:h="16838" w:orient="portrait"/>
          <w:cols w:equalWidth="0" w:num="1">
            <w:col w:w="10280"/>
          </w:cols>
          <w:pgMar w:left="440" w:top="270" w:right="117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386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8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May 14, 2019.</w:t>
      </w:r>
    </w:p>
    <w:p>
      <w:pPr>
        <w:sectPr>
          <w:pgSz w:w="11900" w:h="16838" w:orient="portrait"/>
          <w:cols w:equalWidth="0" w:num="1">
            <w:col w:w="10019"/>
          </w:cols>
          <w:pgMar w:left="4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5143500</wp:posOffset>
            </wp:positionH>
            <wp:positionV relativeFrom="paragraph">
              <wp:posOffset>172085</wp:posOffset>
            </wp:positionV>
            <wp:extent cx="186118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11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239" w:lineRule="auto"/>
        <w:rPr>
          <w:sz w:val="20"/>
          <w:szCs w:val="20"/>
          <w:color w:val="auto"/>
        </w:rPr>
      </w:pPr>
      <w:r>
        <w:rPr>
          <w:rFonts w:ascii="Arial" w:cs="Arial" w:eastAsia="Arial" w:hAnsi="Arial"/>
          <w:sz w:val="22"/>
          <w:szCs w:val="22"/>
          <w:b w:val="1"/>
          <w:bCs w:val="1"/>
          <w:color w:val="auto"/>
        </w:rPr>
        <w:t>Amdocs Limited Reports Second Quarter Fiscal 2019 Results Record Quarterly Revenue of $1.02 Billion Raises Fiscal 2019 GAAP Diluted EPS Growth Outlook to 33.0%-41.0% YoY Raises Fiscal 2019 Non-GAAP Diluted EPS Growth Outlook to 4.5%-8.5% YoY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2019 Highlights</w:t>
      </w:r>
    </w:p>
    <w:p>
      <w:pPr>
        <w:spacing w:after="0" w:line="256" w:lineRule="exact"/>
        <w:rPr>
          <w:sz w:val="20"/>
          <w:szCs w:val="20"/>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$1,020 million, above the midpoint of the $995-$1,035 million guidance range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diluted EPS of $0.90, above the $0.75-$0.83 guidance range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diluted EPS of $1.06, at the high end of the $1.00-$1.06 guidance range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income of $150 million; GAAP operating margin of 14.7%</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of $178 million; non-GAAP operating margin of 17.4%</w:t>
      </w:r>
    </w:p>
    <w:p>
      <w:pPr>
        <w:spacing w:after="0" w:line="130" w:lineRule="exact"/>
        <w:rPr>
          <w:rFonts w:ascii="Arial" w:cs="Arial" w:eastAsia="Arial" w:hAnsi="Arial"/>
          <w:sz w:val="18"/>
          <w:szCs w:val="18"/>
          <w:color w:val="auto"/>
        </w:rPr>
      </w:pPr>
    </w:p>
    <w:p>
      <w:pPr>
        <w:ind w:left="860" w:right="880" w:hanging="316"/>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free cash flow of $148 million, comprised of cash flow from operations of $169 million, less $21 million in net capital expenditures and other; normalized free cash flow of $145 million (1)</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$3.39 billion, up $20 million sequentially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quarterly cash dividend of $0.285 per share to be paid on July 19, 2019</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 LOUIS – May 14, 2019 </w:t>
      </w:r>
      <w:r>
        <w:rPr>
          <w:rFonts w:ascii="Arial" w:cs="Arial" w:eastAsia="Arial" w:hAnsi="Arial"/>
          <w:sz w:val="17"/>
          <w:szCs w:val="17"/>
          <w:color w:val="auto"/>
        </w:rPr>
        <w:t>– Amdocs Limited (NASDAQ: DOX) today reported operating results for the three months ended March 31, 2019.</w:t>
      </w:r>
    </w:p>
    <w:p>
      <w:pPr>
        <w:spacing w:after="0" w:line="2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pleased to report a strong performance for our second fiscal quarter, which included record revenue, solid profitability and diluted non-GAAP earnings per share in line with the high-end of our guidance. Additionally, our quarterly cash collection was healthy as we continued to meet key delivery milestones related to the many transformation projects</w:t>
      </w:r>
    </w:p>
    <w:p>
      <w:pPr>
        <w:spacing w:after="0" w:line="200" w:lineRule="exact"/>
        <w:rPr>
          <w:sz w:val="20"/>
          <w:szCs w:val="20"/>
          <w:color w:val="auto"/>
        </w:rPr>
      </w:pPr>
    </w:p>
    <w:p>
      <w:pPr>
        <w:spacing w:after="0" w:line="261" w:lineRule="exact"/>
        <w:rPr>
          <w:sz w:val="20"/>
          <w:szCs w:val="20"/>
          <w:color w:val="auto"/>
        </w:rPr>
      </w:pPr>
    </w:p>
    <w:p>
      <w:pPr>
        <w:ind w:left="320" w:hanging="316"/>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Please refer to the Selected Financial Metrics tables below</w:t>
      </w:r>
    </w:p>
    <w:p>
      <w:pPr>
        <w:sectPr>
          <w:pgSz w:w="11900" w:h="16838" w:orient="portrait"/>
          <w:cols w:equalWidth="0" w:num="1">
            <w:col w:w="11020"/>
          </w:cols>
          <w:pgMar w:left="440" w:top="121" w:right="439" w:bottom="1440" w:gutter="0" w:footer="0" w:header="0"/>
        </w:sectPr>
      </w:pPr>
    </w:p>
    <w:bookmarkStart w:id="5" w:name="page6"/>
    <w:bookmarkEnd w:id="5"/>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progressing for our customers. As such, we remain on-track to achieve our normalized free cash flow target of approximately $600 million for the full fiscal year 2019, which equates to a conversion rate of approximately 100% relative to our expected non-GAAP net income.” said Shuky Sheffer, president and chief executive officer of Amdocs Management Limited.</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Sheffer continued, “At the core of Amdocs’ market leadership and future growth is our ability to continuously innovate and bring new offerings to market. Along these lines, we recently launched our Open 5G suite at Mobile World Congress, which offers service providers an end-to-end solution to rapidly deploy, automate and monetize smart and agile 5G networks. Our approach to 5G was recently recognized by Light Reading, which last week selected Amdocs as the company with the “Most Innovative 5G Strategy” to tackle the unique business and operational challenges that 5G service providers will face. Moreover, we believe we have the core competency to execute at 5G, as demonstrated by today’s announcement that KT Corporation in South Korea recently launched one of the world’s first 5G commercial services that is supported by Amdocs’ Service Monetization solution.”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Sheffer concluded, “Looking towards our fiscal second half, we are encouraged by our record 12-month backlog which reflects the high win rate we are seeing across business lines such as Pay TV, media and managed services. Additionally, we see an attractive pipeline of opportunities ahead of us, which further supports our confidence in the near term outlook. With these factors in mind, we now expect to deliver diluted non-GAAP earnings per share growth in the range of 4.5% to 8.5% for the full fiscal year 2019, which represents an increase of approximately 150 basis points over our previous guidance.”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for the second fiscal quarter ended March 31, 2019 was $1,020 million, up $7.6 million sequentially from the first fiscal quarter of 2019 and up 2.8% as reported and 4.8% in constant currency as compared to last year’s second fiscal quarter. Revenue for the second fiscal quarter of 2019 includes a positive impact from foreign currency movements</w:t>
      </w:r>
    </w:p>
    <w:p>
      <w:pPr>
        <w:sectPr>
          <w:pgSz w:w="11900" w:h="16838" w:orient="portrait"/>
          <w:cols w:equalWidth="0" w:num="1">
            <w:col w:w="11000"/>
          </w:cols>
          <w:pgMar w:left="440" w:top="274" w:right="459" w:bottom="1440" w:gutter="0" w:footer="0" w:header="0"/>
        </w:sectPr>
      </w:pPr>
    </w:p>
    <w:bookmarkStart w:id="6" w:name="page7"/>
    <w:bookmarkEnd w:id="6"/>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approximately $2 million relative to the first quarter of fiscal 2019. Revenue was slightly above the midpoint of Amdocs’ guidance, adjusting for the positive impact of approximately $4 million of foreign currency movements relative to guidance.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GAAP net income for the second quarter of fiscal 2019 was $124.3 million, or $0.90 per diluted share, compared to GAAP net income of $101.7 million, or $0.70 per diluted share, in the prior fiscal year’s second quarter. Net income on a non-GAAP basis was $147.0 million, or $1.06 per diluted share, compared to non-GAAP net income of $137.4 million, or $0.95 per diluted share, in the second quarter of fiscal 2018. Non-GAAP net income excludes amortization of purchased intangible assets and other acquisition-related costs, changes in certain acquisitions related liabilities measured at fair value, and equity-based compensation expenses, net of related tax effects, in the second quarter of fiscal 2019. For further details of reconciliation of selected financial metrics from GAAP to Non-GAAP, please refer to the tables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5" w:lineRule="exact"/>
        <w:rPr>
          <w:sz w:val="20"/>
          <w:szCs w:val="20"/>
          <w:color w:val="auto"/>
        </w:rPr>
      </w:pPr>
    </w:p>
    <w:p>
      <w:pPr>
        <w:jc w:val="both"/>
        <w:ind w:left="860" w:hanging="316"/>
        <w:spacing w:after="0" w:line="26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May 14, 2019, the Board approved the Company’s next quarterly cash dividend payment of $0.285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and set June 28, 2019 as the record date for determining the shareholders entitled to receive the dividend, which will be payable on July 19, 2019.</w:t>
      </w:r>
    </w:p>
    <w:p>
      <w:pPr>
        <w:spacing w:after="0" w:line="86"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$120 million of ordinary shares during the second quarter of fiscal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$3.39 billion at the end of the second quarter of fiscal 2019, up $20 million from the end of the prior quarter.</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Quarter Fiscal 2019 Outlook</w:t>
      </w:r>
    </w:p>
    <w:p>
      <w:pPr>
        <w:spacing w:after="0" w:line="256" w:lineRule="exact"/>
        <w:rPr>
          <w:sz w:val="20"/>
          <w:szCs w:val="20"/>
          <w:color w:val="auto"/>
        </w:rPr>
      </w:pPr>
    </w:p>
    <w:p>
      <w:pPr>
        <w:ind w:left="860" w:right="300" w:hanging="31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approximately $1,005-$1,045 million, assuming approximately $2 million sequential negative impact from foreign currency fluctuations as compared to the second quarter of fiscal 2019</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diluted EPS of approximately $0.82-$0.90</w:t>
      </w:r>
    </w:p>
    <w:p>
      <w:pPr>
        <w:spacing w:after="0" w:line="130" w:lineRule="exact"/>
        <w:rPr>
          <w:rFonts w:ascii="Arial" w:cs="Arial" w:eastAsia="Arial" w:hAnsi="Arial"/>
          <w:sz w:val="18"/>
          <w:szCs w:val="18"/>
          <w:color w:val="auto"/>
        </w:rPr>
      </w:pPr>
    </w:p>
    <w:p>
      <w:pPr>
        <w:ind w:left="860" w:right="100" w:hanging="316"/>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diluted EPS of approximately $1.08-$1.14, excluding amortization of purchased intangible assets and other acquisition-related costs, changes in certain acquisitions related liabilities measured at fair value, and approximately $0.05-$0.07 per share of equity-based compensation expense, net of related tax effects.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2019 Outlook</w:t>
      </w:r>
    </w:p>
    <w:p>
      <w:pPr>
        <w:spacing w:after="0" w:line="256" w:lineRule="exact"/>
        <w:rPr>
          <w:sz w:val="20"/>
          <w:szCs w:val="20"/>
          <w:color w:val="auto"/>
        </w:rPr>
      </w:pPr>
    </w:p>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Expects revenue growth of 1.8%-3.8% year-over-year as reported compared with 0.5%-4.5% year-over-year previously</w:t>
      </w:r>
    </w:p>
    <w:p>
      <w:pPr>
        <w:spacing w:after="0" w:line="130" w:lineRule="exact"/>
        <w:rPr>
          <w:rFonts w:ascii="Arial" w:cs="Arial" w:eastAsia="Arial" w:hAnsi="Arial"/>
          <w:sz w:val="18"/>
          <w:szCs w:val="18"/>
          <w:color w:val="auto"/>
        </w:rPr>
      </w:pPr>
    </w:p>
    <w:p>
      <w:pPr>
        <w:ind w:left="860" w:right="360" w:hanging="316"/>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Expects revenue growth of 3.0%-5.0% year-over-year on a constant currency basis, the midpoint of which is unchanged compared with 2.0%-6.0% year-over-year previously</w:t>
      </w:r>
    </w:p>
    <w:p>
      <w:pPr>
        <w:spacing w:after="0" w:line="75" w:lineRule="exact"/>
        <w:rPr>
          <w:rFonts w:ascii="Arial" w:cs="Arial" w:eastAsia="Arial" w:hAnsi="Arial"/>
          <w:sz w:val="18"/>
          <w:szCs w:val="18"/>
          <w:color w:val="auto"/>
        </w:rPr>
      </w:pPr>
    </w:p>
    <w:p>
      <w:pPr>
        <w:ind w:left="860" w:right="300" w:hanging="316"/>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 year fiscal 2019 revenue guidance incorporates an expected negative impact from foreign currency fluctuations of about 1.2% year-over-year compared with a negative impact of about 1.5% year-over-year previously</w:t>
      </w:r>
    </w:p>
    <w:p>
      <w:pPr>
        <w:spacing w:after="0" w:line="75" w:lineRule="exact"/>
        <w:rPr>
          <w:rFonts w:ascii="Arial" w:cs="Arial" w:eastAsia="Arial" w:hAnsi="Arial"/>
          <w:sz w:val="18"/>
          <w:szCs w:val="18"/>
          <w:color w:val="auto"/>
        </w:rPr>
      </w:pPr>
    </w:p>
    <w:p>
      <w:pPr>
        <w:ind w:left="860" w:right="360" w:hanging="316"/>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Expects GAAP diluted earnings per share growth of roughly 33.0%-41.0% year-over-year compared with 29.0%-38.0% year-over-year previously</w:t>
      </w:r>
    </w:p>
    <w:p>
      <w:pPr>
        <w:spacing w:after="0" w:line="75" w:lineRule="exact"/>
        <w:rPr>
          <w:rFonts w:ascii="Arial" w:cs="Arial" w:eastAsia="Arial" w:hAnsi="Arial"/>
          <w:sz w:val="18"/>
          <w:szCs w:val="18"/>
          <w:color w:val="auto"/>
        </w:rPr>
      </w:pPr>
    </w:p>
    <w:p>
      <w:pPr>
        <w:ind w:left="860" w:right="80" w:hanging="316"/>
        <w:spacing w:after="0" w:line="312"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Expects non-GAAP diluted earnings per share growth of roughly 4.5%-8.5% year-over-year compared with 3.0%-7.0% year-over-year previously, excluding amortization of purchased intangible assets and other acquisition-related costs, changes in certain acquisitions related liabilities measured at fair value, and approximately $0.24-$0.28 per share of equity-based compensation expense, net of related tax effects</w:t>
      </w:r>
    </w:p>
    <w:p>
      <w:pPr>
        <w:spacing w:after="0" w:line="52" w:lineRule="exact"/>
        <w:rPr>
          <w:rFonts w:ascii="Arial" w:cs="Arial" w:eastAsia="Arial" w:hAnsi="Arial"/>
          <w:sz w:val="16"/>
          <w:szCs w:val="16"/>
          <w:color w:val="auto"/>
        </w:rPr>
      </w:pPr>
    </w:p>
    <w:p>
      <w:pPr>
        <w:ind w:left="860" w:hanging="316"/>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Reiterates free cash flow guidance of approximately $500 million, comprised of cash flow from operations, less net capital expenditures and other, and normalized free cash flow of approximately $600 million</w:t>
      </w:r>
    </w:p>
    <w:p>
      <w:pPr>
        <w:sectPr>
          <w:pgSz w:w="11900" w:h="16838" w:orient="portrait"/>
          <w:cols w:equalWidth="0" w:num="1">
            <w:col w:w="10980"/>
          </w:cols>
          <w:pgMar w:left="440" w:top="270" w:right="479" w:bottom="1440" w:gutter="0" w:footer="0" w:header="0"/>
        </w:sectPr>
      </w:pPr>
    </w:p>
    <w:bookmarkStart w:id="8" w:name="page9"/>
    <w:bookmarkEnd w:id="8"/>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third fiscal quarter 2019 and full year fiscal 2019 outlook takes into consideration the Company’s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T-Mobile’s proposed merger with Sprint, or from other current and potential customer consolidation activity.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Amdocs will host a conference call on May 14, 2019 at 5:00 p.m. Eastern Time to discuss the Company’s second quarter of fiscal 2019 results. To participate, please dial +1 (844) 513-7152, or +1 (508) 637-5600 outside the United States, approximately 15 minutes before the call and enter passcode 6089107. The call will also be carried live on the Internet via the Amdocs website, www.amdocs.com.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and normalized free cash flow, non-GAAP cost of revenue, non-GAAP research and development, non-GAAP selling, general and administrative, non-GAAP operating income, non-GAAP operating margin, non-GAAP income taxes, non-GAAP effective tax rate, non-GAAP net income and non-GAAP diluted earnings per share growth. These non-GAAP measures exclude the following items:</w:t>
      </w:r>
    </w:p>
    <w:p>
      <w:pPr>
        <w:spacing w:after="0" w:line="92" w:lineRule="exact"/>
        <w:rPr>
          <w:sz w:val="20"/>
          <w:szCs w:val="20"/>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certain acquisition-related liabilities measured at fair value;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non-recurring and unusual charges;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Free cash flow equals cash generated by operating activities less net capital expenditures and other, and normalized free cash flow is adjusted to exclude net capital expenditures related to the new campus development, payments for previously expensed restructuring charges and a legal dispute settlement. These non-GAAP financial measures are not in</w:t>
      </w:r>
    </w:p>
    <w:p>
      <w:pPr>
        <w:sectPr>
          <w:pgSz w:w="11900" w:h="16838" w:orient="portrait"/>
          <w:cols w:equalWidth="0" w:num="1">
            <w:col w:w="10980"/>
          </w:cols>
          <w:pgMar w:left="440" w:top="274" w:right="47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7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10960"/>
          </w:cols>
          <w:pgMar w:left="440" w:top="274" w:right="499" w:bottom="1440" w:gutter="0" w:footer="0" w:header="0"/>
        </w:sectPr>
      </w:pPr>
    </w:p>
    <w:bookmarkStart w:id="10" w:name="page11"/>
    <w:bookmarkEnd w:id="1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Keep up with Amdocs news by visiting the Company’s website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Subscribe to Amdocs’ RSS Feed and follow us on Twitter, Facebook, LinkedIn and 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Amdocs is a leading software and services provider to communications and media companies of all sizes, accelerating the industry’s dynamic and continuous digital transformation. With a rich set of innovative solutions, long-term business relationships with 350 communications and media providers, and technology and distribution ties to 600 content creators, Amdocs delivers business improvements to drive growth. Amdocs and its 25,000 employees serve customers in over 85 countries. Listed on the NASDAQ Global Select Market, Amdocs had revenue of $4.0 billion in fiscal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w:t>
      </w:r>
    </w:p>
    <w:p>
      <w:pPr>
        <w:sectPr>
          <w:pgSz w:w="11900" w:h="16838" w:orient="portrait"/>
          <w:cols w:equalWidth="0" w:num="1">
            <w:col w:w="10980"/>
          </w:cols>
          <w:pgMar w:left="440" w:top="274" w:right="479" w:bottom="1440" w:gutter="0" w:footer="0" w:header="0"/>
        </w:sectPr>
      </w:pPr>
    </w:p>
    <w:bookmarkStart w:id="11" w:name="page12"/>
    <w:bookmarkEnd w:id="1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2018 filed on December 10, 2018 and our Form 6-K furnished for the first quarter of fiscal 2019 on February 19,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020"/>
          </w:cols>
          <w:pgMar w:left="440" w:top="274"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1,019,657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992,340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2,031,712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1,970,051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646,587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1,321,181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1,289,784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135,451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120,199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49,485</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869,482</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860,513</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1,748,440</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1,716,081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150,175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131,827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283,272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148,309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131,588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282,928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29,861</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56,957</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124,279</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101,727</w:t>
            </w: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225,971</w:t>
            </w: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138,183</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143,030</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138,918</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138,698</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144,390</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139,612</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Metrics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6"/>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8"/>
              </w:rPr>
              <w:t>$1,019,657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$992,340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$2,031,712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$1,970,051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177,762</w:t>
            </w:r>
          </w:p>
        </w:tc>
        <w:tc>
          <w:tcPr>
            <w:tcW w:w="14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171,760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352,611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340,824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147,008</w:t>
            </w: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284,826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138,698</w:t>
            </w: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144,390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139,612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6"/>
        </w:trPr>
        <w:tc>
          <w:tcPr>
            <w:tcW w:w="20" w:type="dxa"/>
            <w:vAlign w:val="bottom"/>
          </w:tcPr>
          <w:p>
            <w:pPr>
              <w:spacing w:after="0"/>
              <w:rPr>
                <w:sz w:val="24"/>
                <w:szCs w:val="24"/>
                <w:color w:val="auto"/>
              </w:rPr>
            </w:pPr>
          </w:p>
        </w:tc>
        <w:tc>
          <w:tcPr>
            <w:tcW w:w="7960" w:type="dxa"/>
            <w:vAlign w:val="bottom"/>
            <w:gridSpan w:val="7"/>
          </w:tcPr>
          <w:p>
            <w:pPr>
              <w:jc w:val="center"/>
              <w:ind w:left="2930"/>
              <w:spacing w:after="0"/>
              <w:rPr>
                <w:sz w:val="20"/>
                <w:szCs w:val="20"/>
                <w:color w:val="auto"/>
              </w:rPr>
            </w:pPr>
            <w:r>
              <w:rPr>
                <w:rFonts w:ascii="Arial" w:cs="Arial" w:eastAsia="Arial" w:hAnsi="Arial"/>
                <w:sz w:val="18"/>
                <w:szCs w:val="18"/>
                <w:b w:val="1"/>
                <w:bCs w:val="1"/>
                <w:color w:val="auto"/>
                <w:w w:val="91"/>
              </w:rPr>
              <w:t>Free Cash Flow and Normalized Free Cash Flow</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140" w:type="dxa"/>
            <w:vAlign w:val="bottom"/>
            <w:gridSpan w:val="2"/>
          </w:tcPr>
          <w:p>
            <w:pPr>
              <w:jc w:val="center"/>
              <w:ind w:right="99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$168,629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113,728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$278,279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278,329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Purchases of property and equipment, net (*)</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(20,650)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(110,347)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(57,928)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(162,126)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220,351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116,093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Payments for Legal Dispute Settlement</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Payments for Previously Expensed Restructuring Charges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10,939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1"/>
              </w:rPr>
              <w:t>Net capital expenditures related to the new campus development (*)</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(7,670)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(5,616)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Normalized Free Cash Flow</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144,623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84,484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280,674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210,124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firstLine="4"/>
        <w:spacing w:after="0" w:line="312"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amounts under “Purchase of property and equipment, net”, and the amounts under “Net capital expenditures related to the new campus development” include proceeds of $9,676 relating to the refund of betterment levy for the three and six months ended 31 March 2019 and proceeds from sale of property and equipment of $32 and $63, $54 and $56, for the three and six months ended 31 March 2019 and 2018, respectively.</w:t>
      </w:r>
    </w:p>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94"/>
              </w:rPr>
              <w:t>March 31, 2019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6"/>
          </w:tcPr>
          <w:p>
            <w:pPr>
              <w:ind w:left="4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Changes 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certain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acquisitions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purchased</w:t>
            </w:r>
          </w:p>
        </w:tc>
        <w:tc>
          <w:tcPr>
            <w:tcW w:w="12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4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measured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GAAP</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1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at fair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effect</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$658,613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(5,330)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5,668</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$ 658,951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120,463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116,763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869,482</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841,895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24,030</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124,279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(4,858)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94"/>
              </w:rPr>
              <w:t>March 31, 2018</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6"/>
          </w:tcPr>
          <w:p>
            <w:pPr>
              <w:ind w:left="4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Changes 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certain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acquisitions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purchased</w:t>
            </w:r>
          </w:p>
        </w:tc>
        <w:tc>
          <w:tcPr>
            <w:tcW w:w="12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4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measured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GAAP</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1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at fair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effect</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$646,587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(4,727)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$ 641,286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120,199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115,137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860,513</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820,580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574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29,861</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101,727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574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(4,310)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8"/>
          </w:tcPr>
          <w:p>
            <w:pPr>
              <w:jc w:val="center"/>
              <w:ind w:right="680"/>
              <w:spacing w:after="0"/>
              <w:rPr>
                <w:sz w:val="20"/>
                <w:szCs w:val="20"/>
                <w:color w:val="auto"/>
              </w:rPr>
            </w:pPr>
            <w:r>
              <w:rPr>
                <w:rFonts w:ascii="Arial" w:cs="Arial" w:eastAsia="Arial" w:hAnsi="Arial"/>
                <w:sz w:val="14"/>
                <w:szCs w:val="14"/>
                <w:b w:val="1"/>
                <w:bCs w:val="1"/>
                <w:color w:val="auto"/>
                <w:w w:val="89"/>
              </w:rPr>
              <w:t>Six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6"/>
              </w:rPr>
              <w:t>March 31, 2019</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10"/>
          </w:tcPr>
          <w:p>
            <w:pPr>
              <w:ind w:left="10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4"/>
          </w:tcPr>
          <w:p>
            <w:pPr>
              <w:jc w:val="center"/>
              <w:ind w:right="220"/>
              <w:spacing w:after="0" w:line="126" w:lineRule="exact"/>
              <w:rPr>
                <w:sz w:val="20"/>
                <w:szCs w:val="20"/>
                <w:color w:val="auto"/>
              </w:rPr>
            </w:pPr>
            <w:r>
              <w:rPr>
                <w:rFonts w:ascii="Arial" w:cs="Arial" w:eastAsia="Arial" w:hAnsi="Arial"/>
                <w:sz w:val="14"/>
                <w:szCs w:val="14"/>
                <w:b w:val="1"/>
                <w:bCs w:val="1"/>
                <w:color w:val="auto"/>
                <w:w w:val="90"/>
              </w:rPr>
              <w:t>Changes in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certain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acquisitions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related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of purchased</w:t>
            </w:r>
          </w:p>
        </w:tc>
        <w:tc>
          <w:tcPr>
            <w:tcW w:w="40" w:type="dxa"/>
            <w:vAlign w:val="bottom"/>
          </w:tcPr>
          <w:p>
            <w:pPr>
              <w:spacing w:after="0"/>
              <w:rPr>
                <w:sz w:val="12"/>
                <w:szCs w:val="12"/>
                <w:color w:val="auto"/>
              </w:rPr>
            </w:pPr>
          </w:p>
        </w:tc>
        <w:tc>
          <w:tcPr>
            <w:tcW w:w="110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91"/>
              </w:rPr>
              <w:t>Equity based</w:t>
            </w:r>
          </w:p>
        </w:tc>
        <w:tc>
          <w:tcPr>
            <w:tcW w:w="60" w:type="dxa"/>
            <w:vAlign w:val="bottom"/>
          </w:tcPr>
          <w:p>
            <w:pPr>
              <w:spacing w:after="0"/>
              <w:rPr>
                <w:sz w:val="12"/>
                <w:szCs w:val="12"/>
                <w:color w:val="auto"/>
              </w:rPr>
            </w:pPr>
          </w:p>
        </w:tc>
        <w:tc>
          <w:tcPr>
            <w:tcW w:w="9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liabilities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308"/>
              <w:spacing w:after="0" w:line="149" w:lineRule="exact"/>
              <w:rPr>
                <w:sz w:val="20"/>
                <w:szCs w:val="20"/>
                <w:color w:val="auto"/>
              </w:rPr>
            </w:pPr>
            <w:r>
              <w:rPr>
                <w:rFonts w:ascii="Arial" w:cs="Arial" w:eastAsia="Arial" w:hAnsi="Arial"/>
                <w:sz w:val="14"/>
                <w:szCs w:val="14"/>
                <w:b w:val="1"/>
                <w:bCs w:val="1"/>
                <w:color w:val="auto"/>
                <w:w w:val="90"/>
              </w:rPr>
              <w:t>intangible</w:t>
            </w:r>
          </w:p>
        </w:tc>
        <w:tc>
          <w:tcPr>
            <w:tcW w:w="40" w:type="dxa"/>
            <w:vAlign w:val="bottom"/>
          </w:tcPr>
          <w:p>
            <w:pPr>
              <w:spacing w:after="0"/>
              <w:rPr>
                <w:sz w:val="12"/>
                <w:szCs w:val="12"/>
                <w:color w:val="auto"/>
              </w:rPr>
            </w:pPr>
          </w:p>
        </w:tc>
        <w:tc>
          <w:tcPr>
            <w:tcW w:w="110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measured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GAAP</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308"/>
              <w:spacing w:after="0" w:line="149" w:lineRule="exact"/>
              <w:rPr>
                <w:sz w:val="20"/>
                <w:szCs w:val="20"/>
                <w:color w:val="auto"/>
              </w:rPr>
            </w:pPr>
            <w:r>
              <w:rPr>
                <w:rFonts w:ascii="Arial" w:cs="Arial" w:eastAsia="Arial" w:hAnsi="Arial"/>
                <w:sz w:val="14"/>
                <w:szCs w:val="14"/>
                <w:b w:val="1"/>
                <w:bCs w:val="1"/>
                <w:color w:val="auto"/>
                <w:w w:val="82"/>
              </w:rPr>
              <w:t>assets and</w:t>
            </w:r>
          </w:p>
        </w:tc>
        <w:tc>
          <w:tcPr>
            <w:tcW w:w="1140" w:type="dxa"/>
            <w:vAlign w:val="bottom"/>
            <w:gridSpan w:val="7"/>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at fair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ind w:left="14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expense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w:t>
            </w:r>
          </w:p>
        </w:tc>
        <w:tc>
          <w:tcPr>
            <w:tcW w:w="1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3"/>
              </w:rPr>
              <w:t>$1,321,181</w:t>
            </w:r>
          </w:p>
        </w:tc>
        <w:tc>
          <w:tcPr>
            <w:tcW w:w="22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(10,181)</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1,877</w:t>
            </w:r>
          </w:p>
        </w:tc>
        <w:tc>
          <w:tcPr>
            <w:tcW w:w="20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$1,312,877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135,451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242,323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(10,201)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49,485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(49,485)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1,748,440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(49,485)</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(21,731)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(1,877)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center"/>
              <w:ind w:left="55"/>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1,679,101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283,272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49,485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56,957</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3"/>
              </w:rPr>
              <w:t>10,484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  225,971</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49,485</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0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4"/>
            <w:shd w:val="clear" w:color="auto" w:fill="CCEEFF"/>
          </w:tcPr>
          <w:p>
            <w:pPr>
              <w:ind w:lef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96"/>
              </w:rPr>
              <w:t>March 31, 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8"/>
          </w:tcPr>
          <w:p>
            <w:pPr>
              <w:jc w:val="center"/>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4"/>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Changes in</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One-time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certain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tax</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rPr>
              <w:t>acquisitions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relating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Equity based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liabilities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 the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measured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new U.S.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GAAP</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assets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at fair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 effect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tax</w:t>
            </w:r>
          </w:p>
        </w:tc>
        <w:tc>
          <w:tcPr>
            <w:tcW w:w="1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other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89"/>
              </w:rPr>
              <w:t>expense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value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legislation</w:t>
            </w:r>
          </w:p>
        </w:tc>
        <w:tc>
          <w:tcPr>
            <w:tcW w:w="1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1,289,784</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8"/>
              <w:spacing w:after="0"/>
              <w:rPr>
                <w:sz w:val="20"/>
                <w:szCs w:val="20"/>
                <w:color w:val="auto"/>
              </w:rPr>
            </w:pPr>
            <w:r>
              <w:rPr>
                <w:rFonts w:ascii="Arial" w:cs="Arial" w:eastAsia="Arial" w:hAnsi="Arial"/>
                <w:sz w:val="18"/>
                <w:szCs w:val="18"/>
                <w:color w:val="auto"/>
              </w:rPr>
              <w:t>(9,425)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(8,464)</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$1,271,895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238,867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4"/>
          </w:tcPr>
          <w:p>
            <w:pPr>
              <w:jc w:val="right"/>
              <w:ind w:right="48"/>
              <w:spacing w:after="0"/>
              <w:rPr>
                <w:sz w:val="20"/>
                <w:szCs w:val="20"/>
                <w:color w:val="auto"/>
              </w:rPr>
            </w:pPr>
            <w:r>
              <w:rPr>
                <w:rFonts w:ascii="Arial" w:cs="Arial" w:eastAsia="Arial" w:hAnsi="Arial"/>
                <w:sz w:val="18"/>
                <w:szCs w:val="18"/>
                <w:color w:val="auto"/>
              </w:rPr>
              <w:t>(13,045)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Amortization of purchased intangible 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other</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54,327</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1,716,081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(54,327)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(24,063)</w:t>
            </w:r>
          </w:p>
        </w:tc>
        <w:tc>
          <w:tcPr>
            <w:tcW w:w="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center"/>
              <w:ind w:left="95"/>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1,629,227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253,970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10,688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center"/>
              <w:ind w:left="35"/>
              <w:spacing w:after="0"/>
              <w:rPr>
                <w:sz w:val="20"/>
                <w:szCs w:val="20"/>
                <w:color w:val="auto"/>
              </w:rPr>
            </w:pPr>
            <w:r>
              <w:rPr>
                <w:rFonts w:ascii="Arial" w:cs="Arial" w:eastAsia="Arial" w:hAnsi="Arial"/>
                <w:sz w:val="18"/>
                <w:szCs w:val="18"/>
                <w:color w:val="auto"/>
                <w:w w:val="88"/>
              </w:rPr>
              <w:t>2,950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218,600</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1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ind w:lef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(10,688)</w:t>
            </w:r>
          </w:p>
        </w:tc>
        <w:tc>
          <w:tcPr>
            <w:tcW w:w="9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 (2,950)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9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30, 2018</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Accounts receivable, net, including unbilled of $193,926 and $263,997,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958,854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971,502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230,140</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229,999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1,638,690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1,720,717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2,671,558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2,710,144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436,059</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420,369</w:t>
            </w:r>
          </w:p>
        </w:tc>
        <w:tc>
          <w:tcPr>
            <w:tcW w:w="60" w:type="dxa"/>
            <w:vAlign w:val="bottom"/>
            <w:shd w:val="clear" w:color="auto" w:fill="CCEEFF"/>
          </w:tcPr>
          <w:p>
            <w:pPr>
              <w:spacing w:after="0"/>
              <w:rPr>
                <w:sz w:val="18"/>
                <w:szCs w:val="18"/>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5,233,714</w:t>
            </w: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5,347,815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1,061,922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1,162,543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151,717</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1,213,639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1,294,957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527,288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560,816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Amdocs Limited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3,450,434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3,448,879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42,353</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3,492,787</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3,492,042</w:t>
            </w:r>
          </w:p>
        </w:tc>
        <w:tc>
          <w:tcPr>
            <w:tcW w:w="60" w:type="dxa"/>
            <w:vAlign w:val="bottom"/>
            <w:shd w:val="clear" w:color="auto" w:fill="CCEEFF"/>
          </w:tcPr>
          <w:p>
            <w:pPr>
              <w:spacing w:after="0"/>
              <w:rPr>
                <w:sz w:val="18"/>
                <w:szCs w:val="18"/>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5,233,714</w:t>
            </w: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5,347,815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Six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9"/>
              </w:rPr>
              <w:t>$ 225,971</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$ 218,600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101,853</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4,395</w:t>
            </w:r>
          </w:p>
        </w:tc>
        <w:tc>
          <w:tcPr>
            <w:tcW w:w="1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14,806</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8,758</w:t>
            </w:r>
          </w:p>
        </w:tc>
        <w:tc>
          <w:tcPr>
            <w:tcW w:w="1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(84,922)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Income taxes payable, net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(6,640)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(7,438)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Purchases of property and equipment, net (*)</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(57,928)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(162,126)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50,609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(8,331)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(15,252)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(386,470)</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Repurchase of shares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(219,214)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(239,779)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Payments of dividends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(69,801)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Investment by noncontrolling interests, net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(282,615)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(70,539)</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(178,680)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418,783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$ 399,195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$ 470,931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17" w:lineRule="exact"/>
        <w:rPr>
          <w:sz w:val="20"/>
          <w:szCs w:val="20"/>
          <w:color w:val="auto"/>
        </w:rPr>
      </w:pPr>
    </w:p>
    <w:p>
      <w:pPr>
        <w:ind w:right="320" w:firstLine="4"/>
        <w:spacing w:after="0" w:line="26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of $9,676 relating to the refund of betterment levy for the six months ended 31 March 2019 and proceeds from sale of property and equipment of $63 and $56, for the six months ended 31 March 2019 and 2018, respectively.</w:t>
      </w:r>
    </w:p>
    <w:p>
      <w:pPr>
        <w:sectPr>
          <w:pgSz w:w="11900" w:h="16838" w:orient="portrait"/>
          <w:cols w:equalWidth="0" w:num="1">
            <w:col w:w="11040"/>
          </w:cols>
          <w:pgMar w:left="440" w:top="270" w:right="4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Supplementary Information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180" w:type="dxa"/>
            <w:vAlign w:val="bottom"/>
            <w:gridSpan w:val="3"/>
          </w:tcPr>
          <w:p>
            <w:pPr>
              <w:ind w:left="3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40" w:type="dxa"/>
            <w:vAlign w:val="bottom"/>
            <w:gridSpan w:val="4"/>
          </w:tcPr>
          <w:p>
            <w:pPr>
              <w:ind w:left="34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980" w:type="dxa"/>
            <w:vAlign w:val="bottom"/>
            <w:gridSpan w:val="3"/>
          </w:tcPr>
          <w:p>
            <w:pPr>
              <w:ind w:left="340"/>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Europe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60" w:type="dxa"/>
            <w:vAlign w:val="bottom"/>
            <w:shd w:val="clear" w:color="auto" w:fill="CCEEFF"/>
          </w:tcPr>
          <w:p>
            <w:pPr>
              <w:spacing w:after="0"/>
              <w:rPr>
                <w:sz w:val="18"/>
                <w:szCs w:val="18"/>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9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1,019.7</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1,002.2</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180" w:type="dxa"/>
            <w:vAlign w:val="bottom"/>
            <w:gridSpan w:val="3"/>
          </w:tcPr>
          <w:p>
            <w:pPr>
              <w:ind w:left="3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40" w:type="dxa"/>
            <w:vAlign w:val="bottom"/>
            <w:gridSpan w:val="4"/>
          </w:tcPr>
          <w:p>
            <w:pPr>
              <w:ind w:left="34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980" w:type="dxa"/>
            <w:vAlign w:val="bottom"/>
            <w:gridSpan w:val="3"/>
          </w:tcPr>
          <w:p>
            <w:pPr>
              <w:ind w:left="340"/>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6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180" w:type="dxa"/>
            <w:vAlign w:val="bottom"/>
            <w:gridSpan w:val="3"/>
          </w:tcPr>
          <w:p>
            <w:pPr>
              <w:ind w:left="3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40" w:type="dxa"/>
            <w:vAlign w:val="bottom"/>
            <w:gridSpan w:val="4"/>
          </w:tcPr>
          <w:p>
            <w:pPr>
              <w:ind w:left="34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980" w:type="dxa"/>
            <w:vAlign w:val="bottom"/>
            <w:gridSpan w:val="3"/>
          </w:tcPr>
          <w:p>
            <w:pPr>
              <w:ind w:left="340"/>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2019-12-02T18:44:19Z</dcterms:created>
  <dcterms:modified xsi:type="dcterms:W3CDTF">2019-12-02T18:44:19Z</dcterms:modified>
</cp:coreProperties>
</file>