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357505</wp:posOffset>
            </wp:positionH>
            <wp:positionV relativeFrom="page">
              <wp:posOffset>140335</wp:posOffset>
            </wp:positionV>
            <wp:extent cx="68465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6570" cy="25400"/>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11"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Amendment No. 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20-F</w:t>
      </w:r>
    </w:p>
    <w:p>
      <w:pPr>
        <w:spacing w:after="0" w:line="80" w:lineRule="exact"/>
        <w:rPr>
          <w:sz w:val="24"/>
          <w:szCs w:val="24"/>
          <w:color w:val="auto"/>
        </w:rPr>
      </w:pPr>
    </w:p>
    <w:p>
      <w:pPr>
        <w:ind w:left="1400" w:hanging="782"/>
        <w:spacing w:after="0"/>
        <w:tabs>
          <w:tab w:leader="none" w:pos="14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REGISTRATION STATEMENT PURSUANT TO SECTION 12(b) OR (g)</w:t>
      </w:r>
    </w:p>
    <w:p>
      <w:pPr>
        <w:spacing w:after="0" w:line="15" w:lineRule="exact"/>
        <w:rPr>
          <w:rFonts w:ascii="Arial" w:cs="Arial" w:eastAsia="Arial" w:hAnsi="Arial"/>
          <w:sz w:val="16"/>
          <w:szCs w:val="16"/>
          <w:b w:val="1"/>
          <w:bCs w:val="1"/>
          <w:color w:val="auto"/>
        </w:rPr>
      </w:pPr>
    </w:p>
    <w:p>
      <w:pPr>
        <w:ind w:left="1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8" w:lineRule="exact"/>
        <w:rPr>
          <w:sz w:val="24"/>
          <w:szCs w:val="24"/>
          <w:color w:val="auto"/>
        </w:rPr>
      </w:pPr>
    </w:p>
    <w:p>
      <w:pPr>
        <w:ind w:left="1400" w:hanging="813"/>
        <w:spacing w:after="0"/>
        <w:tabs>
          <w:tab w:leader="none" w:pos="14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1"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For the fiscal year ended September 30, 2010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2" w:lineRule="exact"/>
        <w:rPr>
          <w:sz w:val="24"/>
          <w:szCs w:val="24"/>
          <w:color w:val="auto"/>
        </w:rPr>
      </w:pPr>
    </w:p>
    <w:p>
      <w:pPr>
        <w:ind w:left="1400" w:hanging="782"/>
        <w:spacing w:after="0"/>
        <w:tabs>
          <w:tab w:leader="none" w:pos="14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5" w:lineRule="exact"/>
        <w:rPr>
          <w:sz w:val="24"/>
          <w:szCs w:val="24"/>
          <w:color w:val="auto"/>
        </w:rPr>
      </w:pPr>
    </w:p>
    <w:p>
      <w:pPr>
        <w:ind w:left="1400" w:hanging="782"/>
        <w:spacing w:after="0"/>
        <w:tabs>
          <w:tab w:leader="none" w:pos="14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SHELL COMPANY REPORT PURSUANT TO SECTION 13 OR 15(d)</w:t>
      </w:r>
    </w:p>
    <w:p>
      <w:pPr>
        <w:ind w:left="1400"/>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Date of event requiring this shell company report</w:t>
      </w:r>
    </w:p>
    <w:p>
      <w:pPr>
        <w:spacing w:after="0" w:line="18" w:lineRule="exact"/>
        <w:rPr>
          <w:sz w:val="24"/>
          <w:szCs w:val="24"/>
          <w:color w:val="auto"/>
        </w:rPr>
      </w:pPr>
    </w:p>
    <w:p>
      <w:pPr>
        <w:ind w:left="4060"/>
        <w:spacing w:after="0"/>
        <w:tabs>
          <w:tab w:leader="none" w:pos="6180" w:val="left"/>
          <w:tab w:leader="none" w:pos="666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3706495</wp:posOffset>
            </wp:positionH>
            <wp:positionV relativeFrom="paragraph">
              <wp:posOffset>-3175</wp:posOffset>
            </wp:positionV>
            <wp:extent cx="5397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6350"/>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 xml:space="preserve">Commission File Number </w:t>
      </w:r>
      <w:r>
        <w:rPr>
          <w:rFonts w:ascii="Arial" w:cs="Arial" w:eastAsia="Arial" w:hAnsi="Arial"/>
          <w:sz w:val="13"/>
          <w:szCs w:val="13"/>
          <w:b w:val="1"/>
          <w:bCs w:val="1"/>
          <w:u w:val="single" w:color="auto"/>
          <w:color w:val="auto"/>
        </w:rPr>
        <w:t>1-14840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0"/>
          <w:szCs w:val="30"/>
          <w:b w:val="1"/>
          <w:bCs w:val="1"/>
          <w:u w:val="single" w:color="auto"/>
          <w:color w:val="auto"/>
        </w:rPr>
        <w:t>AMDOCS LIMITED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Guernsey</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(Jurisdiction of incorporation or organization)</w:t>
      </w:r>
    </w:p>
    <w:p>
      <w:pPr>
        <w:jc w:val="center"/>
        <w:spacing w:after="0"/>
        <w:rPr>
          <w:sz w:val="20"/>
          <w:szCs w:val="20"/>
          <w:color w:val="auto"/>
        </w:rPr>
      </w:pPr>
      <w:r>
        <w:rPr>
          <w:rFonts w:ascii="Arial" w:cs="Arial" w:eastAsia="Arial" w:hAnsi="Arial"/>
          <w:sz w:val="12"/>
          <w:szCs w:val="12"/>
          <w:b w:val="1"/>
          <w:bCs w:val="1"/>
          <w:color w:val="auto"/>
        </w:rPr>
        <w:t>Suite 5, Tower Hill House Le Bordage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St. Peter Port, Island of Guernsey, GY1 3QT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Amdocs,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1390 Timberlake Manor Parkway, Chesterfield, Missouri 63017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(Address of principal executive offices)</w:t>
      </w:r>
    </w:p>
    <w:p>
      <w:pPr>
        <w:jc w:val="center"/>
        <w:spacing w:after="0"/>
        <w:rPr>
          <w:sz w:val="20"/>
          <w:szCs w:val="20"/>
          <w:color w:val="auto"/>
        </w:rPr>
      </w:pPr>
      <w:r>
        <w:rPr>
          <w:rFonts w:ascii="Arial" w:cs="Arial" w:eastAsia="Arial" w:hAnsi="Arial"/>
          <w:sz w:val="12"/>
          <w:szCs w:val="12"/>
          <w:b w:val="1"/>
          <w:bCs w:val="1"/>
          <w:color w:val="auto"/>
        </w:rPr>
        <w:t>Thomas G. O’Brien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Amdocs,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1390 Timberlake Manor Parkway, Chesterfield, Missouri 63017</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Telephone: 314-212-8328</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Email: dox_info@amdocs.com</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(Name, Telephone, Email and/or Facsimile number and Address of Company Contact Person)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or to be registered pursuant to Section 12(b) of the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Title of Each Class</w:t>
            </w:r>
          </w:p>
        </w:tc>
        <w:tc>
          <w:tcPr>
            <w:tcW w:w="100" w:type="dxa"/>
            <w:vAlign w:val="bottom"/>
          </w:tcPr>
          <w:p>
            <w:pPr>
              <w:spacing w:after="0"/>
              <w:rPr>
                <w:sz w:val="11"/>
                <w:szCs w:val="11"/>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Name of Exchange on Which Registered</w:t>
            </w:r>
          </w:p>
        </w:tc>
      </w:tr>
      <w:tr>
        <w:trPr>
          <w:trHeight w:val="148"/>
        </w:trPr>
        <w:tc>
          <w:tcPr>
            <w:tcW w:w="5400" w:type="dxa"/>
            <w:vAlign w:val="bottom"/>
          </w:tcPr>
          <w:p>
            <w:pPr>
              <w:jc w:val="center"/>
              <w:spacing w:after="0"/>
              <w:rPr>
                <w:sz w:val="20"/>
                <w:szCs w:val="20"/>
                <w:color w:val="auto"/>
              </w:rPr>
            </w:pPr>
            <w:r>
              <w:rPr>
                <w:rFonts w:ascii="Arial" w:cs="Arial" w:eastAsia="Arial" w:hAnsi="Arial"/>
                <w:sz w:val="12"/>
                <w:szCs w:val="12"/>
                <w:b w:val="1"/>
                <w:bCs w:val="1"/>
                <w:color w:val="auto"/>
                <w:w w:val="92"/>
              </w:rPr>
              <w:t>Ordinary Shares, par value £0.01</w:t>
            </w:r>
          </w:p>
        </w:tc>
        <w:tc>
          <w:tcPr>
            <w:tcW w:w="100" w:type="dxa"/>
            <w:vAlign w:val="bottom"/>
          </w:tcPr>
          <w:p>
            <w:pPr>
              <w:spacing w:after="0"/>
              <w:rPr>
                <w:sz w:val="12"/>
                <w:szCs w:val="12"/>
                <w:color w:val="auto"/>
              </w:rPr>
            </w:pPr>
          </w:p>
        </w:tc>
        <w:tc>
          <w:tcPr>
            <w:tcW w:w="528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or to be registered pursuant to Section 12(g) of the Act: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for which there is a reporting obligation pursuant to Section 15(d) of the Act: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0299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96" w:lineRule="exact"/>
        <w:rPr>
          <w:sz w:val="24"/>
          <w:szCs w:val="24"/>
          <w:color w:val="auto"/>
        </w:rPr>
      </w:pPr>
    </w:p>
    <w:p>
      <w:pPr>
        <w:ind w:left="220"/>
        <w:spacing w:after="0"/>
        <w:rPr>
          <w:sz w:val="20"/>
          <w:szCs w:val="20"/>
          <w:color w:val="auto"/>
        </w:rPr>
      </w:pPr>
      <w:r>
        <w:rPr>
          <w:rFonts w:ascii="Arial" w:cs="Arial" w:eastAsia="Arial" w:hAnsi="Arial"/>
          <w:sz w:val="11"/>
          <w:szCs w:val="11"/>
          <w:color w:val="auto"/>
        </w:rPr>
        <w:t>Indicate the number of outstanding shares of each of the issuer’s classes of capital or common stock as of the close of the period covered by the annual report.</w:t>
      </w:r>
    </w:p>
    <w:p>
      <w:pPr>
        <w:sectPr>
          <w:pgSz w:w="11900" w:h="16838" w:orient="portrait"/>
          <w:cols w:equalWidth="0" w:num="1">
            <w:col w:w="10780"/>
          </w:cols>
          <w:pgMar w:left="560" w:top="295" w:right="559" w:bottom="1440" w:gutter="0" w:footer="0" w:header="0"/>
        </w:sectPr>
      </w:pPr>
    </w:p>
    <w:p>
      <w:pPr>
        <w:spacing w:after="0" w:line="45" w:lineRule="exact"/>
        <w:rPr>
          <w:sz w:val="24"/>
          <w:szCs w:val="24"/>
          <w:color w:val="auto"/>
        </w:rPr>
      </w:pPr>
    </w:p>
    <w:p>
      <w:pPr>
        <w:jc w:val="center"/>
        <w:ind w:right="1580"/>
        <w:spacing w:after="0"/>
        <w:rPr>
          <w:sz w:val="20"/>
          <w:szCs w:val="20"/>
          <w:color w:val="auto"/>
        </w:rPr>
      </w:pPr>
      <w:r>
        <w:rPr>
          <w:rFonts w:ascii="Arial" w:cs="Arial" w:eastAsia="Arial" w:hAnsi="Arial"/>
          <w:sz w:val="9"/>
          <w:szCs w:val="9"/>
          <w:color w:val="auto"/>
        </w:rPr>
        <w:t>Ordinary Shares, par value £0.01</w:t>
      </w:r>
    </w:p>
    <w:p>
      <w:pPr>
        <w:spacing w:after="0" w:line="15" w:lineRule="exact"/>
        <w:rPr>
          <w:sz w:val="24"/>
          <w:szCs w:val="24"/>
          <w:color w:val="auto"/>
        </w:rPr>
      </w:pPr>
    </w:p>
    <w:p>
      <w:pPr>
        <w:jc w:val="center"/>
        <w:ind w:right="1580"/>
        <w:spacing w:after="0"/>
        <w:rPr>
          <w:sz w:val="20"/>
          <w:szCs w:val="20"/>
          <w:color w:val="auto"/>
        </w:rPr>
      </w:pPr>
      <w:r>
        <w:rPr>
          <w:rFonts w:ascii="Arial" w:cs="Arial" w:eastAsia="Arial" w:hAnsi="Arial"/>
          <w:sz w:val="11"/>
          <w:szCs w:val="11"/>
          <w:color w:val="auto"/>
        </w:rPr>
        <w:t>(Title of class)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2220"/>
        <w:spacing w:after="0"/>
        <w:rPr>
          <w:sz w:val="20"/>
          <w:szCs w:val="20"/>
          <w:color w:val="auto"/>
        </w:rPr>
      </w:pPr>
      <w:r>
        <w:rPr>
          <w:rFonts w:ascii="Arial" w:cs="Arial" w:eastAsia="Arial" w:hAnsi="Arial"/>
          <w:sz w:val="11"/>
          <w:szCs w:val="11"/>
          <w:color w:val="auto"/>
        </w:rPr>
        <w:t>193,049,164(1)</w:t>
      </w:r>
    </w:p>
    <w:p>
      <w:pPr>
        <w:jc w:val="center"/>
        <w:ind w:right="2220"/>
        <w:spacing w:after="0"/>
        <w:rPr>
          <w:sz w:val="20"/>
          <w:szCs w:val="20"/>
          <w:color w:val="auto"/>
        </w:rPr>
      </w:pPr>
      <w:r>
        <w:rPr>
          <w:rFonts w:ascii="Arial" w:cs="Arial" w:eastAsia="Arial" w:hAnsi="Arial"/>
          <w:sz w:val="9"/>
          <w:szCs w:val="9"/>
          <w:color w:val="auto"/>
        </w:rPr>
        <w:t>(Number of shares)</w:t>
      </w:r>
    </w:p>
    <w:p>
      <w:pPr>
        <w:spacing w:after="0" w:line="39" w:lineRule="exact"/>
        <w:rPr>
          <w:sz w:val="24"/>
          <w:szCs w:val="24"/>
          <w:color w:val="auto"/>
        </w:rPr>
      </w:pPr>
    </w:p>
    <w:p>
      <w:pPr>
        <w:sectPr>
          <w:pgSz w:w="11900" w:h="16838" w:orient="portrait"/>
          <w:cols w:equalWidth="0" w:num="2">
            <w:col w:w="7000" w:space="720"/>
            <w:col w:w="3060"/>
          </w:cols>
          <w:pgMar w:left="560" w:top="295" w:right="559" w:bottom="1440" w:gutter="0" w:footer="0" w:header="0"/>
          <w:type w:val="continuous"/>
        </w:sectPr>
      </w:pPr>
    </w:p>
    <w:p>
      <w:pPr>
        <w:ind w:left="220"/>
        <w:spacing w:after="0" w:line="104" w:lineRule="exact"/>
        <w:rPr>
          <w:sz w:val="20"/>
          <w:szCs w:val="20"/>
          <w:color w:val="auto"/>
        </w:rPr>
      </w:pPr>
      <w:r>
        <w:rPr>
          <w:rFonts w:ascii="Arial" w:cs="Arial" w:eastAsia="Arial" w:hAnsi="Arial"/>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 o</w:t>
      </w:r>
    </w:p>
    <w:p>
      <w:pPr>
        <w:spacing w:after="0" w:line="46" w:lineRule="exact"/>
        <w:rPr>
          <w:sz w:val="24"/>
          <w:szCs w:val="24"/>
          <w:color w:val="auto"/>
        </w:rPr>
      </w:pPr>
    </w:p>
    <w:p>
      <w:pPr>
        <w:sectPr>
          <w:pgSz w:w="11900" w:h="16838" w:orient="portrait"/>
          <w:cols w:equalWidth="0" w:num="2">
            <w:col w:w="5580" w:space="140"/>
            <w:col w:w="5060"/>
          </w:cols>
          <w:pgMar w:left="560" w:top="295" w:right="559" w:bottom="1440" w:gutter="0" w:footer="0" w:header="0"/>
          <w:type w:val="continuous"/>
        </w:sectPr>
      </w:pPr>
    </w:p>
    <w:p>
      <w:pPr>
        <w:ind w:left="220"/>
        <w:spacing w:after="0" w:line="115" w:lineRule="exact"/>
        <w:tabs>
          <w:tab w:leader="none" w:pos="8620" w:val="left"/>
        </w:tabs>
        <w:rPr>
          <w:sz w:val="20"/>
          <w:szCs w:val="20"/>
          <w:color w:val="auto"/>
        </w:rPr>
      </w:pPr>
      <w:r>
        <w:rPr>
          <w:rFonts w:ascii="Arial" w:cs="Arial" w:eastAsia="Arial" w:hAnsi="Arial"/>
          <w:sz w:val="10"/>
          <w:szCs w:val="10"/>
          <w:color w:val="auto"/>
        </w:rPr>
        <w:t>If this report is an annual or transition report, indicate by check mark if the registrant is not required to file reports pursuant to Section 13 or 15(d) of the Securities Exchange Act of 1934. Yes o</w:t>
        <w:tab/>
        <w:t xml:space="preserve">No </w:t>
      </w:r>
      <w:r>
        <w:rPr>
          <w:rFonts w:ascii="MS PGothic" w:cs="MS PGothic" w:eastAsia="MS PGothic" w:hAnsi="MS PGothic"/>
          <w:sz w:val="10"/>
          <w:szCs w:val="10"/>
          <w:color w:val="auto"/>
        </w:rPr>
        <w:t>☑</w:t>
      </w:r>
    </w:p>
    <w:p>
      <w:pPr>
        <w:spacing w:after="0" w:line="76" w:lineRule="exact"/>
        <w:rPr>
          <w:sz w:val="24"/>
          <w:szCs w:val="24"/>
          <w:color w:val="auto"/>
        </w:rPr>
      </w:pPr>
    </w:p>
    <w:p>
      <w:pPr>
        <w:ind w:right="20" w:firstLine="216"/>
        <w:spacing w:after="0" w:line="13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24" w:lineRule="exact"/>
        <w:rPr>
          <w:sz w:val="24"/>
          <w:szCs w:val="24"/>
          <w:color w:val="auto"/>
        </w:rPr>
      </w:pPr>
    </w:p>
    <w:p>
      <w:pPr>
        <w:ind w:right="200" w:firstLine="216"/>
        <w:spacing w:after="0" w:line="134"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24" w:lineRule="exact"/>
        <w:rPr>
          <w:sz w:val="24"/>
          <w:szCs w:val="24"/>
          <w:color w:val="auto"/>
        </w:rPr>
      </w:pPr>
    </w:p>
    <w:p>
      <w:pPr>
        <w:ind w:left="220"/>
        <w:spacing w:after="0"/>
        <w:rPr>
          <w:sz w:val="20"/>
          <w:szCs w:val="20"/>
          <w:color w:val="auto"/>
        </w:rPr>
      </w:pPr>
      <w:r>
        <w:rPr>
          <w:rFonts w:ascii="Arial" w:cs="Arial" w:eastAsia="Arial" w:hAnsi="Arial"/>
          <w:sz w:val="10"/>
          <w:szCs w:val="10"/>
          <w:color w:val="auto"/>
        </w:rPr>
        <w:t>Indicate by check mark whether the registrant is a large accelerated filer, an accelerated filer, or a non-accelerated filer. See definition of “accelerated filer and large accelerated filer” in Rule 12b-2 of the Exchange Act.(Check one):</w:t>
      </w:r>
    </w:p>
    <w:p>
      <w:pPr>
        <w:spacing w:after="0" w:line="67" w:lineRule="exact"/>
        <w:rPr>
          <w:sz w:val="24"/>
          <w:szCs w:val="24"/>
          <w:color w:val="auto"/>
        </w:rPr>
      </w:pPr>
    </w:p>
    <w:p>
      <w:pPr>
        <w:spacing w:after="0" w:line="127" w:lineRule="exact"/>
        <w:tabs>
          <w:tab w:leader="none" w:pos="4960" w:val="left"/>
          <w:tab w:leader="none" w:pos="976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 o</w:t>
      </w:r>
      <w:r>
        <w:rPr>
          <w:sz w:val="20"/>
          <w:szCs w:val="20"/>
          <w:color w:val="auto"/>
        </w:rPr>
        <w:tab/>
      </w:r>
      <w:r>
        <w:rPr>
          <w:rFonts w:ascii="Arial" w:cs="Arial" w:eastAsia="Arial" w:hAnsi="Arial"/>
          <w:sz w:val="9"/>
          <w:szCs w:val="9"/>
          <w:color w:val="auto"/>
        </w:rPr>
        <w:t>Non-accelerated filer o</w:t>
      </w:r>
    </w:p>
    <w:p>
      <w:pPr>
        <w:spacing w:after="0" w:line="105" w:lineRule="exact"/>
        <w:rPr>
          <w:sz w:val="24"/>
          <w:szCs w:val="24"/>
          <w:color w:val="auto"/>
        </w:rPr>
      </w:pPr>
    </w:p>
    <w:p>
      <w:pPr>
        <w:ind w:left="220"/>
        <w:spacing w:after="0"/>
        <w:rPr>
          <w:sz w:val="20"/>
          <w:szCs w:val="20"/>
          <w:color w:val="auto"/>
        </w:rPr>
      </w:pPr>
      <w:r>
        <w:rPr>
          <w:rFonts w:ascii="Arial" w:cs="Arial" w:eastAsia="Arial" w:hAnsi="Arial"/>
          <w:sz w:val="11"/>
          <w:szCs w:val="11"/>
          <w:color w:val="auto"/>
        </w:rPr>
        <w:t>Indicate by check mark which basis of accounting the registrant has used to prepare the financial statements included in this filing:</w:t>
      </w:r>
    </w:p>
    <w:p>
      <w:pPr>
        <w:spacing w:after="0" w:line="72" w:lineRule="exact"/>
        <w:rPr>
          <w:sz w:val="24"/>
          <w:szCs w:val="24"/>
          <w:color w:val="auto"/>
        </w:rPr>
      </w:pPr>
    </w:p>
    <w:tbl>
      <w:tblPr>
        <w:tblLayout w:type="fixed"/>
        <w:tblInd w:w="220" w:type="dxa"/>
        <w:tblCellMar>
          <w:top w:w="0" w:type="dxa"/>
          <w:left w:w="0" w:type="dxa"/>
          <w:bottom w:w="0" w:type="dxa"/>
          <w:right w:w="0" w:type="dxa"/>
        </w:tblCellMar>
      </w:tblPr>
      <w:tr>
        <w:trPr>
          <w:trHeight w:val="126"/>
        </w:trPr>
        <w:tc>
          <w:tcPr>
            <w:tcW w:w="2720" w:type="dxa"/>
            <w:vAlign w:val="bottom"/>
          </w:tcPr>
          <w:p>
            <w:pPr>
              <w:ind w:left="800"/>
              <w:spacing w:after="0" w:line="127" w:lineRule="exact"/>
              <w:rPr>
                <w:sz w:val="20"/>
                <w:szCs w:val="20"/>
                <w:color w:val="auto"/>
              </w:rPr>
            </w:pPr>
            <w:r>
              <w:rPr>
                <w:rFonts w:ascii="Arial" w:cs="Arial" w:eastAsia="Arial" w:hAnsi="Arial"/>
                <w:sz w:val="11"/>
                <w:szCs w:val="11"/>
                <w:color w:val="auto"/>
              </w:rPr>
              <w:t xml:space="preserve">U.S. GAAP </w:t>
            </w:r>
            <w:r>
              <w:rPr>
                <w:rFonts w:ascii="MS PGothic" w:cs="MS PGothic" w:eastAsia="MS PGothic" w:hAnsi="MS PGothic"/>
                <w:sz w:val="11"/>
                <w:szCs w:val="11"/>
                <w:color w:val="auto"/>
              </w:rPr>
              <w:t>☑</w:t>
            </w:r>
          </w:p>
        </w:tc>
        <w:tc>
          <w:tcPr>
            <w:tcW w:w="3680" w:type="dxa"/>
            <w:vAlign w:val="bottom"/>
          </w:tcPr>
          <w:p>
            <w:pPr>
              <w:jc w:val="center"/>
              <w:ind w:left="1186"/>
              <w:spacing w:after="0"/>
              <w:rPr>
                <w:sz w:val="20"/>
                <w:szCs w:val="20"/>
                <w:color w:val="auto"/>
              </w:rPr>
            </w:pPr>
            <w:r>
              <w:rPr>
                <w:rFonts w:ascii="Arial" w:cs="Arial" w:eastAsia="Arial" w:hAnsi="Arial"/>
                <w:sz w:val="11"/>
                <w:szCs w:val="11"/>
                <w:color w:val="auto"/>
                <w:w w:val="88"/>
              </w:rPr>
              <w:t>International Financial Reporting Standards as issued o</w:t>
            </w:r>
          </w:p>
        </w:tc>
        <w:tc>
          <w:tcPr>
            <w:tcW w:w="3040" w:type="dxa"/>
            <w:vAlign w:val="bottom"/>
          </w:tcPr>
          <w:p>
            <w:pPr>
              <w:ind w:left="2700"/>
              <w:spacing w:after="0"/>
              <w:rPr>
                <w:sz w:val="20"/>
                <w:szCs w:val="20"/>
                <w:color w:val="auto"/>
              </w:rPr>
            </w:pPr>
            <w:r>
              <w:rPr>
                <w:rFonts w:ascii="Arial" w:cs="Arial" w:eastAsia="Arial" w:hAnsi="Arial"/>
                <w:sz w:val="11"/>
                <w:szCs w:val="11"/>
                <w:color w:val="auto"/>
                <w:w w:val="87"/>
              </w:rPr>
              <w:t>Other o</w:t>
            </w:r>
          </w:p>
        </w:tc>
      </w:tr>
      <w:tr>
        <w:trPr>
          <w:trHeight w:val="136"/>
        </w:trPr>
        <w:tc>
          <w:tcPr>
            <w:tcW w:w="2720" w:type="dxa"/>
            <w:vAlign w:val="bottom"/>
          </w:tcPr>
          <w:p>
            <w:pPr>
              <w:spacing w:after="0"/>
              <w:rPr>
                <w:sz w:val="11"/>
                <w:szCs w:val="11"/>
                <w:color w:val="auto"/>
              </w:rPr>
            </w:pPr>
          </w:p>
        </w:tc>
        <w:tc>
          <w:tcPr>
            <w:tcW w:w="3680" w:type="dxa"/>
            <w:vAlign w:val="bottom"/>
          </w:tcPr>
          <w:p>
            <w:pPr>
              <w:jc w:val="center"/>
              <w:ind w:left="1186"/>
              <w:spacing w:after="0"/>
              <w:rPr>
                <w:sz w:val="20"/>
                <w:szCs w:val="20"/>
                <w:color w:val="auto"/>
              </w:rPr>
            </w:pPr>
            <w:r>
              <w:rPr>
                <w:rFonts w:ascii="Arial" w:cs="Arial" w:eastAsia="Arial" w:hAnsi="Arial"/>
                <w:sz w:val="11"/>
                <w:szCs w:val="11"/>
                <w:color w:val="auto"/>
                <w:w w:val="89"/>
              </w:rPr>
              <w:t>by the International Accounting Standards Board</w:t>
            </w:r>
          </w:p>
        </w:tc>
        <w:tc>
          <w:tcPr>
            <w:tcW w:w="3040" w:type="dxa"/>
            <w:vAlign w:val="bottom"/>
          </w:tcPr>
          <w:p>
            <w:pPr>
              <w:spacing w:after="0"/>
              <w:rPr>
                <w:sz w:val="11"/>
                <w:szCs w:val="11"/>
                <w:color w:val="auto"/>
              </w:rPr>
            </w:pPr>
          </w:p>
        </w:tc>
      </w:tr>
      <w:tr>
        <w:trPr>
          <w:trHeight w:val="180"/>
        </w:trPr>
        <w:tc>
          <w:tcPr>
            <w:tcW w:w="6400" w:type="dxa"/>
            <w:vAlign w:val="bottom"/>
            <w:gridSpan w:val="2"/>
          </w:tcPr>
          <w:p>
            <w:pPr>
              <w:spacing w:after="0"/>
              <w:rPr>
                <w:sz w:val="20"/>
                <w:szCs w:val="20"/>
                <w:color w:val="auto"/>
              </w:rPr>
            </w:pPr>
            <w:r>
              <w:rPr>
                <w:rFonts w:ascii="Arial" w:cs="Arial" w:eastAsia="Arial" w:hAnsi="Arial"/>
                <w:sz w:val="11"/>
                <w:szCs w:val="11"/>
                <w:color w:val="auto"/>
                <w:w w:val="90"/>
              </w:rPr>
              <w:t>If this is an annual report, indicate by check mark whether the registrant is a shell company (as defined in Rule 12b-2 of the Exchange Act). Yes o</w:t>
            </w:r>
          </w:p>
        </w:tc>
        <w:tc>
          <w:tcPr>
            <w:tcW w:w="3040" w:type="dxa"/>
            <w:vAlign w:val="bottom"/>
          </w:tcPr>
          <w:p>
            <w:pPr>
              <w:ind w:left="2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r>
    </w:tbl>
    <w:p>
      <w:pPr>
        <w:spacing w:after="0" w:line="64" w:lineRule="exact"/>
        <w:rPr>
          <w:sz w:val="24"/>
          <w:szCs w:val="24"/>
          <w:color w:val="auto"/>
        </w:rPr>
      </w:pPr>
    </w:p>
    <w:p>
      <w:pPr>
        <w:ind w:left="220" w:right="260" w:hanging="216"/>
        <w:spacing w:after="0" w:line="233" w:lineRule="auto"/>
        <w:tabs>
          <w:tab w:leader="none" w:pos="220" w:val="left"/>
        </w:tabs>
        <w:numPr>
          <w:ilvl w:val="0"/>
          <w:numId w:val="5"/>
        </w:numPr>
        <w:rPr>
          <w:rFonts w:ascii="Arial" w:cs="Arial" w:eastAsia="Arial" w:hAnsi="Arial"/>
          <w:sz w:val="11"/>
          <w:szCs w:val="11"/>
          <w:color w:val="auto"/>
        </w:rPr>
      </w:pPr>
      <w:r>
        <w:rPr>
          <w:rFonts w:ascii="Arial" w:cs="Arial" w:eastAsia="Arial" w:hAnsi="Arial"/>
          <w:sz w:val="11"/>
          <w:szCs w:val="11"/>
          <w:color w:val="auto"/>
        </w:rPr>
        <w:t>Net of 51,082,645 shares held in treasury. Does not include (a) 22,198,151 ordinary shares reserved for issuance upon exercise of stock options granted under our stock option plan or by companies we have acquired, and (b) 23,655 ordinary shares reserved for issuance upon conversion of outstanding convertible 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684657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6570" cy="2540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175260</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780"/>
          </w:cols>
          <w:pgMar w:left="560" w:top="295" w:right="5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t>EXPLANATORY NOTE</w:t>
      </w:r>
    </w:p>
    <w:p>
      <w:pPr>
        <w:spacing w:after="0" w:line="104" w:lineRule="exact"/>
        <w:rPr>
          <w:sz w:val="20"/>
          <w:szCs w:val="20"/>
          <w:color w:val="auto"/>
        </w:rPr>
      </w:pPr>
    </w:p>
    <w:p>
      <w:pPr>
        <w:ind w:firstLine="399"/>
        <w:spacing w:after="0" w:line="294" w:lineRule="auto"/>
        <w:rPr>
          <w:sz w:val="20"/>
          <w:szCs w:val="20"/>
          <w:color w:val="auto"/>
        </w:rPr>
      </w:pPr>
      <w:r>
        <w:rPr>
          <w:rFonts w:ascii="Arial" w:cs="Arial" w:eastAsia="Arial" w:hAnsi="Arial"/>
          <w:sz w:val="13"/>
          <w:szCs w:val="13"/>
          <w:color w:val="auto"/>
        </w:rPr>
        <w:t>The sole purpose of this Amendment No. 1 to our Annual Report on Form 20-F for the fiscal year ended September 30, 2010, as originally filed with the Securities and Exchange Commission on December 7, 2010, is to furnish Exhibit 101 to the Form 20-F in accordance with Rule 405 of Regulation S-T.</w:t>
      </w:r>
    </w:p>
    <w:p>
      <w:pPr>
        <w:spacing w:after="0" w:line="47" w:lineRule="exact"/>
        <w:rPr>
          <w:sz w:val="20"/>
          <w:szCs w:val="20"/>
          <w:color w:val="auto"/>
        </w:rPr>
      </w:pPr>
    </w:p>
    <w:p>
      <w:pPr>
        <w:ind w:right="100" w:firstLine="399"/>
        <w:spacing w:after="0" w:line="294" w:lineRule="auto"/>
        <w:rPr>
          <w:sz w:val="20"/>
          <w:szCs w:val="20"/>
          <w:color w:val="auto"/>
        </w:rPr>
      </w:pPr>
      <w:r>
        <w:rPr>
          <w:rFonts w:ascii="Arial" w:cs="Arial" w:eastAsia="Arial" w:hAnsi="Arial"/>
          <w:sz w:val="13"/>
          <w:szCs w:val="13"/>
          <w:color w:val="auto"/>
        </w:rPr>
        <w:t>Exhibit 101 provides the following financial information from our Annual Report on Form 20-F for the fiscal year ended September 30, 2010, formatted in eXtensible Business Reporting Language:</w:t>
      </w:r>
    </w:p>
    <w:p>
      <w:pPr>
        <w:spacing w:after="0" w:line="47" w:lineRule="exact"/>
        <w:rPr>
          <w:sz w:val="20"/>
          <w:szCs w:val="20"/>
          <w:color w:val="auto"/>
        </w:rPr>
      </w:pPr>
    </w:p>
    <w:p>
      <w:pPr>
        <w:ind w:left="960" w:hanging="170"/>
        <w:spacing w:after="0"/>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Consolidated Balance Sheets as of September 30, 2010 and 2009;</w:t>
      </w:r>
    </w:p>
    <w:p>
      <w:pPr>
        <w:spacing w:after="0" w:line="102" w:lineRule="exact"/>
        <w:rPr>
          <w:rFonts w:ascii="Arial" w:cs="Arial" w:eastAsia="Arial" w:hAnsi="Arial"/>
          <w:sz w:val="13"/>
          <w:szCs w:val="13"/>
          <w:color w:val="auto"/>
        </w:rPr>
      </w:pPr>
    </w:p>
    <w:p>
      <w:pPr>
        <w:ind w:left="980" w:hanging="190"/>
        <w:spacing w:after="0"/>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Consolidated Statements of Income for the fiscal years ended September 30, 2010, 2009 and 2008;</w:t>
      </w:r>
    </w:p>
    <w:p>
      <w:pPr>
        <w:spacing w:after="0" w:line="102" w:lineRule="exact"/>
        <w:rPr>
          <w:rFonts w:ascii="Arial" w:cs="Arial" w:eastAsia="Arial" w:hAnsi="Arial"/>
          <w:sz w:val="13"/>
          <w:szCs w:val="13"/>
          <w:color w:val="auto"/>
        </w:rPr>
      </w:pPr>
    </w:p>
    <w:p>
      <w:pPr>
        <w:ind w:left="1020" w:hanging="230"/>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Consolidated Statements of Changes in Shareholders’ Equity for the fiscal years ended September 30, 2010, 2009 and 2008;</w:t>
      </w:r>
    </w:p>
    <w:p>
      <w:pPr>
        <w:spacing w:after="0" w:line="102" w:lineRule="exact"/>
        <w:rPr>
          <w:rFonts w:ascii="Arial" w:cs="Arial" w:eastAsia="Arial" w:hAnsi="Arial"/>
          <w:sz w:val="13"/>
          <w:szCs w:val="13"/>
          <w:color w:val="auto"/>
        </w:rPr>
      </w:pPr>
    </w:p>
    <w:p>
      <w:pPr>
        <w:ind w:left="1020" w:hanging="230"/>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Consolidated Statements of Cash Flows for the fiscal years ended September 30, 2010, 2009 and 2008; and</w:t>
      </w:r>
    </w:p>
    <w:p>
      <w:pPr>
        <w:spacing w:after="0" w:line="102" w:lineRule="exact"/>
        <w:rPr>
          <w:rFonts w:ascii="Arial" w:cs="Arial" w:eastAsia="Arial" w:hAnsi="Arial"/>
          <w:sz w:val="13"/>
          <w:szCs w:val="13"/>
          <w:color w:val="auto"/>
        </w:rPr>
      </w:pPr>
    </w:p>
    <w:p>
      <w:pPr>
        <w:ind w:left="980" w:hanging="190"/>
        <w:spacing w:after="0"/>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Notes to Consolidated Financial Statements.</w:t>
      </w:r>
    </w:p>
    <w:p>
      <w:pPr>
        <w:spacing w:after="0" w:line="102" w:lineRule="exact"/>
        <w:rPr>
          <w:sz w:val="20"/>
          <w:szCs w:val="20"/>
          <w:color w:val="auto"/>
        </w:rPr>
      </w:pPr>
    </w:p>
    <w:p>
      <w:pPr>
        <w:ind w:right="120" w:firstLine="399"/>
        <w:spacing w:after="0" w:line="294" w:lineRule="auto"/>
        <w:rPr>
          <w:sz w:val="20"/>
          <w:szCs w:val="20"/>
          <w:color w:val="auto"/>
        </w:rPr>
      </w:pPr>
      <w:r>
        <w:rPr>
          <w:rFonts w:ascii="Arial" w:cs="Arial" w:eastAsia="Arial" w:hAnsi="Arial"/>
          <w:sz w:val="13"/>
          <w:szCs w:val="13"/>
          <w:color w:val="auto"/>
        </w:rPr>
        <w:t>No other changes have been made to the original Annual Report on Form 20-F. This Amendment No. 1 to our Annual Report on Form 20-F speaks as of the original filing date and has not been updated to reflect events occurring subsequent to the original filing date.</w:t>
      </w:r>
    </w:p>
    <w:p>
      <w:pPr>
        <w:spacing w:after="0" w:line="47"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Pursuant to Rule 406T of Regulation S-T, the interactive data files comprising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62" w:right="1039" w:bottom="1440" w:gutter="0" w:footer="0" w:header="0"/>
        </w:sectPr>
      </w:pPr>
    </w:p>
    <w:bookmarkStart w:id="2" w:name="page3"/>
    <w:bookmarkEnd w:id="2"/>
    <w:p>
      <w:pPr>
        <w:jc w:val="center"/>
        <w:ind w:right="-420"/>
        <w:spacing w:after="0"/>
        <w:rPr>
          <w:sz w:val="20"/>
          <w:szCs w:val="20"/>
          <w:color w:val="auto"/>
        </w:rPr>
      </w:pPr>
      <w:r>
        <w:rPr>
          <w:rFonts w:ascii="Arial" w:cs="Arial" w:eastAsia="Arial" w:hAnsi="Arial"/>
          <w:sz w:val="13"/>
          <w:szCs w:val="13"/>
          <w:b w:val="1"/>
          <w:bCs w:val="1"/>
          <w:color w:val="auto"/>
        </w:rPr>
        <w:t>PART III</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19.</w:t>
      </w:r>
      <w:r>
        <w:rPr>
          <w:sz w:val="20"/>
          <w:szCs w:val="20"/>
          <w:color w:val="auto"/>
        </w:rPr>
        <w:tab/>
      </w:r>
      <w:r>
        <w:rPr>
          <w:rFonts w:ascii="Arial" w:cs="Arial" w:eastAsia="Arial" w:hAnsi="Arial"/>
          <w:sz w:val="13"/>
          <w:szCs w:val="13"/>
          <w:b w:val="1"/>
          <w:bCs w:val="1"/>
          <w:i w:val="1"/>
          <w:iCs w:val="1"/>
          <w:color w:val="auto"/>
        </w:rPr>
        <w:t>EXHIBITS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exhibits listed on the Exhibit Index hereof are filed herewith in response to this Item.</w:t>
      </w:r>
    </w:p>
    <w:p>
      <w:pPr>
        <w:spacing w:after="0" w:line="326"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559"/>
          </w:cols>
          <w:pgMar w:left="900" w:top="762"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firstLine="399"/>
        <w:spacing w:after="0" w:line="294" w:lineRule="auto"/>
        <w:rPr>
          <w:sz w:val="20"/>
          <w:szCs w:val="20"/>
          <w:color w:val="auto"/>
        </w:rPr>
      </w:pPr>
      <w:r>
        <w:rPr>
          <w:rFonts w:ascii="Arial" w:cs="Arial" w:eastAsia="Arial" w:hAnsi="Arial"/>
          <w:sz w:val="13"/>
          <w:szCs w:val="13"/>
          <w:color w:val="auto"/>
        </w:rPr>
        <w:t>The registrant hereby certifies that it meets all of the requirements for filing on Form 20-F and that it has duly caused and authorized the undersigned to sign this annual report on its behalf.</w:t>
      </w:r>
    </w:p>
    <w:p>
      <w:pPr>
        <w:spacing w:after="0" w:line="28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T</w:t>
      </w:r>
      <w:r>
        <w:rPr>
          <w:rFonts w:ascii="Arial" w:cs="Arial" w:eastAsia="Arial" w:hAnsi="Arial"/>
          <w:sz w:val="9"/>
          <w:szCs w:val="9"/>
          <w:color w:val="auto"/>
        </w:rPr>
        <w:t>HOMAS</w:t>
      </w:r>
      <w:r>
        <w:rPr>
          <w:rFonts w:ascii="Arial" w:cs="Arial" w:eastAsia="Arial" w:hAnsi="Arial"/>
          <w:sz w:val="13"/>
          <w:szCs w:val="13"/>
          <w:color w:val="auto"/>
        </w:rPr>
        <w:t xml:space="preserve"> G. O’B</w:t>
      </w:r>
      <w:r>
        <w:rPr>
          <w:rFonts w:ascii="Arial" w:cs="Arial" w:eastAsia="Arial" w:hAnsi="Arial"/>
          <w:sz w:val="9"/>
          <w:szCs w:val="9"/>
          <w:color w:val="auto"/>
        </w:rPr>
        <w:t>RIEN</w:t>
      </w:r>
    </w:p>
    <w:p>
      <w:pPr>
        <w:spacing w:after="0" w:line="3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-93980</wp:posOffset>
            </wp:positionV>
            <wp:extent cx="378904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Treasurer and Secretary</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i w:val="1"/>
          <w:iCs w:val="1"/>
          <w:color w:val="auto"/>
        </w:rPr>
        <w:t>Authorized U.S. Representative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December 9, 2010</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60"/>
          </w:cols>
          <w:pgMar w:left="900" w:top="731" w:right="10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100" w:type="dxa"/>
            <w:vAlign w:val="bottom"/>
          </w:tcPr>
          <w:p>
            <w:pPr>
              <w:jc w:val="center"/>
              <w:ind w:right="793"/>
              <w:spacing w:after="0"/>
              <w:rPr>
                <w:sz w:val="20"/>
                <w:szCs w:val="20"/>
                <w:color w:val="auto"/>
              </w:rPr>
            </w:pPr>
            <w:r>
              <w:rPr>
                <w:rFonts w:ascii="Arial" w:cs="Arial" w:eastAsia="Arial" w:hAnsi="Arial"/>
                <w:sz w:val="13"/>
                <w:szCs w:val="13"/>
                <w:b w:val="1"/>
                <w:bCs w:val="1"/>
                <w:color w:val="auto"/>
              </w:rPr>
              <w:t>EXHIBIT INDEX</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rPr>
              <w:t>Exhibit</w:t>
            </w:r>
          </w:p>
        </w:tc>
        <w:tc>
          <w:tcPr>
            <w:tcW w:w="200" w:type="dxa"/>
            <w:vAlign w:val="bottom"/>
          </w:tcPr>
          <w:p>
            <w:pPr>
              <w:spacing w:after="0"/>
              <w:rPr>
                <w:sz w:val="16"/>
                <w:szCs w:val="16"/>
                <w:color w:val="auto"/>
              </w:rPr>
            </w:pPr>
          </w:p>
        </w:tc>
        <w:tc>
          <w:tcPr>
            <w:tcW w:w="9100" w:type="dxa"/>
            <w:vAlign w:val="bottom"/>
            <w:vMerge w:val="restart"/>
          </w:tcPr>
          <w:p>
            <w:pPr>
              <w:ind w:left="4280"/>
              <w:spacing w:after="0"/>
              <w:rPr>
                <w:sz w:val="20"/>
                <w:szCs w:val="20"/>
                <w:color w:val="auto"/>
              </w:rPr>
            </w:pPr>
            <w:r>
              <w:rPr>
                <w:rFonts w:ascii="Arial" w:cs="Arial" w:eastAsia="Arial" w:hAnsi="Arial"/>
                <w:sz w:val="11"/>
                <w:szCs w:val="11"/>
                <w:b w:val="1"/>
                <w:bCs w:val="1"/>
                <w:color w:val="auto"/>
              </w:rPr>
              <w:t>Description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No.</w:t>
            </w:r>
          </w:p>
        </w:tc>
        <w:tc>
          <w:tcPr>
            <w:tcW w:w="200" w:type="dxa"/>
            <w:vAlign w:val="bottom"/>
          </w:tcPr>
          <w:p>
            <w:pPr>
              <w:spacing w:after="0"/>
              <w:rPr>
                <w:sz w:val="11"/>
                <w:szCs w:val="11"/>
                <w:color w:val="auto"/>
              </w:rPr>
            </w:pPr>
          </w:p>
        </w:tc>
        <w:tc>
          <w:tcPr>
            <w:tcW w:w="9100" w:type="dxa"/>
            <w:vAlign w:val="bottom"/>
            <w:tcBorders>
              <w:bottom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1.1</w:t>
            </w:r>
          </w:p>
        </w:tc>
        <w:tc>
          <w:tcPr>
            <w:tcW w:w="200" w:type="dxa"/>
            <w:vAlign w:val="bottom"/>
          </w:tcPr>
          <w:p>
            <w:pPr>
              <w:spacing w:after="0"/>
              <w:rPr>
                <w:sz w:val="15"/>
                <w:szCs w:val="15"/>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7"/>
              </w:rPr>
              <w:t>Amended and Restated Memorandum of Incorporation of Amdocs Limited (incorporated by reference to Exhibits 99.1 to Amdocs’ Form 6-K filed January 26, 2009)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Amended and Restated Articles of Incorporation of Amdocs Limited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2.a.1</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8"/>
              </w:rPr>
              <w:t>Indenture, dated March 5, 2004, between Amdocs Limited and The Bank of New York, as trustee, for 0.50% Convertible Senior Notes due 2024 (incorporated by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reference to Exhibit 99.1 to Amdocs’ Form 6-K, filed March 5,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2.a.2</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8"/>
              </w:rPr>
              <w:t>Registration Rights Agreement, dated March 5, 2004, among Amdocs Limited and Morgan Stanley &amp; Co. Incorporated, Goldman, Sachs &amp; Co. and Merrill Lynch,</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Pierce Fenner &amp; Smith Incorporated (incorporated by reference to Exhibit 99.2 to Amdocs’ Form 6-K, filed March 5, 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4.b.1</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5"/>
              </w:rPr>
              <w:t>Further Amended and Restated Information Technology Services Agreement, dated September 1, 2007, between Amdocs, Inc. and AT&amp;T Services, Inc. (confidential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3"/>
              </w:rPr>
              <w:t>material has been redacted and complete exhibits have been separately filed with the Securities and Exchange Commission) (incorporated by reference to Exhibit 99.3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Amdocs’ Report of Foreign Private Issuer on Form 6-K dated December 3,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4.b.2</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7"/>
              </w:rPr>
              <w:t>Master Agreement for Software and Services between Amdocs, Inc. and SBC Operations, Inc., effective July 7, 1998 (confidential material has been redacted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complete exhibits have been separately filed with the Securities and Exchange Commission) (incorporated by reference to Exhibit 10.13 to Amdocs’ Amendment No. 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to Registration Statement on Form F-1, dated May 21, 1999, Registration No. 333-75151)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4.b.3</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Software Master Agreement between Amdocs Software Systems Limited and SBC Services, Inc., effective December 10, 2003 (confidential material has been redacted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6"/>
              </w:rPr>
              <w:t>and complete exhibits have been separately filed with the Securities and Exchange Commission) (incorporated by reference to Exhibit 99.2 to Amdocs’ Amendment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No. 1 to Registration Statement on Form F-3, dated September 21, 2004, Registration No. 333-114344)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4.b.4</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3"/>
              </w:rPr>
              <w:t>Agreement between Amdocs, Inc. and SBC Services, Inc. for Software and Professional Services, effective August 7, 2003 (confidential material has been redacted and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complete exhibits have been separately filed with the Securities and Exchange Commission) (incorporated by reference to Exhibit 99.3 to Amdocs’ Amendment No. 1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Registration Statement on Form F-3, dated September 21, 2004, Registration No. 333-114344)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4.b.5</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Amended and Restated Customer Care and Billing Services Agreement, dated as of July 1, 2006, between Sprint/United Management Company and Amdocs Software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3"/>
              </w:rPr>
              <w:t>Systems Limited (confidential material has been redacted and complete exhibits have been separately filed with the Securities and Exchange Commission) (incorporated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by reference to Exhibit 99.1 to Amdocs’ Form 6-K dated 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4.b.6</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5"/>
              </w:rPr>
              <w:t>Agreement Amending the Further Amended and Restated Master Outsourcing Agreement and Master License and Services Agreement, dated as of October 5,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between Bell Canada and Amdocs Canadian Managed Services Inc. (confidential material has been redacted and complete exhibits have been separately filed with the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Securities and Exchange Commission) (incorporated by reference to Exhibit 4.c.1 to Amdocs’ Report of Foreign Private Issuer on Form 6-K dated 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4.b.7</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5"/>
              </w:rPr>
              <w:t>Further Amended and Restated Information Technology Services Agreement, dated as of December 31, 2009, by and between AT&amp;T Services, Inc. and Amdocs Inc.</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4"/>
              </w:rPr>
              <w:t>(confidential material has been redacted and complete exhibits have been separately filed with the Securities and Exchange Commission) (incorporated by reference to</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Exhibit 99.1 to Amdocs’ Report of Foreign Private Issuer on Form 6-K dated November 1, 2010)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4.b.8</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6"/>
              </w:rPr>
              <w:t>Credit Agreement, dated as of November 27, 2007, among Amdocs Limited, certain of its subsidiaries, the lenders from time to time party thereto, JPMorgan Chase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w w:val="93"/>
              </w:rPr>
              <w:t>Bank, N.A., as administrative agent, J.P. Morgan Europe Limited, as London agent, and JPMorgan Chase Bank, N.A., Toronto branch, as Canadian agent (incorporated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by reference to Exhibit 4.B.9 to Amdocs’ Annual Report on Form 20-F filed December 3, 2007)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auto"/>
              </w:rPr>
              <w:t>4.c.1</w:t>
            </w: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Amdocs Limited 1998 Stock Option and Incentive Plan, as amended (incorporated by reference to Exhibit 4.c.1 to Amdocs’ Annual Report on Form 20-F filed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100" w:type="dxa"/>
            <w:vAlign w:val="bottom"/>
          </w:tcPr>
          <w:p>
            <w:pPr>
              <w:spacing w:after="0"/>
              <w:rPr>
                <w:sz w:val="20"/>
                <w:szCs w:val="20"/>
                <w:color w:val="auto"/>
              </w:rPr>
            </w:pPr>
            <w:r>
              <w:rPr>
                <w:rFonts w:ascii="Arial" w:cs="Arial" w:eastAsia="Arial" w:hAnsi="Arial"/>
                <w:sz w:val="13"/>
                <w:szCs w:val="13"/>
                <w:color w:val="auto"/>
              </w:rPr>
              <w:t>December 13, 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300" w:type="dxa"/>
            <w:vAlign w:val="bottom"/>
            <w:gridSpan w:val="2"/>
          </w:tcPr>
          <w:p>
            <w:pPr>
              <w:jc w:val="right"/>
              <w:ind w:right="4873"/>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2"/>
              </w:rPr>
              <w:t>Exhibit</w:t>
            </w:r>
          </w:p>
        </w:tc>
        <w:tc>
          <w:tcPr>
            <w:tcW w:w="200" w:type="dxa"/>
            <w:vAlign w:val="bottom"/>
          </w:tcPr>
          <w:p>
            <w:pPr>
              <w:spacing w:after="0"/>
              <w:rPr>
                <w:sz w:val="10"/>
                <w:szCs w:val="10"/>
                <w:color w:val="auto"/>
              </w:rPr>
            </w:pPr>
          </w:p>
        </w:tc>
        <w:tc>
          <w:tcPr>
            <w:tcW w:w="8860" w:type="dxa"/>
            <w:vAlign w:val="bottom"/>
            <w:vMerge w:val="restart"/>
          </w:tcPr>
          <w:p>
            <w:pPr>
              <w:ind w:left="416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200" w:type="dxa"/>
            <w:vAlign w:val="bottom"/>
          </w:tcPr>
          <w:p>
            <w:pPr>
              <w:spacing w:after="0"/>
              <w:rPr>
                <w:sz w:val="11"/>
                <w:szCs w:val="11"/>
                <w:color w:val="auto"/>
              </w:rPr>
            </w:pPr>
          </w:p>
        </w:tc>
        <w:tc>
          <w:tcPr>
            <w:tcW w:w="88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920" w:type="dxa"/>
            <w:vAlign w:val="bottom"/>
          </w:tcPr>
          <w:p>
            <w:pPr>
              <w:ind w:left="500"/>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5"/>
                <w:szCs w:val="15"/>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Subsidiaries of Amdocs Limited</w:t>
            </w:r>
          </w:p>
        </w:tc>
        <w:tc>
          <w:tcPr>
            <w:tcW w:w="0" w:type="dxa"/>
            <w:vAlign w:val="bottom"/>
          </w:tcPr>
          <w:p>
            <w:pPr>
              <w:spacing w:after="0"/>
              <w:rPr>
                <w:sz w:val="1"/>
                <w:szCs w:val="1"/>
                <w:color w:val="auto"/>
              </w:rPr>
            </w:pPr>
          </w:p>
        </w:tc>
      </w:tr>
      <w:tr>
        <w:trPr>
          <w:trHeight w:val="161"/>
        </w:trPr>
        <w:tc>
          <w:tcPr>
            <w:tcW w:w="920" w:type="dxa"/>
            <w:vAlign w:val="bottom"/>
          </w:tcPr>
          <w:p>
            <w:pPr>
              <w:ind w:left="500"/>
              <w:spacing w:after="0"/>
              <w:rPr>
                <w:sz w:val="20"/>
                <w:szCs w:val="20"/>
                <w:color w:val="auto"/>
              </w:rPr>
            </w:pPr>
            <w:r>
              <w:rPr>
                <w:rFonts w:ascii="Arial" w:cs="Arial" w:eastAsia="Arial" w:hAnsi="Arial"/>
                <w:sz w:val="13"/>
                <w:szCs w:val="13"/>
                <w:color w:val="auto"/>
              </w:rPr>
              <w:t>12.1*</w:t>
            </w: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Certification of Chief Executive Officer pursuant to Rule 13a-14(a)/15d-14(a)</w:t>
            </w:r>
          </w:p>
        </w:tc>
        <w:tc>
          <w:tcPr>
            <w:tcW w:w="0" w:type="dxa"/>
            <w:vAlign w:val="bottom"/>
          </w:tcPr>
          <w:p>
            <w:pPr>
              <w:spacing w:after="0"/>
              <w:rPr>
                <w:sz w:val="1"/>
                <w:szCs w:val="1"/>
                <w:color w:val="auto"/>
              </w:rPr>
            </w:pPr>
          </w:p>
        </w:tc>
      </w:tr>
      <w:tr>
        <w:trPr>
          <w:trHeight w:val="161"/>
        </w:trPr>
        <w:tc>
          <w:tcPr>
            <w:tcW w:w="920" w:type="dxa"/>
            <w:vAlign w:val="bottom"/>
          </w:tcPr>
          <w:p>
            <w:pPr>
              <w:ind w:left="500"/>
              <w:spacing w:after="0"/>
              <w:rPr>
                <w:sz w:val="20"/>
                <w:szCs w:val="20"/>
                <w:color w:val="auto"/>
              </w:rPr>
            </w:pPr>
            <w:r>
              <w:rPr>
                <w:rFonts w:ascii="Arial" w:cs="Arial" w:eastAsia="Arial" w:hAnsi="Arial"/>
                <w:sz w:val="13"/>
                <w:szCs w:val="13"/>
                <w:color w:val="auto"/>
              </w:rPr>
              <w:t>12.2*</w:t>
            </w: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Certification of Chief Financial Officer pursuant to Rule 13a-14(a)/15d-14(a)</w:t>
            </w:r>
          </w:p>
        </w:tc>
        <w:tc>
          <w:tcPr>
            <w:tcW w:w="0" w:type="dxa"/>
            <w:vAlign w:val="bottom"/>
          </w:tcPr>
          <w:p>
            <w:pPr>
              <w:spacing w:after="0"/>
              <w:rPr>
                <w:sz w:val="1"/>
                <w:szCs w:val="1"/>
                <w:color w:val="auto"/>
              </w:rPr>
            </w:pPr>
          </w:p>
        </w:tc>
      </w:tr>
      <w:tr>
        <w:trPr>
          <w:trHeight w:val="161"/>
        </w:trPr>
        <w:tc>
          <w:tcPr>
            <w:tcW w:w="920" w:type="dxa"/>
            <w:vAlign w:val="bottom"/>
          </w:tcPr>
          <w:p>
            <w:pPr>
              <w:ind w:left="500"/>
              <w:spacing w:after="0"/>
              <w:rPr>
                <w:sz w:val="20"/>
                <w:szCs w:val="20"/>
                <w:color w:val="auto"/>
              </w:rPr>
            </w:pPr>
            <w:r>
              <w:rPr>
                <w:rFonts w:ascii="Arial" w:cs="Arial" w:eastAsia="Arial" w:hAnsi="Arial"/>
                <w:sz w:val="13"/>
                <w:szCs w:val="13"/>
                <w:color w:val="auto"/>
              </w:rPr>
              <w:t>13.1*</w:t>
            </w: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Certification of Chief Executive Officer pursuant to 18 U.S.C. 1350</w:t>
            </w:r>
          </w:p>
        </w:tc>
        <w:tc>
          <w:tcPr>
            <w:tcW w:w="0" w:type="dxa"/>
            <w:vAlign w:val="bottom"/>
          </w:tcPr>
          <w:p>
            <w:pPr>
              <w:spacing w:after="0"/>
              <w:rPr>
                <w:sz w:val="1"/>
                <w:szCs w:val="1"/>
                <w:color w:val="auto"/>
              </w:rPr>
            </w:pPr>
          </w:p>
        </w:tc>
      </w:tr>
      <w:tr>
        <w:trPr>
          <w:trHeight w:val="161"/>
        </w:trPr>
        <w:tc>
          <w:tcPr>
            <w:tcW w:w="920" w:type="dxa"/>
            <w:vAlign w:val="bottom"/>
          </w:tcPr>
          <w:p>
            <w:pPr>
              <w:ind w:left="500"/>
              <w:spacing w:after="0"/>
              <w:rPr>
                <w:sz w:val="20"/>
                <w:szCs w:val="20"/>
                <w:color w:val="auto"/>
              </w:rPr>
            </w:pPr>
            <w:r>
              <w:rPr>
                <w:rFonts w:ascii="Arial" w:cs="Arial" w:eastAsia="Arial" w:hAnsi="Arial"/>
                <w:sz w:val="13"/>
                <w:szCs w:val="13"/>
                <w:color w:val="auto"/>
              </w:rPr>
              <w:t>13.2*</w:t>
            </w: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Certification of Chief Financial Officer pursuant to 18 U.S.C. 1350</w:t>
            </w:r>
          </w:p>
        </w:tc>
        <w:tc>
          <w:tcPr>
            <w:tcW w:w="0" w:type="dxa"/>
            <w:vAlign w:val="bottom"/>
          </w:tcPr>
          <w:p>
            <w:pPr>
              <w:spacing w:after="0"/>
              <w:rPr>
                <w:sz w:val="1"/>
                <w:szCs w:val="1"/>
                <w:color w:val="auto"/>
              </w:rPr>
            </w:pPr>
          </w:p>
        </w:tc>
      </w:tr>
      <w:tr>
        <w:trPr>
          <w:trHeight w:val="161"/>
        </w:trPr>
        <w:tc>
          <w:tcPr>
            <w:tcW w:w="920" w:type="dxa"/>
            <w:vAlign w:val="bottom"/>
          </w:tcPr>
          <w:p>
            <w:pPr>
              <w:ind w:left="500"/>
              <w:spacing w:after="0"/>
              <w:rPr>
                <w:sz w:val="20"/>
                <w:szCs w:val="20"/>
                <w:color w:val="auto"/>
              </w:rPr>
            </w:pPr>
            <w:r>
              <w:rPr>
                <w:rFonts w:ascii="Arial" w:cs="Arial" w:eastAsia="Arial" w:hAnsi="Arial"/>
                <w:sz w:val="13"/>
                <w:szCs w:val="13"/>
                <w:color w:val="auto"/>
              </w:rPr>
              <w:t>14.1*</w:t>
            </w: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Consent of Ernst &amp; Young LLP</w:t>
            </w:r>
          </w:p>
        </w:tc>
        <w:tc>
          <w:tcPr>
            <w:tcW w:w="0" w:type="dxa"/>
            <w:vAlign w:val="bottom"/>
          </w:tcPr>
          <w:p>
            <w:pPr>
              <w:spacing w:after="0"/>
              <w:rPr>
                <w:sz w:val="1"/>
                <w:szCs w:val="1"/>
                <w:color w:val="auto"/>
              </w:rPr>
            </w:pPr>
          </w:p>
        </w:tc>
      </w:tr>
      <w:tr>
        <w:trPr>
          <w:trHeight w:val="161"/>
        </w:trPr>
        <w:tc>
          <w:tcPr>
            <w:tcW w:w="920" w:type="dxa"/>
            <w:vAlign w:val="bottom"/>
          </w:tcPr>
          <w:p>
            <w:pPr>
              <w:jc w:val="center"/>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w w:val="99"/>
              </w:rPr>
              <w:t>The following financial information from Amdocs Limited’s Annual Report on Form 20-F for the fiscal year ended September 30, 2010, filed with the SEC on</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3"/>
                <w:szCs w:val="13"/>
                <w:color w:val="auto"/>
              </w:rPr>
              <w:t>December 7, 2010, formatted in eXtensible Business Reporting Language (XBRL):(i) Consolidated Balance Sheets as of September 30, 2010 and 2009,</w:t>
            </w:r>
          </w:p>
        </w:tc>
        <w:tc>
          <w:tcPr>
            <w:tcW w:w="0" w:type="dxa"/>
            <w:vAlign w:val="bottom"/>
          </w:tcPr>
          <w:p>
            <w:pPr>
              <w:spacing w:after="0"/>
              <w:rPr>
                <w:sz w:val="1"/>
                <w:szCs w:val="1"/>
                <w:color w:val="auto"/>
              </w:rPr>
            </w:pPr>
          </w:p>
        </w:tc>
      </w:tr>
    </w:tbl>
    <w:p>
      <w:pPr>
        <w:ind w:left="1120" w:right="200" w:hanging="3"/>
        <w:spacing w:after="0" w:line="268" w:lineRule="auto"/>
        <w:tabs>
          <w:tab w:leader="none" w:pos="1318" w:val="left"/>
        </w:tabs>
        <w:numPr>
          <w:ilvl w:val="1"/>
          <w:numId w:val="7"/>
        </w:numPr>
        <w:rPr>
          <w:rFonts w:ascii="Arial" w:cs="Arial" w:eastAsia="Arial" w:hAnsi="Arial"/>
          <w:sz w:val="13"/>
          <w:szCs w:val="13"/>
          <w:color w:val="auto"/>
        </w:rPr>
      </w:pPr>
      <w:r>
        <w:rPr>
          <w:rFonts w:ascii="Arial" w:cs="Arial" w:eastAsia="Arial" w:hAnsi="Arial"/>
          <w:sz w:val="13"/>
          <w:szCs w:val="13"/>
          <w:color w:val="auto"/>
        </w:rPr>
        <w:t>Consolidated Statements of Income for the fiscal years ended September 30, 2010, 2009 and 2008, (iii) Consolidated Statements of Changes in Shareholders’ Equity for the fiscal years ended September 30, 2010, 2009 and 2008, (iv) the Consolidated Statements of Cash Flows for the fiscal years ended September 30, 2010, 2009 and 2008, and (iv) Notes to Consolidated Financial Statements</w:t>
      </w:r>
    </w:p>
    <w:p>
      <w:pPr>
        <w:spacing w:after="0" w:line="133"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3"/>
          <w:szCs w:val="13"/>
          <w:color w:val="auto"/>
        </w:rPr>
        <w:t>*  Previously filed.</w:t>
      </w:r>
    </w:p>
    <w:p>
      <w:pPr>
        <w:spacing w:after="0" w:line="52" w:lineRule="exact"/>
        <w:rPr>
          <w:rFonts w:ascii="Arial" w:cs="Arial" w:eastAsia="Arial" w:hAnsi="Arial"/>
          <w:sz w:val="13"/>
          <w:szCs w:val="13"/>
          <w:color w:val="auto"/>
        </w:rPr>
      </w:pPr>
    </w:p>
    <w:p>
      <w:pPr>
        <w:ind w:left="320" w:hanging="244"/>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-254000</wp:posOffset>
            </wp:positionV>
            <wp:extent cx="8255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sectPr>
      <w:pgSz w:w="11900" w:h="16838" w:orient="portrait"/>
      <w:cols w:equalWidth="0" w:num="1">
        <w:col w:w="9980"/>
      </w:cols>
      <w:pgMar w:left="900" w:top="721"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
      <w:numFmt w:val="bullet"/>
      <w:start w:val="1"/>
    </w:lvl>
    <w:lvl w:ilvl="1">
      <w:lvlJc w:val="left"/>
      <w:lvlText w:val="(%2)"/>
      <w:numFmt w:val="lowerRoman"/>
      <w:start w:val="2"/>
    </w:lvl>
  </w:abstractNum>
  <w:abstractNum w:abstractNumId="7">
    <w:nsid w:val="7545E146"/>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2019-12-10T17:21:30Z</dcterms:created>
  <dcterms:modified xsi:type="dcterms:W3CDTF">2019-12-10T17:21:30Z</dcterms:modified>
</cp:coreProperties>
</file>