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8"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193040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212725</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4220"/>
        <w:spacing w:after="0"/>
        <w:rPr>
          <w:sz w:val="20"/>
          <w:szCs w:val="20"/>
          <w:color w:val="auto"/>
        </w:rPr>
      </w:pPr>
      <w:r>
        <w:rPr>
          <w:rFonts w:ascii="Arial" w:cs="Arial" w:eastAsia="Arial" w:hAnsi="Arial"/>
          <w:sz w:val="18"/>
          <w:szCs w:val="18"/>
          <w:b w:val="1"/>
          <w:bCs w:val="1"/>
          <w:color w:val="auto"/>
        </w:rPr>
        <w:t>For the month of November 2020</w:t>
      </w:r>
    </w:p>
    <w:p>
      <w:pPr>
        <w:spacing w:after="0" w:line="225"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3520"/>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219075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Hirzel House, Smith Street,</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St. Peter Port, Island of Guernsey, GY1 2NG</w:t>
      </w:r>
    </w:p>
    <w:p>
      <w:pPr>
        <w:spacing w:after="0" w:line="20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4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184785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jc w:val="center"/>
        <w:ind w:right="-459"/>
        <w:spacing w:after="0" w:line="207" w:lineRule="exact"/>
        <w:tabs>
          <w:tab w:leader="none" w:pos="380" w:val="left"/>
        </w:tabs>
        <w:rPr>
          <w:sz w:val="20"/>
          <w:szCs w:val="20"/>
          <w:color w:val="auto"/>
        </w:rPr>
      </w:pPr>
      <w:r>
        <w:rPr>
          <w:rFonts w:ascii="Arial" w:cs="Arial" w:eastAsia="Arial" w:hAnsi="Arial"/>
          <w:sz w:val="18"/>
          <w:szCs w:val="18"/>
          <w:color w:val="auto"/>
        </w:rPr>
        <w:t>YES</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560"/>
          </w:cols>
          <w:pgMar w:left="440" w:top="292" w:right="899" w:bottom="1440" w:gutter="0" w:footer="0" w:header="0"/>
        </w:sectPr>
      </w:pPr>
    </w:p>
    <w:bookmarkStart w:id="1" w:name="page2"/>
    <w:bookmarkEnd w:id="1"/>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November 10, 2020, Amdocs Limited (“Amdocs”) issued a press release announcing financial results for the quarter ended September 30, 2020. A copy of the press release is furnished as Exhibit 99.1 to this Report of Foreign Private Issuer on Form 6-K.</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00"/>
          </w:cols>
          <w:pgMar w:left="440" w:top="274" w:right="5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6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Matthew E. Smith</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 and Authorized Signatory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ectPr>
          <w:pgSz w:w="11900" w:h="16838" w:orient="portrait"/>
          <w:cols w:equalWidth="0" w:num="1">
            <w:col w:w="10260"/>
          </w:cols>
          <w:pgMar w:left="440" w:top="270" w:right="119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80"/>
        <w:spacing w:after="0"/>
        <w:tabs>
          <w:tab w:leader="none" w:pos="12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Amdocs Limited Press Release dated November 10, 2020.</w:t>
        </w:r>
      </w:hyperlink>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171450</wp:posOffset>
            </wp:positionV>
            <wp:extent cx="5580380" cy="13544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80380" cy="135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Amdocs Limited Reports Fourth Quarter Fiscal 2020 Results</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Record Quarterly Revenue of $1.05 Billion</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Expects Acceleration in Fiscal 2021 Revenue Growth to 4.0%-8.0% YoY</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as Reported and 3.5%-7.5% in Constant Currency</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Accelerates Growth Strategy and Business Focus Around Cloud and 5G</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with Strategic Partnerships, Closing Openet Acquisition and the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Expected Divestiture of OpenMarket for Approximately $300 Million</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Fourth Quarter Fiscal 2020 Highlights</w:t>
      </w:r>
    </w:p>
    <w:p>
      <w:pPr>
        <w:spacing w:after="0" w:line="135" w:lineRule="exact"/>
        <w:rPr>
          <w:sz w:val="20"/>
          <w:szCs w:val="20"/>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Closed the previously announced acquisition of Openet on August 11, 2020</w:t>
      </w:r>
    </w:p>
    <w:p>
      <w:pPr>
        <w:spacing w:after="0" w:line="130" w:lineRule="exact"/>
        <w:rPr>
          <w:rFonts w:ascii="Arial" w:cs="Arial" w:eastAsia="Arial" w:hAnsi="Arial"/>
          <w:sz w:val="18"/>
          <w:szCs w:val="18"/>
          <w:color w:val="auto"/>
        </w:rPr>
      </w:pPr>
    </w:p>
    <w:p>
      <w:pPr>
        <w:ind w:left="964" w:right="10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Today signed an agreement for the divestiture of OpenMarket, an Amdocs subsidiary, for approximately $300 million cash with Infobip, a company in which One Equity Partners is the primary institutional investor</w:t>
      </w:r>
    </w:p>
    <w:p>
      <w:pPr>
        <w:spacing w:after="0" w:line="75" w:lineRule="exact"/>
        <w:rPr>
          <w:rFonts w:ascii="Arial" w:cs="Arial" w:eastAsia="Arial" w:hAnsi="Arial"/>
          <w:sz w:val="18"/>
          <w:szCs w:val="18"/>
          <w:color w:val="auto"/>
        </w:rPr>
      </w:pPr>
    </w:p>
    <w:p>
      <w:pPr>
        <w:jc w:val="both"/>
        <w:ind w:left="964" w:right="80" w:hanging="424"/>
        <w:spacing w:after="0" w:line="263"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Revenue of $1,053 million. After adjusting for a positive impact from foreign currency movements of approximately $7 million compared to our guidance assumptions, and revenue from Openet, which was not included in the fourth quarter guidance range, revenue was slightly above the midpoint of the $1,015-$1,055 million guidance range</w:t>
      </w:r>
    </w:p>
    <w:p>
      <w:pPr>
        <w:spacing w:after="0" w:line="89" w:lineRule="exact"/>
        <w:rPr>
          <w:rFonts w:ascii="Arial" w:cs="Arial" w:eastAsia="Arial" w:hAnsi="Arial"/>
          <w:sz w:val="18"/>
          <w:szCs w:val="18"/>
          <w:color w:val="auto"/>
        </w:rPr>
      </w:pPr>
    </w:p>
    <w:p>
      <w:pPr>
        <w:ind w:left="964" w:right="108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Record managed services revenue of $611 million, up 4.8% as compared to last year’s fourth fiscal quarter and equivalent to approximately 58% of total revenue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diluted EPS of $1.01, above the midpoint $0.95-$1.03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diluted EPS of $1.23, above the $1.16-$1.22 guidance range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GAAP operating income of $147 million; GAAP operating margin of 14.0%</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Non-GAAP operating income of $181 million; non-GAAP operating margin of 17.2%</w:t>
      </w:r>
    </w:p>
    <w:p>
      <w:pPr>
        <w:spacing w:after="0" w:line="130" w:lineRule="exact"/>
        <w:rPr>
          <w:rFonts w:ascii="Arial" w:cs="Arial" w:eastAsia="Arial" w:hAnsi="Arial"/>
          <w:sz w:val="18"/>
          <w:szCs w:val="18"/>
          <w:color w:val="auto"/>
        </w:rPr>
      </w:pPr>
    </w:p>
    <w:p>
      <w:pPr>
        <w:ind w:left="964" w:right="800"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Quarterly free cash flow of $145 million, comprised of cash flow from operations of $205 million, less $60 million in net capital expenditures and other; normalized free cash flow of $161 million (1)</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Please refer to the Selected Financial Metrics tables below (figures may not sum because of rounding).</w:t>
      </w:r>
    </w:p>
    <w:p>
      <w:pPr>
        <w:sectPr>
          <w:pgSz w:w="11900" w:h="16838" w:orient="portrait"/>
          <w:cols w:equalWidth="0" w:num="1">
            <w:col w:w="11024"/>
          </w:cols>
          <w:pgMar w:left="436" w:top="121" w:right="439" w:bottom="1440" w:gutter="0" w:footer="0" w:header="0"/>
        </w:sectPr>
      </w:pPr>
    </w:p>
    <w:bookmarkStart w:id="5" w:name="page6"/>
    <w:bookmarkEnd w:id="5"/>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Record twelve-month backlog of $3.62 billion, up $140 million sequentially and up 3.7% as compared to last year’s fourth fiscal quarter</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board of directors approved a quarterly cash dividend of $0.3275 per share to be paid on January 22, 2021</w:t>
      </w:r>
    </w:p>
    <w:p>
      <w:pPr>
        <w:spacing w:after="0" w:line="130" w:lineRule="exact"/>
        <w:rPr>
          <w:rFonts w:ascii="Arial" w:cs="Arial" w:eastAsia="Arial" w:hAnsi="Arial"/>
          <w:sz w:val="18"/>
          <w:szCs w:val="18"/>
          <w:color w:val="auto"/>
        </w:rPr>
      </w:pPr>
    </w:p>
    <w:p>
      <w:pPr>
        <w:ind w:left="960" w:right="140" w:hanging="424"/>
        <w:spacing w:after="0" w:line="308"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board of directors also approved a 10% increase in the Company’s quarterly cash dividend payment from $0.3275 per share to $0.36 per share, anticipated to be first paid in April 2021, subject to shareholder approval at the January 2021 annual meeting</w:t>
      </w:r>
    </w:p>
    <w:p>
      <w:pPr>
        <w:spacing w:after="0" w:line="142"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ST. LOUIS – November 10, 2020 </w:t>
      </w:r>
      <w:r>
        <w:rPr>
          <w:rFonts w:ascii="Arial" w:cs="Arial" w:eastAsia="Arial" w:hAnsi="Arial"/>
          <w:sz w:val="18"/>
          <w:szCs w:val="18"/>
          <w:color w:val="auto"/>
        </w:rPr>
        <w:t>– Amdocs Limited (NASDAQ: DOX) today reported operating results for the three months ended September 30,</w:t>
      </w:r>
      <w:r>
        <w:rPr>
          <w:rFonts w:ascii="Arial" w:cs="Arial" w:eastAsia="Arial" w:hAnsi="Arial"/>
          <w:sz w:val="18"/>
          <w:szCs w:val="18"/>
          <w:b w:val="1"/>
          <w:bCs w:val="1"/>
          <w:color w:val="auto"/>
        </w:rPr>
        <w:t xml:space="preserve"> </w:t>
      </w:r>
      <w:r>
        <w:rPr>
          <w:rFonts w:ascii="Arial" w:cs="Arial" w:eastAsia="Arial" w:hAnsi="Arial"/>
          <w:sz w:val="18"/>
          <w:szCs w:val="18"/>
          <w:color w:val="auto"/>
        </w:rPr>
        <w:t>2020.</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 am pleased to report a return to sequential revenue growth in our fourth fiscal quarter, primarily driven by healthy activity levels in North America and the ramp-up of new customer engagements in Europe, where we had our best-ever performance. At the operating level, we accelerated our R&amp;D investments while maintaining consistent project execution and stable profitability. Amid the ongoing global pandemic, our sales momentum also accelerated, as reflected in our record 12-month backlog which grew $140 million sequentially and 3.7% year-over-year,” said Shuky Sheffer, president and chief executive officer of Amdocs Management Limited.</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Sheffer continued, “Over the last few months, we have taken several steps to accelerate our growth strategy around 5G and the cloud. The post-merger integration of Openet is proceeding well and we are happy to report a new award at AT&amp;T, which has selected Openet’s 5G solution to quickly launch and monetize exciting new 5G services on the cloud. Additionally, we have signed a new multi-year strategic agreement with AWS as part of which we will bring our cloud-native BSS offerings and wide range of services to jointly address the rapidly growing cloud market in the coming years. As part of another move to focus on our strategy, we have also signed an agreement for the divestiture of OpenMarket for approximately $300 million cash with Infobip, a company in which One Equity Partners is the primary institutional investor. With this transaction, Amdocs is divesting a non-strategic asset in the mobile messaging domain and remaining laser-focused on our core strategic growth initiatives.”</w:t>
      </w:r>
    </w:p>
    <w:p>
      <w:pPr>
        <w:sectPr>
          <w:pgSz w:w="11900" w:h="16838" w:orient="portrait"/>
          <w:cols w:equalWidth="0" w:num="1">
            <w:col w:w="10960"/>
          </w:cols>
          <w:pgMar w:left="440" w:top="274" w:right="499" w:bottom="1440" w:gutter="0" w:footer="0" w:header="0"/>
        </w:sectPr>
      </w:pPr>
    </w:p>
    <w:bookmarkStart w:id="6" w:name="page7"/>
    <w:bookmarkEnd w:id="6"/>
    <w:p>
      <w:pPr>
        <w:ind w:right="1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Sheffer concluded, “Turning to our fiscal 2021 outlook, I am happy to report an expected acceleration in growth, with revenue projected to increase at more than twice the rate of last year in constant currency. This outlook is based on the visibility of our record 12-month backlog, the full-year consolidation of Openet and the ramp-up of customer activities across strategic growth areas, including 5G and the cloud.”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Revenue for the fourth fiscal quarter ended September 30, 2020 was $1,053 million, up $27 million sequentially from the third fiscal quarter of 2020. Revenue was up 2.2% as reported and 1.8% in constant currency as compared to last year’s fourth fiscal quarter. Revenue for the fourth fiscal quarter of 2020 includes a positive impact from foreign currency movements of approximately $11 million relative to the third quarter of fiscal 2020. Revenue was slightly above the midpoint of Amdocs’ guidance after adjusting for the positive impact of approximately $7 million of foreign currency movements relative to guidance assumptions and revenue from Openet, which was not included in the fourth quarter guidance range.</w:t>
      </w:r>
    </w:p>
    <w:p>
      <w:pPr>
        <w:spacing w:after="0" w:line="176"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Revenue for the fiscal year ended September 30, 2020, was $4.2 billion, up 2.0% from the last fiscal year and consistent with the high-end of Amdocs’ guidance range for growth of 1.1% to 2.1% year-over-year as reported. Adjusting for the negative impact of foreign currency movements, revenue was up 2.4% from the last fiscal year and consistent with the high-end of Amdocs’ guidance range for growth of 1.6% to 2.6% year-over-year.</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Earnings Per Share</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Company’s GAAP net income for the fourth quarter of fiscal 2020 was $134.5 million, or $1.01 per diluted share, compared to GAAP net income of $122.0 million, or $0.90 per diluted share, in the prior fiscal year’s fourth quarter. Net income on a non-GAAP basis was $162.7 million, or $1.23 per diluted share, compared to non-GAAP net income of $147.1</w:t>
      </w:r>
    </w:p>
    <w:p>
      <w:pPr>
        <w:sectPr>
          <w:pgSz w:w="11900" w:h="16838" w:orient="portrait"/>
          <w:cols w:equalWidth="0" w:num="1">
            <w:col w:w="10980"/>
          </w:cols>
          <w:pgMar w:left="440" w:top="274" w:right="479" w:bottom="1440" w:gutter="0" w:footer="0" w:header="0"/>
        </w:sectPr>
      </w:pPr>
    </w:p>
    <w:bookmarkStart w:id="7" w:name="page8"/>
    <w:bookmarkEnd w:id="7"/>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million, or $1.08 per diluted share, in the fourth quarter of fiscal 2019. Non-GAAP net income excludes amortization of purchased intangible assets and other acquisition-related costs, changes in certain acquisitions related liabilities measured at fair value, equity-based compensation expenses and other, net of related tax effects, in the fourth quarter of fiscal 2020 and in the fourth quarter of fiscal 2019.</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GAAP net income in fiscal 2020 was $497.8 million, or $3.71 per diluted share, compared to GAAP net income of $479.4 million, or $3.47 per diluted share, in fiscal 2019. Fiscal 2020 net income on a non-GAAP basis was $595.8 million, or $4.44 per diluted share, compared to non-GAAP net income of $595.1 million, or $4.31 per diluted share, in fiscal 2019. Non-GAAP net income excludes amortization of purchased intangible assets and other acquisition-related costs, changes in certain acquisitions related liabilities measured at fair value, equity-based compensation expenses and other, net of related tax effects, in fiscal years 2020 and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 of reconciliation of selected financial metrics from GAAP to Non-GAAP, please refer to the tables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Returning Cash to Shareholders</w:t>
      </w:r>
    </w:p>
    <w:p>
      <w:pPr>
        <w:spacing w:after="0" w:line="135" w:lineRule="exact"/>
        <w:rPr>
          <w:sz w:val="20"/>
          <w:szCs w:val="20"/>
          <w:color w:val="auto"/>
        </w:rPr>
      </w:pPr>
    </w:p>
    <w:p>
      <w:pPr>
        <w:ind w:left="960" w:hanging="424"/>
        <w:spacing w:after="0" w:line="25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Quarterly Cash Dividend Program: </w:t>
      </w:r>
      <w:r>
        <w:rPr>
          <w:rFonts w:ascii="Arial" w:cs="Arial" w:eastAsia="Arial" w:hAnsi="Arial"/>
          <w:sz w:val="18"/>
          <w:szCs w:val="18"/>
          <w:color w:val="auto"/>
        </w:rPr>
        <w:t>On November 10, 2020, the Board approved the Company’s next quarterly cash dividend payment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$0.3275 per share and set December 31, 2020 as the record date for determining the shareholders entitled to receive the dividend, which will be payable on January 22, 2021. The Board also approved a 10% increase in the Company’s quarterly cash dividend payment to $0.36 per share, which is anticipated to be first paid in April 2021, provided that the increase is approved by shareholders at the January 2021 annual general meeting of shareholders.</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 Repurchase Activity: </w:t>
      </w:r>
      <w:r>
        <w:rPr>
          <w:rFonts w:ascii="Arial" w:cs="Arial" w:eastAsia="Arial" w:hAnsi="Arial"/>
          <w:sz w:val="18"/>
          <w:szCs w:val="18"/>
          <w:color w:val="auto"/>
        </w:rPr>
        <w:t>Repurchased $91 million of ordinary shares during the fourth quarter of fiscal 2020.</w:t>
      </w:r>
    </w:p>
    <w:p>
      <w:pPr>
        <w:sectPr>
          <w:pgSz w:w="11900" w:h="16838" w:orient="portrait"/>
          <w:cols w:equalWidth="0" w:num="1">
            <w:col w:w="10960"/>
          </w:cols>
          <w:pgMar w:left="440" w:top="274" w:right="49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Twelve-month Backlog</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$3.62 billion at the end of the fourth quarter of fiscal 2020, up $140 million from the end of the prior quarter and up 3.7% as compared to last year’s fourth fiscal quarter.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2021 Outlook</w:t>
      </w:r>
    </w:p>
    <w:p>
      <w:pPr>
        <w:spacing w:after="0" w:line="135" w:lineRule="exact"/>
        <w:rPr>
          <w:sz w:val="20"/>
          <w:szCs w:val="20"/>
          <w:color w:val="auto"/>
        </w:rPr>
      </w:pPr>
    </w:p>
    <w:p>
      <w:pPr>
        <w:ind w:left="960" w:right="20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Revenue of approximately $1,055-$1,095 million, assuming approximately $2 million sequential negative impact from foreign currency fluctuations as compared to the fourth quarter of fiscal 2020 and a full quarter revenue contribution from the acquisition of Openet</w:t>
      </w:r>
    </w:p>
    <w:p>
      <w:pPr>
        <w:spacing w:after="0" w:line="29" w:lineRule="exact"/>
        <w:rPr>
          <w:rFonts w:ascii="Arial" w:cs="Arial" w:eastAsia="Arial" w:hAnsi="Arial"/>
          <w:sz w:val="16"/>
          <w:szCs w:val="16"/>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diluted EPS of approximately $0.85-$0.93</w:t>
      </w:r>
    </w:p>
    <w:p>
      <w:pPr>
        <w:spacing w:after="0" w:line="130" w:lineRule="exact"/>
        <w:rPr>
          <w:rFonts w:ascii="Arial" w:cs="Arial" w:eastAsia="Arial" w:hAnsi="Arial"/>
          <w:sz w:val="18"/>
          <w:szCs w:val="18"/>
          <w:color w:val="auto"/>
        </w:rPr>
      </w:pPr>
    </w:p>
    <w:p>
      <w:pPr>
        <w:ind w:left="960" w:hanging="424"/>
        <w:spacing w:after="0" w:line="263"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Non-GAAP diluted EPS of approximately $1.09-$1.15, excluding amortization of purchased intangible assets and other acquisition-related costs, changes in certain acquisitions related liabilities measured at fair value, and approximately $0.08-$0.10 per share of equity-based compensation expense, net of related tax effects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Fiscal 2021 Outlook</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of 4.0%-8.0% year-over-year as reported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growth of 3.5%-7.5% year-over-year on a constant currency basis</w:t>
      </w:r>
    </w:p>
    <w:p>
      <w:pPr>
        <w:spacing w:after="0" w:line="130" w:lineRule="exact"/>
        <w:rPr>
          <w:rFonts w:ascii="Arial" w:cs="Arial" w:eastAsia="Arial" w:hAnsi="Arial"/>
          <w:sz w:val="18"/>
          <w:szCs w:val="18"/>
          <w:color w:val="auto"/>
        </w:rPr>
      </w:pPr>
    </w:p>
    <w:p>
      <w:pPr>
        <w:ind w:left="960" w:right="40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year fiscal 2021 revenue guidance incorporates roughly 1.5% of growth from the acquisition of Openet, and an expected positive impact from foreign currency fluctuations of about 0.5% year-over-year</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GAAP diluted earnings per share growth of roughly 1.5%-8.5% year-over-year</w:t>
      </w:r>
    </w:p>
    <w:p>
      <w:pPr>
        <w:spacing w:after="0" w:line="130" w:lineRule="exact"/>
        <w:rPr>
          <w:rFonts w:ascii="Arial" w:cs="Arial" w:eastAsia="Arial" w:hAnsi="Arial"/>
          <w:sz w:val="18"/>
          <w:szCs w:val="18"/>
          <w:color w:val="auto"/>
        </w:rPr>
      </w:pPr>
    </w:p>
    <w:p>
      <w:pPr>
        <w:ind w:left="960" w:hanging="424"/>
        <w:spacing w:after="0" w:line="279"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Non-GAAP diluted earnings per share growth of roughly 5.0%-9.0% year-over-year, excluding amortization of purchased intangible assets and other acquisition-related costs, changes in certain acquisitions related liabilities measured at fair value, and approximately $0.32-$0.40 per share of equity-based compensation expense, net of related tax effects. The impact of the acquisition of Openet on Amdocs’ non-GAAP diluted earnings per share is expected to be neutral in fiscal year 2021, and accretive thereafter</w:t>
      </w:r>
    </w:p>
    <w:p>
      <w:pPr>
        <w:sectPr>
          <w:pgSz w:w="11900" w:h="16838" w:orient="portrait"/>
          <w:cols w:equalWidth="0" w:num="1">
            <w:col w:w="10980"/>
          </w:cols>
          <w:pgMar w:left="440" w:top="270" w:right="479" w:bottom="1440" w:gutter="0" w:footer="0" w:header="0"/>
        </w:sectPr>
      </w:pPr>
    </w:p>
    <w:bookmarkStart w:id="9" w:name="page10"/>
    <w:bookmarkEnd w:id="9"/>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Free cash flow of approximately $470 million, comprised of cash flow from operations, less net capital expenditures and other</w:t>
      </w:r>
    </w:p>
    <w:p>
      <w:pPr>
        <w:spacing w:after="0" w:line="130" w:lineRule="exact"/>
        <w:rPr>
          <w:rFonts w:ascii="Arial" w:cs="Arial" w:eastAsia="Arial" w:hAnsi="Arial"/>
          <w:sz w:val="18"/>
          <w:szCs w:val="18"/>
          <w:color w:val="auto"/>
        </w:rPr>
      </w:pPr>
    </w:p>
    <w:p>
      <w:pPr>
        <w:ind w:left="960" w:right="2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Normalized free cash flow of approximately $620 million; normalized free cash flow excludes capital expenditure of up to $150 million related to the new campus development in Israel, and other items</w:t>
      </w:r>
    </w:p>
    <w:p>
      <w:pPr>
        <w:spacing w:after="0" w:line="75"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Divestiture of OpenMarket is expected to close within the next few months, at which time the full fiscal year 2021 outlook will be updated, as the current 2021 outlook includes anticipated full year results from OpenMarket</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first fiscal quarter 2021 and full year fiscal 2021 outlook takes into consideration the Company’s current expectations regarding macro and industry specific risks and various uncertainties and certain assumptions that we will discuss on our earnings conference call. However, we note that market dynamics continue to shift rapidly and we cannot predict all possible outcomes, including those resulting from the COVID-19 pandemic, which has created, and continues to create, a significant amount of uncertainty, and from T-Mobile’s completed merger with Sprint, or from other current and potential customer consolidation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Amdocs will host a conference call on November 10, 2020 at 5:00 p.m. Eastern Time to discuss the Company’s fourth quarter of fiscal 2020 results. To participate, please dial +1 (844) 513-7152, or +1 (508) 637-5600 outside the United States, approximately 15 minutes before the call and enter passcode 4156067. The call will also be carried live on the Internet via the Amdocs website, www.amdocs.com.</w:t>
      </w:r>
    </w:p>
    <w:p>
      <w:pPr>
        <w:sectPr>
          <w:pgSz w:w="11900" w:h="16838" w:orient="portrait"/>
          <w:cols w:equalWidth="0" w:num="1">
            <w:col w:w="11000"/>
          </w:cols>
          <w:pgMar w:left="440" w:top="274"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Non-GAAP Financial Measures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This release includes non-GAAP diluted earnings per share and other non-GAAP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These non-GAAP measures exclude the following items:</w:t>
      </w:r>
    </w:p>
    <w:p>
      <w:pPr>
        <w:spacing w:after="0" w:line="77" w:lineRule="exact"/>
        <w:rPr>
          <w:sz w:val="20"/>
          <w:szCs w:val="20"/>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acquisition-related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certain acquisition-related liabilities measured at fair value;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non-recurring and unusual charges;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equity-based compensation expense;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Free cash flow equals cash generated by operating activities less net capital expenditures and other. Normalized free cash flow, a measure of our operating performance, is further adjusted to exclude net capital expenditures related to the new campus development, payments for previously expensed restructuring charges, payments for legal dispute settlement, and payments of acquisition related liabilities. 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Amdocs believes that the presentation of non-GAAP diluted earnings per share and other financial measures, including free cash flow and normalized free cash flow, non-GAAP cost of revenue, non-GAAP research and development, non-GAAP selling, general and administrative, non-GAAP operating income, non-GAAP operating margin, non-GAAP interest and other expenses, net, non-GAAP income taxes, non-GAAP effective tax rate, non-GAAP net income and non-GAAP diluted earnings per share growth when shown in</w:t>
      </w:r>
    </w:p>
    <w:p>
      <w:pPr>
        <w:sectPr>
          <w:pgSz w:w="11900" w:h="16838" w:orient="portrait"/>
          <w:cols w:equalWidth="0" w:num="1">
            <w:col w:w="10960"/>
          </w:cols>
          <w:pgMar w:left="440" w:top="270" w:right="499" w:bottom="1440" w:gutter="0" w:footer="0" w:header="0"/>
        </w:sectPr>
      </w:pPr>
    </w:p>
    <w:bookmarkStart w:id="11" w:name="page12"/>
    <w:bookmarkEnd w:id="1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8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its internal budgeting process and in monitoring the results of the business, Amdocs’ management uses financial statements that do not include amortization of purchased intangible assets and other acquisition-related costs, changes in certain acquisition-related liabilities measured at fair value, non-recurring and unusual charges, equity-based compensation expense, other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revenue, research and development, selling, general and administrative, operating income, interest and other expenses, net, income taxes and net income), it is useful to investors to understand how these specific line items in the Consolidated Statements of Income are affected by these adjustments. Please refer to the Reconciliation of Selected Financial Metrics from GAAP to Non-GAAP tables below.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Resources</w:t>
      </w:r>
    </w:p>
    <w:p>
      <w:pPr>
        <w:spacing w:after="0" w:line="135" w:lineRule="exact"/>
        <w:rPr>
          <w:sz w:val="20"/>
          <w:szCs w:val="20"/>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Keep up with Amdocs news by visiting the Company’s </w:t>
      </w:r>
      <w:r>
        <w:rPr>
          <w:rFonts w:ascii="Arial" w:cs="Arial" w:eastAsia="Arial" w:hAnsi="Arial"/>
          <w:sz w:val="18"/>
          <w:szCs w:val="18"/>
          <w:u w:val="single" w:color="auto"/>
          <w:color w:val="auto"/>
        </w:rPr>
        <w:t>website</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Subscribe to Amdocs’ </w:t>
      </w:r>
      <w:r>
        <w:rPr>
          <w:rFonts w:ascii="Arial" w:cs="Arial" w:eastAsia="Arial" w:hAnsi="Arial"/>
          <w:sz w:val="18"/>
          <w:szCs w:val="18"/>
          <w:u w:val="single" w:color="auto"/>
          <w:color w:val="auto"/>
        </w:rPr>
        <w:t>RSS Feed</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YouTube</w:t>
      </w:r>
    </w:p>
    <w:p>
      <w:pPr>
        <w:sectPr>
          <w:pgSz w:w="11900" w:h="16838" w:orient="portrait"/>
          <w:cols w:equalWidth="0" w:num="1">
            <w:col w:w="10920"/>
          </w:cols>
          <w:pgMar w:left="440" w:top="274" w:right="5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About Amdocs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Amdocs’ purpose is to enrich lives and progress society, using creativity and technology to build a better connected world. Amdocs and its 26,000 employees partner with the leading players in the communications and media industry, enabling next-generation experiences in 85 countries. Our cloud-native, open and dynamic portfolio of digital solutions, platforms and services brings greater choice, faster time to market and flexibility, to better meet the evolving needs of our customers as they drive growth, transform and take their business to the cloud. Listed on the NASDAQ Global Select Market, Amdocs had revenue of $4.2 billion in fiscal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the duration and severity of the COVID-19 pandemic, and its impact on the global economy,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Amdocs specifically disclaims any obligation to do so. These and other risks are discussed at greater length in Amdocs’ filings with the Securities and Exchange Commission, including in our Annual Report on Form 20-F for the fiscal year ended September 30, 2019 filed on December 16, 2019 and our Form 6-K furnished for the first quarter of fiscal 2020 on February 18, 2020 and for the second quarter of fiscal 2020 on May 18, 2020 and for the third quarter of fiscal 2020 on August 17, 2020.</w:t>
      </w:r>
    </w:p>
    <w:p>
      <w:pPr>
        <w:sectPr>
          <w:pgSz w:w="11900" w:h="16838" w:orient="portrait"/>
          <w:cols w:equalWidth="0" w:num="1">
            <w:col w:w="10980"/>
          </w:cols>
          <w:pgMar w:left="440" w:top="270"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Contact</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dox_info@amdocs.com</w:t>
      </w:r>
    </w:p>
    <w:p>
      <w:pPr>
        <w:sectPr>
          <w:pgSz w:w="11900" w:h="16838" w:orient="portrait"/>
          <w:cols w:equalWidth="0" w:num="1">
            <w:col w:w="10019"/>
          </w:cols>
          <w:pgMar w:left="440" w:top="270" w:right="1440"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AMDOCS LIMITED</w:t>
      </w:r>
    </w:p>
    <w:p>
      <w:pPr>
        <w:spacing w:after="0" w:line="225"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8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1,052,948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1,030,253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4,169,039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4,086,669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703,556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667,129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2,755,563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2,653,172</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75,843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70,109</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282,042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273,936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106,352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125,046</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458,539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492,457</w:t>
            </w:r>
          </w:p>
        </w:tc>
        <w:tc>
          <w:tcPr>
            <w:tcW w:w="0" w:type="dxa"/>
            <w:vAlign w:val="bottom"/>
          </w:tcPr>
          <w:p>
            <w:pPr>
              <w:spacing w:after="0"/>
              <w:rPr>
                <w:sz w:val="1"/>
                <w:szCs w:val="1"/>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78,137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97,358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906,010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886,099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3,574,281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3,516,923</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146,938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144,154</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146,598</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583,322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24,571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85,482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88,441</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134,463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122,027</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137,418</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136,151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1.2675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 except per share data)</w:t>
      </w:r>
    </w:p>
    <w:p>
      <w:pPr>
        <w:spacing w:after="0" w:line="217"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0"/>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0" w:type="dxa"/>
            <w:vAlign w:val="bottom"/>
            <w:gridSpan w:val="9"/>
          </w:tcPr>
          <w:p>
            <w:pPr>
              <w:jc w:val="center"/>
              <w:ind w:right="800"/>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78"/>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8"/>
              </w:rPr>
              <w:t>$1,052,948</w:t>
            </w: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6"/>
              </w:rPr>
              <w:t>$1,030,253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$4,169,039</w:t>
            </w:r>
          </w:p>
        </w:tc>
        <w:tc>
          <w:tcPr>
            <w:tcW w:w="2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0"/>
              </w:rPr>
              <w:t>$4,086,669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181,082</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177,989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715,022</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707,889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162,716</w:t>
            </w:r>
          </w:p>
        </w:tc>
        <w:tc>
          <w:tcPr>
            <w:tcW w:w="3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147,137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595,758</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595,089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1.23</w:t>
            </w: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4.44</w:t>
            </w:r>
          </w:p>
        </w:tc>
        <w:tc>
          <w:tcPr>
            <w:tcW w:w="2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132,661</w:t>
            </w:r>
          </w:p>
        </w:tc>
        <w:tc>
          <w:tcPr>
            <w:tcW w:w="34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136,151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134,232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138,108</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7040" w:type="dxa"/>
            <w:vAlign w:val="bottom"/>
            <w:gridSpan w:val="9"/>
          </w:tcPr>
          <w:p>
            <w:pPr>
              <w:jc w:val="center"/>
              <w:ind w:left="2950"/>
              <w:spacing w:after="0"/>
              <w:rPr>
                <w:sz w:val="20"/>
                <w:szCs w:val="20"/>
                <w:color w:val="auto"/>
              </w:rPr>
            </w:pPr>
            <w:r>
              <w:rPr>
                <w:rFonts w:ascii="Arial" w:cs="Arial" w:eastAsia="Arial" w:hAnsi="Arial"/>
                <w:sz w:val="18"/>
                <w:szCs w:val="18"/>
                <w:b w:val="1"/>
                <w:bCs w:val="1"/>
                <w:color w:val="auto"/>
                <w:w w:val="90"/>
              </w:rPr>
              <w:t>Free Cash Flows and Normalized Free Cash Flow</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60" w:type="dxa"/>
            <w:vAlign w:val="bottom"/>
          </w:tcPr>
          <w:p>
            <w:pPr>
              <w:jc w:val="center"/>
              <w:ind w:left="4330"/>
              <w:spacing w:after="0"/>
              <w:rPr>
                <w:sz w:val="20"/>
                <w:szCs w:val="20"/>
                <w:color w:val="auto"/>
              </w:rPr>
            </w:pPr>
            <w:r>
              <w:rPr>
                <w:rFonts w:ascii="Arial" w:cs="Arial" w:eastAsia="Arial" w:hAnsi="Arial"/>
                <w:sz w:val="18"/>
                <w:szCs w:val="18"/>
                <w:b w:val="1"/>
                <w:bCs w:val="1"/>
                <w:color w:val="auto"/>
                <w:w w:val="90"/>
              </w:rPr>
              <w:t>(In thousands)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0" w:type="dxa"/>
            <w:vAlign w:val="bottom"/>
            <w:gridSpan w:val="9"/>
          </w:tcPr>
          <w:p>
            <w:pPr>
              <w:jc w:val="right"/>
              <w:ind w:right="32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Fiscal 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3"/>
              </w:rPr>
              <w:t>September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gridSpan w:val="3"/>
          </w:tcPr>
          <w:p>
            <w:pPr>
              <w:jc w:val="right"/>
              <w:ind w:right="1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$204,680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$213,625</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$ 658,136</w:t>
            </w: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656,377</w:t>
            </w: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Purchases of property and equipment, net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5"/>
          </w:tcPr>
          <w:p>
            <w:pPr>
              <w:jc w:val="right"/>
              <w:ind w:right="80"/>
              <w:spacing w:after="0"/>
              <w:rPr>
                <w:sz w:val="20"/>
                <w:szCs w:val="20"/>
                <w:color w:val="auto"/>
              </w:rPr>
            </w:pPr>
            <w:r>
              <w:rPr>
                <w:rFonts w:ascii="Arial" w:cs="Arial" w:eastAsia="Arial" w:hAnsi="Arial"/>
                <w:sz w:val="18"/>
                <w:szCs w:val="18"/>
                <w:color w:val="auto"/>
              </w:rPr>
              <w:t>(59,555)</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(34,325)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(205,510)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w w:val="90"/>
              </w:rPr>
              <w:t>(128,086)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145,125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179,300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452,626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528,291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Payments for legal dispute settlement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Payment of acquisition related liabilities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9,417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Payments for previously expensed restructuring charges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8"/>
                <w:szCs w:val="18"/>
                <w:color w:val="auto"/>
              </w:rPr>
              <w:t>1,233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2,143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15,627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capital expenditures related to the new campus development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15,975</w:t>
            </w:r>
          </w:p>
        </w:tc>
        <w:tc>
          <w:tcPr>
            <w:tcW w:w="1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9,101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62,727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Normalized Free Cash Flow</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161,314</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189,634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$ 526,913</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613,480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59"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and the amounts under “Net capital expenditures related to the new campus development”, include proceeds from sale of property and equipment of $194 and $151, for the fiscal year ended September 30, 2020 and 2019, respectively, and proceeds of $9,676 relating to the refund of betterment levy, for the fiscal year ended September 30, 2019 ($4,776 of which was a refund to the noncontrolling interests).</w:t>
      </w:r>
    </w:p>
    <w:p>
      <w:pPr>
        <w:sectPr>
          <w:pgSz w:w="11900" w:h="16838" w:orient="portrait"/>
          <w:cols w:equalWidth="0" w:num="1">
            <w:col w:w="11024"/>
          </w:cols>
          <w:pgMar w:left="436" w:top="270"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right"/>
        <w:ind w:right="300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2491740</wp:posOffset>
            </wp:positionH>
            <wp:positionV relativeFrom="paragraph">
              <wp:posOffset>-3175</wp:posOffset>
            </wp:positionV>
            <wp:extent cx="4431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jc w:val="right"/>
        <w:ind w:right="3000"/>
        <w:spacing w:after="0" w:line="232" w:lineRule="auto"/>
        <w:rPr>
          <w:sz w:val="20"/>
          <w:szCs w:val="20"/>
          <w:color w:val="auto"/>
        </w:rPr>
      </w:pPr>
      <w:r>
        <w:rPr>
          <w:rFonts w:ascii="Arial" w:cs="Arial" w:eastAsia="Arial" w:hAnsi="Arial"/>
          <w:sz w:val="14"/>
          <w:szCs w:val="14"/>
          <w:b w:val="1"/>
          <w:bCs w:val="1"/>
          <w:color w:val="auto"/>
        </w:rPr>
        <w:t>Reconciliation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Amortization</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0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4"/>
              </w:rPr>
              <w:t>Equity based</w:t>
            </w:r>
          </w:p>
        </w:tc>
        <w:tc>
          <w:tcPr>
            <w:tcW w:w="1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720" w:type="dxa"/>
            <w:vAlign w:val="bottom"/>
            <w:gridSpan w:val="3"/>
            <w:vMerge w:val="restart"/>
          </w:tcPr>
          <w:p>
            <w:pPr>
              <w:jc w:val="right"/>
              <w:ind w:right="24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expense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at fair value</w:t>
            </w:r>
          </w:p>
        </w:tc>
        <w:tc>
          <w:tcPr>
            <w:tcW w:w="1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85"/>
              </w:rPr>
              <w:t>effect</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$703,556</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(4,981)</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(4,021)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$ 694,554</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75,843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75,022</w:t>
            </w: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106,352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102,290</w:t>
            </w:r>
          </w:p>
        </w:tc>
        <w:tc>
          <w:tcPr>
            <w:tcW w:w="0" w:type="dxa"/>
            <w:vAlign w:val="bottom"/>
          </w:tcPr>
          <w:p>
            <w:pPr>
              <w:spacing w:after="0"/>
              <w:rPr>
                <w:sz w:val="1"/>
                <w:szCs w:val="1"/>
                <w:color w:val="auto"/>
              </w:rPr>
            </w:pPr>
          </w:p>
        </w:tc>
      </w:tr>
      <w:tr>
        <w:trPr>
          <w:trHeight w:val="202"/>
        </w:trPr>
        <w:tc>
          <w:tcPr>
            <w:tcW w:w="39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 assets</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other</w:t>
            </w: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20,259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(20,259)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906,010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871,866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146,938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181,082</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6"/>
              </w:rPr>
              <w:t>(600)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7"/>
              </w:rPr>
              <w:t>5,291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11,389</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134,463</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(5,291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$ 162,716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rPr>
              <w:t>Reconciliation items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Changes in certain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00" w:type="dxa"/>
            <w:vAlign w:val="bottom"/>
          </w:tcPr>
          <w:p>
            <w:pPr>
              <w:spacing w:after="0"/>
              <w:rPr>
                <w:sz w:val="12"/>
                <w:szCs w:val="12"/>
                <w:color w:val="auto"/>
              </w:rPr>
            </w:pPr>
          </w:p>
        </w:tc>
        <w:tc>
          <w:tcPr>
            <w:tcW w:w="1040" w:type="dxa"/>
            <w:vAlign w:val="bottom"/>
            <w:gridSpan w:val="3"/>
            <w:vMerge w:val="restart"/>
          </w:tcPr>
          <w:p>
            <w:pPr>
              <w:jc w:val="right"/>
              <w:ind w:right="128"/>
              <w:spacing w:after="0"/>
              <w:rPr>
                <w:sz w:val="20"/>
                <w:szCs w:val="20"/>
                <w:color w:val="auto"/>
              </w:rPr>
            </w:pPr>
            <w:r>
              <w:rPr>
                <w:rFonts w:ascii="Arial" w:cs="Arial" w:eastAsia="Arial" w:hAnsi="Arial"/>
                <w:sz w:val="14"/>
                <w:szCs w:val="14"/>
                <w:b w:val="1"/>
                <w:bCs w:val="1"/>
                <w:color w:val="auto"/>
                <w:w w:val="94"/>
              </w:rPr>
              <w:t>Equity based</w:t>
            </w:r>
          </w:p>
        </w:tc>
        <w:tc>
          <w:tcPr>
            <w:tcW w:w="10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acquisitions related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ind w:right="261"/>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GAAP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liabilities measured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6"/>
              </w:rPr>
              <w:t>Non-GAAP</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w w:val="92"/>
              </w:rPr>
              <w:t>expense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at fair 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w w:val="85"/>
              </w:rPr>
              <w:t>effect</w:t>
            </w: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$667,129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(4,618)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(2,036)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$ 660,475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70,109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69,352</w:t>
            </w: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125,046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8"/>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122,437</w:t>
            </w:r>
          </w:p>
        </w:tc>
        <w:tc>
          <w:tcPr>
            <w:tcW w:w="0" w:type="dxa"/>
            <w:vAlign w:val="bottom"/>
          </w:tcPr>
          <w:p>
            <w:pPr>
              <w:spacing w:after="0"/>
              <w:rPr>
                <w:sz w:val="1"/>
                <w:szCs w:val="1"/>
                <w:color w:val="auto"/>
              </w:rPr>
            </w:pPr>
          </w:p>
        </w:tc>
      </w:tr>
      <w:tr>
        <w:trPr>
          <w:trHeight w:val="202"/>
        </w:trPr>
        <w:tc>
          <w:tcPr>
            <w:tcW w:w="38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Amortization of purchased intangible assets</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other</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23,815</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886,099</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144,154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7,984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177,989</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0"/>
              </w:rPr>
              <w:t>(4,964)</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7"/>
              </w:rPr>
              <w:t>3,761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28,332</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122,027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0"/>
              </w:rPr>
              <w:t>(4,964</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(3,761</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$ 147,137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3500"/>
        <w:spacing w:after="0"/>
        <w:rPr>
          <w:sz w:val="20"/>
          <w:szCs w:val="20"/>
          <w:color w:val="auto"/>
        </w:rPr>
      </w:pPr>
      <w:r>
        <w:rPr>
          <w:rFonts w:ascii="Arial" w:cs="Arial" w:eastAsia="Arial" w:hAnsi="Arial"/>
          <w:sz w:val="14"/>
          <w:szCs w:val="14"/>
          <w:b w:val="1"/>
          <w:bCs w:val="1"/>
          <w:color w:val="auto"/>
        </w:rPr>
        <w:t>Fiscal year ended</w:t>
      </w:r>
    </w:p>
    <w:p>
      <w:pPr>
        <w:spacing w:after="0" w:line="4" w:lineRule="exact"/>
        <w:rPr>
          <w:sz w:val="20"/>
          <w:szCs w:val="20"/>
          <w:color w:val="auto"/>
        </w:rPr>
      </w:pPr>
    </w:p>
    <w:p>
      <w:pPr>
        <w:jc w:val="center"/>
        <w:ind w:left="350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-3175</wp:posOffset>
            </wp:positionV>
            <wp:extent cx="4629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jc w:val="right"/>
        <w:ind w:right="3140"/>
        <w:spacing w:after="0" w:line="232" w:lineRule="auto"/>
        <w:rPr>
          <w:sz w:val="20"/>
          <w:szCs w:val="20"/>
          <w:color w:val="auto"/>
        </w:rPr>
      </w:pPr>
      <w:r>
        <w:rPr>
          <w:rFonts w:ascii="Arial" w:cs="Arial" w:eastAsia="Arial" w:hAnsi="Arial"/>
          <w:sz w:val="14"/>
          <w:szCs w:val="14"/>
          <w:b w:val="1"/>
          <w:bCs w:val="1"/>
          <w:color w:val="auto"/>
        </w:rPr>
        <w:t>Reconciliation items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Amortization</w:t>
            </w: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w w:val="99"/>
              </w:rPr>
              <w:t>Changes in certain</w:t>
            </w: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purchased</w:t>
            </w:r>
          </w:p>
        </w:tc>
        <w:tc>
          <w:tcPr>
            <w:tcW w:w="11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Equity based</w:t>
            </w:r>
          </w:p>
        </w:tc>
        <w:tc>
          <w:tcPr>
            <w:tcW w:w="16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intangible</w:t>
            </w:r>
          </w:p>
        </w:tc>
        <w:tc>
          <w:tcPr>
            <w:tcW w:w="1140" w:type="dxa"/>
            <w:vAlign w:val="bottom"/>
            <w:gridSpan w:val="3"/>
            <w:vMerge w:val="continue"/>
          </w:tcPr>
          <w:p>
            <w:pPr>
              <w:spacing w:after="0"/>
              <w:rPr>
                <w:sz w:val="12"/>
                <w:szCs w:val="12"/>
                <w:color w:val="auto"/>
              </w:rPr>
            </w:pPr>
          </w:p>
        </w:tc>
        <w:tc>
          <w:tcPr>
            <w:tcW w:w="13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related liabilities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321"/>
              <w:spacing w:after="0"/>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34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measured at fair</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other</w:t>
            </w:r>
          </w:p>
        </w:tc>
        <w:tc>
          <w:tcPr>
            <w:tcW w:w="1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expense</w:t>
            </w:r>
          </w:p>
        </w:tc>
        <w:tc>
          <w:tcPr>
            <w:tcW w:w="16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effect</w:t>
            </w:r>
          </w:p>
        </w:tc>
        <w:tc>
          <w:tcPr>
            <w:tcW w:w="1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2,755,563</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307</w:t>
            </w:r>
          </w:p>
        </w:tc>
        <w:tc>
          <w:tcPr>
            <w:tcW w:w="820" w:type="dxa"/>
            <w:vAlign w:val="bottom"/>
            <w:gridSpan w:val="3"/>
          </w:tcPr>
          <w:p>
            <w:pPr>
              <w:jc w:val="right"/>
              <w:ind w:right="301"/>
              <w:spacing w:after="0"/>
              <w:rPr>
                <w:sz w:val="20"/>
                <w:szCs w:val="20"/>
                <w:color w:val="auto"/>
              </w:rPr>
            </w:pPr>
            <w:r>
              <w:rPr>
                <w:rFonts w:ascii="Arial" w:cs="Arial" w:eastAsia="Arial" w:hAnsi="Arial"/>
                <w:sz w:val="18"/>
                <w:szCs w:val="18"/>
                <w:color w:val="auto"/>
              </w:rPr>
              <w:t>$ —</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2,735,865</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282,042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(3,058)</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278,984</w:t>
            </w:r>
          </w:p>
        </w:tc>
        <w:tc>
          <w:tcPr>
            <w:tcW w:w="0" w:type="dxa"/>
            <w:vAlign w:val="bottom"/>
          </w:tcPr>
          <w:p>
            <w:pPr>
              <w:spacing w:after="0"/>
              <w:rPr>
                <w:sz w:val="1"/>
                <w:szCs w:val="1"/>
                <w:color w:val="auto"/>
              </w:rPr>
            </w:pPr>
          </w:p>
        </w:tc>
      </w:tr>
      <w:tr>
        <w:trPr>
          <w:trHeight w:val="216"/>
        </w:trPr>
        <w:tc>
          <w:tcPr>
            <w:tcW w:w="36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458,539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(19,371)</w:t>
            </w:r>
          </w:p>
        </w:tc>
        <w:tc>
          <w:tcPr>
            <w:tcW w:w="160" w:type="dxa"/>
            <w:vAlign w:val="bottom"/>
          </w:tcPr>
          <w:p>
            <w:pPr>
              <w:spacing w:after="0"/>
              <w:rPr>
                <w:sz w:val="18"/>
                <w:szCs w:val="18"/>
                <w:color w:val="auto"/>
              </w:rPr>
            </w:pPr>
          </w:p>
        </w:tc>
        <w:tc>
          <w:tcPr>
            <w:tcW w:w="11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439,168</w:t>
            </w:r>
          </w:p>
        </w:tc>
        <w:tc>
          <w:tcPr>
            <w:tcW w:w="0" w:type="dxa"/>
            <w:vAlign w:val="bottom"/>
          </w:tcPr>
          <w:p>
            <w:pPr>
              <w:spacing w:after="0"/>
              <w:rPr>
                <w:sz w:val="1"/>
                <w:szCs w:val="1"/>
                <w:color w:val="auto"/>
              </w:rPr>
            </w:pPr>
          </w:p>
        </w:tc>
      </w:tr>
      <w:tr>
        <w:trPr>
          <w:trHeight w:val="202"/>
        </w:trPr>
        <w:tc>
          <w:tcPr>
            <w:tcW w:w="3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assets and other</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78,137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(78,137)</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3,574,281</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(78,137)</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9"/>
              </w:rPr>
              <w:t>307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3,454,017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594,758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78,137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42,434</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715,022</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(11,436)</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(600)</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w w:val="98"/>
              </w:rPr>
              <w:t>21,746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497,840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78,137</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w w:val="71"/>
              </w:rPr>
              <w:t>(307)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(600</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(21,746</w:t>
            </w:r>
          </w:p>
        </w:tc>
        <w:tc>
          <w:tcPr>
            <w:tcW w:w="180" w:type="dxa"/>
            <w:vAlign w:val="bottom"/>
          </w:tcPr>
          <w:p>
            <w:pPr>
              <w:jc w:val="right"/>
              <w:ind w:right="4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595,758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left="3460"/>
        <w:spacing w:after="0"/>
        <w:rPr>
          <w:sz w:val="20"/>
          <w:szCs w:val="20"/>
          <w:color w:val="auto"/>
        </w:rPr>
      </w:pPr>
      <w:r>
        <w:rPr>
          <w:rFonts w:ascii="Arial" w:cs="Arial" w:eastAsia="Arial" w:hAnsi="Arial"/>
          <w:sz w:val="14"/>
          <w:szCs w:val="14"/>
          <w:b w:val="1"/>
          <w:bCs w:val="1"/>
          <w:color w:val="auto"/>
        </w:rPr>
        <w:t>Fiscal year ended</w:t>
      </w:r>
    </w:p>
    <w:p>
      <w:pPr>
        <w:jc w:val="center"/>
        <w:ind w:left="3460"/>
        <w:spacing w:after="0" w:line="236" w:lineRule="auto"/>
        <w:rPr>
          <w:sz w:val="20"/>
          <w:szCs w:val="20"/>
          <w:color w:val="auto"/>
        </w:rPr>
      </w:pPr>
      <w:r>
        <w:rPr>
          <w:rFonts w:ascii="Arial" w:cs="Arial" w:eastAsia="Arial" w:hAnsi="Arial"/>
          <w:sz w:val="14"/>
          <w:szCs w:val="14"/>
          <w:b w:val="1"/>
          <w:bCs w:val="1"/>
          <w:color w:val="auto"/>
        </w:rPr>
        <w:t>September 30, 2019</w:t>
      </w:r>
    </w:p>
    <w:tbl>
      <w:tblPr>
        <w:tblLayout w:type="fixed"/>
        <w:tblInd w:w="0" w:type="dxa"/>
        <w:tblCellMar>
          <w:top w:w="0" w:type="dxa"/>
          <w:left w:w="0" w:type="dxa"/>
          <w:bottom w:w="0" w:type="dxa"/>
          <w:right w:w="0" w:type="dxa"/>
        </w:tblCellMar>
      </w:tblPr>
      <w:tr>
        <w:trPr>
          <w:trHeight w:val="142"/>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gridSpan w:val="4"/>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Reconciliation items</w:t>
            </w: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Amortization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Changes in certain</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purchased</w:t>
            </w:r>
          </w:p>
        </w:tc>
        <w:tc>
          <w:tcPr>
            <w:tcW w:w="100" w:type="dxa"/>
            <w:vAlign w:val="bottom"/>
          </w:tcPr>
          <w:p>
            <w:pPr>
              <w:spacing w:after="0"/>
              <w:rPr>
                <w:sz w:val="12"/>
                <w:szCs w:val="12"/>
                <w:color w:val="auto"/>
              </w:rPr>
            </w:pPr>
          </w:p>
        </w:tc>
        <w:tc>
          <w:tcPr>
            <w:tcW w:w="1120" w:type="dxa"/>
            <w:vAlign w:val="bottom"/>
            <w:gridSpan w:val="3"/>
            <w:vMerge w:val="restart"/>
          </w:tcPr>
          <w:p>
            <w:pPr>
              <w:jc w:val="right"/>
              <w:ind w:right="228"/>
              <w:spacing w:after="0"/>
              <w:rPr>
                <w:sz w:val="20"/>
                <w:szCs w:val="20"/>
                <w:color w:val="auto"/>
              </w:rPr>
            </w:pPr>
            <w:r>
              <w:rPr>
                <w:rFonts w:ascii="Arial" w:cs="Arial" w:eastAsia="Arial" w:hAnsi="Arial"/>
                <w:sz w:val="14"/>
                <w:szCs w:val="14"/>
                <w:b w:val="1"/>
                <w:bCs w:val="1"/>
                <w:color w:val="auto"/>
                <w:w w:val="91"/>
              </w:rPr>
              <w:t>Equity based</w:t>
            </w:r>
          </w:p>
        </w:tc>
        <w:tc>
          <w:tcPr>
            <w:tcW w:w="1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acquisitions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intangible</w:t>
            </w: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related liabilities</w:t>
            </w: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Tax</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assets and</w:t>
            </w:r>
          </w:p>
        </w:tc>
        <w:tc>
          <w:tcPr>
            <w:tcW w:w="1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measured at fair</w:t>
            </w:r>
          </w:p>
        </w:tc>
        <w:tc>
          <w:tcPr>
            <w:tcW w:w="8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w w:val="89"/>
              </w:rPr>
              <w:t>expense</w:t>
            </w: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effect</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Cost of revenue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2,653,172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(19,879)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2,631,058</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273,936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(2,714)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271,222</w:t>
            </w:r>
          </w:p>
        </w:tc>
        <w:tc>
          <w:tcPr>
            <w:tcW w:w="0" w:type="dxa"/>
            <w:vAlign w:val="bottom"/>
          </w:tcPr>
          <w:p>
            <w:pPr>
              <w:spacing w:after="0"/>
              <w:rPr>
                <w:sz w:val="1"/>
                <w:szCs w:val="1"/>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492,457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(15,957)</w:t>
            </w:r>
          </w:p>
        </w:tc>
        <w:tc>
          <w:tcPr>
            <w:tcW w:w="16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476,500</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Amortization of purchased intangible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assets and other</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97,358</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(97,358)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3,516,923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(38,550)</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3,378,780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569,746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38,550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707,889</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7"/>
              </w:rPr>
              <w:t>(2,939)</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88,441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19,561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108,002</w:t>
            </w: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479,446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97,358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38,550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2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6"/>
              </w:rPr>
              <w:t>(2,939</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(19,561</w:t>
            </w:r>
          </w:p>
        </w:tc>
        <w:tc>
          <w:tcPr>
            <w:tcW w:w="160" w:type="dxa"/>
            <w:vAlign w:val="bottom"/>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As of</w:t>
            </w:r>
          </w:p>
        </w:tc>
        <w:tc>
          <w:tcPr>
            <w:tcW w:w="7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882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36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88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983,188</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471,632</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Short-term interest-bearing investments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752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including unbilled of $175,548 and $227,061, respectively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861,033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987,858</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216,084</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2,074,577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1,675,574</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607,951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525,314</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Lease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295,494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2,874,979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2,667,997</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488,620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423,941</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5,292,826</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accruals and other</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930,259</w:t>
            </w:r>
          </w:p>
        </w:tc>
        <w:tc>
          <w:tcPr>
            <w:tcW w:w="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1,089,748</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Short-term financing arrangements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126,841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118,182</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1,216,200</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1,207,930</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Lease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230,076</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unamortized debt issuance costs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644,023</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586,167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542,430</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Amdocs Limited Shareholders’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3,622,646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3,499,957</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42,509</w:t>
            </w:r>
          </w:p>
        </w:tc>
        <w:tc>
          <w:tcPr>
            <w:tcW w:w="6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3,665,155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3,542,466</w:t>
            </w:r>
          </w:p>
        </w:tc>
      </w:tr>
      <w:tr>
        <w:trPr>
          <w:trHeight w:val="223"/>
        </w:trPr>
        <w:tc>
          <w:tcPr>
            <w:tcW w:w="882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6,341,621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5,292,826</w:t>
            </w:r>
          </w:p>
        </w:tc>
        <w:tc>
          <w:tcPr>
            <w:tcW w:w="60" w:type="dxa"/>
            <w:vAlign w:val="bottom"/>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9" w:name="page20"/>
    <w:bookmarkEnd w:id="1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Fiscal year ended</w:t>
      </w:r>
    </w:p>
    <w:p>
      <w:pPr>
        <w:jc w:val="center"/>
        <w:ind w:left="89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4" w:type="dxa"/>
        <w:tblCellMar>
          <w:top w:w="0" w:type="dxa"/>
          <w:left w:w="0" w:type="dxa"/>
          <w:bottom w:w="0" w:type="dxa"/>
          <w:right w:w="0" w:type="dxa"/>
        </w:tblCellMar>
      </w:tblPr>
      <w:tr>
        <w:trPr>
          <w:trHeight w:val="142"/>
        </w:trPr>
        <w:tc>
          <w:tcPr>
            <w:tcW w:w="12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74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96"/>
        </w:trPr>
        <w:tc>
          <w:tcPr>
            <w:tcW w:w="91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$ 497,840</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$ 479,446</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198,409</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205,772</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Equity-based compensation expense</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42,434</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38,550</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30,239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(13,950)</w:t>
            </w: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737</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134,584</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6,589</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(10,815)</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25,907</w:t>
            </w: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Other noncurrent assets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(23,329)</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(1,635)</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Lease assets and liabilities, net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(7,881)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(190,354)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(60,042)</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(15,184)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(37,855)</w:t>
            </w:r>
          </w:p>
        </w:tc>
      </w:tr>
      <w:tr>
        <w:trPr>
          <w:trHeight w:val="216"/>
        </w:trPr>
        <w:tc>
          <w:tcPr>
            <w:tcW w:w="9100" w:type="dxa"/>
            <w:vAlign w:val="bottom"/>
            <w:gridSpan w:val="2"/>
          </w:tcPr>
          <w:p>
            <w:pPr>
              <w:ind w:left="360"/>
              <w:spacing w:after="0"/>
              <w:rPr>
                <w:sz w:val="20"/>
                <w:szCs w:val="20"/>
                <w:color w:val="auto"/>
              </w:rPr>
            </w:pPr>
            <w:r>
              <w:rPr>
                <w:rFonts w:ascii="Arial" w:cs="Arial" w:eastAsia="Arial" w:hAnsi="Arial"/>
                <w:sz w:val="18"/>
                <w:szCs w:val="18"/>
                <w:color w:val="auto"/>
              </w:rPr>
              <w:t>Income taxes payable, net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(9,281)</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6,025</w:t>
            </w:r>
          </w:p>
        </w:tc>
      </w:tr>
      <w:tr>
        <w:trPr>
          <w:trHeight w:val="216"/>
        </w:trPr>
        <w:tc>
          <w:tcPr>
            <w:tcW w:w="91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11,330</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6,833</w:t>
            </w: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658,136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656,377</w:t>
            </w:r>
          </w:p>
        </w:tc>
        <w:tc>
          <w:tcPr>
            <w:tcW w:w="120" w:type="dxa"/>
            <w:vAlign w:val="bottom"/>
          </w:tcPr>
          <w:p>
            <w:pPr>
              <w:spacing w:after="0"/>
              <w:rPr>
                <w:sz w:val="20"/>
                <w:szCs w:val="20"/>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Purchases of property and equipment, net (*)</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(205,510)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(128,086)</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101,287</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Purchase of short-term interest-bearing investments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(249,358)</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(60,572)</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(6,104)</w:t>
            </w:r>
          </w:p>
        </w:tc>
        <w:tc>
          <w:tcPr>
            <w:tcW w:w="1000" w:type="dxa"/>
            <w:vAlign w:val="bottom"/>
            <w:gridSpan w:val="3"/>
          </w:tcPr>
          <w:p>
            <w:pPr>
              <w:jc w:val="right"/>
              <w:ind w:right="41"/>
              <w:spacing w:after="0"/>
              <w:rPr>
                <w:sz w:val="20"/>
                <w:szCs w:val="20"/>
                <w:color w:val="auto"/>
              </w:rPr>
            </w:pPr>
            <w:r>
              <w:rPr>
                <w:rFonts w:ascii="Arial" w:cs="Arial" w:eastAsia="Arial" w:hAnsi="Arial"/>
                <w:sz w:val="18"/>
                <w:szCs w:val="18"/>
                <w:color w:val="auto"/>
              </w:rPr>
              <w:t>615</w:t>
            </w:r>
          </w:p>
        </w:tc>
      </w:tr>
      <w:tr>
        <w:trPr>
          <w:trHeight w:val="27"/>
        </w:trPr>
        <w:tc>
          <w:tcPr>
            <w:tcW w:w="12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(461,725)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(86,756)</w:t>
            </w:r>
          </w:p>
        </w:tc>
      </w:tr>
      <w:tr>
        <w:trPr>
          <w:trHeight w:val="223"/>
        </w:trPr>
        <w:tc>
          <w:tcPr>
            <w:tcW w:w="910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450,000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Payments of financing arrangements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issuance of debt, net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643,919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Repurchase of shares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(360,912)</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(398,057)</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97,850</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41,483</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Payments of dividends</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(164,061)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(147,616)</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by noncontrolling interests, net (*)</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(4,776)</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(1,411)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(7,470)</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9100" w:type="dxa"/>
            <w:vAlign w:val="bottom"/>
            <w:gridSpan w:val="2"/>
          </w:tcPr>
          <w:p>
            <w:pPr>
              <w:spacing w:after="0"/>
              <w:rPr>
                <w:sz w:val="20"/>
                <w:szCs w:val="20"/>
                <w:color w:val="auto"/>
              </w:rPr>
            </w:pPr>
            <w:r>
              <w:rPr>
                <w:rFonts w:ascii="Arial" w:cs="Arial" w:eastAsia="Arial" w:hAnsi="Arial"/>
                <w:sz w:val="18"/>
                <w:szCs w:val="18"/>
                <w:color w:val="auto"/>
              </w:rPr>
              <w:t>Net cash provided by (used in) financing activities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315,145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(516,772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511,556</w:t>
            </w:r>
          </w:p>
        </w:tc>
        <w:tc>
          <w:tcPr>
            <w:tcW w:w="100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52,849</w:t>
            </w:r>
          </w:p>
        </w:tc>
      </w:tr>
      <w:tr>
        <w:trPr>
          <w:trHeight w:val="216"/>
        </w:trPr>
        <w:tc>
          <w:tcPr>
            <w:tcW w:w="91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40" w:type="dxa"/>
            <w:vAlign w:val="bottom"/>
          </w:tcPr>
          <w:p>
            <w:pPr>
              <w:jc w:val="right"/>
              <w:spacing w:after="0"/>
              <w:rPr>
                <w:sz w:val="20"/>
                <w:szCs w:val="20"/>
                <w:color w:val="auto"/>
              </w:rPr>
            </w:pPr>
            <w:r>
              <w:rPr>
                <w:rFonts w:ascii="Arial" w:cs="Arial" w:eastAsia="Arial" w:hAnsi="Arial"/>
                <w:sz w:val="18"/>
                <w:szCs w:val="18"/>
                <w:color w:val="auto"/>
              </w:rPr>
              <w:t>471,632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8"/>
                <w:szCs w:val="18"/>
                <w:color w:val="auto"/>
              </w:rPr>
              <w:t>418,783</w:t>
            </w:r>
          </w:p>
        </w:tc>
      </w:tr>
      <w:tr>
        <w:trPr>
          <w:trHeight w:val="27"/>
        </w:trPr>
        <w:tc>
          <w:tcPr>
            <w:tcW w:w="12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$ 983,188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89"/>
              </w:rPr>
              <w:t>$ 471,632</w:t>
            </w:r>
          </w:p>
        </w:tc>
      </w:tr>
      <w:tr>
        <w:trPr>
          <w:trHeight w:val="20"/>
        </w:trPr>
        <w:tc>
          <w:tcPr>
            <w:tcW w:w="12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8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jc w:val="both"/>
        <w:ind w:left="424" w:right="220" w:hanging="424"/>
        <w:spacing w:after="0" w:line="263" w:lineRule="auto"/>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$194 and $151, for the fiscal year ended September 30, 2020 and 2019, respectively, and proceeds of $9,676 relating to the refund of betterment levy for the fiscal year ended September 30, 2019 ($4,776 of which was a refund to the noncontrolling interests).</w:t>
      </w:r>
    </w:p>
    <w:p>
      <w:pPr>
        <w:sectPr>
          <w:pgSz w:w="11900" w:h="16838" w:orient="portrait"/>
          <w:cols w:equalWidth="0" w:num="1">
            <w:col w:w="11024"/>
          </w:cols>
          <w:pgMar w:left="436" w:top="270" w:right="4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AMDOCS LIMITED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w w:val="90"/>
              </w:rPr>
              <w:t>Three months ended</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80" w:type="dxa"/>
            <w:vAlign w:val="bottom"/>
            <w:gridSpan w:val="6"/>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240" w:type="dxa"/>
            <w:vAlign w:val="bottom"/>
          </w:tcPr>
          <w:p>
            <w:pPr>
              <w:spacing w:after="0"/>
              <w:rPr>
                <w:sz w:val="10"/>
                <w:szCs w:val="10"/>
                <w:color w:val="auto"/>
              </w:rPr>
            </w:pPr>
          </w:p>
        </w:tc>
        <w:tc>
          <w:tcPr>
            <w:tcW w:w="680" w:type="dxa"/>
            <w:vAlign w:val="bottom"/>
            <w:gridSpan w:val="4"/>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June 30,</w:t>
            </w:r>
          </w:p>
        </w:tc>
        <w:tc>
          <w:tcPr>
            <w:tcW w:w="220" w:type="dxa"/>
            <w:vAlign w:val="bottom"/>
          </w:tcPr>
          <w:p>
            <w:pPr>
              <w:spacing w:after="0"/>
              <w:rPr>
                <w:sz w:val="10"/>
                <w:szCs w:val="10"/>
                <w:color w:val="auto"/>
              </w:rPr>
            </w:pPr>
          </w:p>
        </w:tc>
        <w:tc>
          <w:tcPr>
            <w:tcW w:w="7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9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3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5"/>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jc w:val="right"/>
              <w:ind w:right="37"/>
              <w:spacing w:after="0"/>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7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gridSpan w:val="2"/>
            <w:shd w:val="clear" w:color="auto" w:fill="CCEEFF"/>
          </w:tcPr>
          <w:p>
            <w:pPr>
              <w:ind w:left="60"/>
              <w:spacing w:after="0"/>
              <w:rPr>
                <w:sz w:val="20"/>
                <w:szCs w:val="20"/>
                <w:color w:val="auto"/>
              </w:rPr>
            </w:pPr>
            <w:r>
              <w:rPr>
                <w:rFonts w:ascii="Arial" w:cs="Arial" w:eastAsia="Arial" w:hAnsi="Arial"/>
                <w:sz w:val="18"/>
                <w:szCs w:val="18"/>
                <w:color w:val="auto"/>
                <w:w w:val="84"/>
              </w:rPr>
              <w:t>681.6</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691.3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Arial" w:cs="Arial" w:eastAsia="Arial" w:hAnsi="Arial"/>
                <w:sz w:val="18"/>
                <w:szCs w:val="18"/>
                <w:color w:val="auto"/>
              </w:rPr>
              <w:t>Europe</w:t>
            </w:r>
          </w:p>
        </w:tc>
        <w:tc>
          <w:tcPr>
            <w:tcW w:w="1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gridSpan w:val="3"/>
          </w:tcPr>
          <w:p>
            <w:pPr>
              <w:ind w:left="60"/>
              <w:spacing w:after="0"/>
              <w:rPr>
                <w:sz w:val="20"/>
                <w:szCs w:val="20"/>
                <w:color w:val="auto"/>
              </w:rPr>
            </w:pPr>
            <w:r>
              <w:rPr>
                <w:rFonts w:ascii="Arial" w:cs="Arial" w:eastAsia="Arial" w:hAnsi="Arial"/>
                <w:sz w:val="18"/>
                <w:szCs w:val="18"/>
                <w:color w:val="auto"/>
                <w:w w:val="88"/>
              </w:rPr>
              <w:t>165.3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145.4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8"/>
                <w:szCs w:val="18"/>
                <w:color w:val="auto"/>
              </w:rPr>
              <w:t>148.3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156.1</w:t>
            </w: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88"/>
              </w:rPr>
              <w:t>206.0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 Revenue</w:t>
            </w:r>
          </w:p>
        </w:tc>
        <w:tc>
          <w:tcPr>
            <w:tcW w:w="1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8"/>
                <w:szCs w:val="18"/>
                <w:color w:val="auto"/>
                <w:w w:val="98"/>
              </w:rPr>
              <w:t>$   1,052.9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1,026.2</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1,047.9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1,042.0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w:t>
            </w:r>
          </w:p>
        </w:tc>
        <w:tc>
          <w:tcPr>
            <w:tcW w:w="6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3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10"/>
          </w:tcPr>
          <w:p>
            <w:pPr>
              <w:ind w:left="26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5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104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11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9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Revenue</w:t>
            </w:r>
          </w:p>
        </w:tc>
        <w:tc>
          <w:tcPr>
            <w:tcW w:w="1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610.5</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604.5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604.0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579.7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60" w:type="dxa"/>
            <w:vAlign w:val="bottom"/>
            <w:shd w:val="clear" w:color="auto" w:fill="CCEEFF"/>
          </w:tcPr>
          <w:p>
            <w:pPr>
              <w:spacing w:after="0"/>
              <w:rPr>
                <w:sz w:val="18"/>
                <w:szCs w:val="18"/>
                <w:color w:val="auto"/>
              </w:rPr>
            </w:pPr>
          </w:p>
        </w:tc>
      </w:tr>
      <w:tr>
        <w:trPr>
          <w:trHeight w:val="398"/>
        </w:trPr>
        <w:tc>
          <w:tcPr>
            <w:tcW w:w="37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9"/>
        </w:trPr>
        <w:tc>
          <w:tcPr>
            <w:tcW w:w="37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40" w:type="dxa"/>
            <w:vAlign w:val="bottom"/>
            <w:gridSpan w:val="6"/>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360" w:type="dxa"/>
            <w:vAlign w:val="bottom"/>
          </w:tcPr>
          <w:p>
            <w:pPr>
              <w:spacing w:after="0"/>
              <w:rPr>
                <w:sz w:val="10"/>
                <w:szCs w:val="10"/>
                <w:color w:val="auto"/>
              </w:rPr>
            </w:pPr>
          </w:p>
        </w:tc>
        <w:tc>
          <w:tcPr>
            <w:tcW w:w="5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w w:val="96"/>
              </w:rPr>
              <w:t>June 30,</w:t>
            </w:r>
          </w:p>
        </w:tc>
        <w:tc>
          <w:tcPr>
            <w:tcW w:w="420" w:type="dxa"/>
            <w:vAlign w:val="bottom"/>
          </w:tcPr>
          <w:p>
            <w:pPr>
              <w:spacing w:after="0"/>
              <w:rPr>
                <w:sz w:val="10"/>
                <w:szCs w:val="10"/>
                <w:color w:val="auto"/>
              </w:rPr>
            </w:pPr>
          </w:p>
        </w:tc>
        <w:tc>
          <w:tcPr>
            <w:tcW w:w="1040" w:type="dxa"/>
            <w:vAlign w:val="bottom"/>
            <w:gridSpan w:val="7"/>
          </w:tcPr>
          <w:p>
            <w:pPr>
              <w:jc w:val="right"/>
              <w:ind w:right="420"/>
              <w:spacing w:after="0" w:line="119" w:lineRule="exact"/>
              <w:rPr>
                <w:sz w:val="20"/>
                <w:szCs w:val="20"/>
                <w:color w:val="auto"/>
              </w:rPr>
            </w:pPr>
            <w:r>
              <w:rPr>
                <w:rFonts w:ascii="Arial" w:cs="Arial" w:eastAsia="Arial" w:hAnsi="Arial"/>
                <w:sz w:val="13"/>
                <w:szCs w:val="13"/>
                <w:b w:val="1"/>
                <w:bCs w:val="1"/>
                <w:color w:val="auto"/>
                <w:w w:val="99"/>
              </w:rPr>
              <w:t>March 31,</w:t>
            </w:r>
          </w:p>
        </w:tc>
        <w:tc>
          <w:tcPr>
            <w:tcW w:w="114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17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center"/>
              <w:ind w:right="38"/>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3"/>
          </w:tcPr>
          <w:p>
            <w:pPr>
              <w:jc w:val="right"/>
              <w:ind w:right="7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12-Month Backlog</w:t>
            </w:r>
          </w:p>
        </w:tc>
        <w:tc>
          <w:tcPr>
            <w:tcW w:w="178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3,480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3,460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4"/>
              </w:rPr>
              <w:t>3,520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lvl>
    <w:lvl w:ilvl="1">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2020-11-12T05:20:24Z</dcterms:created>
  <dcterms:modified xsi:type="dcterms:W3CDTF">2020-11-12T05:20:24Z</dcterms:modified>
</cp:coreProperties>
</file>