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0"/>
        <w:spacing w:after="0"/>
        <w:rPr>
          <w:sz w:val="20"/>
          <w:szCs w:val="20"/>
          <w:color w:val="auto"/>
        </w:rPr>
      </w:pPr>
      <w:r>
        <w:rPr>
          <w:rFonts w:ascii="Courier New" w:cs="Courier New" w:eastAsia="Courier New" w:hAnsi="Courier New"/>
          <w:sz w:val="14"/>
          <w:szCs w:val="14"/>
          <w:color w:val="auto"/>
        </w:rPr>
        <w:t>Filed Pursuant to Rule 424(b)(3)</w:t>
      </w:r>
    </w:p>
    <w:p>
      <w:pPr>
        <w:spacing w:after="0" w:line="8" w:lineRule="exact"/>
        <w:rPr>
          <w:sz w:val="24"/>
          <w:szCs w:val="24"/>
          <w:color w:val="auto"/>
        </w:rPr>
      </w:pPr>
    </w:p>
    <w:p>
      <w:pPr>
        <w:ind w:left="4000"/>
        <w:spacing w:after="0"/>
        <w:rPr>
          <w:sz w:val="20"/>
          <w:szCs w:val="20"/>
          <w:color w:val="auto"/>
        </w:rPr>
      </w:pPr>
      <w:r>
        <w:rPr>
          <w:rFonts w:ascii="Courier New" w:cs="Courier New" w:eastAsia="Courier New" w:hAnsi="Courier New"/>
          <w:sz w:val="14"/>
          <w:szCs w:val="14"/>
          <w:color w:val="auto"/>
        </w:rPr>
        <w:t>Registration No. 333-114344</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PROSPECTUS</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$450,000,000</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0.50% CONVERTIBLE SENIOR NOTES DUE 2024</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10,435,995 ORDINARY SHARES ISSUABLE UPON CONVERSION OF THE NOTES</w:t>
      </w:r>
    </w:p>
    <w:p>
      <w:pPr>
        <w:spacing w:after="0" w:line="175"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331" w:lineRule="exact"/>
        <w:rPr>
          <w:sz w:val="24"/>
          <w:szCs w:val="24"/>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165" w:lineRule="exact"/>
        <w:rPr>
          <w:sz w:val="24"/>
          <w:szCs w:val="24"/>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Holders may convert each note for a number of ordinary shares, which we refer to as the conversion rate, as follows:</w:t>
      </w:r>
    </w:p>
    <w:p>
      <w:pPr>
        <w:spacing w:after="0" w:line="160" w:lineRule="exact"/>
        <w:rPr>
          <w:sz w:val="24"/>
          <w:szCs w:val="24"/>
          <w:color w:val="auto"/>
        </w:rPr>
      </w:pPr>
    </w:p>
    <w:p>
      <w:pPr>
        <w:ind w:left="1220" w:right="3279" w:hanging="430"/>
        <w:spacing w:after="0" w:line="254"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329" w:lineRule="exact"/>
        <w:rPr>
          <w:rFonts w:ascii="Courier New" w:cs="Courier New" w:eastAsia="Courier New" w:hAnsi="Courier New"/>
          <w:sz w:val="14"/>
          <w:szCs w:val="14"/>
          <w:color w:val="auto"/>
        </w:rPr>
      </w:pPr>
    </w:p>
    <w:p>
      <w:pPr>
        <w:ind w:left="1220" w:right="3279" w:hanging="430"/>
        <w:spacing w:after="0" w:line="258"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credit rating events with respect to the notes;</w:t>
      </w:r>
    </w:p>
    <w:p>
      <w:pPr>
        <w:spacing w:after="0" w:line="159"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164"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have been called for redemption, or</w:t>
      </w:r>
    </w:p>
    <w:p>
      <w:pPr>
        <w:spacing w:after="0" w:line="175" w:lineRule="exact"/>
        <w:rPr>
          <w:rFonts w:ascii="Courier New" w:cs="Courier New" w:eastAsia="Courier New" w:hAnsi="Courier New"/>
          <w:sz w:val="14"/>
          <w:szCs w:val="14"/>
          <w:color w:val="auto"/>
        </w:rPr>
      </w:pPr>
    </w:p>
    <w:p>
      <w:pPr>
        <w:ind w:left="1220" w:right="3379" w:hanging="430"/>
        <w:spacing w:after="0" w:line="255"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events described under "Description of Notes--Conversion of Notes--Conversion Upon Specified Corporate Transactions."</w:t>
      </w:r>
    </w:p>
    <w:p>
      <w:pPr>
        <w:spacing w:after="0" w:line="162" w:lineRule="exact"/>
        <w:rPr>
          <w:sz w:val="24"/>
          <w:szCs w:val="24"/>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ectPr>
          <w:pgSz w:w="11900" w:h="16838" w:orient="portrait"/>
          <w:cols w:equalWidth="0" w:num="1">
            <w:col w:w="10239"/>
          </w:cols>
          <w:pgMar w:left="220" w:top="397" w:right="1440" w:bottom="1440" w:gutter="0" w:footer="0" w:header="0"/>
        </w:sectPr>
      </w:pPr>
    </w:p>
    <w:bookmarkStart w:id="1" w:name="page2"/>
    <w:bookmarkEnd w:id="1"/>
    <w:p>
      <w:pPr>
        <w:ind w:right="3279" w:firstLine="781"/>
        <w:spacing w:after="0" w:line="254" w:lineRule="auto"/>
        <w:rPr>
          <w:sz w:val="20"/>
          <w:szCs w:val="20"/>
          <w:color w:val="auto"/>
        </w:rPr>
      </w:pPr>
      <w:r>
        <w:rPr>
          <w:rFonts w:ascii="Courier New" w:cs="Courier New" w:eastAsia="Courier New" w:hAnsi="Courier New"/>
          <w:sz w:val="14"/>
          <w:szCs w:val="14"/>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163"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ordinary shares are traded on the New York Stock Exchange under the symbol "DOX." On October 27, 2004, the closing sale price of our ordinary shares on the New York Stock Exchange was $24.75 per share. You are urged to obtain current market quotations for our ordinary shares.</w:t>
      </w:r>
    </w:p>
    <w:p>
      <w:pPr>
        <w:spacing w:after="0" w:line="163"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For a more detailed description of the notes, see "Description of Notes" beginning on page 25.</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SEE "RISK FACTORS" BEGINNING ON PAGE 9 TO READ ABOUT FACTORS YOU SHOULD CONSIDER</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BEFORE INVESTING IN THE NOTES OR OUR ORDINARY SHARES.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NEITHER THE SECURITIES AND EXCHANGE COMMISSION NOR ANY STATE SECURITIES</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THE DATE OF THIS PROSPECTUS IS NOVEMBER 15, 2004.</w:t>
      </w:r>
    </w:p>
    <w:p>
      <w:pPr>
        <w:sectPr>
          <w:pgSz w:w="11900" w:h="16838" w:orient="portrait"/>
          <w:cols w:equalWidth="0" w:num="1">
            <w:col w:w="10239"/>
          </w:cols>
          <w:pgMar w:left="220" w:top="620" w:right="1440" w:bottom="1440" w:gutter="0" w:footer="0" w:header="0"/>
        </w:sectPr>
      </w:pPr>
    </w:p>
    <w:bookmarkStart w:id="2" w:name="page3"/>
    <w:bookmarkEnd w:id="2"/>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PROSPECTUS SUMMARY</w:t>
      </w:r>
      <w:r>
        <w:rPr>
          <w:sz w:val="20"/>
          <w:szCs w:val="20"/>
          <w:color w:val="auto"/>
        </w:rPr>
        <w:tab/>
      </w:r>
      <w:r>
        <w:rPr>
          <w:rFonts w:ascii="Courier New" w:cs="Courier New" w:eastAsia="Courier New" w:hAnsi="Courier New"/>
          <w:sz w:val="13"/>
          <w:szCs w:val="13"/>
          <w:color w:val="auto"/>
        </w:rPr>
        <w:t>1</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THE OFFERING</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SUMMARY HISTORICAL CONSOLIDATED FINANCIAL INFORMATION</w:t>
      </w:r>
      <w:r>
        <w:rPr>
          <w:sz w:val="20"/>
          <w:szCs w:val="20"/>
          <w:color w:val="auto"/>
        </w:rPr>
        <w:tab/>
      </w:r>
      <w:r>
        <w:rPr>
          <w:rFonts w:ascii="Courier New" w:cs="Courier New" w:eastAsia="Courier New" w:hAnsi="Courier New"/>
          <w:sz w:val="13"/>
          <w:szCs w:val="13"/>
          <w:color w:val="auto"/>
        </w:rPr>
        <w:t>6</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RATIO OF EARNINGS TO FIXED CHARGES</w:t>
      </w:r>
      <w:r>
        <w:rPr>
          <w:sz w:val="20"/>
          <w:szCs w:val="20"/>
          <w:color w:val="auto"/>
        </w:rPr>
        <w:tab/>
      </w:r>
      <w:r>
        <w:rPr>
          <w:rFonts w:ascii="Courier New" w:cs="Courier New" w:eastAsia="Courier New" w:hAnsi="Courier New"/>
          <w:sz w:val="13"/>
          <w:szCs w:val="13"/>
          <w:color w:val="auto"/>
        </w:rPr>
        <w:t>7</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RISK FACTORS</w:t>
      </w:r>
      <w:r>
        <w:rPr>
          <w:sz w:val="20"/>
          <w:szCs w:val="20"/>
          <w:color w:val="auto"/>
        </w:rPr>
        <w:tab/>
      </w:r>
      <w:r>
        <w:rPr>
          <w:rFonts w:ascii="Courier New" w:cs="Courier New" w:eastAsia="Courier New" w:hAnsi="Courier New"/>
          <w:sz w:val="13"/>
          <w:szCs w:val="13"/>
          <w:color w:val="auto"/>
        </w:rPr>
        <w:t>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SPECIAL NOTE REGARDING FORWARD-LOOKING INFORMATION</w:t>
      </w:r>
      <w:r>
        <w:rPr>
          <w:sz w:val="20"/>
          <w:szCs w:val="20"/>
          <w:color w:val="auto"/>
        </w:rPr>
        <w:tab/>
      </w:r>
      <w:r>
        <w:rPr>
          <w:rFonts w:ascii="Courier New" w:cs="Courier New" w:eastAsia="Courier New" w:hAnsi="Courier New"/>
          <w:sz w:val="14"/>
          <w:szCs w:val="14"/>
          <w:color w:val="auto"/>
        </w:rPr>
        <w:t>20</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OFFERING STATISTICS AND TIMETABLE</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REASONS FOR THE OFFER AND USE OF PROCEEDS</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DIVIDEND POLICY</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MATERIAL CHANGES</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THE OFFER AND LISTING</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CAPITALIZATION</w:t>
      </w:r>
      <w:r>
        <w:rPr>
          <w:sz w:val="20"/>
          <w:szCs w:val="20"/>
          <w:color w:val="auto"/>
        </w:rPr>
        <w:tab/>
      </w:r>
      <w:r>
        <w:rPr>
          <w:rFonts w:ascii="Courier New" w:cs="Courier New" w:eastAsia="Courier New" w:hAnsi="Courier New"/>
          <w:sz w:val="14"/>
          <w:szCs w:val="14"/>
          <w:color w:val="auto"/>
        </w:rPr>
        <w:t>24</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DESCRIPTION OF NOTES</w:t>
      </w:r>
      <w:r>
        <w:rPr>
          <w:sz w:val="20"/>
          <w:szCs w:val="20"/>
          <w:color w:val="auto"/>
        </w:rPr>
        <w:tab/>
      </w:r>
      <w:r>
        <w:rPr>
          <w:rFonts w:ascii="Courier New" w:cs="Courier New" w:eastAsia="Courier New" w:hAnsi="Courier New"/>
          <w:sz w:val="14"/>
          <w:szCs w:val="14"/>
          <w:color w:val="auto"/>
        </w:rPr>
        <w:t>25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DESCRIPTION OF SHARE CAPITAL</w:t>
      </w:r>
      <w:r>
        <w:rPr>
          <w:sz w:val="20"/>
          <w:szCs w:val="20"/>
          <w:color w:val="auto"/>
        </w:rPr>
        <w:tab/>
      </w:r>
      <w:r>
        <w:rPr>
          <w:rFonts w:ascii="Courier New" w:cs="Courier New" w:eastAsia="Courier New" w:hAnsi="Courier New"/>
          <w:sz w:val="14"/>
          <w:szCs w:val="14"/>
          <w:color w:val="auto"/>
        </w:rPr>
        <w:t>43</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COMPARISON OF UNITED STATES AND GUERNSEY CORPORATE LAW</w:t>
      </w:r>
      <w:r>
        <w:rPr>
          <w:sz w:val="20"/>
          <w:szCs w:val="20"/>
          <w:color w:val="auto"/>
        </w:rPr>
        <w:tab/>
      </w:r>
      <w:r>
        <w:rPr>
          <w:rFonts w:ascii="Courier New" w:cs="Courier New" w:eastAsia="Courier New" w:hAnsi="Courier New"/>
          <w:sz w:val="14"/>
          <w:szCs w:val="14"/>
          <w:color w:val="auto"/>
        </w:rPr>
        <w:t>45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CERTAIN UNITED STATES FEDERAL INCOME TAX CONSIDERATIONS</w:t>
      </w:r>
      <w:r>
        <w:rPr>
          <w:sz w:val="20"/>
          <w:szCs w:val="20"/>
          <w:color w:val="auto"/>
        </w:rPr>
        <w:tab/>
      </w:r>
      <w:r>
        <w:rPr>
          <w:rFonts w:ascii="Courier New" w:cs="Courier New" w:eastAsia="Courier New" w:hAnsi="Courier New"/>
          <w:sz w:val="14"/>
          <w:szCs w:val="14"/>
          <w:color w:val="auto"/>
        </w:rPr>
        <w:t>47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CERTAIN GUERNSEY TAX CONSIDERATIONS</w:t>
      </w:r>
      <w:r>
        <w:rPr>
          <w:sz w:val="20"/>
          <w:szCs w:val="20"/>
          <w:color w:val="auto"/>
        </w:rPr>
        <w:tab/>
      </w:r>
      <w:r>
        <w:rPr>
          <w:rFonts w:ascii="Courier New" w:cs="Courier New" w:eastAsia="Courier New" w:hAnsi="Courier New"/>
          <w:sz w:val="14"/>
          <w:szCs w:val="14"/>
          <w:color w:val="auto"/>
        </w:rPr>
        <w:t>51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SELLING SECURITYHOLDERS</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VOTING/INVESTMENT CONTROL TABLE</w:t>
      </w:r>
      <w:r>
        <w:rPr>
          <w:sz w:val="20"/>
          <w:szCs w:val="20"/>
          <w:color w:val="auto"/>
        </w:rPr>
        <w:tab/>
      </w:r>
      <w:r>
        <w:rPr>
          <w:rFonts w:ascii="Courier New" w:cs="Courier New" w:eastAsia="Courier New" w:hAnsi="Courier New"/>
          <w:sz w:val="14"/>
          <w:szCs w:val="14"/>
          <w:color w:val="auto"/>
        </w:rPr>
        <w:t>55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PLAN OF DISTRIBUTION</w:t>
      </w:r>
      <w:r>
        <w:rPr>
          <w:sz w:val="20"/>
          <w:szCs w:val="20"/>
          <w:color w:val="auto"/>
        </w:rPr>
        <w:tab/>
      </w:r>
      <w:r>
        <w:rPr>
          <w:rFonts w:ascii="Courier New" w:cs="Courier New" w:eastAsia="Courier New" w:hAnsi="Courier New"/>
          <w:sz w:val="14"/>
          <w:szCs w:val="14"/>
          <w:color w:val="auto"/>
        </w:rPr>
        <w:t>56</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LEGAL MATTERS</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EXPERTS</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ENFORCEABILITY OF CIVIL LIABILITIES</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INCORPORATION OF DOCUMENTS BY REFERENCE</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WHERE YOU CAN FIND MORE INFORMATION</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UNAUDITED CONSOLIDATED FINANCIAL STATEMENTS FOR THE THREE AND NINE</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MONTH PERIODS ENDED JUNE 30, 2004</w:t>
      </w:r>
      <w:r>
        <w:rPr>
          <w:sz w:val="20"/>
          <w:szCs w:val="20"/>
          <w:color w:val="auto"/>
        </w:rPr>
        <w:tab/>
      </w:r>
      <w:r>
        <w:rPr>
          <w:rFonts w:ascii="Courier New" w:cs="Courier New" w:eastAsia="Courier New" w:hAnsi="Courier New"/>
          <w:sz w:val="14"/>
          <w:szCs w:val="14"/>
          <w:color w:val="auto"/>
        </w:rPr>
        <w:t>60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AND FINANCIAL REVIEW AND PROSPECTS FOR THE THREE AND NINE</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MONTH PERIODS ENDED JUNE 30, 2004</w:t>
      </w:r>
      <w:r>
        <w:rPr>
          <w:sz w:val="20"/>
          <w:szCs w:val="20"/>
          <w:color w:val="auto"/>
        </w:rPr>
        <w:tab/>
      </w:r>
      <w:r>
        <w:rPr>
          <w:rFonts w:ascii="Courier New" w:cs="Courier New" w:eastAsia="Courier New" w:hAnsi="Courier New"/>
          <w:sz w:val="14"/>
          <w:szCs w:val="14"/>
          <w:color w:val="auto"/>
        </w:rPr>
        <w:t>77</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20" w:right="1440" w:bottom="1440" w:gutter="0" w:footer="0" w:header="0"/>
        </w:sectPr>
      </w:pPr>
    </w:p>
    <w:bookmarkStart w:id="3" w:name="page4"/>
    <w:bookmarkEnd w:id="3"/>
    <w:p>
      <w:pPr>
        <w:ind w:left="2700"/>
        <w:spacing w:after="0"/>
        <w:rPr>
          <w:sz w:val="20"/>
          <w:szCs w:val="20"/>
          <w:color w:val="auto"/>
        </w:rPr>
      </w:pPr>
      <w:r>
        <w:rPr>
          <w:rFonts w:ascii="Courier New" w:cs="Courier New" w:eastAsia="Courier New" w:hAnsi="Courier New"/>
          <w:sz w:val="14"/>
          <w:szCs w:val="14"/>
          <w:color w:val="auto"/>
        </w:rPr>
        <w:t>PROSPECTUS SUMMARY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6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market focus is primarily the communications industry, and we are a leading provider of software products and services to major communications companies in North America, Europe and the rest of the world. Our products and services provide an integrated approach to customer management, which we refer to as Integrated Customer Management. Our Integrated Customer Management product offerings consist primarily of billing and customer relationship management systems, which we refer to, collectively, as CC&amp;B Systems. Our portfolio also includes a full range of directory sales and publishing systems for publishers of both traditional printed yellow page and white page directories and electronic Internet directories.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Integrated Customer Management systems are designed to meet the mission-critical needs of leading communications service providers, which include customer relationship management, order management, call rating, invoice calculation and preparation, bill formatting, collections, partner relationship management and directory publishing services. We support a wide range of communications services, including wireline, wireless, voice, data, broadband, content, electronic and mobile commerce and Internet Protocol based services. We also support companies that offer multiple service packages, commonly referred to as bundled or convergent services. Due to the complexity of our customers' projects and the expertise required for system support, we also provide extensive system implementation, integration, modification, ongoing support,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w:t>
      </w:r>
    </w:p>
    <w:p>
      <w:pPr>
        <w:spacing w:after="0" w:line="17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companies and wireless companies.</w:t>
      </w:r>
    </w:p>
    <w:p>
      <w:pPr>
        <w:spacing w:after="0" w:line="331" w:lineRule="exact"/>
        <w:rPr>
          <w:sz w:val="20"/>
          <w:szCs w:val="20"/>
          <w:color w:val="auto"/>
        </w:rPr>
      </w:pPr>
    </w:p>
    <w:p>
      <w:pPr>
        <w:jc w:val="both"/>
        <w:ind w:right="3979" w:firstLine="781"/>
        <w:spacing w:after="0" w:line="254" w:lineRule="auto"/>
        <w:rPr>
          <w:sz w:val="20"/>
          <w:szCs w:val="20"/>
          <w:color w:val="auto"/>
        </w:rPr>
      </w:pPr>
      <w:r>
        <w:rPr>
          <w:rFonts w:ascii="Courier New" w:cs="Courier New" w:eastAsia="Courier New" w:hAnsi="Courier New"/>
          <w:sz w:val="14"/>
          <w:szCs w:val="14"/>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330" w:lineRule="exact"/>
        <w:rPr>
          <w:sz w:val="20"/>
          <w:szCs w:val="20"/>
          <w:color w:val="auto"/>
        </w:rPr>
      </w:pPr>
    </w:p>
    <w:p>
      <w:pPr>
        <w:ind w:left="1220" w:right="3379" w:hanging="430"/>
        <w:spacing w:after="0" w:line="253"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 specifications-intensive information systems solutions required by the leading communications companies in the wireless, wireline and convergent service sectors.</w:t>
      </w:r>
    </w:p>
    <w:p>
      <w:pPr>
        <w:spacing w:after="0" w:line="331" w:lineRule="exact"/>
        <w:rPr>
          <w:rFonts w:ascii="Courier New" w:cs="Courier New" w:eastAsia="Courier New" w:hAnsi="Courier New"/>
          <w:sz w:val="14"/>
          <w:szCs w:val="14"/>
          <w:color w:val="auto"/>
        </w:rPr>
      </w:pPr>
    </w:p>
    <w:p>
      <w:pPr>
        <w:ind w:left="1220" w:right="3539" w:hanging="430"/>
        <w:spacing w:after="0" w:line="254"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Industry Leaders. We intend to continue to direct our marketing efforts principally towards the major communications companies. We derive a significant portion of our revenues from our customer base of major communications companies in North America, Europe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20" w:right="1440" w:bottom="1440" w:gutter="0" w:footer="0" w:header="0"/>
        </w:sectPr>
      </w:pPr>
    </w:p>
    <w:bookmarkStart w:id="4" w:name="page5"/>
    <w:bookmarkEnd w:id="4"/>
    <w:p>
      <w:pPr>
        <w:ind w:left="1220" w:right="3279"/>
        <w:spacing w:after="0" w:line="253" w:lineRule="auto"/>
        <w:rPr>
          <w:sz w:val="20"/>
          <w:szCs w:val="20"/>
          <w:color w:val="auto"/>
        </w:rPr>
      </w:pPr>
      <w:r>
        <w:rPr>
          <w:rFonts w:ascii="Courier New" w:cs="Courier New" w:eastAsia="Courier New" w:hAnsi="Courier New"/>
          <w:sz w:val="14"/>
          <w:szCs w:val="14"/>
          <w:color w:val="auto"/>
        </w:rPr>
        <w:t>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165" w:lineRule="exact"/>
        <w:rPr>
          <w:sz w:val="20"/>
          <w:szCs w:val="20"/>
          <w:color w:val="auto"/>
        </w:rPr>
      </w:pPr>
    </w:p>
    <w:p>
      <w:pPr>
        <w:ind w:left="1220" w:right="32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effective system integration and implementation services as well as Managed Services to our customers.</w:t>
      </w:r>
    </w:p>
    <w:p>
      <w:pPr>
        <w:spacing w:after="0" w:line="164"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Customers with a Broad, Integrated Suite of Products. We seek to provide our customers with a broad suite of products to meet all their Integrated Customer Management needs.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63" w:lineRule="exact"/>
        <w:rPr>
          <w:rFonts w:ascii="Courier New" w:cs="Courier New" w:eastAsia="Courier New" w:hAnsi="Courier New"/>
          <w:sz w:val="14"/>
          <w:szCs w:val="14"/>
          <w:color w:val="auto"/>
        </w:rPr>
      </w:pPr>
    </w:p>
    <w:p>
      <w:pPr>
        <w:ind w:left="1220" w:right="33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164"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 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331"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RECENT DEVELOPMENTS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May 3, 2004, we announced a cash offer for our 2% Convertible Notes Due June 1, 2008, which we refer to as the 2% Notes. Pursuant to the indenture for the 2% Notes, each holder of the 2% Notes had the right to require us to repurchase on June 1, 2004 all or any part of such holder's 2% Notes at a price equal to 100% of the principal amount plus accrued and unpaid interest. Under the terms of the 2% Notes, we had the option to pay for the 2% Notes with cash, ordinary shares, or a combination of cash and ordinary shares, and we elected to pay for the 2% Notes solely with cash. As of April 30, 2004, there was $395.5 million aggregate principal amount of notes outstanding.</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June 1, 2004, we announced that the offer had expired and that we had accepted for purchase $395,110,000 in aggregate principal amount of the 2% Notes, which constituted all of the 2% Notes validly tendered and not withdrawn, at a purchase price of $1,000 per $1,000 of principal amount of the 2% Notes. Payment for the 2% Notes was made with available cash. The untendered principal amount of 2% Notes remain as obligations of the Company, due June 1, 2008, in accordance with their terms.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July 28, 2004, we announced that our Board of Directors had extended our share repurchase program for the additional repurchase of up to $100 million of our ordinary shares in open market or privately negotiated transactions and at times and prices we deem appropriate. In accordance with this extension, as of October 28, 2004, we had repurchased approximately 4.9 million ordinary shares, at an average price of $20.40 per share.</w:t>
      </w:r>
    </w:p>
    <w:p>
      <w:pPr>
        <w:spacing w:after="0" w:line="16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Unless the context otherwise requires, references in this prospectus to "Amdocs," "we," "us," and "our" refer to Amdocs Limited and its subsidiaries.</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306" w:gutter="0" w:footer="0" w:header="0"/>
        </w:sectPr>
      </w:pPr>
    </w:p>
    <w:bookmarkStart w:id="5" w:name="page6"/>
    <w:bookmarkEnd w:id="5"/>
    <w:p>
      <w:pPr>
        <w:jc w:val="center"/>
        <w:ind w:right="3279"/>
        <w:spacing w:after="0"/>
        <w:rPr>
          <w:sz w:val="20"/>
          <w:szCs w:val="20"/>
          <w:color w:val="auto"/>
        </w:rPr>
      </w:pPr>
      <w:r>
        <w:rPr>
          <w:rFonts w:ascii="Courier New" w:cs="Courier New" w:eastAsia="Courier New" w:hAnsi="Courier New"/>
          <w:sz w:val="14"/>
          <w:szCs w:val="14"/>
          <w:color w:val="auto"/>
        </w:rPr>
        <w:t>THE OFFERING</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Issuer ................</w:t>
      </w:r>
      <w:r>
        <w:rPr>
          <w:sz w:val="20"/>
          <w:szCs w:val="20"/>
          <w:color w:val="auto"/>
        </w:rPr>
        <w:tab/>
      </w:r>
      <w:r>
        <w:rPr>
          <w:rFonts w:ascii="Courier New" w:cs="Courier New" w:eastAsia="Courier New" w:hAnsi="Courier New"/>
          <w:sz w:val="14"/>
          <w:szCs w:val="14"/>
          <w:color w:val="auto"/>
        </w:rPr>
        <w:t>Amdocs Limited, a company organized under the laws of</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Island of Guernsey.</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Securities Offered ....</w:t>
      </w:r>
      <w:r>
        <w:rPr>
          <w:sz w:val="20"/>
          <w:szCs w:val="20"/>
          <w:color w:val="auto"/>
        </w:rPr>
        <w:tab/>
      </w:r>
      <w:r>
        <w:rPr>
          <w:rFonts w:ascii="Courier New" w:cs="Courier New" w:eastAsia="Courier New" w:hAnsi="Courier New"/>
          <w:sz w:val="14"/>
          <w:szCs w:val="14"/>
          <w:color w:val="auto"/>
        </w:rPr>
        <w:t>$450.0 million principal amount of 0.50% Convertible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Senior Notes due 2024 and 10,435,995 ordinary shares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issuable upon conversion of the notes.</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Maturity Date .........</w:t>
      </w:r>
      <w:r>
        <w:rPr>
          <w:sz w:val="20"/>
          <w:szCs w:val="20"/>
          <w:color w:val="auto"/>
        </w:rPr>
        <w:tab/>
      </w:r>
      <w:r>
        <w:rPr>
          <w:rFonts w:ascii="Courier New" w:cs="Courier New" w:eastAsia="Courier New" w:hAnsi="Courier New"/>
          <w:sz w:val="14"/>
          <w:szCs w:val="14"/>
          <w:color w:val="auto"/>
        </w:rPr>
        <w:t>March 15, 2024, unless earlier converted, redeemed or</w:t>
      </w:r>
    </w:p>
    <w:p>
      <w:pPr>
        <w:spacing w:after="0" w:line="8"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repurchased.</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Ranking ...............</w:t>
      </w:r>
      <w:r>
        <w:rPr>
          <w:sz w:val="20"/>
          <w:szCs w:val="20"/>
          <w:color w:val="auto"/>
        </w:rPr>
        <w:tab/>
      </w:r>
      <w:r>
        <w:rPr>
          <w:rFonts w:ascii="Courier New" w:cs="Courier New" w:eastAsia="Courier New" w:hAnsi="Courier New"/>
          <w:sz w:val="14"/>
          <w:szCs w:val="14"/>
          <w:color w:val="auto"/>
        </w:rPr>
        <w:t>The notes are our direct, unsecured and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unsubordinated obligations and rank equal in priority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with all of our other existing and future unsecured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unsubordinated indebtedness, including our 2%</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Convertible Notes due June 1, 2008, which we refer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as the 2% Notes, and senior in right of payment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all of our existing and future subordinated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indebtedness. The notes are unsecured and, therefore,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are effectively subordinated to any of our secured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debt, to the extent of the assets securing such</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indebtedness. The notes are also structurally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subordinated to the debt and other liabilities of 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subsidiaries. With the exception of the 2% Notes,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substantially all of the liabilities reflected on 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balance sheet as of June 30, 2003 are liabilities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our subsidiaries.</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Interest ..............</w:t>
      </w:r>
      <w:r>
        <w:rPr>
          <w:sz w:val="20"/>
          <w:szCs w:val="20"/>
          <w:color w:val="auto"/>
        </w:rPr>
        <w:tab/>
      </w:r>
      <w:r>
        <w:rPr>
          <w:rFonts w:ascii="Courier New" w:cs="Courier New" w:eastAsia="Courier New" w:hAnsi="Courier New"/>
          <w:sz w:val="14"/>
          <w:szCs w:val="14"/>
          <w:color w:val="auto"/>
        </w:rPr>
        <w:t>0.50% per annum on the principal amount of the notes,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payable semi-annually in arrears in cash on March 15</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September 15 of each year, beginning on September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15, 2004.</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Conversion Rights .....</w:t>
      </w:r>
      <w:r>
        <w:rPr>
          <w:sz w:val="20"/>
          <w:szCs w:val="20"/>
          <w:color w:val="auto"/>
        </w:rPr>
        <w:tab/>
      </w:r>
      <w:r>
        <w:rPr>
          <w:rFonts w:ascii="Courier New" w:cs="Courier New" w:eastAsia="Courier New" w:hAnsi="Courier New"/>
          <w:sz w:val="14"/>
          <w:szCs w:val="14"/>
          <w:color w:val="auto"/>
        </w:rPr>
        <w:t>You may convert the notes into our ordinary shares,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par value(pound)0.01 per share, which we refer to as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our ordinary shares, at a conversion rate of 23.1911</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shares per $1,000 principal amount of notes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conversion price of $43.12 per share), subject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adjustment, prior to the close of business on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final maturity date under any of the following</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circumstances:</w:t>
      </w:r>
    </w:p>
    <w:p>
      <w:pPr>
        <w:spacing w:after="0" w:line="175"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during any fiscal quarter commencing after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March 31, 2004, and only during that fiscal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quarter if the closing sale price of our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ordinary shares exceeds 130% of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conversion price for at least 20 trading</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days in the 30 consecutive trading days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ending on the last trading day of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preceding fiscal quarter; or</w:t>
      </w:r>
    </w:p>
    <w:p>
      <w:pPr>
        <w:spacing w:after="0" w:line="175"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after the earlier of (a) the date the notes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are rated by both Standard &amp; Poor's Ratings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Services, a division of The McGraw-Hill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Companies, Inc., and its successors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("Standard &amp; Poor's") and Moody's Investor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Services and its successors ("Moody's") and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 five business days from the date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are issued, during any period in which</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credit rating assigned to the notes by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Standard &amp; Poor's or Moody's is "BB-" 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"Ba3," respectively, or lower, or if either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 these rating agencies no longer rates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or if either of these rating agencies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suspends or withdraws the rating assigned to</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notes, or if the notes are not assigned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 rating by both rating agencies; or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6" w:name="page7"/>
    <w:bookmarkEnd w:id="6"/>
    <w:p>
      <w:pPr>
        <w:ind w:left="3140" w:right="3279" w:hanging="788"/>
        <w:spacing w:after="0" w:line="252"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five business day period after any five consecutive trading day period (the "measurement period") in which the trading price per note for each day of that measurement period was less than 98% of the product of the closing sale price of our ordinary shares and the number of shares issuable upon conversion of $1,000 principal amount of the notes; provided, however, you may not convert your notes (in reliance on this subsection) if on any trading day during such measurement period the closing sale price of our ordinary shares was between 100% and 130% of the then current conversion price of the notes; or</w:t>
      </w:r>
    </w:p>
    <w:p>
      <w:pPr>
        <w:spacing w:after="0" w:line="172" w:lineRule="exact"/>
        <w:rPr>
          <w:rFonts w:ascii="Courier New" w:cs="Courier New" w:eastAsia="Courier New" w:hAnsi="Courier New"/>
          <w:sz w:val="14"/>
          <w:szCs w:val="14"/>
          <w:color w:val="auto"/>
        </w:rPr>
      </w:pPr>
    </w:p>
    <w:p>
      <w:pPr>
        <w:ind w:left="3140" w:right="4239" w:hanging="788"/>
        <w:spacing w:after="0" w:line="258"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have been called for redemption; or</w:t>
      </w:r>
    </w:p>
    <w:p>
      <w:pPr>
        <w:spacing w:after="0" w:line="159" w:lineRule="exact"/>
        <w:rPr>
          <w:rFonts w:ascii="Courier New" w:cs="Courier New" w:eastAsia="Courier New" w:hAnsi="Courier New"/>
          <w:sz w:val="14"/>
          <w:szCs w:val="14"/>
          <w:color w:val="auto"/>
        </w:rPr>
      </w:pPr>
    </w:p>
    <w:p>
      <w:pPr>
        <w:ind w:left="3140" w:right="3379" w:hanging="788"/>
        <w:spacing w:after="0" w:line="254"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events described under "Description of Notes--Conversion of Notes--Conversion Upon Specified Corporate Transactions."</w:t>
      </w:r>
    </w:p>
    <w:p>
      <w:pPr>
        <w:spacing w:after="0" w:line="163"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You will not receive any cash payment or additional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shares representing accrued and unpaid interest upon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conversion of a note, except in limited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circumstances. Instead, such interest, if any, will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be forfeited upon conversion. Notes called for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redemption may be converted until the close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business on the business day immediately preceding</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redemption date, after which time your right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convert will expire unless we default in the payment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the redemption price.</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Sinking Fund ..........</w:t>
      </w:r>
      <w:r>
        <w:rPr>
          <w:sz w:val="20"/>
          <w:szCs w:val="20"/>
          <w:color w:val="auto"/>
        </w:rPr>
        <w:tab/>
      </w:r>
      <w:r>
        <w:rPr>
          <w:rFonts w:ascii="Courier New" w:cs="Courier New" w:eastAsia="Courier New" w:hAnsi="Courier New"/>
          <w:sz w:val="14"/>
          <w:szCs w:val="14"/>
          <w:color w:val="auto"/>
        </w:rPr>
        <w:t>None.</w:t>
      </w:r>
    </w:p>
    <w:p>
      <w:pPr>
        <w:spacing w:after="0" w:line="175" w:lineRule="exact"/>
        <w:rPr>
          <w:sz w:val="20"/>
          <w:szCs w:val="20"/>
          <w:color w:val="auto"/>
        </w:rPr>
      </w:pPr>
    </w:p>
    <w:p>
      <w:pPr>
        <w:ind w:left="2360" w:right="3279" w:hanging="2342"/>
        <w:spacing w:after="0" w:line="253" w:lineRule="auto"/>
        <w:tabs>
          <w:tab w:leader="none" w:pos="2340" w:val="left"/>
        </w:tabs>
        <w:rPr>
          <w:sz w:val="20"/>
          <w:szCs w:val="20"/>
          <w:color w:val="auto"/>
        </w:rPr>
      </w:pPr>
      <w:r>
        <w:rPr>
          <w:rFonts w:ascii="Courier New" w:cs="Courier New" w:eastAsia="Courier New" w:hAnsi="Courier New"/>
          <w:sz w:val="14"/>
          <w:szCs w:val="14"/>
          <w:color w:val="auto"/>
        </w:rPr>
        <w:t>Optional Redemption ...</w:t>
      </w:r>
      <w:r>
        <w:rPr>
          <w:sz w:val="20"/>
          <w:szCs w:val="20"/>
          <w:color w:val="auto"/>
        </w:rPr>
        <w:tab/>
      </w:r>
      <w:r>
        <w:rPr>
          <w:rFonts w:ascii="Courier New" w:cs="Courier New" w:eastAsia="Courier New" w:hAnsi="Courier New"/>
          <w:sz w:val="14"/>
          <w:szCs w:val="14"/>
          <w:color w:val="auto"/>
        </w:rPr>
        <w:t>Prior to March 20, 2009, the notes will not be redeemable, except as described under "Description of Notes - Tax Redemption." On or after March 20, 2009, we may redeem any of the notes by giving you at least 30 days' notice. We may redeem the notes either in whole or in part at a redemption price equal to 100% of their principal amount, plus accrued and unpaid interest and liquidated damages, if any, to, but excluding, the date of repurchase.</w:t>
      </w:r>
    </w:p>
    <w:p>
      <w:pPr>
        <w:spacing w:after="0" w:line="164"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Designated Event ......</w:t>
      </w:r>
      <w:r>
        <w:rPr>
          <w:sz w:val="20"/>
          <w:szCs w:val="20"/>
          <w:color w:val="auto"/>
        </w:rPr>
        <w:tab/>
      </w:r>
      <w:r>
        <w:rPr>
          <w:rFonts w:ascii="Courier New" w:cs="Courier New" w:eastAsia="Courier New" w:hAnsi="Courier New"/>
          <w:sz w:val="14"/>
          <w:szCs w:val="14"/>
          <w:color w:val="auto"/>
        </w:rPr>
        <w:t>If a designated event (as described under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"Description of Notes--Repurchase at Option of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Holder Upon a Designated Event") occurs prior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maturity, you may require us to purchase all or part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your notes at a repurchase price equal to 100%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their principal amount, plus accrued and unpaid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interest and liquidated damages, if any, to, but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excluding, the date of repurchase.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the Option</w:t>
      </w:r>
    </w:p>
    <w:p>
      <w:pPr>
        <w:spacing w:after="0" w:line="8" w:lineRule="exact"/>
        <w:rPr>
          <w:sz w:val="20"/>
          <w:szCs w:val="20"/>
          <w:color w:val="auto"/>
        </w:rPr>
      </w:pPr>
    </w:p>
    <w:p>
      <w:pPr>
        <w:ind w:left="360"/>
        <w:spacing w:after="0"/>
        <w:tabs>
          <w:tab w:leader="none" w:pos="2340" w:val="left"/>
        </w:tabs>
        <w:rPr>
          <w:sz w:val="20"/>
          <w:szCs w:val="20"/>
          <w:color w:val="auto"/>
        </w:rPr>
      </w:pPr>
      <w:r>
        <w:rPr>
          <w:rFonts w:ascii="Courier New" w:cs="Courier New" w:eastAsia="Courier New" w:hAnsi="Courier New"/>
          <w:sz w:val="14"/>
          <w:szCs w:val="14"/>
          <w:color w:val="auto"/>
        </w:rPr>
        <w:t>of the Holder .....</w:t>
      </w:r>
      <w:r>
        <w:rPr>
          <w:sz w:val="20"/>
          <w:szCs w:val="20"/>
          <w:color w:val="auto"/>
        </w:rPr>
        <w:tab/>
      </w:r>
      <w:r>
        <w:rPr>
          <w:rFonts w:ascii="Courier New" w:cs="Courier New" w:eastAsia="Courier New" w:hAnsi="Courier New"/>
          <w:sz w:val="14"/>
          <w:szCs w:val="14"/>
          <w:color w:val="auto"/>
        </w:rPr>
        <w:t>You may require us to repurchase some or all of your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notes on March 15 of 2009, 2014 and 2019, at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repurchase price equal to 100% of the principal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amount, plus accrued and unpaid interest and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liquidated damages, if any, to, but excluding,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applicable repurchase date. We may choose to pay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repurchase price in cash or ordinary shares (valued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using the method set forth in "Description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Notes--Repurchase at Option of the Holder") or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combination of cash and ordinary shares, provided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that we will pay any accrued and unpaid interest in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cash.</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3"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Use of Proceeds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We will not receive any proceeds from the sale by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selling securityholders of the notes or the ordinary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shares issuable upon conversion of the notes.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Registration Rights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Pursuant to a registration rights agreement, we have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agreed to register the resale of the notes and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ordinary shares issuable upon conversion of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If we fail to comply with certain of our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the registration rights agreement,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liquidated damages will be payable on the notes and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ordinary shares issuable upon conversion of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See "Description of Notes--Registration</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Rights."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Book-entry Form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 have been issued in book-entry form and are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represented by global certificates deposited with, 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on behalf of, The Depository Trust Company, or DTC,</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and registered in the name of a nominee of DTC.</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Beneficial interests in any of the notes will be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shown on, and transfers will be effected only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through, records maintained by DTC or its nominee and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any such interest may not be exchanged for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certificated securities, except in limited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circumstances.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Trading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 are new securities for which no market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currently exists. While the initial purchasers have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informed us that they intend to make a market in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they are under no obligation to do so and may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discontinue such activities at any time without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notice. The notes are listed on any securities</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exchange or included in any automated quotation</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system. While the notes are expected to be designated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for trading in The PORTAL Market, we cannot assure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you that any active or liquid market will develop for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New York Stock Exchange</w:t>
            </w:r>
          </w:p>
        </w:tc>
        <w:tc>
          <w:tcPr>
            <w:tcW w:w="4780" w:type="dxa"/>
            <w:vAlign w:val="bottom"/>
          </w:tcPr>
          <w:p>
            <w:pPr>
              <w:spacing w:after="0"/>
              <w:rPr>
                <w:sz w:val="24"/>
                <w:szCs w:val="24"/>
                <w:color w:val="auto"/>
              </w:rPr>
            </w:pPr>
          </w:p>
        </w:tc>
      </w:tr>
      <w:tr>
        <w:trPr>
          <w:trHeight w:val="167"/>
        </w:trPr>
        <w:tc>
          <w:tcPr>
            <w:tcW w:w="21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Symbol for Our</w:t>
            </w:r>
          </w:p>
        </w:tc>
        <w:tc>
          <w:tcPr>
            <w:tcW w:w="4780" w:type="dxa"/>
            <w:vAlign w:val="bottom"/>
          </w:tcPr>
          <w:p>
            <w:pPr>
              <w:spacing w:after="0"/>
              <w:rPr>
                <w:sz w:val="14"/>
                <w:szCs w:val="14"/>
                <w:color w:val="auto"/>
              </w:rPr>
            </w:pPr>
          </w:p>
        </w:tc>
      </w:tr>
      <w:tr>
        <w:trPr>
          <w:trHeight w:val="167"/>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Ordinary Shares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DOX.</w:t>
            </w:r>
          </w:p>
        </w:tc>
      </w:tr>
      <w:tr>
        <w:trPr>
          <w:trHeight w:val="334"/>
        </w:trPr>
        <w:tc>
          <w:tcPr>
            <w:tcW w:w="2180" w:type="dxa"/>
            <w:vAlign w:val="bottom"/>
          </w:tcPr>
          <w:p>
            <w:pPr>
              <w:spacing w:after="0"/>
              <w:rPr>
                <w:sz w:val="24"/>
                <w:szCs w:val="24"/>
                <w:color w:val="auto"/>
              </w:rPr>
            </w:pPr>
          </w:p>
        </w:tc>
        <w:tc>
          <w:tcPr>
            <w:tcW w:w="4780" w:type="dxa"/>
            <w:vAlign w:val="bottom"/>
          </w:tcPr>
          <w:p>
            <w:pPr>
              <w:ind w:left="1220"/>
              <w:spacing w:after="0"/>
              <w:rPr>
                <w:sz w:val="20"/>
                <w:szCs w:val="20"/>
                <w:color w:val="auto"/>
              </w:rPr>
            </w:pPr>
            <w:r>
              <w:rPr>
                <w:rFonts w:ascii="Courier New" w:cs="Courier New" w:eastAsia="Courier New" w:hAnsi="Courier New"/>
                <w:sz w:val="14"/>
                <w:szCs w:val="14"/>
                <w:color w:val="auto"/>
              </w:rPr>
              <w:t>5</w:t>
            </w:r>
          </w:p>
        </w:tc>
      </w:tr>
    </w:tbl>
    <w:p>
      <w:pPr>
        <w:sectPr>
          <w:pgSz w:w="11900" w:h="16838" w:orient="portrait"/>
          <w:cols w:equalWidth="0" w:num="1">
            <w:col w:w="10239"/>
          </w:cols>
          <w:pgMar w:left="220" w:top="620" w:right="1440" w:bottom="1440" w:gutter="0" w:footer="0" w:header="0"/>
        </w:sectPr>
      </w:pPr>
    </w:p>
    <w:bookmarkStart w:id="8" w:name="page9"/>
    <w:bookmarkEnd w:id="8"/>
    <w:p>
      <w:pPr>
        <w:ind w:left="1220"/>
        <w:spacing w:after="0"/>
        <w:rPr>
          <w:sz w:val="20"/>
          <w:szCs w:val="20"/>
          <w:color w:val="auto"/>
        </w:rPr>
      </w:pPr>
      <w:r>
        <w:rPr>
          <w:rFonts w:ascii="Courier New" w:cs="Courier New" w:eastAsia="Courier New" w:hAnsi="Courier New"/>
          <w:sz w:val="14"/>
          <w:szCs w:val="14"/>
          <w:color w:val="auto"/>
        </w:rPr>
        <w:t>SUMMARY HISTORICAL CONSOLIDATED FINANCIAL INFORMATION</w:t>
      </w:r>
    </w:p>
    <w:p>
      <w:pPr>
        <w:spacing w:after="0" w:line="175" w:lineRule="exact"/>
        <w:rPr>
          <w:sz w:val="20"/>
          <w:szCs w:val="20"/>
          <w:color w:val="auto"/>
        </w:rPr>
      </w:pPr>
    </w:p>
    <w:p>
      <w:pPr>
        <w:ind w:right="3980" w:firstLine="781"/>
        <w:spacing w:after="0" w:line="252" w:lineRule="auto"/>
        <w:rPr>
          <w:sz w:val="20"/>
          <w:szCs w:val="20"/>
          <w:color w:val="auto"/>
        </w:rPr>
      </w:pPr>
      <w:r>
        <w:rPr>
          <w:rFonts w:ascii="Courier New" w:cs="Courier New" w:eastAsia="Courier New" w:hAnsi="Courier New"/>
          <w:sz w:val="14"/>
          <w:szCs w:val="14"/>
          <w:color w:val="auto"/>
        </w:rPr>
        <w:t>Our consolidated financial statements are prepared in accordance with accounting principles generally accepted in the United States and presented in U.S. dollars. The summary historical consolidated financial information set forth below has been derived from our historical consolidated financial statements for the periods presented. Historical information as of and for the five years ended September 30, 2003 is derived from our consolidated financial statements, which have been audited by Ernst &amp; Young LLP, our independent auditors. The summary historical consolidated interim financial information as of and for the nine months ended June 30, 2004 and 2003 is derived from our unaudited historical consolidated interim financial statements. The unaudited historical consolidated interim financial information reflects all adjustments, consisting of normal recurring adjustments, that we consider necessary for a fair presentation of those statements. The results for an interim period are not necessarily indicative of the results for a full fiscal year. You should read the summary historical consolidated financial information set forth below in conjunction with "Operating and Financial Review and Prospects," our consolidated financial statements and related footnotes and the other financial information included in our reports filed with the Securities and Exchange Commission, referred to herein as the SEC, and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SEPTEMBER 30,</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560" w:type="dxa"/>
            <w:vAlign w:val="bottom"/>
          </w:tcPr>
          <w:p>
            <w:pPr>
              <w:spacing w:after="0"/>
              <w:rPr>
                <w:sz w:val="14"/>
                <w:szCs w:val="14"/>
                <w:color w:val="auto"/>
              </w:rPr>
            </w:pPr>
          </w:p>
        </w:tc>
        <w:tc>
          <w:tcPr>
            <w:tcW w:w="2400" w:type="dxa"/>
            <w:vAlign w:val="bottom"/>
            <w:gridSpan w:val="2"/>
          </w:tcPr>
          <w:p>
            <w:pPr>
              <w:ind w:left="440"/>
              <w:spacing w:after="0"/>
              <w:rPr>
                <w:sz w:val="20"/>
                <w:szCs w:val="20"/>
                <w:color w:val="auto"/>
              </w:rPr>
            </w:pPr>
            <w:r>
              <w:rPr>
                <w:rFonts w:ascii="Courier New" w:cs="Courier New" w:eastAsia="Courier New" w:hAnsi="Courier New"/>
                <w:sz w:val="8"/>
                <w:szCs w:val="8"/>
                <w:color w:val="auto"/>
                <w:w w:val="73"/>
              </w:rPr>
              <w: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2003</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56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30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thousands, except per share data)</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$1,483,327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$1,613,565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$1,533,910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$1,118,320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$626,855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$1,321,277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$1,071,568</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Operating income (1)(2)(3).............</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210,418</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49,161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159,281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74,124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146,998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219,252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154,251</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Net income (loss) (1)(2)(3)(4).........</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168,883</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(5,061)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66,386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5,978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98,543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173,278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0.78</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0.77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5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AS OF JUNE 30, 2004</w:t>
            </w:r>
          </w:p>
        </w:tc>
      </w:tr>
      <w:tr>
        <w:trPr>
          <w:trHeight w:val="167"/>
        </w:trPr>
        <w:tc>
          <w:tcPr>
            <w:tcW w:w="7700" w:type="dxa"/>
            <w:vAlign w:val="bottom"/>
          </w:tcPr>
          <w:p>
            <w:pPr>
              <w:spacing w:after="0"/>
              <w:rPr>
                <w:sz w:val="14"/>
                <w:szCs w:val="14"/>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700" w:type="dxa"/>
            <w:vAlign w:val="bottom"/>
          </w:tcPr>
          <w:p>
            <w:pPr>
              <w:spacing w:after="0"/>
              <w:rPr>
                <w:sz w:val="14"/>
                <w:szCs w:val="14"/>
                <w:color w:val="auto"/>
              </w:rPr>
            </w:pPr>
          </w:p>
        </w:tc>
        <w:tc>
          <w:tcPr>
            <w:tcW w:w="25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7700" w:type="dxa"/>
            <w:vAlign w:val="bottom"/>
          </w:tcPr>
          <w:p>
            <w:pPr>
              <w:spacing w:after="0"/>
              <w:rPr>
                <w:sz w:val="14"/>
                <w:szCs w:val="14"/>
                <w:color w:val="auto"/>
              </w:rPr>
            </w:pPr>
          </w:p>
        </w:tc>
        <w:tc>
          <w:tcPr>
            <w:tcW w:w="2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(IN THOUSANDS)</w:t>
            </w:r>
          </w:p>
        </w:tc>
      </w:tr>
      <w:tr>
        <w:trPr>
          <w:trHeight w:val="668"/>
        </w:trPr>
        <w:tc>
          <w:tcPr>
            <w:tcW w:w="77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560" w:type="dxa"/>
            <w:vAlign w:val="bottom"/>
          </w:tcPr>
          <w:p>
            <w:pPr>
              <w:spacing w:after="0"/>
              <w:rPr>
                <w:sz w:val="24"/>
                <w:szCs w:val="24"/>
                <w:color w:val="auto"/>
              </w:rPr>
            </w:pP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$2,897,972</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2% Convertible Notes due 2008 ........................................................</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344</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0.50% Convertible Senior Notes due 2024...............................................</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450,000</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Long-term obligations, including current portion......................................</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31,107</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Shareholders' equity (4)..............................................................</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1,482,961</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right="4160" w:hanging="791"/>
        <w:spacing w:after="0" w:line="253"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2000, we recorded acquisition-related charges of $75,617, relating to our acquisitions of International Telecommunication Data Systems, Inc. in November 1999 and Solect Technology Group Inc. in April 2000, in stock-for-stock transactions. These charges included write-offs of purchased in-process research and development and other indirect acquisition-related costs.</w:t>
      </w:r>
    </w:p>
    <w:p>
      <w:pPr>
        <w:spacing w:after="0" w:line="165" w:lineRule="exact"/>
        <w:rPr>
          <w:rFonts w:ascii="Courier New" w:cs="Courier New" w:eastAsia="Courier New" w:hAnsi="Courier New"/>
          <w:sz w:val="14"/>
          <w:szCs w:val="14"/>
          <w:color w:val="auto"/>
        </w:rPr>
      </w:pPr>
    </w:p>
    <w:p>
      <w:pPr>
        <w:ind w:left="800" w:right="4080" w:hanging="791"/>
        <w:spacing w:after="0" w:line="253"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2002, we recorded acquisition-related charges for in-process research and development of $17,400, relating to our November 2001 acquisition from Nortel Networks Corporation of substantially all of the assets of its Clarify business for cash. We also recorded restructuring charges of $34,230 relating to the closure of our Stamford, Connecticut data center and our cost reduction program.</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940"/>
          </w:cols>
          <w:pgMar w:left="220" w:top="620" w:right="739" w:bottom="1440" w:gutter="0" w:footer="0" w:header="0"/>
        </w:sectPr>
      </w:pPr>
    </w:p>
    <w:bookmarkStart w:id="9" w:name="page10"/>
    <w:bookmarkEnd w:id="9"/>
    <w:p>
      <w:pPr>
        <w:ind w:left="800" w:right="3279" w:hanging="791"/>
        <w:spacing w:after="0" w:line="253"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first quarter of fiscal 2003, we recorded a restructuring charge of $9,956 related to our cost reduction program. In the fourth quarter of fiscal 2003, we recorded an acquisition-related charge of $4,133 related to our July 2003 acquisition from Bell Canada of its 90% ownership interest in Certen Inc. for cash. Prior to this acquisition, we had 10% ownership interest in Certen. This charge reflects our 10% share in Certen's pre-acquisition results.</w:t>
      </w:r>
    </w:p>
    <w:p>
      <w:pPr>
        <w:spacing w:after="0" w:line="331" w:lineRule="exact"/>
        <w:rPr>
          <w:rFonts w:ascii="Courier New" w:cs="Courier New" w:eastAsia="Courier New" w:hAnsi="Courier New"/>
          <w:sz w:val="14"/>
          <w:szCs w:val="14"/>
          <w:color w:val="auto"/>
        </w:rPr>
      </w:pPr>
    </w:p>
    <w:p>
      <w:pPr>
        <w:ind w:left="800" w:right="3279" w:hanging="791"/>
        <w:spacing w:after="0" w:line="252"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2001, our Board of Directors approved a twelve-month share repurchase program and authorized us to repurchase ordinary shares. During fiscal 2002, we repurchased 7,732 ordinary shares, at an average price of $14.13 per share. During fiscal 2003, we did not repurchase any ordinary shares. On November 5, 2003, our Board of Directors approved an additional twelve-month share repurchase program to purchase up to 5,000 ordinary shares. In accordance with this program, as of December 31, 2003, we had repurchased an additional 4,990 ordinary shares, at an average price of $24.82 per share. In connection with our acquisition of XACCT Technologies Ltd., our Board of Directors approved the repurchase of ordinary shares to offset the dilutive effect of share issuances in the acquisition. The closing of the acquisition occurred in February 2004, and we repurchased 485 ordinary shares in February 2004. On July 28, 2004, we announced that our Board of Directors had extended our share repurchase program for the additional repurchase of up to $100 million of our ordinary shares in open market or privately negotiated transactions and at times and prices we deem appropriate. In accordance with this extension, as of October 28, 2004, we had repurchased approximately 4.9 million ordinary shares, at an average price of $20.40 per share.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RATIO OF EARNINGS TO FIXED CHARGES</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The following table presents our historical ratios of earnings to fixed charges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20" w:type="dxa"/>
            <w:vAlign w:val="bottom"/>
            <w:gridSpan w:val="3"/>
          </w:tcPr>
          <w:p>
            <w:pPr>
              <w:jc w:val="center"/>
              <w:ind w:right="188"/>
              <w:spacing w:after="0"/>
              <w:rPr>
                <w:sz w:val="20"/>
                <w:szCs w:val="20"/>
                <w:color w:val="auto"/>
              </w:rPr>
            </w:pPr>
            <w:r>
              <w:rPr>
                <w:rFonts w:ascii="Courier New" w:cs="Courier New" w:eastAsia="Courier New" w:hAnsi="Courier New"/>
                <w:sz w:val="14"/>
                <w:szCs w:val="14"/>
                <w:color w:val="auto"/>
              </w:rPr>
              <w:t>FISCAL YEARS ENDED SEPTEMBER 30,</w:t>
            </w:r>
          </w:p>
        </w:tc>
        <w:tc>
          <w:tcPr>
            <w:tcW w:w="78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3480" w:type="dxa"/>
            <w:vAlign w:val="bottom"/>
            <w:gridSpan w:val="3"/>
          </w:tcPr>
          <w:p>
            <w:pPr>
              <w:ind w:left="2480"/>
              <w:spacing w:after="0"/>
              <w:rPr>
                <w:sz w:val="20"/>
                <w:szCs w:val="20"/>
                <w:color w:val="auto"/>
              </w:rPr>
            </w:pPr>
            <w:r>
              <w:rPr>
                <w:rFonts w:ascii="Courier New" w:cs="Courier New" w:eastAsia="Courier New" w:hAnsi="Courier New"/>
                <w:sz w:val="14"/>
                <w:szCs w:val="14"/>
                <w:color w:val="auto"/>
              </w:rPr>
              <w:t>NINE MONTHS</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ENDED</w:t>
            </w:r>
          </w:p>
        </w:tc>
        <w:tc>
          <w:tcPr>
            <w:tcW w:w="212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0"/>
              </w:rPr>
              <w:t>------------------------------------------------------</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2920" w:type="dxa"/>
            <w:vAlign w:val="bottom"/>
          </w:tcPr>
          <w:p>
            <w:pPr>
              <w:ind w:left="2480"/>
              <w:spacing w:after="0"/>
              <w:rPr>
                <w:sz w:val="20"/>
                <w:szCs w:val="20"/>
                <w:color w:val="auto"/>
              </w:rPr>
            </w:pPr>
            <w:r>
              <w:rPr>
                <w:rFonts w:ascii="Courier New" w:cs="Courier New" w:eastAsia="Courier New" w:hAnsi="Courier New"/>
                <w:sz w:val="14"/>
                <w:szCs w:val="14"/>
                <w:color w:val="auto"/>
              </w:rPr>
              <w:t>JUNE</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30,</w:t>
            </w:r>
          </w:p>
        </w:tc>
        <w:tc>
          <w:tcPr>
            <w:tcW w:w="100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2004</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80" w:type="dxa"/>
            <w:vAlign w:val="bottom"/>
          </w:tcPr>
          <w:p>
            <w:pPr>
              <w:spacing w:after="0"/>
              <w:rPr>
                <w:sz w:val="14"/>
                <w:szCs w:val="14"/>
                <w:color w:val="auto"/>
              </w:rPr>
            </w:pPr>
          </w:p>
        </w:tc>
        <w:tc>
          <w:tcPr>
            <w:tcW w:w="3220" w:type="dxa"/>
            <w:vAlign w:val="bottom"/>
            <w:gridSpan w:val="2"/>
          </w:tcPr>
          <w:p>
            <w:pPr>
              <w:ind w:left="2480"/>
              <w:spacing w:after="0"/>
              <w:rPr>
                <w:sz w:val="20"/>
                <w:szCs w:val="20"/>
                <w:color w:val="auto"/>
              </w:rPr>
            </w:pPr>
            <w:r>
              <w:rPr>
                <w:rFonts w:ascii="Courier New" w:cs="Courier New" w:eastAsia="Courier New" w:hAnsi="Courier New"/>
                <w:sz w:val="10"/>
                <w:szCs w:val="10"/>
                <w:color w:val="auto"/>
                <w:w w:val="70"/>
              </w:rPr>
              <w: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Ratio</w:t>
            </w:r>
          </w:p>
        </w:tc>
        <w:tc>
          <w:tcPr>
            <w:tcW w:w="2920" w:type="dxa"/>
            <w:vAlign w:val="bottom"/>
          </w:tcPr>
          <w:p>
            <w:pPr>
              <w:jc w:val="right"/>
              <w:ind w:right="973"/>
              <w:spacing w:after="0"/>
              <w:rPr>
                <w:sz w:val="20"/>
                <w:szCs w:val="20"/>
                <w:color w:val="auto"/>
              </w:rPr>
            </w:pPr>
            <w:r>
              <w:rPr>
                <w:rFonts w:ascii="Courier New" w:cs="Courier New" w:eastAsia="Courier New" w:hAnsi="Courier New"/>
                <w:sz w:val="14"/>
                <w:szCs w:val="14"/>
                <w:color w:val="auto"/>
              </w:rPr>
              <w:t>(1)..................</w:t>
            </w:r>
          </w:p>
        </w:tc>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14.99x</w:t>
            </w:r>
          </w:p>
        </w:tc>
        <w:tc>
          <w:tcPr>
            <w:tcW w:w="740" w:type="dxa"/>
            <w:vAlign w:val="bottom"/>
          </w:tcPr>
          <w:p>
            <w:pPr>
              <w:spacing w:after="0"/>
              <w:rPr>
                <w:sz w:val="24"/>
                <w:szCs w:val="2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13.49x</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3.87x</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9.19x</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10.10x</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15.29x</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800" w:right="3459" w:hanging="791"/>
        <w:spacing w:after="0" w:line="253" w:lineRule="auto"/>
        <w:tabs>
          <w:tab w:leader="none" w:pos="8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earnings to fixed charges represents the number of times "fixed charges" are covered by "earnings." "Fixed charges" means interest expense, amortized premiums, discounts and capitalized expenses related to indebtedness, and an estimate of the interest within rental expense. "Earnings" consist of consolidated net income from continuing operations before income taxes and fixed charges.</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10" w:name="page11"/>
    <w:bookmarkEnd w:id="10"/>
    <w:p>
      <w:pPr>
        <w:ind w:left="2960"/>
        <w:spacing w:after="0"/>
        <w:rPr>
          <w:sz w:val="20"/>
          <w:szCs w:val="20"/>
          <w:color w:val="auto"/>
        </w:rPr>
      </w:pPr>
      <w:r>
        <w:rPr>
          <w:rFonts w:ascii="Courier New" w:cs="Courier New" w:eastAsia="Courier New" w:hAnsi="Courier New"/>
          <w:sz w:val="14"/>
          <w:szCs w:val="14"/>
          <w:color w:val="auto"/>
        </w:rPr>
        <w:t>RISK FACTORS</w:t>
      </w:r>
    </w:p>
    <w:p>
      <w:pPr>
        <w:spacing w:after="0" w:line="8"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BUSINESS</w:t>
      </w:r>
    </w:p>
    <w:p>
      <w:pPr>
        <w:spacing w:after="0" w:line="175" w:lineRule="exact"/>
        <w:rPr>
          <w:sz w:val="20"/>
          <w:szCs w:val="20"/>
          <w:color w:val="auto"/>
        </w:rPr>
      </w:pPr>
    </w:p>
    <w:p>
      <w:pPr>
        <w:ind w:left="440" w:right="4239"/>
        <w:spacing w:after="0" w:line="258" w:lineRule="auto"/>
        <w:rPr>
          <w:sz w:val="20"/>
          <w:szCs w:val="20"/>
          <w:color w:val="auto"/>
        </w:rPr>
      </w:pPr>
      <w:r>
        <w:rPr>
          <w:rFonts w:ascii="Courier New" w:cs="Courier New" w:eastAsia="Courier New" w:hAnsi="Courier New"/>
          <w:sz w:val="14"/>
          <w:szCs w:val="14"/>
          <w:color w:val="auto"/>
        </w:rPr>
        <w:t>WE ARE EXPOSED TO GENERAL GLOBAL ECONOMIC AND MARKET CONDITIONS, PARTICULARLY THOSE IMPACTING THE COMMUNICATIONS INDUSTRY.</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our revenues declined in the second half of fiscal 2002 and continued to decline in the first quarter of fiscal 2003. As a result, we undertook restructuring programs in fiscal 2002 and fiscal 2003 to reduce costs. Adverse market conditions could continue to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330" w:lineRule="exact"/>
        <w:rPr>
          <w:sz w:val="20"/>
          <w:szCs w:val="20"/>
          <w:color w:val="auto"/>
        </w:rPr>
      </w:pPr>
    </w:p>
    <w:p>
      <w:pPr>
        <w:jc w:val="both"/>
        <w:ind w:left="440" w:right="3899"/>
        <w:spacing w:after="0" w:line="255" w:lineRule="auto"/>
        <w:rPr>
          <w:sz w:val="20"/>
          <w:szCs w:val="20"/>
          <w:color w:val="auto"/>
        </w:rPr>
      </w:pPr>
      <w:r>
        <w:rPr>
          <w:rFonts w:ascii="Courier New" w:cs="Courier New" w:eastAsia="Courier New" w:hAnsi="Courier New"/>
          <w:sz w:val="14"/>
          <w:szCs w:val="14"/>
          <w:color w:val="auto"/>
        </w:rPr>
        <w:t>IF WE FAIL TO ADAPT TO CHANGING MARKET CONDITIONS AND CANNOT COMPETE SUCCESSFULLY WITH EXISTING OR NEW COMPETITORS, OUR BUSINESS COULD BE HARMED.</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a combination of services, such as system modernization and consolidation, management and operation of data centers, purchase and management of related hardware assets, billing operations and application support.</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believe that our ability to compete depends on a number of factors, including:</w:t>
      </w:r>
    </w:p>
    <w:p>
      <w:pPr>
        <w:spacing w:after="0" w:line="160" w:lineRule="exact"/>
        <w:rPr>
          <w:sz w:val="20"/>
          <w:szCs w:val="20"/>
          <w:color w:val="auto"/>
        </w:rPr>
      </w:pPr>
    </w:p>
    <w:p>
      <w:pPr>
        <w:ind w:left="1320" w:right="353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by others of software that is competitive with our products and services,</w:t>
      </w:r>
    </w:p>
    <w:p>
      <w:pPr>
        <w:spacing w:after="0" w:line="159" w:lineRule="exact"/>
        <w:rPr>
          <w:rFonts w:ascii="Courier New" w:cs="Courier New" w:eastAsia="Courier New" w:hAnsi="Courier New"/>
          <w:sz w:val="14"/>
          <w:szCs w:val="14"/>
          <w:color w:val="auto"/>
        </w:rPr>
      </w:pPr>
    </w:p>
    <w:p>
      <w:pPr>
        <w:ind w:left="1320" w:right="405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at which others offer competitive software and services,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responsiveness of our competitors to customer needs, and</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our competitors to hire, retain and motivate key personnel.</w:t>
      </w:r>
    </w:p>
    <w:p>
      <w:pPr>
        <w:spacing w:after="0" w:line="160" w:lineRule="exact"/>
        <w:rPr>
          <w:sz w:val="20"/>
          <w:szCs w:val="20"/>
          <w:color w:val="auto"/>
        </w:rPr>
      </w:pPr>
    </w:p>
    <w:p>
      <w:pPr>
        <w:ind w:right="3639" w:firstLine="781"/>
        <w:spacing w:after="0" w:line="253" w:lineRule="auto"/>
        <w:rPr>
          <w:sz w:val="20"/>
          <w:szCs w:val="20"/>
          <w:color w:val="auto"/>
        </w:rPr>
      </w:pPr>
      <w:r>
        <w:rPr>
          <w:rFonts w:ascii="Courier New" w:cs="Courier New" w:eastAsia="Courier New" w:hAnsi="Courier New"/>
          <w:sz w:val="14"/>
          <w:szCs w:val="14"/>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640" w:gutter="0" w:footer="0" w:header="0"/>
        </w:sectPr>
      </w:pPr>
    </w:p>
    <w:bookmarkStart w:id="11" w:name="page12"/>
    <w:bookmarkEnd w:id="11"/>
    <w:p>
      <w:pPr>
        <w:ind w:right="3279"/>
        <w:spacing w:after="0" w:line="253" w:lineRule="auto"/>
        <w:rPr>
          <w:sz w:val="20"/>
          <w:szCs w:val="20"/>
          <w:color w:val="auto"/>
        </w:rPr>
      </w:pPr>
      <w:r>
        <w:rPr>
          <w:rFonts w:ascii="Courier New" w:cs="Courier New" w:eastAsia="Courier New" w:hAnsi="Courier New"/>
          <w:sz w:val="14"/>
          <w:szCs w:val="14"/>
          <w:color w:val="auto"/>
        </w:rPr>
        <w:t>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64"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IF WE DO NOT CONTINUALLY ENHANCE OUR PRODUCTS AND SERVICE OFFERINGS, WE MAY HAVE DIFFICULTY RETAINING EXISTING CUSTOMERS AND ATTRACTING NEW CUSTOMERS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164"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WE MAY SEEK TO ACQUIRE COMPANIES OR TECHNOLOGIES, WHICH COULD DISRUPT OUR ONGOING BUSINESS, DISTRACT OUR MANAGEMENT AND EMPLOYEES AND ADVERSELY AFFECT OUR RESULTS OF OPERATIONS.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163"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OUR BUSINESS IS DEPENDENT ON A LIMITED NUMBER OF SIGNIFICANT CUSTOMERS, AND THE LOSS OF ANY ONE OF OUR SIGNIFICANT CUSTOMERS COULD HARM OUR RESULTS OF OPERATIONS.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Our business is highly dependent on a limited number of significant customers. Our three largest groups of customers are comprised of Bell Canada, Nextel Communications, Inc. ("Nextel") and SBC Communications Inc. ("SBC") and certain of their subsidiaries, each of which accounted for more than 10% of our revenue in fiscal 2003. Aggregate revenue derived from the multiple business arrangements we have with our five largest customer groups accounted for approximately 55% of our revenue in fiscal 2003. SBC has historically been one of our largest shareholders, and, as of September 30, 2004, it beneficially owned approximately 6.3% of our outstanding ordinary shares. The loss of any significant customer or a significant decrease in business from any such customer could harm our results of operations and financial condition.</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332" w:lineRule="exact"/>
        <w:rPr>
          <w:sz w:val="20"/>
          <w:szCs w:val="20"/>
          <w:color w:val="auto"/>
        </w:rPr>
      </w:pPr>
    </w:p>
    <w:p>
      <w:pPr>
        <w:jc w:val="both"/>
        <w:ind w:left="440" w:right="4059"/>
        <w:spacing w:after="0" w:line="255" w:lineRule="auto"/>
        <w:rPr>
          <w:sz w:val="20"/>
          <w:szCs w:val="20"/>
          <w:color w:val="auto"/>
        </w:rPr>
      </w:pPr>
      <w:r>
        <w:rPr>
          <w:rFonts w:ascii="Courier New" w:cs="Courier New" w:eastAsia="Courier New" w:hAnsi="Courier New"/>
          <w:sz w:val="14"/>
          <w:szCs w:val="14"/>
          <w:color w:val="auto"/>
        </w:rPr>
        <w:t>OUR FUTURE SUCCESS WILL DEPEND ON OUR ABILITY TO DEVELOP LONG-TERM RELATIONSHIPS WITH OUR CUSTOMERS AND TO MEET THEIR EXPECTATIONS IN PROVIDING PRODUCTS AND PERFORMING SERVICES.</w:t>
      </w:r>
    </w:p>
    <w:p>
      <w:pPr>
        <w:spacing w:after="0" w:line="162"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We believe that our future success will depend to a significant extent on our ability to develop long-term relationships with successful network operators and service providers with the financial and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12" w:name="page13"/>
    <w:bookmarkEnd w:id="12"/>
    <w:p>
      <w:pPr>
        <w:ind w:right="3279"/>
        <w:spacing w:after="0" w:line="253" w:lineRule="auto"/>
        <w:rPr>
          <w:sz w:val="20"/>
          <w:szCs w:val="20"/>
          <w:color w:val="auto"/>
        </w:rPr>
      </w:pPr>
      <w:r>
        <w:rPr>
          <w:rFonts w:ascii="Courier New" w:cs="Courier New" w:eastAsia="Courier New" w:hAnsi="Courier New"/>
          <w:sz w:val="14"/>
          <w:szCs w:val="14"/>
          <w:color w:val="auto"/>
        </w:rPr>
        <w:t>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65" w:lineRule="exact"/>
        <w:rPr>
          <w:sz w:val="20"/>
          <w:szCs w:val="20"/>
          <w:color w:val="auto"/>
        </w:rPr>
      </w:pPr>
    </w:p>
    <w:p>
      <w:pPr>
        <w:ind w:left="440" w:right="3379"/>
        <w:spacing w:after="0" w:line="258" w:lineRule="auto"/>
        <w:rPr>
          <w:sz w:val="20"/>
          <w:szCs w:val="20"/>
          <w:color w:val="auto"/>
        </w:rPr>
      </w:pPr>
      <w:r>
        <w:rPr>
          <w:rFonts w:ascii="Courier New" w:cs="Courier New" w:eastAsia="Courier New" w:hAnsi="Courier New"/>
          <w:sz w:val="14"/>
          <w:szCs w:val="14"/>
          <w:color w:val="auto"/>
        </w:rPr>
        <w:t>WE MAY BE EXPOSED TO THE CREDIT RISK OF CUSTOMERS THAT HAVE BEEN ADVERSELY AFFECTED BY WEAKENED MARKETS.</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329" w:lineRule="exact"/>
        <w:rPr>
          <w:sz w:val="20"/>
          <w:szCs w:val="20"/>
          <w:color w:val="auto"/>
        </w:rPr>
      </w:pPr>
    </w:p>
    <w:p>
      <w:pPr>
        <w:ind w:left="440" w:right="3279"/>
        <w:spacing w:after="0" w:line="254" w:lineRule="auto"/>
        <w:rPr>
          <w:sz w:val="20"/>
          <w:szCs w:val="20"/>
          <w:color w:val="auto"/>
        </w:rPr>
      </w:pPr>
      <w:r>
        <w:rPr>
          <w:rFonts w:ascii="Courier New" w:cs="Courier New" w:eastAsia="Courier New" w:hAnsi="Courier New"/>
          <w:sz w:val="14"/>
          <w:szCs w:val="14"/>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17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163"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OUR QUARTERLY OPERATING RESULTS MAY FLUCTUATE, AND A DECLINE IN REVENUE IN ANY QUARTER COULD RESULT IN LOWER PROFITABILITY FOR THAT QUARTER AND FLUCTUATIONS IN THE MARKET PRICE OF OUR ORDINARY SHARES.</w:t>
      </w:r>
    </w:p>
    <w:p>
      <w:pPr>
        <w:spacing w:after="0" w:line="162"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We have experienced fluctuations in our quarterly operating results and anticipate that such movement may continue and could intensify. Fluctuations may result from many factors, including:</w:t>
      </w:r>
    </w:p>
    <w:p>
      <w:pPr>
        <w:spacing w:after="0" w:line="162" w:lineRule="exact"/>
        <w:rPr>
          <w:sz w:val="20"/>
          <w:szCs w:val="20"/>
          <w:color w:val="auto"/>
        </w:rPr>
      </w:pPr>
    </w:p>
    <w:p>
      <w:pPr>
        <w:ind w:left="1320" w:right="3379" w:hanging="530"/>
        <w:spacing w:after="0" w:line="258" w:lineRule="auto"/>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size and timing of significant customer projects and license fees,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in or cancellations of significant projects by customers,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operating expenses,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competition,</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our strategy,</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personnel changes,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 exchange rate fluctuations, and</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and political conditions.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Generally, our license fee revenue and our service fee revenue relating to customization and modification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329"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974" w:gutter="0" w:footer="0" w:header="0"/>
        </w:sectPr>
      </w:pPr>
    </w:p>
    <w:bookmarkStart w:id="13" w:name="page14"/>
    <w:bookmarkEnd w:id="13"/>
    <w:p>
      <w:pPr>
        <w:ind w:right="3379"/>
        <w:spacing w:after="0" w:line="254" w:lineRule="auto"/>
        <w:rPr>
          <w:sz w:val="20"/>
          <w:szCs w:val="20"/>
          <w:color w:val="auto"/>
        </w:rPr>
      </w:pPr>
      <w:r>
        <w:rPr>
          <w:rFonts w:ascii="Courier New" w:cs="Courier New" w:eastAsia="Courier New" w:hAnsi="Courier New"/>
          <w:sz w:val="14"/>
          <w:szCs w:val="14"/>
          <w:color w:val="auto"/>
        </w:rPr>
        <w:t>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63"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OUR REVENUE, EARNINGS AND PROFITABILITY ARE IMPACTED BY THE LENGTH OF OUR SALES CYCLE, AND A LONGER SALES CYCLE COULD ADVERSELY AFFECT OUR RESULTS OF OPERATIONS AND FINANCIAL CONDITION.</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Beginning in the second half of fiscal 2002,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173" w:lineRule="exact"/>
        <w:rPr>
          <w:sz w:val="20"/>
          <w:szCs w:val="20"/>
          <w:color w:val="auto"/>
        </w:rPr>
      </w:pPr>
    </w:p>
    <w:p>
      <w:pPr>
        <w:ind w:left="440" w:right="3899"/>
        <w:spacing w:after="0" w:line="258" w:lineRule="auto"/>
        <w:rPr>
          <w:sz w:val="20"/>
          <w:szCs w:val="20"/>
          <w:color w:val="auto"/>
        </w:rPr>
      </w:pPr>
      <w:r>
        <w:rPr>
          <w:rFonts w:ascii="Courier New" w:cs="Courier New" w:eastAsia="Courier New" w:hAnsi="Courier New"/>
          <w:sz w:val="14"/>
          <w:szCs w:val="14"/>
          <w:color w:val="auto"/>
        </w:rPr>
        <w:t>IF THE MARKET FOR OUR PRODUCTS DETERIORATES, WE MAY INCUR ADDITIONAL RESTRUCTURING CHARGES.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164" w:lineRule="exact"/>
        <w:rPr>
          <w:sz w:val="20"/>
          <w:szCs w:val="20"/>
          <w:color w:val="auto"/>
        </w:rPr>
      </w:pPr>
    </w:p>
    <w:p>
      <w:pPr>
        <w:ind w:left="440" w:right="3799"/>
        <w:spacing w:after="0" w:line="258" w:lineRule="auto"/>
        <w:rPr>
          <w:sz w:val="20"/>
          <w:szCs w:val="20"/>
          <w:color w:val="auto"/>
        </w:rPr>
      </w:pPr>
      <w:r>
        <w:rPr>
          <w:rFonts w:ascii="Courier New" w:cs="Courier New" w:eastAsia="Courier New" w:hAnsi="Courier New"/>
          <w:sz w:val="14"/>
          <w:szCs w:val="14"/>
          <w:color w:val="auto"/>
        </w:rPr>
        <w:t>IF WE FAIL TO SUCCESSFULLY PLAN AND MANAGE CHANGES IN THE SIZE OF OUR OPERATIONS OUR BUSINESS WILL SUFFER.</w:t>
      </w:r>
    </w:p>
    <w:p>
      <w:pPr>
        <w:spacing w:after="0" w:line="160"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restructurings and cost reduction measures reduced the size of our operations. On February 29, 2004, we employed approximately 9,000 individuals in software and information technology positions, compared to approximately 7,800 on January 31, 2003 and 9,100 on November 30, 2001. Our software and information technology workforce increased in the fourth quarter of fiscal 2003 and first quarter of fiscal 2004, primarily as a result of the Certen acquisition in July 2003 and a Managed Services agreement signed in January 2003. During periods of contraction, we disposed of office space and related obligations in an effort to keep pace with the changing size of our operations. Our recent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173"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OUR INTERNATIONAL PRESENCE EXPOSES US TO RISKS ASSOCIATED WITH VARIED AND CHANGING POLITICAL, CULTURAL AND ECONOMIC CONDITIONS WORLDWIDE.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are affected by risks associated with conducting business internationally. 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4" w:name="page15"/>
    <w:bookmarkEnd w:id="14"/>
    <w:p>
      <w:pPr>
        <w:ind w:right="3279"/>
        <w:spacing w:after="0" w:line="254" w:lineRule="auto"/>
        <w:rPr>
          <w:sz w:val="20"/>
          <w:szCs w:val="20"/>
          <w:color w:val="auto"/>
        </w:rPr>
      </w:pPr>
      <w:r>
        <w:rPr>
          <w:rFonts w:ascii="Courier New" w:cs="Courier New" w:eastAsia="Courier New" w:hAnsi="Courier New"/>
          <w:sz w:val="14"/>
          <w:szCs w:val="14"/>
          <w:color w:val="auto"/>
        </w:rPr>
        <w:t>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162" w:lineRule="exact"/>
        <w:rPr>
          <w:sz w:val="20"/>
          <w:szCs w:val="20"/>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lack of acceptance of non-localized products,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and cultural differences in the conduct of business,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staffing and managing foreign operations,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longer payment cycles,</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collecting accounts receivable and withholding taxes that limit the repatriation of earnings,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barriers,</w:t>
      </w:r>
    </w:p>
    <w:p>
      <w:pPr>
        <w:spacing w:after="0" w:line="175"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immigration regulations that limit our ability to deploy our employees,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instability, and</w:t>
      </w:r>
    </w:p>
    <w:p>
      <w:pPr>
        <w:spacing w:after="0" w:line="175"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effective income tax rates among countries where we conduct business.</w:t>
      </w:r>
    </w:p>
    <w:p>
      <w:pPr>
        <w:spacing w:after="0" w:line="160"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One or more of these factors could have a material adverse effect on our international operations, which could harm our results of operations and financial condition.</w:t>
      </w:r>
    </w:p>
    <w:p>
      <w:pPr>
        <w:spacing w:after="0" w:line="162"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POLITICAL AND ECONOMIC CONDITIONS IN THE MIDDLE EAST MAY ADVERSELY AFFECT OUR BUSINESS AND OUR DEVELOPMENT FACILITY IN CYPRUS MAY BE ADVERSELY AFFECTED BY POLITICAL CONDITIONS IN THAT COUNTRY.</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Of the five development centers we maintain worldwide, our largest development center is located in five different sites throughout Israel. Approximately half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While Israel has entered into peace agreements with both Egypt and Jordan, Israel has not entered into peace arrangements with any other neighboring countries. Over the past three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recently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5" w:name="page16"/>
    <w:bookmarkEnd w:id="15"/>
    <w:p>
      <w:pPr>
        <w:ind w:left="440" w:right="3279"/>
        <w:spacing w:after="0" w:line="260" w:lineRule="auto"/>
        <w:rPr>
          <w:sz w:val="20"/>
          <w:szCs w:val="20"/>
          <w:color w:val="auto"/>
        </w:rPr>
      </w:pPr>
      <w:r>
        <w:rPr>
          <w:rFonts w:ascii="Courier New" w:cs="Courier New" w:eastAsia="Courier New" w:hAnsi="Courier New"/>
          <w:sz w:val="14"/>
          <w:szCs w:val="14"/>
          <w:color w:val="auto"/>
        </w:rPr>
        <w:t>OUR INTERNATIONAL OPERATIONS EXPOSE US TO RISKS ASSOCIATED WITH FLUCTUATIONS IN FOREIGN CURRENCY EXCHANGE RATES THAT COULD ADVERSELY AFFECT OUR BUSINESS.</w:t>
      </w:r>
    </w:p>
    <w:p>
      <w:pPr>
        <w:spacing w:after="0" w:line="32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Although approximately half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17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addition, a portion of our revenue (approximately 20% in fiscal 2003)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65"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The imposition of exchange or price controls or other restrictions on the conversion of foreign currencies could also have a material adverse effect on our business, results of operations and financial condition.</w:t>
      </w:r>
    </w:p>
    <w:p>
      <w:pPr>
        <w:spacing w:after="0" w:line="162" w:lineRule="exact"/>
        <w:rPr>
          <w:sz w:val="20"/>
          <w:szCs w:val="20"/>
          <w:color w:val="auto"/>
        </w:rPr>
      </w:pPr>
    </w:p>
    <w:p>
      <w:pPr>
        <w:ind w:left="440" w:right="4679"/>
        <w:spacing w:after="0" w:line="258" w:lineRule="auto"/>
        <w:rPr>
          <w:sz w:val="20"/>
          <w:szCs w:val="20"/>
          <w:color w:val="auto"/>
        </w:rPr>
      </w:pPr>
      <w:r>
        <w:rPr>
          <w:rFonts w:ascii="Courier New" w:cs="Courier New" w:eastAsia="Courier New" w:hAnsi="Courier New"/>
          <w:sz w:val="14"/>
          <w:szCs w:val="14"/>
          <w:color w:val="auto"/>
        </w:rPr>
        <w:t>IF WE ARE UNABLE TO PROTECT OUR PROPRIETARY TECHNOLOGY FROM MISAPPROPRIATION, OUR BUSINESS MAY BE HARMED.</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65"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If we have to resort to legal proceedings to enforce our intellectual property rights, the proceedings could be burdensome, protracted and expensive and could involve a high degree of risk.</w:t>
      </w:r>
    </w:p>
    <w:p>
      <w:pPr>
        <w:spacing w:after="0" w:line="162"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CLAIMS BY OTHERS THAT WE INFRINGE THEIR PROPRIETARY TECHNOLOGY COULD HARM OUR BUSINESS.</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6" w:name="page17"/>
    <w:bookmarkEnd w:id="16"/>
    <w:p>
      <w:pPr>
        <w:ind w:right="3379"/>
        <w:spacing w:after="0" w:line="253" w:lineRule="auto"/>
        <w:rPr>
          <w:sz w:val="20"/>
          <w:szCs w:val="20"/>
          <w:color w:val="auto"/>
        </w:rPr>
      </w:pPr>
      <w:r>
        <w:rPr>
          <w:rFonts w:ascii="Courier New" w:cs="Courier New" w:eastAsia="Courier New" w:hAnsi="Courier New"/>
          <w:sz w:val="14"/>
          <w:szCs w:val="14"/>
          <w:color w:val="auto"/>
        </w:rPr>
        <w:t>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PRODUCT DEFECTS OR SOFTWARE ERRORS COULD ADVERSELY AFFECT OUR BUSINESS.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73" w:lineRule="exact"/>
        <w:rPr>
          <w:sz w:val="20"/>
          <w:szCs w:val="20"/>
          <w:color w:val="auto"/>
        </w:rPr>
      </w:pPr>
    </w:p>
    <w:p>
      <w:pPr>
        <w:ind w:left="440" w:right="3639"/>
        <w:spacing w:after="0" w:line="255" w:lineRule="auto"/>
        <w:rPr>
          <w:sz w:val="20"/>
          <w:szCs w:val="20"/>
          <w:color w:val="auto"/>
        </w:rPr>
      </w:pPr>
      <w:r>
        <w:rPr>
          <w:rFonts w:ascii="Courier New" w:cs="Courier New" w:eastAsia="Courier New" w:hAnsi="Courier New"/>
          <w:sz w:val="14"/>
          <w:szCs w:val="14"/>
          <w:color w:val="auto"/>
        </w:rPr>
        <w:t>SYSTEM DISRUPTIONS AND FAILURES MAY RESULT IN CUSTOMER DISSATISFACTION, CUSTOMER LOSS OR BOTH, WHICH COULD MATERIALLY AND ADVERSELY AFFECT OUR REPUTATION AND BUSINESS.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Our Integrated Customer Management systems are an integral part of our customers' business operations. The continued and uninterrupted performance of these systems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Managed Services include a combination of services, such as system modernization and consolidation, management and operation of data centers, purchase and management of related hardware assets, billing operations and application support. 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7" w:name="page18"/>
    <w:bookmarkEnd w:id="17"/>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from an outage or interruption. Any damage or failure that interrupts or delays our operations could result in material harm to our business and expose us to material liabilities.</w:t>
      </w:r>
    </w:p>
    <w:p>
      <w:pPr>
        <w:spacing w:after="0" w:line="162" w:lineRule="exact"/>
        <w:rPr>
          <w:sz w:val="20"/>
          <w:szCs w:val="20"/>
          <w:color w:val="auto"/>
        </w:rPr>
      </w:pPr>
    </w:p>
    <w:p>
      <w:pPr>
        <w:ind w:left="440" w:right="3979"/>
        <w:spacing w:after="0" w:line="258" w:lineRule="auto"/>
        <w:rPr>
          <w:sz w:val="20"/>
          <w:szCs w:val="20"/>
          <w:color w:val="auto"/>
        </w:rPr>
      </w:pPr>
      <w:r>
        <w:rPr>
          <w:rFonts w:ascii="Courier New" w:cs="Courier New" w:eastAsia="Courier New" w:hAnsi="Courier New"/>
          <w:sz w:val="14"/>
          <w:szCs w:val="14"/>
          <w:color w:val="auto"/>
        </w:rPr>
        <w:t>THE TERMINATION OR REDUCTION OF CERTAIN GOVERNMENT PROGRAMS AND TAX BENEFITS COULD ADVERSELY AFFECT OUR OVERALL EFFECTIVE TAX RATE.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There can be no assurance that our effective tax rate of 25% for the year ended September 30, 2003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Israeli companies are generally subject to a company tax of 36% of taxable income,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162"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Any of the following could have a material effect on our overall effective tax rate:</w:t>
      </w:r>
    </w:p>
    <w:p>
      <w:pPr>
        <w:spacing w:after="0" w:line="160" w:lineRule="exact"/>
        <w:rPr>
          <w:sz w:val="20"/>
          <w:szCs w:val="20"/>
          <w:color w:val="auto"/>
        </w:rPr>
      </w:pPr>
    </w:p>
    <w:p>
      <w:pPr>
        <w:ind w:left="1320" w:hanging="530"/>
        <w:spacing w:after="0"/>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 programs may be discontinued,</w:t>
      </w:r>
    </w:p>
    <w:p>
      <w:pPr>
        <w:spacing w:after="0" w:line="175" w:lineRule="exact"/>
        <w:rPr>
          <w:rFonts w:ascii="Courier New" w:cs="Courier New" w:eastAsia="Courier New" w:hAnsi="Courier New"/>
          <w:sz w:val="14"/>
          <w:szCs w:val="14"/>
          <w:color w:val="auto"/>
        </w:rPr>
      </w:pPr>
    </w:p>
    <w:p>
      <w:pPr>
        <w:ind w:left="1320" w:right="379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unable to meet the requirements for continuing to qualify for some programs,</w:t>
      </w:r>
    </w:p>
    <w:p>
      <w:pPr>
        <w:spacing w:after="0" w:line="159" w:lineRule="exact"/>
        <w:rPr>
          <w:rFonts w:ascii="Courier New" w:cs="Courier New" w:eastAsia="Courier New" w:hAnsi="Courier New"/>
          <w:sz w:val="14"/>
          <w:szCs w:val="14"/>
          <w:color w:val="auto"/>
        </w:rPr>
      </w:pPr>
    </w:p>
    <w:p>
      <w:pPr>
        <w:ind w:left="1320" w:right="379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programs and tax benefits may be unavailable at their current levels,</w:t>
      </w:r>
    </w:p>
    <w:p>
      <w:pPr>
        <w:spacing w:after="0" w:line="159" w:lineRule="exact"/>
        <w:rPr>
          <w:rFonts w:ascii="Courier New" w:cs="Courier New" w:eastAsia="Courier New" w:hAnsi="Courier New"/>
          <w:sz w:val="14"/>
          <w:szCs w:val="14"/>
          <w:color w:val="auto"/>
        </w:rPr>
      </w:pPr>
    </w:p>
    <w:p>
      <w:pPr>
        <w:ind w:left="1320" w:right="3379" w:hanging="530"/>
        <w:spacing w:after="0" w:line="255"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expiration of a particular benefit, we may not be eligible to participate in a new program or qualify for a new tax benefit that would offset the loss of the expiring tax benefit, or</w:t>
      </w:r>
    </w:p>
    <w:p>
      <w:pPr>
        <w:spacing w:after="0" w:line="162"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required to refund previously recognized tax benefits if we are found to be in violation of the stipulated conditions.</w:t>
      </w:r>
    </w:p>
    <w:p>
      <w:pPr>
        <w:spacing w:after="0" w:line="160"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WE ARE CURRENTLY A PARTY TO SECURITIES LITIGATION CLASS ACTION LAWSUITS AND A SECURITIES EXCHANGE COMMISSION INVESTIGATION, WHICH COULD NEGATIVELY AFFECT OUR BUSINESS AND RESULTS OF OPERATIONS.</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Beginning in June 2002, a number of complaints were filed by holders of our ordinary shares against Amdocs and certain of our officers and directors in the United States District Court for the Eastern District of Missouri and the Southern District of New York. The cases were transferred to and consolidated in the Eastern District of Missouri. The consolidated amended complaint filed in the action alleged that Amdocs and the individual defendants had made false or misleading statements about our business and future prospects during a putative class period between July 18, 2000 and June 20, 2002. On December 1, 2003, the court issued an order granting our motion to dismiss the securities class action lawsuits and directing that judgment be entered in favor of the defendants. On December 29, 2003, the lead plaintiffs appealed to the United States Court of Appeals for the Eighth Circuit from the final judgment entered on December 1, 2003. The litigation has been, and may continue to be, time-consuming and costly and could divert the attention of our management personnel. These lawsuits or any future lawsuits filed against us could harm our business.</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we have been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164"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IT MAY BE DIFFICULT FOR OUR SHAREHOLDERS TO ENFORCE ANY JUDGMENT OBTAINED IN THE UNITED STATES AGAINST US, THE SELLING SECURITYHOLDERS OR OUR AFFILIATES.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w:t>
      </w:r>
    </w:p>
    <w:p>
      <w:pPr>
        <w:sectPr>
          <w:pgSz w:w="11900" w:h="16846" w:orient="portrait"/>
          <w:cols w:equalWidth="0" w:num="1">
            <w:col w:w="10239"/>
          </w:cols>
          <w:pgMar w:left="220" w:top="620" w:right="1440" w:bottom="0" w:gutter="0" w:footer="0" w:header="0"/>
        </w:sectPr>
      </w:pPr>
    </w:p>
    <w:bookmarkStart w:id="18" w:name="page19"/>
    <w:bookmarkEnd w:id="18"/>
    <w:p>
      <w:pPr>
        <w:ind w:right="3379"/>
        <w:spacing w:after="0" w:line="254" w:lineRule="auto"/>
        <w:rPr>
          <w:sz w:val="20"/>
          <w:szCs w:val="20"/>
          <w:color w:val="auto"/>
        </w:rPr>
      </w:pPr>
      <w:r>
        <w:rPr>
          <w:rFonts w:ascii="Courier New" w:cs="Courier New" w:eastAsia="Courier New" w:hAnsi="Courier New"/>
          <w:sz w:val="14"/>
          <w:szCs w:val="14"/>
          <w:color w:val="auto"/>
        </w:rPr>
        <w:t>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CAPITAL STRUCTURE</w:t>
      </w:r>
    </w:p>
    <w:p>
      <w:pPr>
        <w:spacing w:after="0" w:line="175"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THE MARKET PRICE OF OUR ORDINARY SHARES HAS AND MAY CONTINUE TO FLUCTUATE WIDELY.</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market price of our ordinary shares has fluctuated widely and may continue to do so. During fiscal year 2004, our ordinary shares traded as high as $30.69 per share and as low as $18.08 per share. During fiscal year 2003, our ordinary shares traded as high as $27.25 per share and as low as $5.85 per share.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141" w:right="1440" w:bottom="1440" w:gutter="0" w:footer="0" w:header="0"/>
        </w:sectPr>
      </w:pPr>
    </w:p>
    <w:bookmarkStart w:id="19" w:name="page20"/>
    <w:bookmarkEnd w:id="19"/>
    <w:p>
      <w:pPr>
        <w:ind w:right="3379"/>
        <w:spacing w:after="0" w:line="254" w:lineRule="auto"/>
        <w:rPr>
          <w:sz w:val="20"/>
          <w:szCs w:val="20"/>
          <w:color w:val="auto"/>
        </w:rPr>
      </w:pPr>
      <w:r>
        <w:rPr>
          <w:rFonts w:ascii="Courier New" w:cs="Courier New" w:eastAsia="Courier New" w:hAnsi="Courier New"/>
          <w:sz w:val="14"/>
          <w:szCs w:val="14"/>
          <w:color w:val="auto"/>
        </w:rPr>
        <w:t>Our ordinary shares traded as high as $39.25 per share and as low as $6.10 per share in fiscal 2002 and as high as $80.50 per share and as low as $25.85 per share in fiscal 2001. As of October 27, 2004, the closing price of our ordinary shares was $24.75 per share. Many factors could cause the market price of our ordinary shares to rise and fall, including:</w:t>
      </w:r>
    </w:p>
    <w:p>
      <w:pPr>
        <w:spacing w:after="0" w:line="162" w:lineRule="exact"/>
        <w:rPr>
          <w:sz w:val="20"/>
          <w:szCs w:val="20"/>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conditions in the industry and the economy as a whole,</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our quarterly operating results,</w:t>
      </w:r>
    </w:p>
    <w:p>
      <w:pPr>
        <w:spacing w:after="0" w:line="175" w:lineRule="exact"/>
        <w:rPr>
          <w:rFonts w:ascii="Courier New" w:cs="Courier New" w:eastAsia="Courier New" w:hAnsi="Courier New"/>
          <w:sz w:val="14"/>
          <w:szCs w:val="14"/>
          <w:color w:val="auto"/>
        </w:rPr>
      </w:pPr>
    </w:p>
    <w:p>
      <w:pPr>
        <w:ind w:left="1320" w:right="415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announcements of technological innovations by us or our competitors,</w:t>
      </w:r>
    </w:p>
    <w:p>
      <w:pPr>
        <w:spacing w:after="0" w:line="159"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introductions of new products or new pricing policies by us or our competitors,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trends in the communications or software industries,</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or strategic alliances by us or others in our industry,</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estimates of our performance or recommendations by financial analysts, and</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developments in the Middle East.</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THE NOTES</w:t>
      </w:r>
    </w:p>
    <w:p>
      <w:pPr>
        <w:spacing w:after="0" w:line="175"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THE NOTES ARE EFFECTIVELY SUBORDINATED TO THE DEBT AND OTHER LIABILITIES OF OUR SUBSIDIARIES.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June 30, 2004, our subsidiaries had liabilities of approximately $964.7 million. We may from time to time incur additional debt. Our subsidiaries may also from time to time incur other additional debt and liabilities. The notes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20" w:name="page21"/>
    <w:bookmarkEnd w:id="20"/>
    <w:p>
      <w:pPr>
        <w:ind w:right="3459"/>
        <w:spacing w:after="0" w:line="258" w:lineRule="auto"/>
        <w:rPr>
          <w:sz w:val="20"/>
          <w:szCs w:val="20"/>
          <w:color w:val="auto"/>
        </w:rPr>
      </w:pPr>
      <w:r>
        <w:rPr>
          <w:rFonts w:ascii="Courier New" w:cs="Courier New" w:eastAsia="Courier New" w:hAnsi="Courier New"/>
          <w:sz w:val="14"/>
          <w:szCs w:val="14"/>
          <w:color w:val="auto"/>
        </w:rPr>
        <w:t>are also effectively subordinated to any secured obligations to the extent of the value of the assets securing such obligations. See "Description of Notes."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ARE DEPENDENT UPON OUR SUBSIDIARIES TO SERVICE OUR DEBT.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164"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WE MAY NOT HAVE THE FUNDS NECESSARY TO FINANCE THE REPURCHASE OF THE NOTES OR MAY OTHERWISE BE RESTRICTED FROM MAKING SUCH REPURCHASE IF REQUIRED BY HOLDERS PURSUANT TO THE INDENTURE.</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173" w:lineRule="exact"/>
        <w:rPr>
          <w:sz w:val="20"/>
          <w:szCs w:val="20"/>
          <w:color w:val="auto"/>
        </w:rPr>
      </w:pPr>
    </w:p>
    <w:p>
      <w:pPr>
        <w:jc w:val="both"/>
        <w:ind w:left="440" w:right="3459"/>
        <w:spacing w:after="0" w:line="255" w:lineRule="auto"/>
        <w:rPr>
          <w:sz w:val="20"/>
          <w:szCs w:val="20"/>
          <w:color w:val="auto"/>
        </w:rPr>
      </w:pPr>
      <w:r>
        <w:rPr>
          <w:rFonts w:ascii="Courier New" w:cs="Courier New" w:eastAsia="Courier New" w:hAnsi="Courier New"/>
          <w:sz w:val="14"/>
          <w:szCs w:val="14"/>
          <w:color w:val="auto"/>
        </w:rPr>
        <w:t>THE INDEBTEDNESS CREATED BY THE NOTES, AND ANY FUTURE INDEBTEDNESS, COULD ADVERSELY AFFECT OUR BUSINESS AND OUR ABILITY TO MAKE FULL PAYMENT ON THE NOTES.</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aggregate level of indebtedness increased as a result of the sale by us of the notes to the initial purchasers. As of June 30, 2004, we had $481.5 million of outstanding indebtedness and cash and short term investments of $1.2 billion.</w:t>
      </w:r>
    </w:p>
    <w:p>
      <w:pPr>
        <w:spacing w:after="0" w:line="163"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163" w:lineRule="exact"/>
        <w:rPr>
          <w:sz w:val="20"/>
          <w:szCs w:val="20"/>
          <w:color w:val="auto"/>
        </w:rPr>
      </w:pPr>
    </w:p>
    <w:p>
      <w:pPr>
        <w:ind w:left="1320" w:right="3639" w:hanging="530"/>
        <w:spacing w:after="0" w:line="258" w:lineRule="auto"/>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our vulnerability to adverse economic and industry conditions,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ability to obtain additional financing,</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ability to make acquisitions,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21" w:name="page22"/>
    <w:bookmarkEnd w:id="21"/>
    <w:p>
      <w:pPr>
        <w:ind w:left="1320" w:right="3639" w:hanging="530"/>
        <w:spacing w:after="0" w:line="254"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requiring the dedication of a substantial portion of our cash flow from operations to service our indebtedness, thereby reducing the amount of our cash flow available for other purposes, including capital expenditures,</w:t>
      </w:r>
    </w:p>
    <w:p>
      <w:pPr>
        <w:spacing w:after="0" w:line="163"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flexibility in planning for, or reacting to, changes in our business and the industries in which we compete, and</w:t>
      </w:r>
    </w:p>
    <w:p>
      <w:pPr>
        <w:spacing w:after="0" w:line="159"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placing us at a possible competitive disadvantage with less leveraged competitors and competitors that may have better access to capital resources.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331" w:lineRule="exact"/>
        <w:rPr>
          <w:sz w:val="20"/>
          <w:szCs w:val="20"/>
          <w:color w:val="auto"/>
        </w:rPr>
      </w:pPr>
    </w:p>
    <w:p>
      <w:pPr>
        <w:ind w:left="440" w:right="3279"/>
        <w:spacing w:after="0" w:line="256" w:lineRule="auto"/>
        <w:rPr>
          <w:sz w:val="20"/>
          <w:szCs w:val="20"/>
          <w:color w:val="auto"/>
        </w:rPr>
      </w:pPr>
      <w:r>
        <w:rPr>
          <w:rFonts w:ascii="Courier New" w:cs="Courier New" w:eastAsia="Courier New" w:hAnsi="Courier New"/>
          <w:sz w:val="14"/>
          <w:szCs w:val="14"/>
          <w:color w:val="auto"/>
        </w:rPr>
        <w:t>OUR MANAGEMENT WILL HAVE BROAD DISCRETION TO ALLOCATE THE PROCEEDS FROM THE SALE OF THE NOTES TO THE INITIAL PURCHASERS, WHICH MAY RESULT IN DECISIONS THAT NEGATIVELY AFFECT THE MARKET PRICE OF THE NOTES AND OUR ORDINARY SHARES.</w:t>
      </w:r>
    </w:p>
    <w:p>
      <w:pPr>
        <w:spacing w:after="0" w:line="327"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management will have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PUBLIC MARKET MAY NOT DEVELOP FOR THE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164" w:lineRule="exact"/>
        <w:rPr>
          <w:sz w:val="20"/>
          <w:szCs w:val="20"/>
          <w:color w:val="auto"/>
        </w:rPr>
      </w:pPr>
    </w:p>
    <w:p>
      <w:pPr>
        <w:ind w:left="440" w:right="3719"/>
        <w:spacing w:after="0" w:line="258" w:lineRule="auto"/>
        <w:rPr>
          <w:sz w:val="20"/>
          <w:szCs w:val="20"/>
          <w:color w:val="auto"/>
        </w:rPr>
      </w:pPr>
      <w:r>
        <w:rPr>
          <w:rFonts w:ascii="Courier New" w:cs="Courier New" w:eastAsia="Courier New" w:hAnsi="Courier New"/>
          <w:sz w:val="14"/>
          <w:szCs w:val="14"/>
          <w:color w:val="auto"/>
        </w:rPr>
        <w:t>THE TRADING PRICES OF THE NOTES COULD BE SIGNIFICANTLY AFFECTED BY THE TRADING PRICES OF OUR ORDINARY SHARES.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22" w:name="page23"/>
    <w:bookmarkEnd w:id="22"/>
    <w:p>
      <w:pPr>
        <w:ind w:right="3279"/>
        <w:spacing w:after="0" w:line="255" w:lineRule="auto"/>
        <w:rPr>
          <w:sz w:val="20"/>
          <w:szCs w:val="20"/>
          <w:color w:val="auto"/>
        </w:rPr>
      </w:pPr>
      <w:r>
        <w:rPr>
          <w:rFonts w:ascii="Courier New" w:cs="Courier New" w:eastAsia="Courier New" w:hAnsi="Courier New"/>
          <w:sz w:val="14"/>
          <w:szCs w:val="14"/>
          <w:color w:val="auto"/>
        </w:rPr>
        <w:t>substantial amounts of ordinary shares by us in the market after the offering of the notes, or the perception that such sales may occur, could affect the price of our ordinary shares.</w:t>
      </w:r>
    </w:p>
    <w:p>
      <w:pPr>
        <w:spacing w:after="0" w:line="162" w:lineRule="exact"/>
        <w:rPr>
          <w:sz w:val="20"/>
          <w:szCs w:val="20"/>
          <w:color w:val="auto"/>
        </w:rPr>
      </w:pPr>
    </w:p>
    <w:p>
      <w:pPr>
        <w:ind w:left="440" w:right="3539"/>
        <w:spacing w:after="0" w:line="255" w:lineRule="auto"/>
        <w:rPr>
          <w:sz w:val="20"/>
          <w:szCs w:val="20"/>
          <w:color w:val="auto"/>
        </w:rPr>
      </w:pPr>
      <w:r>
        <w:rPr>
          <w:rFonts w:ascii="Courier New" w:cs="Courier New" w:eastAsia="Courier New" w:hAnsi="Courier New"/>
          <w:sz w:val="14"/>
          <w:szCs w:val="14"/>
          <w:color w:val="auto"/>
        </w:rPr>
        <w:t>THE CONDITIONAL CONVERSION FEATURE OF THE NOTES COULD RESULT IN YOUR NOT RECEIVING THE VALUE OF THE ORDINARY SHARES INTO WHICH THE NOTES ARE CONVERTIBLE.</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163" w:lineRule="exact"/>
        <w:rPr>
          <w:sz w:val="20"/>
          <w:szCs w:val="20"/>
          <w:color w:val="auto"/>
        </w:rPr>
      </w:pPr>
    </w:p>
    <w:p>
      <w:pPr>
        <w:ind w:left="440" w:right="3799"/>
        <w:spacing w:after="0" w:line="258" w:lineRule="auto"/>
        <w:rPr>
          <w:sz w:val="20"/>
          <w:szCs w:val="20"/>
          <w:color w:val="auto"/>
        </w:rPr>
      </w:pPr>
      <w:r>
        <w:rPr>
          <w:rFonts w:ascii="Courier New" w:cs="Courier New" w:eastAsia="Courier New" w:hAnsi="Courier New"/>
          <w:sz w:val="14"/>
          <w:szCs w:val="14"/>
          <w:color w:val="auto"/>
        </w:rPr>
        <w:t>THE CONVERSION RATE OF THE NOTES MAY NOT BE ADJUSTED FOR ALL DILUTIVE EVENTS.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conversion rate of the notes is subject to adjustment for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including, but not limited to, the issuance of stock dividends on 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the issuance of certain rights or warrants, subdivisions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combinations of our ordinary shares, certain distributions of assets,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capital stock or cash to holders of our ordinary shares and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 tender or exchange offers as described under "Description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Notes--Conversion of Notes--Conversion Rate Adjustments." The conversion rate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not be adjusted for other events, such as an issuance of ordinary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cash, that may adversely affect the trading price of the notes or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There can be no assurance that an event that adversely affects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value of the notes, but does not result in an adjustment to the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will not occur.</w:t>
      </w:r>
    </w:p>
    <w:p>
      <w:pPr>
        <w:spacing w:after="0" w:line="175"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CONVERSION OF THE NOTES WILL DILUTE THE OWNERSHIP INTEREST OF EXISTING SHAREHOLDERS, INCLUDING HOLDERS WHO HAD PREVIOUSLY CONVERTED THEIR NOTES.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165"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IF YOU HOLD NOTES, YOU WILL NOT BE ENTITLED TO ANY RIGHTS WITH RESPECT TO OUR ORDINARY SHARES, BUT YOU WILL BE SUBJECT TO ALL CHANGES MADE WITH RESPECT TO OUR ORDINARY SHARES.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3" w:name="page24"/>
    <w:bookmarkEnd w:id="23"/>
    <w:p>
      <w:pPr>
        <w:ind w:left="1320"/>
        <w:spacing w:after="0"/>
        <w:rPr>
          <w:sz w:val="20"/>
          <w:szCs w:val="20"/>
          <w:color w:val="auto"/>
        </w:rPr>
      </w:pPr>
      <w:r>
        <w:rPr>
          <w:rFonts w:ascii="Courier New" w:cs="Courier New" w:eastAsia="Courier New" w:hAnsi="Courier New"/>
          <w:sz w:val="14"/>
          <w:szCs w:val="14"/>
          <w:color w:val="auto"/>
        </w:rPr>
        <w:t>SPECIAL NOTE REGARDING FORWARD-LOOKING INFORMATION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that are not statements of historical fact also may be forward-looking statements. Statements regarding our future business and/or results, including, without limitation, the statements under the captions "Summary," "Risk Factors," and "Operating and Financial Review and Prospects for the Three and Nine Month Periods Ended</w:t>
      </w:r>
    </w:p>
    <w:p>
      <w:pPr>
        <w:spacing w:after="0" w:line="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June 30, 2004"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4" w:name="page25"/>
    <w:bookmarkEnd w:id="24"/>
    <w:p>
      <w:pPr>
        <w:jc w:val="center"/>
        <w:ind w:right="3179"/>
        <w:spacing w:after="0"/>
        <w:rPr>
          <w:sz w:val="20"/>
          <w:szCs w:val="20"/>
          <w:color w:val="auto"/>
        </w:rPr>
      </w:pPr>
      <w:r>
        <w:rPr>
          <w:rFonts w:ascii="Courier New" w:cs="Courier New" w:eastAsia="Courier New" w:hAnsi="Courier New"/>
          <w:sz w:val="14"/>
          <w:szCs w:val="14"/>
          <w:color w:val="auto"/>
        </w:rPr>
        <w:t>OFFERING STATISTICS AND TIMETABLE</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$450,000,000 aggregate principal of notes and the 10,435,995 ordinary shares issuable upon conversion of the notes are being sold by the selling securityholders listed under the caption "Selling Securityholders" beginning on page 54.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16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REASONS FOR THE OFFER AND USE OF PROCEEDS</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DIVIDEND POLICY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16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MATERIAL CHANGES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used approximately $170.1 million of the net proceeds from the sale of the 0.50% Notes to repurchase approximately 6.1 million of ordinary shares sold short by purchasers of the 0.50% Notes in negotiated transactions concurrently with the offering. We intend to use the balance of the net proceeds for general corporate purposes, including working capital and capital expenditures, as well as for future possible strategic opportunities, including acquisitions. We also used net proceeds from the sale of the notes and other cash resources to repurchase approximately $395.1 million in aggregate principal amount of the 2% Notes through a cash tender offer that we announced on May 3, 2004 and which expired on June 1, 2004. The untendered principal amount of 2% Notes remain as obligations of the Company, due June 1, 2008, in accordance with their terms.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November 5, 2003, we announced that our Board of Directors had authorized a share repurchase program of up to five million ordinary shares over the next twelve months. The authorization permitted us to purchase ordinary shares in open market or privately negotiated transactions and at prices we deemed appropriate. We stated that one of the main purposes of the repurchase program was to offset the dilutive effect of any future share issuances, including issuances in connection with acquisitions or pursuant to employee equity plans. In accordance with this program, as of December 22, 2003, we had repurchased approximately 5.0 million ordinary shares, at an average price of $24.82 per share.</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July 28, 2004, we announced that our Board of Directors had extended the share repurchase program for the additional repurchase of up to $100 million of our ordinary shares in open market or privately negotiated transactions and at times and prices we deem appropriate. In accordance with this extension, as of October 28, 2004, we had repurchased approximately 4.9 million ordinary shares, at an average price of $20.40 per share.</w:t>
      </w:r>
    </w:p>
    <w:p>
      <w:pPr>
        <w:spacing w:after="0" w:line="165"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Pursuant to a previous share repurchase program, in fiscal 2002 we purchased 7.7 million of our ordinary share at a weighted average price of $14.13 per share.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5" w:name="page26"/>
    <w:bookmarkEnd w:id="25"/>
    <w:p>
      <w:pPr>
        <w:ind w:left="2620"/>
        <w:spacing w:after="0"/>
        <w:rPr>
          <w:sz w:val="20"/>
          <w:szCs w:val="20"/>
          <w:color w:val="auto"/>
        </w:rPr>
      </w:pPr>
      <w:r>
        <w:rPr>
          <w:rFonts w:ascii="Courier New" w:cs="Courier New" w:eastAsia="Courier New" w:hAnsi="Courier New"/>
          <w:sz w:val="14"/>
          <w:szCs w:val="14"/>
          <w:color w:val="auto"/>
        </w:rPr>
        <w:t>THE OFFER AND LISTING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INFORMATION</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HIGH</w:t>
            </w:r>
          </w:p>
        </w:tc>
        <w:tc>
          <w:tcPr>
            <w:tcW w:w="4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LOW</w:t>
            </w:r>
          </w:p>
        </w:tc>
      </w:tr>
      <w:tr>
        <w:trPr>
          <w:trHeight w:val="167"/>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w:t>
            </w:r>
          </w:p>
        </w:tc>
        <w:tc>
          <w:tcPr>
            <w:tcW w:w="4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YEAR ENDED SEPTEMBER 30,</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19.81</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80.50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2002:</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24.00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23.60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6.62</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2003:</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9.86</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13.25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18.55</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2004:</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18.90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22.17</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22.65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2005:</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(through October 27,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20.70</w:t>
            </w:r>
          </w:p>
        </w:tc>
      </w:tr>
      <w:tr>
        <w:trPr>
          <w:trHeight w:val="334"/>
        </w:trPr>
        <w:tc>
          <w:tcPr>
            <w:tcW w:w="48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Most Recent Six Months</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4"/>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April,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26.50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May,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23.62</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June,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25.95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22.65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July,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19.75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August,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September,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338"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As of September 30, 2004, we had 201,334,057 ordinary shares outstanding and there were approximately 240 holders of record of our ordinary shares. This figure does not reflect persons or entities who hold their ordinary shares in nominee or "street" name through various brokerage firms.</w:t>
      </w:r>
    </w:p>
    <w:p>
      <w:pPr>
        <w:spacing w:after="0" w:line="163"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On October 27, 2004, the last reported sale price of our ordinary shares on the NYSE was $24.75.</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EXPENSES OF THE ISSUE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selling securityholders will pay any underwriting discounts and commissions and expenses incurred by the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Filing Fee - Securities and Exchange Commission ....................</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57,015</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Legal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Registrar and Transfer agent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Accounting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Printing, EDGAR formatting and mailing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Miscellaneous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61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Total Expenses............................................</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$ 192,015</w:t>
            </w:r>
          </w:p>
        </w:tc>
      </w:tr>
      <w:tr>
        <w:trPr>
          <w:trHeight w:val="167"/>
        </w:trPr>
        <w:tc>
          <w:tcPr>
            <w:tcW w:w="61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6120" w:type="dxa"/>
            <w:vAlign w:val="bottom"/>
          </w:tcPr>
          <w:p>
            <w:pPr>
              <w:jc w:val="right"/>
              <w:ind w:right="2488"/>
              <w:spacing w:after="0"/>
              <w:rPr>
                <w:sz w:val="20"/>
                <w:szCs w:val="20"/>
                <w:color w:val="auto"/>
              </w:rPr>
            </w:pPr>
            <w:r>
              <w:rPr>
                <w:rFonts w:ascii="Courier New" w:cs="Courier New" w:eastAsia="Courier New" w:hAnsi="Courier New"/>
                <w:sz w:val="14"/>
                <w:szCs w:val="14"/>
                <w:color w:val="auto"/>
              </w:rPr>
              <w:t>23</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27" w:name="page28"/>
    <w:bookmarkEnd w:id="27"/>
    <w:p>
      <w:pPr>
        <w:jc w:val="center"/>
        <w:ind w:right="3279"/>
        <w:spacing w:after="0"/>
        <w:rPr>
          <w:sz w:val="20"/>
          <w:szCs w:val="20"/>
          <w:color w:val="auto"/>
        </w:rPr>
      </w:pPr>
      <w:r>
        <w:rPr>
          <w:rFonts w:ascii="Courier New" w:cs="Courier New" w:eastAsia="Courier New" w:hAnsi="Courier New"/>
          <w:sz w:val="14"/>
          <w:szCs w:val="14"/>
          <w:color w:val="auto"/>
        </w:rPr>
        <w:t>CAPITALIZATION</w:t>
      </w:r>
    </w:p>
    <w:p>
      <w:pPr>
        <w:spacing w:after="0" w:line="17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The following table sets forth our unaudited actual consolidated capitalization as of June 30, 2004.</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AS OF JUNE 30, 2004</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7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ACTUAL</w:t>
            </w:r>
          </w:p>
        </w:tc>
      </w:tr>
      <w:tr>
        <w:trPr>
          <w:trHeight w:val="835"/>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capital lease obligations - secured and unguaranteed.........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9,991</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capital lease obligation - secured and 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9,872</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Capital lease obligations, less current portion - 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9,168</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financing arrangements - unsecured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2,076</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 Convertible Notes due 2008......................................................</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0.50% Convertible Senior Notes due 2024 unsecured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450,000</w:t>
            </w:r>
          </w:p>
        </w:tc>
      </w:tr>
      <w:tr>
        <w:trPr>
          <w:trHeight w:val="167"/>
        </w:trPr>
        <w:tc>
          <w:tcPr>
            <w:tcW w:w="7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indebtedness.......................................................</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481,451</w:t>
            </w:r>
          </w:p>
        </w:tc>
      </w:tr>
      <w:tr>
        <w:trPr>
          <w:trHeight w:val="167"/>
        </w:trPr>
        <w:tc>
          <w:tcPr>
            <w:tcW w:w="7340" w:type="dxa"/>
            <w:vAlign w:val="bottom"/>
          </w:tcPr>
          <w:p>
            <w:pPr>
              <w:jc w:val="right"/>
              <w:ind w:right="5428"/>
              <w:spacing w:after="0"/>
              <w:rPr>
                <w:sz w:val="20"/>
                <w:szCs w:val="20"/>
                <w:color w:val="auto"/>
              </w:rPr>
            </w:pPr>
            <w:r>
              <w:rPr>
                <w:rFonts w:ascii="Courier New" w:cs="Courier New" w:eastAsia="Courier New" w:hAnsi="Courier New"/>
                <w:sz w:val="14"/>
                <w:szCs w:val="14"/>
                <w:color w:val="auto"/>
              </w:rPr>
              <w:t>Shareholders' equity:</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Preferred Shares - Authorized 25,000 shares;(pound)0.01 par value;</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 shares issued and outstanding..............................................</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Ordinary Shares - Authorized 550,000 shares;(pound)0.01 par value;</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224,854 issued and 206,135 outstanding(1)....................................</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3,599</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Additional paid-in capital.....................................................</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1,836,743</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Treasury Stock, at cost - 18,719 ordinary shares. .............................</w:t>
            </w: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(402,360)</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 other comprehensive loss...........................................</w:t>
            </w: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(358)</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Unearned compensation..........................................................</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571</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Retained earnings..............................................................</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45,908</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shareholders' equity...............................................</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1,482,961</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capitalization.....................................................</w:t>
            </w: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$1,964,412</w:t>
            </w:r>
          </w:p>
        </w:tc>
      </w:tr>
    </w:tbl>
    <w:p>
      <w:pPr>
        <w:spacing w:after="0" w:line="4" w:lineRule="exact"/>
        <w:rPr>
          <w:sz w:val="20"/>
          <w:szCs w:val="20"/>
          <w:color w:val="auto"/>
        </w:rPr>
      </w:pPr>
    </w:p>
    <w:p>
      <w:pPr>
        <w:ind w:left="8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440" w:right="3379" w:hanging="439"/>
        <w:spacing w:after="0" w:line="254" w:lineRule="auto"/>
        <w:tabs>
          <w:tab w:leader="none" w:pos="420" w:val="left"/>
        </w:tabs>
        <w:rPr>
          <w:sz w:val="20"/>
          <w:szCs w:val="20"/>
          <w:color w:val="auto"/>
        </w:rPr>
      </w:pPr>
      <w:r>
        <w:rPr>
          <w:rFonts w:ascii="Courier New" w:cs="Courier New" w:eastAsia="Courier New" w:hAnsi="Courier New"/>
          <w:sz w:val="14"/>
          <w:szCs w:val="14"/>
          <w:color w:val="auto"/>
        </w:rPr>
        <w:t>(1)</w:t>
        <w:tab/>
        <w:t>Reflects ordinary shares issued and outstanding as of June 30, 2004. Does not include 25,969 ordinary shares reserved for issuance upon the exercise of stock options that have been granted under our stock option plan and by companies we have acquired. As of September 30, 2004, there were 201,334,057 ordinary shares outstanding.</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787" w:right="1440" w:bottom="1440" w:gutter="0" w:footer="0" w:header="0"/>
        </w:sectPr>
      </w:pPr>
    </w:p>
    <w:bookmarkStart w:id="28" w:name="page29"/>
    <w:bookmarkEnd w:id="28"/>
    <w:p>
      <w:pPr>
        <w:ind w:left="2620"/>
        <w:spacing w:after="0"/>
        <w:rPr>
          <w:sz w:val="20"/>
          <w:szCs w:val="20"/>
          <w:color w:val="auto"/>
        </w:rPr>
      </w:pPr>
      <w:r>
        <w:rPr>
          <w:rFonts w:ascii="Courier New" w:cs="Courier New" w:eastAsia="Courier New" w:hAnsi="Courier New"/>
          <w:sz w:val="14"/>
          <w:szCs w:val="14"/>
          <w:color w:val="auto"/>
        </w:rPr>
        <w:t>DESCRIPTION OF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As used in this "Description of Notes" section, references to "Amdocs," "we," "our" or "us" refer solely to Amdocs Limited and not to our subsidiaries, unless the context otherwise requires.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"--Conversion of Notes."</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33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You are not afforded protection under the indenture in the event of a highly leveraged transaction or a change in control of us, except to the extent described below under "--Repurchase at Option of the Holder Upon a Designated Event."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29" w:name="page30"/>
    <w:bookmarkEnd w:id="29"/>
    <w:p>
      <w:pPr>
        <w:ind w:right="3279" w:firstLine="781"/>
        <w:spacing w:after="0" w:line="253" w:lineRule="auto"/>
        <w:rPr>
          <w:sz w:val="20"/>
          <w:szCs w:val="20"/>
          <w:color w:val="auto"/>
        </w:rPr>
      </w:pPr>
      <w:r>
        <w:rPr>
          <w:rFonts w:ascii="Courier New" w:cs="Courier New" w:eastAsia="Courier New" w:hAnsi="Courier New"/>
          <w:sz w:val="14"/>
          <w:szCs w:val="14"/>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 beginning September 15, 2004, to record holders at the close of business on the preceding March 1 and September 1, as the case may be.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164"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The notes are not subject to a sinking fund provision and are not subject to defeasance or covenant defeasance under the indenture.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NOTES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163" w:lineRule="exact"/>
        <w:rPr>
          <w:sz w:val="20"/>
          <w:szCs w:val="20"/>
          <w:color w:val="auto"/>
        </w:rPr>
      </w:pPr>
    </w:p>
    <w:p>
      <w:pPr>
        <w:ind w:left="1320" w:right="3719" w:hanging="530"/>
        <w:spacing w:after="0" w:line="258"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upon satisfaction of a market price condition;</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satisfaction of a trading price condition;</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certain credit ratings events;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notice of redemption; or</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transactions.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30" w:name="page31"/>
    <w:bookmarkEnd w:id="30"/>
    <w:p>
      <w:pPr>
        <w:ind w:left="440"/>
        <w:spacing w:after="0"/>
        <w:rPr>
          <w:sz w:val="20"/>
          <w:szCs w:val="20"/>
          <w:color w:val="auto"/>
        </w:rPr>
      </w:pPr>
      <w:r>
        <w:rPr>
          <w:rFonts w:ascii="Courier New" w:cs="Courier New" w:eastAsia="Courier New" w:hAnsi="Courier New"/>
          <w:sz w:val="14"/>
          <w:szCs w:val="14"/>
          <w:color w:val="auto"/>
        </w:rPr>
        <w:t>CONVERSION UPON SATISFACTION OF MARKET PRICE CONDITION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surrender your note for conversion into our ordinary shares prior to the close of business on the maturity date during any fiscal quarter commencing after March 31, 2004, and only during such fiscal quarter if the closing sale price of our ordinary shares exceeds 130% of the then effective conversion price for at least 20 trading days in the 30 consecutive trading days ending on the last trading day of the preceding fiscal quarter.</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SATISFACTION OF TRADING PRICE CONDITION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provided,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"trading price" of the notes on any date of determination means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of the secondary market bid quotations obtained by the trustee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$10,000,000 principal amount of the notes at approximately 3:30 p.m.,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time, on such determination date from three independent nationally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recognized securities dealers we select; provided that if three such bids cannot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be obtained by the trustee, but two such bids are obtained, then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of the two bids shall be used, and if only one such bid can reasonably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obtained by the trustee, that one bid shall be used. If the trustee cannot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obtain at least one bid for $10,000,000 principal amount of the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a nationally recognized securities dealer, then the trading price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principal amount of notes will be deemed to be less than 98%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of the "closing sale price" of our ordinary shares and the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CREDIT RATINGS EVENT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After the earlier of (a) the date the notes are rated by both Standard</w:t>
      </w:r>
    </w:p>
    <w:p>
      <w:pPr>
        <w:spacing w:after="0" w:line="8" w:lineRule="exact"/>
        <w:rPr>
          <w:sz w:val="20"/>
          <w:szCs w:val="20"/>
          <w:color w:val="auto"/>
        </w:rPr>
      </w:pPr>
    </w:p>
    <w:p>
      <w:pPr>
        <w:ind w:right="3459" w:firstLine="9"/>
        <w:spacing w:after="0" w:line="254" w:lineRule="auto"/>
        <w:tabs>
          <w:tab w:leader="none" w:pos="17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31" w:name="page32"/>
    <w:bookmarkEnd w:id="31"/>
    <w:p>
      <w:pPr>
        <w:ind w:right="3279"/>
        <w:spacing w:after="0" w:line="255" w:lineRule="auto"/>
        <w:rPr>
          <w:sz w:val="20"/>
          <w:szCs w:val="20"/>
          <w:color w:val="auto"/>
        </w:rPr>
      </w:pPr>
      <w:r>
        <w:rPr>
          <w:rFonts w:ascii="Courier New" w:cs="Courier New" w:eastAsia="Courier New" w:hAnsi="Courier New"/>
          <w:sz w:val="14"/>
          <w:szCs w:val="14"/>
          <w:color w:val="auto"/>
        </w:rPr>
        <w:t>either of these rating agencies no longer rates the notes, or if either of these rating agencies suspends or withdraws the rating assigned to the notes, or if the notes are not assigned a rating by both rating agencies.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NOTICE OF REDEMPTION</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SPECIFIED CORPORATE TRANSACTIONS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If we elect to:</w:t>
      </w:r>
    </w:p>
    <w:p>
      <w:pPr>
        <w:spacing w:after="0" w:line="175" w:lineRule="exact"/>
        <w:rPr>
          <w:sz w:val="20"/>
          <w:szCs w:val="20"/>
          <w:color w:val="auto"/>
        </w:rPr>
      </w:pPr>
    </w:p>
    <w:p>
      <w:pPr>
        <w:ind w:left="1320" w:right="3279" w:hanging="530"/>
        <w:spacing w:after="0" w:line="253"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16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33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"--Repurchase at Option of the Holder Upon a Designated Event."</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PROCEDURES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33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To convert your note into ordinary shares you must do the following (or comply with DTC procedures for doing so in respect of your beneficial interest in notes evidenced by a global note):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32" w:name="page33"/>
    <w:bookmarkEnd w:id="32"/>
    <w:p>
      <w:pPr>
        <w:jc w:val="both"/>
        <w:ind w:left="1320" w:right="3459" w:hanging="530"/>
        <w:spacing w:after="0" w:line="255"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and manually sign the conversion notice on the back of the note or facsimile of the conversion notice and deliver this notice to the conversion agent;</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surrender the note to the conversion agent;</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furnish appropriate endorsements and transfer documents;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pay all transfer or similar taxes; and</w:t>
      </w:r>
    </w:p>
    <w:p>
      <w:pPr>
        <w:spacing w:after="0" w:line="175"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pay funds equal to interest payable on the next interest payment date.</w:t>
      </w:r>
    </w:p>
    <w:p>
      <w:pPr>
        <w:spacing w:after="0" w:line="160"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date you comply with these requirements is the conversion date under the indenture.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RATE ADJUSTMENTS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 will adjust the conversion rate if any of the following events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occurs:</w:t>
      </w:r>
    </w:p>
    <w:p>
      <w:pPr>
        <w:spacing w:after="0" w:line="175" w:lineRule="exact"/>
        <w:rPr>
          <w:sz w:val="20"/>
          <w:szCs w:val="20"/>
          <w:color w:val="auto"/>
        </w:rPr>
      </w:pPr>
    </w:p>
    <w:p>
      <w:pPr>
        <w:ind w:left="1320" w:right="3639" w:hanging="530"/>
        <w:spacing w:after="0" w:line="258"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issue ordinary shares as a dividend or distribution on our ordinary shares.</w:t>
      </w:r>
    </w:p>
    <w:p>
      <w:pPr>
        <w:spacing w:after="0" w:line="159" w:lineRule="exact"/>
        <w:rPr>
          <w:rFonts w:ascii="Courier New" w:cs="Courier New" w:eastAsia="Courier New" w:hAnsi="Courier New"/>
          <w:sz w:val="14"/>
          <w:szCs w:val="14"/>
          <w:color w:val="auto"/>
        </w:rPr>
      </w:pPr>
    </w:p>
    <w:p>
      <w:pPr>
        <w:ind w:left="1320" w:right="3459" w:hanging="530"/>
        <w:spacing w:after="0" w:line="253"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16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subdivide or combine our ordinary shares.</w:t>
      </w:r>
    </w:p>
    <w:p>
      <w:pPr>
        <w:spacing w:after="0" w:line="17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163" w:lineRule="exact"/>
        <w:rPr>
          <w:rFonts w:ascii="Courier New" w:cs="Courier New" w:eastAsia="Courier New" w:hAnsi="Courier New"/>
          <w:sz w:val="14"/>
          <w:szCs w:val="14"/>
          <w:color w:val="auto"/>
        </w:rPr>
      </w:pPr>
    </w:p>
    <w:p>
      <w:pPr>
        <w:ind w:left="132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163" w:lineRule="exact"/>
        <w:rPr>
          <w:rFonts w:ascii="Courier New" w:cs="Courier New" w:eastAsia="Courier New" w:hAnsi="Courier New"/>
          <w:sz w:val="14"/>
          <w:szCs w:val="14"/>
          <w:color w:val="auto"/>
        </w:rPr>
      </w:pPr>
    </w:p>
    <w:p>
      <w:pPr>
        <w:ind w:left="132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w:t>
      </w:r>
    </w:p>
    <w:p>
      <w:pPr>
        <w:spacing w:after="0" w:line="1" w:lineRule="exact"/>
        <w:rPr>
          <w:rFonts w:ascii="Courier New" w:cs="Courier New" w:eastAsia="Courier New" w:hAnsi="Courier New"/>
          <w:sz w:val="14"/>
          <w:szCs w:val="14"/>
          <w:color w:val="auto"/>
        </w:rPr>
      </w:pPr>
    </w:p>
    <w:p>
      <w:pPr>
        <w:ind w:left="1320" w:right="3379" w:hanging="9"/>
        <w:spacing w:after="0" w:line="254" w:lineRule="auto"/>
        <w:tabs>
          <w:tab w:leader="none" w:pos="1667"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162" w:lineRule="exact"/>
        <w:rPr>
          <w:rFonts w:ascii="Courier New" w:cs="Courier New" w:eastAsia="Courier New" w:hAnsi="Courier New"/>
          <w:sz w:val="14"/>
          <w:szCs w:val="14"/>
          <w:color w:val="auto"/>
        </w:rPr>
      </w:pPr>
    </w:p>
    <w:p>
      <w:pPr>
        <w:ind w:left="1320" w:right="3379" w:hanging="530"/>
        <w:spacing w:after="0" w:line="253"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164"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163" w:lineRule="exact"/>
        <w:rPr>
          <w:sz w:val="20"/>
          <w:szCs w:val="20"/>
          <w:color w:val="auto"/>
        </w:rPr>
      </w:pPr>
    </w:p>
    <w:p>
      <w:pPr>
        <w:ind w:left="1320" w:right="3459"/>
        <w:spacing w:after="0" w:line="258" w:lineRule="auto"/>
        <w:rPr>
          <w:sz w:val="20"/>
          <w:szCs w:val="20"/>
          <w:color w:val="auto"/>
        </w:rPr>
      </w:pPr>
      <w:r>
        <w:rPr>
          <w:rFonts w:ascii="Courier New" w:cs="Courier New" w:eastAsia="Courier New" w:hAnsi="Courier New"/>
          <w:sz w:val="14"/>
          <w:szCs w:val="14"/>
          <w:color w:val="auto"/>
        </w:rPr>
        <w:t>The adjustment referred to in this clause (6) will only be made if:</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33" w:name="page34"/>
    <w:bookmarkEnd w:id="33"/>
    <w:p>
      <w:pPr>
        <w:ind w:left="1740" w:right="3279" w:hanging="429"/>
        <w:spacing w:after="0" w:line="255" w:lineRule="auto"/>
        <w:tabs>
          <w:tab w:leader="none" w:pos="17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tender offer or exchange offer is for an amount that increases the offeror's ownership of ordinary shares to more than 25% of the total ordinary shares outstanding; and</w:t>
      </w:r>
    </w:p>
    <w:p>
      <w:pPr>
        <w:spacing w:after="0" w:line="162" w:lineRule="exact"/>
        <w:rPr>
          <w:rFonts w:ascii="Courier New" w:cs="Courier New" w:eastAsia="Courier New" w:hAnsi="Courier New"/>
          <w:sz w:val="14"/>
          <w:szCs w:val="14"/>
          <w:color w:val="auto"/>
        </w:rPr>
      </w:pPr>
    </w:p>
    <w:p>
      <w:pPr>
        <w:ind w:left="1740" w:right="3279" w:hanging="429"/>
        <w:spacing w:after="0" w:line="254" w:lineRule="auto"/>
        <w:tabs>
          <w:tab w:leader="none" w:pos="17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162" w:lineRule="exact"/>
        <w:rPr>
          <w:sz w:val="20"/>
          <w:szCs w:val="20"/>
          <w:color w:val="auto"/>
        </w:rPr>
      </w:pPr>
    </w:p>
    <w:p>
      <w:pPr>
        <w:ind w:left="1320" w:right="3279"/>
        <w:spacing w:after="0" w:line="254" w:lineRule="auto"/>
        <w:rPr>
          <w:sz w:val="20"/>
          <w:szCs w:val="20"/>
          <w:color w:val="auto"/>
        </w:rPr>
      </w:pPr>
      <w:r>
        <w:rPr>
          <w:rFonts w:ascii="Courier New" w:cs="Courier New" w:eastAsia="Courier New" w:hAnsi="Courier New"/>
          <w:sz w:val="14"/>
          <w:szCs w:val="14"/>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the event of:</w:t>
      </w:r>
    </w:p>
    <w:p>
      <w:pPr>
        <w:spacing w:after="0" w:line="175" w:lineRule="exact"/>
        <w:rPr>
          <w:sz w:val="20"/>
          <w:szCs w:val="20"/>
          <w:color w:val="auto"/>
        </w:rPr>
      </w:pPr>
    </w:p>
    <w:p>
      <w:pPr>
        <w:ind w:left="1320" w:hanging="530"/>
        <w:spacing w:after="0"/>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reclassification of our ordinary shares;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consolidation, merger or combination involving us; or</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or conveyance to another person or entity of all or substantially all of our property and assets;</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Considerations--Tax Consequences to U.S. Holders--Adjustment to Conversion Rate."</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Considerations--Tax Consequences to U.S. Holders--Adjustment to Conversion Rate."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OPTIONAL REDEMPTION BY AMDOCS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 convert a portion of your notes, the converted portion will be deemed to the extent practicable to be of the portion selected for redemption.</w:t>
      </w:r>
    </w:p>
    <w:p>
      <w:pPr>
        <w:spacing w:after="0" w:line="33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We may not redeem the notes if we have failed to pay any interest on the notes and such failure to pay is continuing, or if the principal amount of the notes has been accelerated.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OPTION OF THE HOLDER</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164"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The repurchase price payable for a note will be equal to the principal amount to be repurchased, plus accrued and unpaid interest and liquidated damages, if any, to, but excluding, the repurchase date.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165" w:lineRule="exact"/>
        <w:rPr>
          <w:sz w:val="20"/>
          <w:szCs w:val="20"/>
          <w:color w:val="auto"/>
        </w:rPr>
      </w:pPr>
    </w:p>
    <w:p>
      <w:pPr>
        <w:ind w:left="1320" w:right="3279" w:hanging="530"/>
        <w:spacing w:after="0" w:line="255"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the ordinary shares to be issued upon repurchase under the Securities Act and the Securities Exchange Act of 1934, referred to herein as the Exchange Act, if required;</w:t>
      </w:r>
    </w:p>
    <w:p>
      <w:pPr>
        <w:spacing w:after="0" w:line="162"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of the ordinary shares to be issued upon repurchase under applicable state securities laws, if necessary, or the availability of an exemption therefrom; and</w:t>
      </w:r>
    </w:p>
    <w:p>
      <w:pPr>
        <w:spacing w:after="0" w:line="162" w:lineRule="exact"/>
        <w:rPr>
          <w:rFonts w:ascii="Courier New" w:cs="Courier New" w:eastAsia="Courier New" w:hAnsi="Courier New"/>
          <w:sz w:val="14"/>
          <w:szCs w:val="14"/>
          <w:color w:val="auto"/>
        </w:rPr>
      </w:pPr>
    </w:p>
    <w:p>
      <w:pPr>
        <w:ind w:left="1320" w:right="3799" w:hanging="530"/>
        <w:spacing w:after="0" w:line="254"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the ordinary shares on a United States national securities exchange or quotation thereof in an inter-dealer quotation system of any registered United States national securities association.</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16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You may withdraw any written repurchase notice by delivering a written notice of withdrawal to the paying agent prior to the close of business on the repurchase date. The withdrawal notice must state: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20" w:right="1440" w:bottom="1440" w:gutter="0" w:footer="0" w:header="0"/>
        </w:sectPr>
      </w:pPr>
    </w:p>
    <w:bookmarkStart w:id="35" w:name="page36"/>
    <w:bookmarkEnd w:id="35"/>
    <w:p>
      <w:pPr>
        <w:ind w:left="1320" w:hanging="530"/>
        <w:spacing w:after="0"/>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withdrawn notes;</w:t>
      </w:r>
    </w:p>
    <w:p>
      <w:pPr>
        <w:spacing w:after="0" w:line="175"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notes have been issued, the certificate numbers of the withdrawn notes (or, if your notes are not certificated, your withdrawal notice must comply with appropriate DTC procedures); and</w:t>
      </w:r>
    </w:p>
    <w:p>
      <w:pPr>
        <w:spacing w:after="0" w:line="163" w:lineRule="exact"/>
        <w:rPr>
          <w:rFonts w:ascii="Courier New" w:cs="Courier New" w:eastAsia="Courier New" w:hAnsi="Courier New"/>
          <w:sz w:val="14"/>
          <w:szCs w:val="14"/>
          <w:color w:val="auto"/>
        </w:rPr>
      </w:pPr>
    </w:p>
    <w:p>
      <w:pPr>
        <w:ind w:left="1320" w:right="3979" w:hanging="530"/>
        <w:spacing w:after="0" w:line="258"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if any, that remains subject to the repurchase notice.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331" w:lineRule="exact"/>
        <w:rPr>
          <w:sz w:val="20"/>
          <w:szCs w:val="20"/>
          <w:color w:val="auto"/>
        </w:rPr>
      </w:pPr>
    </w:p>
    <w:p>
      <w:pPr>
        <w:ind w:left="1320" w:hanging="530"/>
        <w:spacing w:after="0"/>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will cease to be outstanding;</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will cease to accrue; and</w:t>
      </w:r>
    </w:p>
    <w:p>
      <w:pPr>
        <w:spacing w:after="0" w:line="175"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rights of the holder will terminate, other than the right to receive the repurchase price upon delivery of the note.</w:t>
      </w:r>
    </w:p>
    <w:p>
      <w:pPr>
        <w:spacing w:after="0" w:line="160"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This will be the case whether or not book-entry transfer of the note has been made or the note has been delivered to the paying agent.</w:t>
      </w:r>
    </w:p>
    <w:p>
      <w:pPr>
        <w:spacing w:after="0" w:line="16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17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will comply with the provisions of Rule 13e-4 and any other tender offer rules under the Exchange Act that may be applicable at the time of the tender offer. To the extent applicable, we will file a Schedule TO or any other schedule required in connection with any offer by us to repurchase the notes.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OPTION OF THE HOLDER UPON A DESIGNATED EVENT</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20" w:right="1440" w:bottom="1440" w:gutter="0" w:footer="0" w:header="0"/>
        </w:sectPr>
      </w:pPr>
    </w:p>
    <w:bookmarkStart w:id="36" w:name="page37"/>
    <w:bookmarkEnd w:id="36"/>
    <w:p>
      <w:pPr>
        <w:ind w:right="3279" w:firstLine="781"/>
        <w:spacing w:after="0" w:line="253" w:lineRule="auto"/>
        <w:rPr>
          <w:sz w:val="20"/>
          <w:szCs w:val="20"/>
          <w:color w:val="auto"/>
        </w:rPr>
      </w:pPr>
      <w:r>
        <w:rPr>
          <w:rFonts w:ascii="Courier New" w:cs="Courier New" w:eastAsia="Courier New" w:hAnsi="Courier New"/>
          <w:sz w:val="14"/>
          <w:szCs w:val="14"/>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65" w:lineRule="exact"/>
        <w:rPr>
          <w:sz w:val="20"/>
          <w:szCs w:val="20"/>
          <w:color w:val="auto"/>
        </w:rPr>
      </w:pPr>
    </w:p>
    <w:p>
      <w:pPr>
        <w:ind w:left="1320" w:right="3279" w:hanging="530"/>
        <w:spacing w:after="0" w:line="258"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the shares to be issued upon redemption under the Securities Act and the Exchange Act, if required;</w:t>
      </w:r>
    </w:p>
    <w:p>
      <w:pPr>
        <w:spacing w:after="0" w:line="159" w:lineRule="exact"/>
        <w:rPr>
          <w:rFonts w:ascii="Courier New" w:cs="Courier New" w:eastAsia="Courier New" w:hAnsi="Courier New"/>
          <w:sz w:val="14"/>
          <w:szCs w:val="14"/>
          <w:color w:val="auto"/>
        </w:rPr>
      </w:pPr>
    </w:p>
    <w:p>
      <w:pPr>
        <w:ind w:left="1320" w:right="3539" w:hanging="530"/>
        <w:spacing w:after="0" w:line="255"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of the shares to be issued upon redemption under applicable state securities laws, if necessary, or the availability of an exemption therefrom; and</w:t>
      </w:r>
    </w:p>
    <w:p>
      <w:pPr>
        <w:spacing w:after="0" w:line="162"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the shares on a United States national securities exchange or quotation thereof in an inter-dealer quotation system of any registered United States national securities association.</w:t>
      </w:r>
    </w:p>
    <w:p>
      <w:pPr>
        <w:spacing w:after="0" w:line="16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If any condition is not satisfied, such as the condition that there be no restrictions on any transfer of the shares, the repurchase price may be paid only in cash. We may, at any time, irrevocably relinquish our right to pay the repurchase price in shares by entering into a supplemental indenture with the trustee.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163"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You may withdraw any written repurchase notice by delivering a written notice of withdrawal to the paying agent prior to the close of business on the repurchase date. The withdrawal notice must state:</w:t>
      </w:r>
    </w:p>
    <w:p>
      <w:pPr>
        <w:spacing w:after="0" w:line="162" w:lineRule="exact"/>
        <w:rPr>
          <w:sz w:val="20"/>
          <w:szCs w:val="20"/>
          <w:color w:val="auto"/>
        </w:rPr>
      </w:pPr>
    </w:p>
    <w:p>
      <w:pPr>
        <w:ind w:left="1320" w:hanging="530"/>
        <w:spacing w:after="0"/>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withdrawn notes;</w:t>
      </w:r>
    </w:p>
    <w:p>
      <w:pPr>
        <w:spacing w:after="0" w:line="175"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notes have been issued, the certificate numbers of the withdrawn notes (or, if your notes are not certificated, your withdrawal notice must comply with appropriate DTC procedures); and</w:t>
      </w:r>
    </w:p>
    <w:p>
      <w:pPr>
        <w:spacing w:after="0" w:line="163" w:lineRule="exact"/>
        <w:rPr>
          <w:rFonts w:ascii="Courier New" w:cs="Courier New" w:eastAsia="Courier New" w:hAnsi="Courier New"/>
          <w:sz w:val="14"/>
          <w:szCs w:val="14"/>
          <w:color w:val="auto"/>
        </w:rPr>
      </w:pPr>
    </w:p>
    <w:p>
      <w:pPr>
        <w:ind w:left="1320" w:right="3979" w:hanging="530"/>
        <w:spacing w:after="0" w:line="258" w:lineRule="auto"/>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if any, that remains subject to the repurchase notice.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164" w:lineRule="exact"/>
        <w:rPr>
          <w:sz w:val="20"/>
          <w:szCs w:val="20"/>
          <w:color w:val="auto"/>
        </w:rPr>
      </w:pPr>
    </w:p>
    <w:p>
      <w:pPr>
        <w:ind w:left="3400" w:right="5639" w:hanging="2610"/>
        <w:spacing w:after="0" w:line="511" w:lineRule="auto"/>
        <w:tabs>
          <w:tab w:leader="none" w:pos="131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will cease to be outstanding; 33</w:t>
      </w:r>
    </w:p>
    <w:p>
      <w:pPr>
        <w:sectPr>
          <w:pgSz w:w="11900" w:h="16838" w:orient="portrait"/>
          <w:cols w:equalWidth="0" w:num="1">
            <w:col w:w="10239"/>
          </w:cols>
          <w:pgMar w:left="220" w:top="620" w:right="1440" w:bottom="1440" w:gutter="0" w:footer="0" w:header="0"/>
        </w:sectPr>
      </w:pPr>
    </w:p>
    <w:bookmarkStart w:id="37" w:name="page38"/>
    <w:bookmarkEnd w:id="37"/>
    <w:p>
      <w:pPr>
        <w:ind w:left="1320" w:hanging="530"/>
        <w:spacing w:after="0"/>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will cease to accrue; and</w:t>
      </w:r>
    </w:p>
    <w:p>
      <w:pPr>
        <w:spacing w:after="0" w:line="175"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rights of the holder will terminate, other than the right to receive the repurchase price upon delivery of the note.</w:t>
      </w:r>
    </w:p>
    <w:p>
      <w:pPr>
        <w:spacing w:after="0" w:line="160"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This will be the case whether or not book-entry transfer of the note has been made or the note has been delivered to the paying agent.</w:t>
      </w:r>
    </w:p>
    <w:p>
      <w:pPr>
        <w:spacing w:after="0" w:line="160"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A "designated event" will be deemed to have occurred upon a fundamental change or a termination of trading.</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165" w:lineRule="exact"/>
        <w:rPr>
          <w:sz w:val="20"/>
          <w:szCs w:val="20"/>
          <w:color w:val="auto"/>
        </w:rPr>
      </w:pPr>
    </w:p>
    <w:p>
      <w:pPr>
        <w:ind w:left="1320" w:right="3379" w:hanging="530"/>
        <w:spacing w:after="0" w:line="258" w:lineRule="auto"/>
        <w:tabs>
          <w:tab w:leader="none" w:pos="13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listed on, or immediately after the transaction or event will be listed on, a United States national securities exchange, or</w:t>
      </w:r>
    </w:p>
    <w:p>
      <w:pPr>
        <w:spacing w:after="0" w:line="159"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approved, or immediately after the transaction or event will be approved, for quotation on the NASDAQ National Market or any similar United States system of automated dissemination of quotations of securities prices.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163"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ADDITIONAL TAX AMOUNTS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330" w:lineRule="exact"/>
        <w:rPr>
          <w:sz w:val="20"/>
          <w:szCs w:val="20"/>
          <w:color w:val="auto"/>
        </w:rPr>
      </w:pPr>
    </w:p>
    <w:p>
      <w:pPr>
        <w:ind w:left="1320" w:right="3279" w:hanging="530"/>
        <w:spacing w:after="0" w:line="253"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164"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162" w:lineRule="exact"/>
        <w:rPr>
          <w:rFonts w:ascii="Courier New" w:cs="Courier New" w:eastAsia="Courier New" w:hAnsi="Courier New"/>
          <w:sz w:val="14"/>
          <w:szCs w:val="14"/>
          <w:color w:val="auto"/>
        </w:rPr>
      </w:pPr>
    </w:p>
    <w:p>
      <w:pPr>
        <w:ind w:left="1320" w:right="3459" w:hanging="530"/>
        <w:spacing w:after="0" w:line="255"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any inheritance, gift, estate, personal property, sales, or similar taxes duties, levies, assessments or similar governmental charges; or</w:t>
      </w:r>
    </w:p>
    <w:p>
      <w:pPr>
        <w:spacing w:after="0" w:line="162" w:lineRule="exact"/>
        <w:rPr>
          <w:rFonts w:ascii="Courier New" w:cs="Courier New" w:eastAsia="Courier New" w:hAnsi="Courier New"/>
          <w:sz w:val="14"/>
          <w:szCs w:val="14"/>
          <w:color w:val="auto"/>
        </w:rPr>
      </w:pPr>
    </w:p>
    <w:p>
      <w:pPr>
        <w:jc w:val="both"/>
        <w:ind w:left="1320" w:right="4159" w:hanging="530"/>
        <w:spacing w:after="0" w:line="255"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any taxes, duties, levies, assessments or governmental charges that are payable otherwise than by withholding from payments in respect of such note.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Considerations--European Union Savings Tax Directive."</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TAX REDEMPTION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 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AND SALE OF ASSETS BY AMDOCS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165" w:lineRule="exact"/>
        <w:rPr>
          <w:sz w:val="20"/>
          <w:szCs w:val="20"/>
          <w:color w:val="auto"/>
        </w:rPr>
      </w:pPr>
    </w:p>
    <w:p>
      <w:pPr>
        <w:ind w:left="1320" w:right="3279" w:hanging="530"/>
        <w:spacing w:after="0" w:line="253" w:lineRule="auto"/>
        <w:tabs>
          <w:tab w:leader="none" w:pos="13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 (1) 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40" w:name="page41"/>
    <w:bookmarkEnd w:id="40"/>
    <w:p>
      <w:pPr>
        <w:ind w:left="1320" w:right="3379"/>
        <w:spacing w:after="0" w:line="254" w:lineRule="auto"/>
        <w:rPr>
          <w:sz w:val="20"/>
          <w:szCs w:val="20"/>
          <w:color w:val="auto"/>
        </w:rPr>
      </w:pPr>
      <w:r>
        <w:rPr>
          <w:rFonts w:ascii="Courier New" w:cs="Courier New" w:eastAsia="Courier New" w:hAnsi="Courier New"/>
          <w:sz w:val="14"/>
          <w:szCs w:val="14"/>
          <w:color w:val="auto"/>
        </w:rPr>
        <w:t>are not the surviving person, the surviving person files a supplement to the indenture and expressly assumes the payment of the principal and interest on the notes and the performance of our other covenants under the indenture;</w:t>
      </w:r>
    </w:p>
    <w:p>
      <w:pPr>
        <w:spacing w:after="0" w:line="163" w:lineRule="exact"/>
        <w:rPr>
          <w:sz w:val="20"/>
          <w:szCs w:val="20"/>
          <w:color w:val="auto"/>
        </w:rPr>
      </w:pPr>
    </w:p>
    <w:p>
      <w:pPr>
        <w:ind w:left="1320" w:right="3379" w:hanging="530"/>
        <w:spacing w:after="0" w:line="255"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such transaction, there is no event of default under the indenture, and no event which, after notice or passage of time or both, would become an event of default; and</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requirements as described in the indenture are met.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DEFAULT; NOTICE AND WAIVER</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events of default under the indenture:</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pay principal when due at maturity, upon redemption, repurchase or otherwise on the notes;</w:t>
      </w:r>
    </w:p>
    <w:p>
      <w:pPr>
        <w:spacing w:after="0" w:line="159" w:lineRule="exact"/>
        <w:rPr>
          <w:rFonts w:ascii="Courier New" w:cs="Courier New" w:eastAsia="Courier New" w:hAnsi="Courier New"/>
          <w:sz w:val="14"/>
          <w:szCs w:val="14"/>
          <w:color w:val="auto"/>
        </w:rPr>
      </w:pPr>
    </w:p>
    <w:p>
      <w:pPr>
        <w:ind w:left="1320" w:right="3279" w:hanging="530"/>
        <w:spacing w:after="0" w:line="260"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pay any interest and liquidated damages, if any, on the notes, when due and such failure continues for a period of 30 days;</w:t>
      </w:r>
    </w:p>
    <w:p>
      <w:pPr>
        <w:spacing w:after="0" w:line="324"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provide timely notice of a designated event;</w:t>
      </w:r>
    </w:p>
    <w:p>
      <w:pPr>
        <w:spacing w:after="0" w:line="17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163"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defaults or other defaults causing acceleration of indebtedness prior to maturity, where the principal amount of the indebtedness subject to such defaults aggregates $50.0 million or more;</w:t>
      </w:r>
    </w:p>
    <w:p>
      <w:pPr>
        <w:spacing w:after="0" w:line="163" w:lineRule="exact"/>
        <w:rPr>
          <w:rFonts w:ascii="Courier New" w:cs="Courier New" w:eastAsia="Courier New" w:hAnsi="Courier New"/>
          <w:sz w:val="14"/>
          <w:szCs w:val="14"/>
          <w:color w:val="auto"/>
        </w:rPr>
      </w:pPr>
    </w:p>
    <w:p>
      <w:pPr>
        <w:ind w:left="1320" w:right="3379" w:hanging="530"/>
        <w:spacing w:after="0" w:line="255"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deliver our ordinary shares upon conversion of the notes within the time period required by the indenture, and such failure continues for a period of five days; or</w:t>
      </w:r>
    </w:p>
    <w:p>
      <w:pPr>
        <w:spacing w:after="0" w:line="162" w:lineRule="exact"/>
        <w:rPr>
          <w:rFonts w:ascii="Courier New" w:cs="Courier New" w:eastAsia="Courier New" w:hAnsi="Courier New"/>
          <w:sz w:val="14"/>
          <w:szCs w:val="14"/>
          <w:color w:val="auto"/>
        </w:rPr>
      </w:pPr>
    </w:p>
    <w:p>
      <w:pPr>
        <w:ind w:left="1320" w:right="4239" w:hanging="530"/>
        <w:spacing w:after="0" w:line="258"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events involving our bankruptcy, insolvency or reorganization.</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trustee may withhold notice to the holders of the notes of any default, except defaults in payment of interest or liquidated damages, if any, on the notes. However, the trustee must consider it to be in the interest of the holders of the notes to withhold this notice.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163"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holders of a majority of outstanding notes will have the right to direct the time, method and place of any proceedings for any remedy available to the trustee, subject to limitations specified in the indenture.</w:t>
      </w:r>
    </w:p>
    <w:p>
      <w:pPr>
        <w:spacing w:after="0" w:line="16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No holder of the notes may pursue any remedy under the indenture, except in the case of a default in the payment of principal or interest on the notes, unless:</w:t>
      </w:r>
    </w:p>
    <w:p>
      <w:pPr>
        <w:spacing w:after="0" w:line="162" w:lineRule="exact"/>
        <w:rPr>
          <w:sz w:val="20"/>
          <w:szCs w:val="20"/>
          <w:color w:val="auto"/>
        </w:rPr>
      </w:pPr>
    </w:p>
    <w:p>
      <w:pPr>
        <w:ind w:left="1320" w:right="3539" w:hanging="530"/>
        <w:spacing w:after="0" w:line="258" w:lineRule="auto"/>
        <w:tabs>
          <w:tab w:leader="none" w:pos="13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has given the trustee written notice of an event of default;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20" w:right="1440" w:bottom="1440" w:gutter="0" w:footer="0" w:header="0"/>
        </w:sectPr>
      </w:pPr>
    </w:p>
    <w:bookmarkStart w:id="41" w:name="page42"/>
    <w:bookmarkEnd w:id="41"/>
    <w:p>
      <w:pPr>
        <w:ind w:left="1320" w:right="3539" w:hanging="530"/>
        <w:spacing w:after="0" w:line="255"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at least 25% in principal amount of outstanding notes make a written request and offer indemnity reasonably satisfactory to the trustee to pursue the remedy;</w:t>
      </w:r>
    </w:p>
    <w:p>
      <w:pPr>
        <w:spacing w:after="0" w:line="162"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does not receive an inconsistent direction from the holders of a majority in principal amount of the notes;</w:t>
      </w:r>
    </w:p>
    <w:p>
      <w:pPr>
        <w:spacing w:after="0" w:line="159" w:lineRule="exact"/>
        <w:rPr>
          <w:rFonts w:ascii="Courier New" w:cs="Courier New" w:eastAsia="Courier New" w:hAnsi="Courier New"/>
          <w:sz w:val="14"/>
          <w:szCs w:val="14"/>
          <w:color w:val="auto"/>
        </w:rPr>
      </w:pPr>
    </w:p>
    <w:p>
      <w:pPr>
        <w:ind w:left="1320" w:right="3979" w:hanging="530"/>
        <w:spacing w:after="0" w:line="255"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or holders have offered security or indemnity reasonably satisfactory to the trustee against any costs, liability or expense of the trustee; and</w:t>
      </w:r>
    </w:p>
    <w:p>
      <w:pPr>
        <w:spacing w:after="0" w:line="162"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fails to comply with the request within 60 days after receipt of the request and offer of indemnity.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MODIFICATION AND WAIVER</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163" w:lineRule="exact"/>
        <w:rPr>
          <w:sz w:val="20"/>
          <w:szCs w:val="20"/>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 the fixed maturity of any note;</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rate or extend the time for payment of interest, or liquidated damages, if any, on any note;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amount of any note;</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any amount payable upon redemption or repurchase of any note;</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adversely change our obligation to repurchase any note at the option of a holder or upon a designated event;</w:t>
      </w:r>
    </w:p>
    <w:p>
      <w:pPr>
        <w:spacing w:after="0" w:line="159"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of a holder to institute suit for payment on any note;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currency in which any note is payable;</w:t>
      </w:r>
    </w:p>
    <w:p>
      <w:pPr>
        <w:spacing w:after="0" w:line="175" w:lineRule="exact"/>
        <w:rPr>
          <w:rFonts w:ascii="Courier New" w:cs="Courier New" w:eastAsia="Courier New" w:hAnsi="Courier New"/>
          <w:sz w:val="14"/>
          <w:szCs w:val="14"/>
          <w:color w:val="auto"/>
        </w:rPr>
      </w:pPr>
    </w:p>
    <w:p>
      <w:pPr>
        <w:ind w:left="1320" w:right="3539" w:hanging="530"/>
        <w:spacing w:after="0" w:line="255"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of a holder to convert any note or reduce the number of ordinary shares or the amount of any other property receivable upon conversion;</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quorum or voting requirements under the indenture;</w:t>
      </w:r>
    </w:p>
    <w:p>
      <w:pPr>
        <w:spacing w:after="0" w:line="175" w:lineRule="exact"/>
        <w:rPr>
          <w:rFonts w:ascii="Courier New" w:cs="Courier New" w:eastAsia="Courier New" w:hAnsi="Courier New"/>
          <w:sz w:val="14"/>
          <w:szCs w:val="14"/>
          <w:color w:val="auto"/>
        </w:rPr>
      </w:pPr>
    </w:p>
    <w:p>
      <w:pPr>
        <w:jc w:val="both"/>
        <w:ind w:left="1320" w:right="3279" w:hanging="530"/>
        <w:spacing w:after="0" w:line="255"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specified exceptions, modify certain of the provisions of the indenture relating to modification or waiver of provisions of the indenture; or</w:t>
      </w:r>
    </w:p>
    <w:p>
      <w:pPr>
        <w:spacing w:after="0" w:line="162"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of notes required for consent to any modification of the indenture.</w:t>
      </w:r>
    </w:p>
    <w:p>
      <w:pPr>
        <w:spacing w:after="0" w:line="160"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are permitted to modify certain provisions of the indenture without the consent of the holders of the notes.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DENOMINATION AND REGISTRATION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notes were issued:</w:t>
      </w:r>
    </w:p>
    <w:p>
      <w:pPr>
        <w:spacing w:after="0" w:line="175" w:lineRule="exact"/>
        <w:rPr>
          <w:sz w:val="20"/>
          <w:szCs w:val="20"/>
          <w:color w:val="auto"/>
        </w:rPr>
      </w:pPr>
    </w:p>
    <w:p>
      <w:pPr>
        <w:ind w:left="1320" w:hanging="530"/>
        <w:spacing w:after="0"/>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fully registered form;</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interest coupons; and</w:t>
      </w:r>
    </w:p>
    <w:p>
      <w:pPr>
        <w:spacing w:after="0" w:line="175" w:lineRule="exact"/>
        <w:rPr>
          <w:rFonts w:ascii="Courier New" w:cs="Courier New" w:eastAsia="Courier New" w:hAnsi="Courier New"/>
          <w:sz w:val="14"/>
          <w:szCs w:val="14"/>
          <w:color w:val="auto"/>
        </w:rPr>
      </w:pPr>
    </w:p>
    <w:p>
      <w:pPr>
        <w:ind w:left="1320" w:right="4059" w:hanging="530"/>
        <w:spacing w:after="0" w:line="258" w:lineRule="auto"/>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denominations of $1,000 principal amount and integral multiples of $1,000.</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GLOBAL NOTE, BOOK-ENTRY FORM</w:t>
      </w:r>
    </w:p>
    <w:p>
      <w:pPr>
        <w:spacing w:after="0" w:line="17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Notes are evidenced by one or more global notes. We deposited the global note or notes with DTC and register the global notes in the name of Cede</w:t>
      </w:r>
    </w:p>
    <w:p>
      <w:pPr>
        <w:spacing w:after="0" w:line="1" w:lineRule="exact"/>
        <w:rPr>
          <w:sz w:val="20"/>
          <w:szCs w:val="20"/>
          <w:color w:val="auto"/>
        </w:rPr>
      </w:pPr>
    </w:p>
    <w:p>
      <w:pPr>
        <w:ind w:left="3400" w:right="6499" w:hanging="3391"/>
        <w:spacing w:after="0" w:line="511" w:lineRule="auto"/>
        <w:tabs>
          <w:tab w:leader="none" w:pos="18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as DTC's nominee. Except as set forth 38</w:t>
      </w:r>
    </w:p>
    <w:p>
      <w:pPr>
        <w:sectPr>
          <w:pgSz w:w="11900" w:h="16838" w:orient="portrait"/>
          <w:cols w:equalWidth="0" w:num="1">
            <w:col w:w="10239"/>
          </w:cols>
          <w:pgMar w:left="220" w:top="620" w:right="1440" w:bottom="1440" w:gutter="0" w:footer="0" w:header="0"/>
        </w:sectPr>
      </w:pPr>
    </w:p>
    <w:bookmarkStart w:id="42" w:name="page43"/>
    <w:bookmarkEnd w:id="42"/>
    <w:p>
      <w:pPr>
        <w:ind w:right="3539"/>
        <w:spacing w:after="0" w:line="258" w:lineRule="auto"/>
        <w:rPr>
          <w:sz w:val="20"/>
          <w:szCs w:val="20"/>
          <w:color w:val="auto"/>
        </w:rPr>
      </w:pPr>
      <w:r>
        <w:rPr>
          <w:rFonts w:ascii="Courier New" w:cs="Courier New" w:eastAsia="Courier New" w:hAnsi="Courier New"/>
          <w:sz w:val="14"/>
          <w:szCs w:val="14"/>
          <w:color w:val="auto"/>
        </w:rPr>
        <w:t>below, a global note may be transferred, in whole or in part, only to another nominee of DTC or to a successor of DTC or its nominee.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165" w:lineRule="exact"/>
        <w:rPr>
          <w:sz w:val="20"/>
          <w:szCs w:val="20"/>
          <w:color w:val="auto"/>
        </w:rPr>
      </w:pPr>
    </w:p>
    <w:p>
      <w:pPr>
        <w:ind w:left="1320" w:right="3799" w:hanging="530"/>
        <w:spacing w:after="0" w:line="258" w:lineRule="auto"/>
        <w:tabs>
          <w:tab w:leader="none" w:pos="13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receive physical delivery of certificates in definitive registered form; and</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be considered holders of the global note.</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162" w:lineRule="exact"/>
        <w:rPr>
          <w:sz w:val="20"/>
          <w:szCs w:val="20"/>
          <w:color w:val="auto"/>
        </w:rPr>
      </w:pPr>
    </w:p>
    <w:p>
      <w:pPr>
        <w:ind w:left="1320" w:right="3719" w:hanging="530"/>
        <w:spacing w:after="0" w:line="258"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records relating to, or payments made on account of, beneficial ownership interests in a global note; or</w:t>
      </w:r>
    </w:p>
    <w:p>
      <w:pPr>
        <w:spacing w:after="0" w:line="159"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maintaining, supervising or reviewing any records relating to the beneficial ownership interests.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DTC has advised us that it is:</w:t>
      </w:r>
    </w:p>
    <w:p>
      <w:pPr>
        <w:spacing w:after="0" w:line="175" w:lineRule="exact"/>
        <w:rPr>
          <w:sz w:val="20"/>
          <w:szCs w:val="20"/>
          <w:color w:val="auto"/>
        </w:rPr>
      </w:pPr>
    </w:p>
    <w:p>
      <w:pPr>
        <w:ind w:left="1320" w:right="345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limited purpose trust company organized under the laws of the State of New York, and a member of the Federal Reserve System;</w:t>
      </w:r>
    </w:p>
    <w:p>
      <w:pPr>
        <w:spacing w:after="0" w:line="159"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"clearing corporation" within the meaning of the Uniform Commercial Code; and</w:t>
      </w:r>
    </w:p>
    <w:p>
      <w:pPr>
        <w:spacing w:after="0" w:line="159"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"clearing agency" registered pursuant to the provisions of Section 17A of the Exchange Act.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43" w:name="page44"/>
    <w:bookmarkEnd w:id="43"/>
    <w:p>
      <w:pPr>
        <w:ind w:right="3459" w:firstLine="781"/>
        <w:spacing w:after="0" w:line="254" w:lineRule="auto"/>
        <w:rPr>
          <w:sz w:val="20"/>
          <w:szCs w:val="20"/>
          <w:color w:val="auto"/>
        </w:rPr>
      </w:pPr>
      <w:r>
        <w:rPr>
          <w:rFonts w:ascii="Courier New" w:cs="Courier New" w:eastAsia="Courier New" w:hAnsi="Courier New"/>
          <w:sz w:val="14"/>
          <w:szCs w:val="14"/>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65" w:lineRule="exact"/>
        <w:rPr>
          <w:sz w:val="20"/>
          <w:szCs w:val="20"/>
          <w:color w:val="auto"/>
        </w:rPr>
      </w:pPr>
    </w:p>
    <w:p>
      <w:pPr>
        <w:ind w:left="1320" w:right="3639" w:hanging="530"/>
        <w:spacing w:after="0" w:line="254" w:lineRule="auto"/>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163" w:lineRule="exact"/>
        <w:rPr>
          <w:rFonts w:ascii="Courier New" w:cs="Courier New" w:eastAsia="Courier New" w:hAnsi="Courier New"/>
          <w:sz w:val="14"/>
          <w:szCs w:val="14"/>
          <w:color w:val="auto"/>
        </w:rPr>
      </w:pPr>
    </w:p>
    <w:p>
      <w:pPr>
        <w:ind w:left="1320" w:right="3719" w:hanging="530"/>
        <w:spacing w:after="0" w:line="254" w:lineRule="auto"/>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the holding period applicable to such securities held by persons that are not affiliates of Amdocs under Rule 144(k) under the Securities Act, or any successor provision.</w:t>
      </w:r>
    </w:p>
    <w:p>
      <w:pPr>
        <w:spacing w:after="0" w:line="163"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When we use the term "registrable securities" in this section, we are referring to the notes and the ordinary shares issuable upon conversion of the notes until the earliest of:</w:t>
      </w:r>
    </w:p>
    <w:p>
      <w:pPr>
        <w:spacing w:after="0" w:line="162" w:lineRule="exact"/>
        <w:rPr>
          <w:sz w:val="20"/>
          <w:szCs w:val="20"/>
          <w:color w:val="auto"/>
        </w:rPr>
      </w:pPr>
    </w:p>
    <w:p>
      <w:pPr>
        <w:ind w:left="1320" w:right="3719" w:hanging="530"/>
        <w:spacing w:after="0" w:line="255"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registration under the Securities Act and the resale of the securities in accordance with the registration statement;</w:t>
      </w:r>
    </w:p>
    <w:p>
      <w:pPr>
        <w:spacing w:after="0" w:line="162" w:lineRule="exact"/>
        <w:rPr>
          <w:rFonts w:ascii="Courier New" w:cs="Courier New" w:eastAsia="Courier New" w:hAnsi="Courier New"/>
          <w:sz w:val="14"/>
          <w:szCs w:val="14"/>
          <w:color w:val="auto"/>
        </w:rPr>
      </w:pPr>
    </w:p>
    <w:p>
      <w:pPr>
        <w:ind w:left="1320" w:right="3639" w:hanging="530"/>
        <w:spacing w:after="0" w:line="255"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the holding period with respect to the registrable securities under Rule 144(k) under the Securities Act; and</w:t>
      </w:r>
    </w:p>
    <w:p>
      <w:pPr>
        <w:spacing w:after="0" w:line="162"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the registrable securities to the public pursuant to Rule 144 under the Securities Act.</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329"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We may suspend the use of the prospectus under certain circumstances relating to pending corporate developments, public filings with the SEC and similar events. Any suspension period shall not exceed:</w:t>
      </w:r>
    </w:p>
    <w:p>
      <w:pPr>
        <w:spacing w:after="0" w:line="162" w:lineRule="exact"/>
        <w:rPr>
          <w:sz w:val="20"/>
          <w:szCs w:val="20"/>
          <w:color w:val="auto"/>
        </w:rPr>
      </w:pPr>
    </w:p>
    <w:p>
      <w:pPr>
        <w:ind w:left="1320" w:hanging="530"/>
        <w:spacing w:after="0"/>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 days in any three-month period; or</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of 90 days for all periods in any 12-month period.</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1440" w:gutter="0" w:footer="0" w:header="0"/>
        </w:sectPr>
      </w:pPr>
    </w:p>
    <w:bookmarkStart w:id="44" w:name="page45"/>
    <w:bookmarkEnd w:id="44"/>
    <w:p>
      <w:pPr>
        <w:ind w:left="1320" w:right="3459" w:hanging="530"/>
        <w:spacing w:after="0" w:line="253"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164"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no event will liquidated damages accrue at an annual rate exceeding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0.50%.</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a result of the shelf registration statement not being declared effective within the time periods described above, we became obligated to pay to the holders of the notes aggregate liquidated damages in the amount of $68,750. We paid $43,750 of this amount on September 15, 2004 in conjunction with our interest payment to the record holders of the notes as of the close of business on September 1, 2004, and we will pay the balance in connection with our March 15, 2005 interest payment to the record holders of the notes as of the close of business on March 1, 2005.</w:t>
      </w:r>
    </w:p>
    <w:p>
      <w:pPr>
        <w:spacing w:after="0" w:line="165"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A holder who elects to sell registrable securities pursuant to the shelf registration statement will be required to:</w:t>
      </w:r>
    </w:p>
    <w:p>
      <w:pPr>
        <w:spacing w:after="0" w:line="160" w:lineRule="exact"/>
        <w:rPr>
          <w:sz w:val="20"/>
          <w:szCs w:val="20"/>
          <w:color w:val="auto"/>
        </w:rPr>
      </w:pPr>
    </w:p>
    <w:p>
      <w:pPr>
        <w:ind w:left="1320" w:hanging="530"/>
        <w:spacing w:after="0"/>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named as a selling securityholder in the related prospectus;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 prospectus to purchasers; and</w:t>
      </w:r>
    </w:p>
    <w:p>
      <w:pPr>
        <w:spacing w:after="0" w:line="175" w:lineRule="exact"/>
        <w:rPr>
          <w:rFonts w:ascii="Courier New" w:cs="Courier New" w:eastAsia="Courier New" w:hAnsi="Courier New"/>
          <w:sz w:val="14"/>
          <w:szCs w:val="14"/>
          <w:color w:val="auto"/>
        </w:rPr>
      </w:pPr>
    </w:p>
    <w:p>
      <w:pPr>
        <w:ind w:left="1320" w:right="4159" w:hanging="530"/>
        <w:spacing w:after="0" w:line="258" w:lineRule="auto"/>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subject to the provisions of the registration rights agreement, including indemnification provisions.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Under the registration rights agreement we will:</w:t>
      </w:r>
    </w:p>
    <w:p>
      <w:pPr>
        <w:spacing w:after="0" w:line="175" w:lineRule="exact"/>
        <w:rPr>
          <w:sz w:val="20"/>
          <w:szCs w:val="20"/>
          <w:color w:val="auto"/>
        </w:rPr>
      </w:pPr>
    </w:p>
    <w:p>
      <w:pPr>
        <w:ind w:left="1320" w:right="3279" w:hanging="530"/>
        <w:spacing w:after="0" w:line="258"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all customary expenses with respect to the shelf registration statement;</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each registered holder copies of the prospectus;</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 holders when the shelf registration statement has become effective; and</w:t>
      </w:r>
    </w:p>
    <w:p>
      <w:pPr>
        <w:spacing w:after="0" w:line="159"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other reasonable actions as are required to permit unrestricted resales of the registrable securities in accordance with the terms and conditions of the registration rights agreement.</w:t>
      </w:r>
    </w:p>
    <w:p>
      <w:pPr>
        <w:spacing w:after="0" w:line="163" w:lineRule="exact"/>
        <w:rPr>
          <w:sz w:val="20"/>
          <w:szCs w:val="20"/>
          <w:color w:val="auto"/>
        </w:rPr>
      </w:pPr>
    </w:p>
    <w:p>
      <w:pPr>
        <w:jc w:val="both"/>
        <w:ind w:right="3379" w:firstLine="781"/>
        <w:spacing w:after="0" w:line="252" w:lineRule="auto"/>
        <w:rPr>
          <w:sz w:val="20"/>
          <w:szCs w:val="20"/>
          <w:color w:val="auto"/>
        </w:rPr>
      </w:pPr>
      <w:r>
        <w:rPr>
          <w:rFonts w:ascii="Courier New" w:cs="Courier New" w:eastAsia="Courier New" w:hAnsi="Courier New"/>
          <w:sz w:val="14"/>
          <w:szCs w:val="14"/>
          <w:color w:val="auto"/>
        </w:rPr>
        <w:t>The plan of distribution of the shelf registration statement, of which this prospectus is a part, permits resales of registrable securities by selling securityholders through brokers and dealers.</w:t>
      </w:r>
    </w:p>
    <w:p>
      <w:pPr>
        <w:spacing w:after="0" w:line="1"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We agreed in the registration rights agreement to give notice to all holders of the filing and effectiveness of the shelf registration statement, of which this prospectus is a part.</w:t>
      </w:r>
    </w:p>
    <w:p>
      <w:pPr>
        <w:spacing w:after="0" w:line="1"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RULE 144A INFORMATION REQUEST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THE TRUSTEE</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45" w:name="page46"/>
    <w:bookmarkEnd w:id="45"/>
    <w:p>
      <w:pPr>
        <w:ind w:right="3379" w:firstLine="781"/>
        <w:spacing w:after="0" w:line="253" w:lineRule="auto"/>
        <w:rPr>
          <w:sz w:val="20"/>
          <w:szCs w:val="20"/>
          <w:color w:val="auto"/>
        </w:rPr>
      </w:pPr>
      <w:r>
        <w:rPr>
          <w:rFonts w:ascii="Courier New" w:cs="Courier New" w:eastAsia="Courier New" w:hAnsi="Courier New"/>
          <w:sz w:val="14"/>
          <w:szCs w:val="14"/>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The notes and the indenture are governed by, and construed in accordance with, the laws of the State of New York.</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20" w:right="1440" w:bottom="1440" w:gutter="0" w:footer="0" w:header="0"/>
        </w:sectPr>
      </w:pPr>
    </w:p>
    <w:bookmarkStart w:id="46" w:name="page47"/>
    <w:bookmarkEnd w:id="46"/>
    <w:p>
      <w:pPr>
        <w:ind w:left="2260"/>
        <w:spacing w:after="0"/>
        <w:rPr>
          <w:sz w:val="20"/>
          <w:szCs w:val="20"/>
          <w:color w:val="auto"/>
        </w:rPr>
      </w:pPr>
      <w:r>
        <w:rPr>
          <w:rFonts w:ascii="Courier New" w:cs="Courier New" w:eastAsia="Courier New" w:hAnsi="Courier New"/>
          <w:sz w:val="14"/>
          <w:szCs w:val="14"/>
          <w:color w:val="auto"/>
        </w:rPr>
        <w:t>DESCRIPTION OF SHARE CAPITAL</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share capital of Amdocs is (pound)5,750,000 divided into (i) 25,000,000 preferred shares with a par value of (pound)0.01 per share and (ii) 550,000,000 ordinary shares with a par value of (pound)0.01 per share, consisting of 500,000,000 voting ordinary shares and 50,000,000 non-voting ordinary shares. As of September 30, 2004, 201,334,057 ordinary shares were outstanding (net of treasury shares) and no non-voting ordinary shares or preferred shares were outstanding. The rights, preferences and restrictions attaching to each class of the shares are as follows: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PREFERRED SHARES</w:t>
      </w:r>
    </w:p>
    <w:p>
      <w:pPr>
        <w:spacing w:after="0" w:line="175" w:lineRule="exact"/>
        <w:rPr>
          <w:sz w:val="20"/>
          <w:szCs w:val="20"/>
          <w:color w:val="auto"/>
        </w:rPr>
      </w:pPr>
    </w:p>
    <w:p>
      <w:pPr>
        <w:ind w:left="1320" w:right="3459" w:hanging="530"/>
        <w:spacing w:after="0" w:line="255"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the preferred shares may be issued from time to time in one or more series of any number of shares up to the amount authorized.</w:t>
      </w:r>
    </w:p>
    <w:p>
      <w:pPr>
        <w:spacing w:after="0" w:line="162"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65"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163"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163"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ORDINARY SHARES AND NON-VOTING ORDINARY SHARES</w:t>
      </w:r>
    </w:p>
    <w:p>
      <w:pPr>
        <w:spacing w:after="0" w:line="17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Except as otherwise provided by the Memorandum of Association and Articles of Association, the ordinary shares and non-voting ordinary shares are identical and entitle holders thereof to the same rights and privileges.</w:t>
      </w:r>
    </w:p>
    <w:p>
      <w:pPr>
        <w:spacing w:after="0" w:line="162" w:lineRule="exact"/>
        <w:rPr>
          <w:sz w:val="20"/>
          <w:szCs w:val="20"/>
          <w:color w:val="auto"/>
        </w:rPr>
      </w:pPr>
    </w:p>
    <w:p>
      <w:pPr>
        <w:ind w:left="1320" w:right="3279" w:hanging="530"/>
        <w:spacing w:after="0" w:line="253" w:lineRule="auto"/>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164" w:lineRule="exact"/>
        <w:rPr>
          <w:rFonts w:ascii="Courier New" w:cs="Courier New" w:eastAsia="Courier New" w:hAnsi="Courier New"/>
          <w:sz w:val="14"/>
          <w:szCs w:val="14"/>
          <w:color w:val="auto"/>
        </w:rPr>
      </w:pPr>
    </w:p>
    <w:p>
      <w:pPr>
        <w:ind w:left="1320" w:right="3539" w:hanging="530"/>
        <w:spacing w:after="0" w:line="253" w:lineRule="auto"/>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20" w:right="1440" w:bottom="1440" w:gutter="0" w:footer="0" w:header="0"/>
        </w:sectPr>
      </w:pPr>
    </w:p>
    <w:bookmarkStart w:id="47" w:name="page48"/>
    <w:bookmarkEnd w:id="47"/>
    <w:p>
      <w:pPr>
        <w:ind w:left="530" w:right="33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162"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the holders of voting ordinary shares are entitled to vote on all matters to be voted on by the members, and the holders of non-voting ordinary shares are not entitled to any voting rights.</w:t>
      </w:r>
    </w:p>
    <w:p>
      <w:pPr>
        <w:spacing w:after="0" w:line="163"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Preferences -- the voting ordinary shares and non-voting ordinary shares are subject to all the powers, rights, privileges, preferences and priorities of the preferred shares as are set out in the Articles of Association.</w:t>
      </w:r>
    </w:p>
    <w:p>
      <w:pPr>
        <w:spacing w:after="0" w:line="163"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9449"/>
          </w:cols>
          <w:pgMar w:left="1010" w:top="620" w:right="1440" w:bottom="1440" w:gutter="0" w:footer="0" w:header="0"/>
        </w:sectPr>
      </w:pPr>
    </w:p>
    <w:bookmarkStart w:id="48" w:name="page49"/>
    <w:bookmarkEnd w:id="48"/>
    <w:p>
      <w:pPr>
        <w:ind w:left="1140"/>
        <w:spacing w:after="0"/>
        <w:rPr>
          <w:sz w:val="20"/>
          <w:szCs w:val="20"/>
          <w:color w:val="auto"/>
        </w:rPr>
      </w:pPr>
      <w:r>
        <w:rPr>
          <w:rFonts w:ascii="Courier New" w:cs="Courier New" w:eastAsia="Courier New" w:hAnsi="Courier New"/>
          <w:sz w:val="14"/>
          <w:szCs w:val="14"/>
          <w:color w:val="auto"/>
        </w:rPr>
        <w:t>COMPARISON OF UNITED STATES AND GUERNSEY CORPORATE LAW</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20" w:right="1440" w:bottom="1440" w:gutter="0" w:footer="0" w:header="0"/>
        </w:sectPr>
      </w:pPr>
    </w:p>
    <w:bookmarkStart w:id="49" w:name="page50"/>
    <w:bookmarkEnd w:id="49"/>
    <w:p>
      <w:pPr>
        <w:ind w:right="3279"/>
        <w:spacing w:after="0" w:line="258" w:lineRule="auto"/>
        <w:rPr>
          <w:sz w:val="20"/>
          <w:szCs w:val="20"/>
          <w:color w:val="auto"/>
        </w:rPr>
      </w:pPr>
      <w:r>
        <w:rPr>
          <w:rFonts w:ascii="Courier New" w:cs="Courier New" w:eastAsia="Courier New" w:hAnsi="Courier New"/>
          <w:sz w:val="14"/>
          <w:szCs w:val="14"/>
          <w:color w:val="auto"/>
        </w:rPr>
        <w:t>we have no obligation to indemnify any such persons for any claims they incur or sustain by or through their own willful act or default.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20" w:right="1440" w:bottom="1440" w:gutter="0" w:footer="0" w:header="0"/>
        </w:sectPr>
      </w:pPr>
    </w:p>
    <w:bookmarkStart w:id="50" w:name="page51"/>
    <w:bookmarkEnd w:id="50"/>
    <w:p>
      <w:pPr>
        <w:ind w:left="1140"/>
        <w:spacing w:after="0"/>
        <w:rPr>
          <w:sz w:val="20"/>
          <w:szCs w:val="20"/>
          <w:color w:val="auto"/>
        </w:rPr>
      </w:pPr>
      <w:r>
        <w:rPr>
          <w:rFonts w:ascii="Courier New" w:cs="Courier New" w:eastAsia="Courier New" w:hAnsi="Courier New"/>
          <w:sz w:val="14"/>
          <w:szCs w:val="14"/>
          <w:color w:val="auto"/>
        </w:rPr>
        <w:t>CERTAIN UNITED STATES FEDERAL INCOME TAX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163" w:lineRule="exact"/>
        <w:rPr>
          <w:sz w:val="20"/>
          <w:szCs w:val="20"/>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banks or other financial institutions;</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entities treated as partnerships or other flow-through entities for United States federal income tax purposes;</w:t>
      </w:r>
    </w:p>
    <w:p>
      <w:pPr>
        <w:spacing w:after="0" w:line="159"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Holders (as defined below) whose functional currency is other than the United States dollar;</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tax-exempt entities;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companies;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regulated investment companies;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dealers in securities or currencies; or</w:t>
      </w:r>
    </w:p>
    <w:p>
      <w:pPr>
        <w:spacing w:after="0" w:line="175"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20"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4"/>
          <w:szCs w:val="14"/>
          <w:color w:val="auto"/>
        </w:rPr>
        <w:t>TAX CONSEQUENCES TO U.S. HOLDERS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 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may make payments of liquidated damages or certain other contingent payments to holders of the notes:</w:t>
      </w:r>
    </w:p>
    <w:p>
      <w:pPr>
        <w:spacing w:after="0" w:line="160" w:lineRule="exact"/>
        <w:rPr>
          <w:sz w:val="20"/>
          <w:szCs w:val="20"/>
          <w:color w:val="auto"/>
        </w:rPr>
      </w:pPr>
    </w:p>
    <w:p>
      <w:pPr>
        <w:ind w:left="1320" w:right="3539" w:hanging="530"/>
        <w:spacing w:after="0" w:line="254"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162" w:lineRule="exact"/>
        <w:rPr>
          <w:rFonts w:ascii="Courier New" w:cs="Courier New" w:eastAsia="Courier New" w:hAnsi="Courier New"/>
          <w:sz w:val="14"/>
          <w:szCs w:val="14"/>
          <w:color w:val="auto"/>
        </w:rPr>
      </w:pPr>
    </w:p>
    <w:p>
      <w:pPr>
        <w:jc w:val="both"/>
        <w:ind w:left="1320" w:right="3459" w:hanging="530"/>
        <w:spacing w:after="0" w:line="255"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Guernsey imposes an obligation to withhold or deduct certain amounts from the payments in respect of the notes, as described under "Description of Notes -- Additional Tax Amounts"; and</w:t>
      </w:r>
    </w:p>
    <w:p>
      <w:pPr>
        <w:spacing w:after="0" w:line="162" w:lineRule="exact"/>
        <w:rPr>
          <w:rFonts w:ascii="Courier New" w:cs="Courier New" w:eastAsia="Courier New" w:hAnsi="Courier New"/>
          <w:sz w:val="14"/>
          <w:szCs w:val="14"/>
          <w:color w:val="auto"/>
        </w:rPr>
      </w:pPr>
    </w:p>
    <w:p>
      <w:pPr>
        <w:jc w:val="both"/>
        <w:ind w:left="1320" w:right="3279" w:hanging="530"/>
        <w:spacing w:after="0" w:line="255"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choose to pay the repurchase price of the notes in ordinary shares or a combination of cash and ordinary shares, as described under "Description of Notes--Repurchase at Option of the Holder".</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OF NOTES INTO ORDINARY SHARES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16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ADJUSTMENT TO CONVERSION RATE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20" w:right="1440" w:bottom="1440" w:gutter="0" w:footer="0" w:header="0"/>
        </w:sectPr>
      </w:pPr>
    </w:p>
    <w:bookmarkStart w:id="52" w:name="page53"/>
    <w:bookmarkEnd w:id="52"/>
    <w:p>
      <w:pPr>
        <w:ind w:right="3279"/>
        <w:spacing w:after="0" w:line="253" w:lineRule="auto"/>
        <w:rPr>
          <w:sz w:val="20"/>
          <w:szCs w:val="20"/>
          <w:color w:val="auto"/>
        </w:rPr>
      </w:pPr>
      <w:r>
        <w:rPr>
          <w:rFonts w:ascii="Courier New" w:cs="Courier New" w:eastAsia="Courier New" w:hAnsi="Courier New"/>
          <w:sz w:val="14"/>
          <w:szCs w:val="14"/>
          <w:color w:val="auto"/>
        </w:rPr>
        <w:t>our current or accumulated earnings and profits. In such a case, U.S. Holders will recognize dividend income as a result of an event pursuant to which they receive no cash or other property that could be used to pay the related tax. See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EXCHANGE, REDEMPTION OR OTHER TAXABLE DISPOSITION OF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 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 repurchase the notes in exchange for our ordinary shares in certain circumstances at the option of the holder, such a repurchase generally will be treated in the same manner as a conversion to the extent of the portion of the notes exchanged for our ordinary shares. See "--Conversion of Notes into Ordinary Shares."</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DIVIDENDS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EXCHANGE OR OTHER TAXABLE DISPOSITION OF ORDINARY SHARES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PASSIVE FOREIGN INVESTMENT COMPANY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20" w:right="1440" w:bottom="1440" w:gutter="0" w:footer="0" w:header="0"/>
        </w:sectPr>
      </w:pPr>
    </w:p>
    <w:bookmarkStart w:id="53" w:name="page54"/>
    <w:bookmarkEnd w:id="53"/>
    <w:p>
      <w:pPr>
        <w:ind w:right="3279"/>
        <w:spacing w:after="0" w:line="254" w:lineRule="auto"/>
        <w:rPr>
          <w:sz w:val="20"/>
          <w:szCs w:val="20"/>
          <w:color w:val="auto"/>
        </w:rPr>
      </w:pPr>
      <w:r>
        <w:rPr>
          <w:rFonts w:ascii="Courier New" w:cs="Courier New" w:eastAsia="Courier New" w:hAnsi="Courier New"/>
          <w:sz w:val="14"/>
          <w:szCs w:val="14"/>
          <w:color w:val="auto"/>
        </w:rPr>
        <w:t>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TAX RULES APPLICABLE TO NON-U.S. 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BACKUP WITHHOLDING AND INFORMATION REPORTING</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U.S. 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NON-U.S. HOLDERS.</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A Non-U.S. Holder may be required to comply with certification procedures to establish that the holder is not a U.S. person in order to avoid backup withholding tax and information reporting requirements.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20" w:right="1440" w:bottom="1440" w:gutter="0" w:footer="0" w:header="0"/>
        </w:sectPr>
      </w:pPr>
    </w:p>
    <w:bookmarkStart w:id="54" w:name="page55"/>
    <w:bookmarkEnd w:id="54"/>
    <w:p>
      <w:pPr>
        <w:ind w:left="2000"/>
        <w:spacing w:after="0"/>
        <w:rPr>
          <w:sz w:val="20"/>
          <w:szCs w:val="20"/>
          <w:color w:val="auto"/>
        </w:rPr>
      </w:pPr>
      <w:r>
        <w:rPr>
          <w:rFonts w:ascii="Courier New" w:cs="Courier New" w:eastAsia="Courier New" w:hAnsi="Courier New"/>
          <w:sz w:val="14"/>
          <w:szCs w:val="14"/>
          <w:color w:val="auto"/>
        </w:rPr>
        <w:t>CERTAIN GUERNSEY TAX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164"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There are no capital gains, gift or inheritance taxes levied by Guernsey, and the notes and ordinary shares generally would not be subject to any transfer taxes, stamp duties or similar charges on issuance or transfer.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EUROPEAN UNION SAVINGS TAX DIRECTIVE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163"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As indicated above under "Description of Notes--Additional Tax Amounts," we will not make any additional payments to holders to compensate them for any tax that is required to be withheld as a result of these proposals.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20" w:right="1440" w:bottom="1440" w:gutter="0" w:footer="0" w:header="0"/>
        </w:sectPr>
      </w:pPr>
    </w:p>
    <w:bookmarkStart w:id="55" w:name="page56"/>
    <w:bookmarkEnd w:id="55"/>
    <w:p>
      <w:pPr>
        <w:ind w:left="2520"/>
        <w:spacing w:after="0"/>
        <w:rPr>
          <w:sz w:val="20"/>
          <w:szCs w:val="20"/>
          <w:color w:val="auto"/>
        </w:rPr>
      </w:pPr>
      <w:r>
        <w:rPr>
          <w:rFonts w:ascii="Courier New" w:cs="Courier New" w:eastAsia="Courier New" w:hAnsi="Courier New"/>
          <w:sz w:val="14"/>
          <w:szCs w:val="14"/>
          <w:color w:val="auto"/>
        </w:rPr>
        <w:t>SELLING SECURITYHOLDERS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 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201,334,057 of our ordinary shares outstanding as of September 30, 2004.</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20"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ORDINARY SHARES</w:t>
            </w:r>
          </w:p>
        </w:tc>
        <w:tc>
          <w:tcPr>
            <w:tcW w:w="148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ORDINARY SHARES</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PRINCIPAL</w:t>
            </w:r>
          </w:p>
        </w:tc>
        <w:tc>
          <w:tcPr>
            <w:tcW w:w="2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BENEFICIALLY OWNED</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PRINCIPAL</w:t>
            </w: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BENEFICIALLY</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 OF NOTES</w:t>
            </w:r>
          </w:p>
        </w:tc>
        <w:tc>
          <w:tcPr>
            <w:tcW w:w="21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UPON CONVERSION</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AMOUNT OF NOTES</w:t>
            </w:r>
          </w:p>
        </w:tc>
        <w:tc>
          <w:tcPr>
            <w:tcW w:w="17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4600" w:type="dxa"/>
            <w:vAlign w:val="bottom"/>
          </w:tcPr>
          <w:p>
            <w:pPr>
              <w:spacing w:after="0"/>
              <w:rPr>
                <w:sz w:val="14"/>
                <w:szCs w:val="1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BENEFICIALLY</w:t>
            </w:r>
          </w:p>
        </w:tc>
        <w:tc>
          <w:tcPr>
            <w:tcW w:w="2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OF THE NOTES</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BENEFICIALLY</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AFTER</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OFFERING</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OWNED THAT MAY</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OWNED AFTER</w:t>
            </w:r>
          </w:p>
        </w:tc>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880"/>
              <w:spacing w:after="0"/>
              <w:rPr>
                <w:sz w:val="20"/>
                <w:szCs w:val="20"/>
                <w:color w:val="auto"/>
              </w:rPr>
            </w:pPr>
            <w:r>
              <w:rPr>
                <w:rFonts w:ascii="Courier New" w:cs="Courier New" w:eastAsia="Courier New" w:hAnsi="Courier New"/>
                <w:sz w:val="14"/>
                <w:szCs w:val="14"/>
                <w:color w:val="auto"/>
              </w:rPr>
              <w:t>NAME OF SELLING SECURITYHOLDER</w:t>
            </w: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BE SOLD ($)</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NUMBER</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PERCENTAGE</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OFFERING</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PERCENTAGE</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600" w:type="dxa"/>
            <w:vAlign w:val="bottom"/>
          </w:tcPr>
          <w:p>
            <w:pPr>
              <w:spacing w:after="0"/>
              <w:rPr>
                <w:sz w:val="20"/>
                <w:szCs w:val="20"/>
                <w:color w:val="auto"/>
              </w:rPr>
            </w:pPr>
            <w:r>
              <w:rPr>
                <w:rFonts w:ascii="Courier New" w:cs="Courier New" w:eastAsia="Courier New" w:hAnsi="Courier New"/>
                <w:sz w:val="14"/>
                <w:szCs w:val="14"/>
                <w:color w:val="auto"/>
              </w:rPr>
              <w:t>Acuity Master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1,440,000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33,395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ACUITY Capital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 Greenwich Office Park, 3rd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Greenwich, CT 06831 USA</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Allstate Insurance Company (1)........................</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3,250,000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75,371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Allstate Investments,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3075 Sanders Road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G6B</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Northbrook, IL 60062-7127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Allstate Life Insurance Company.......................</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69,573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Allstate Investments,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3075 Sanders Road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G6B</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Northbrook, IL 60062-7127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 International E MAC 63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630,000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14,610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 Master Fund I, LP.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8,470,000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196,428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American Investors Life Insurance Co.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AmerUs Life Insurance Company........................</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4,200,000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97,402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The Animi Master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324,675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Archeus Capital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360 Madison Avenue, 10th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Arbitex Master Fund L.P. (1).........................</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208,719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Arbitex Asset Management L.P.</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1601 Elm Street, Suite 4000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Dallas, TX 75201</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(Bermuda)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6,955,000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161,294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 Financial Group (Bermuda) Ltd.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73 Front Street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Hamilton HM12 Bermuda</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 II,</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L.P...................................................</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255,000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5,913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 L.P........</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1,150,000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26,669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LowLev Convertible Arbitrage Fund LLC..........</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1,770,000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41,048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w w:val="97"/>
              </w:rPr>
              <w:t>Argent LowLev Convertible Arbitrage Fund II, LLC........</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280,000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6,493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LowLev Convertible Arbitrage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10,280,000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238,404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 Financial Group (Bermuda) Ltd.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PO Box 3013</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Hamilton, HMMX Bermuda</w:t>
      </w:r>
    </w:p>
    <w:p>
      <w:pPr>
        <w:sectPr>
          <w:pgSz w:w="11900" w:h="16838" w:orient="portrait"/>
          <w:cols w:equalWidth="0" w:num="1">
            <w:col w:w="11540"/>
          </w:cols>
          <w:pgMar w:left="220" w:top="1288" w:right="139" w:bottom="0" w:gutter="0" w:footer="0" w:header="0"/>
        </w:sectPr>
      </w:pPr>
    </w:p>
    <w:bookmarkStart w:id="57" w:name="page58"/>
    <w:bookmarkEnd w:id="57"/>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w w:val="97"/>
              </w:rPr>
              <w:t>Aviva Life Insurance Co.................................</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5,797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Morley Fund Management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 1 Poultry</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EC2R 8EJ</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63,775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Morley Fund Management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 1 Poultry</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EC2R 8EJ</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Bankers Life Insurance Company of New York............</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Bear, Stearns &amp; Co. Inc.(1)...........................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144,944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Bear, Stearns &amp; Co. Inc.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383 Madison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23rd Floor, Global Fund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10179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Black Diamond Convertible Offshore LDC................</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53,339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Black Diamond Offshore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Citadel Credit Trading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273,075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Citadel Investment Group,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131 South Dearborn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Chicago, IL 60603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Citadel Equity Fund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66,725,000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1,547,426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Citadel Investment Group,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131 South Dearborn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Chicago, IL 60603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Citigroup Global Markets Inc. (2).....................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102,040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Global Markets Inc.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390 Greenwich Street, 3rd Floor</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Convertible Trading</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10013</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Class C Trading Company,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Commissioners of the Land Office......................</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Context Convertible Arbitrage Fund, LP................</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31,307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Context Convertible Arbitrage Offshore Fund,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88,126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Custom Investments PCC,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Deephaven Domestic Convertible Trading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22,622,000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524,629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Deephaven Domestic Convertible Trading Ltd.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130 Chesire Lane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102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Minnetonka, MN 55305</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Deutsche Bank Securities Inc. (2).....................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4,638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1251 Avenue of the Americas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26th Floor, Mail Stop NYCO7-2638</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Diaco Investments LP..................................</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Diaco Invesments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1271 Avenue of the Americas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Double Black Diamond Offshore LDC.....................</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7,319,000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169,735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62" w:orient="portrait"/>
          <w:cols w:equalWidth="0" w:num="1">
            <w:col w:w="11040"/>
          </w:cols>
          <w:pgMar w:left="220" w:top="141" w:right="639" w:bottom="0" w:gutter="0" w:footer="0" w:header="0"/>
        </w:sectPr>
      </w:pPr>
    </w:p>
    <w:bookmarkStart w:id="58" w:name="page59"/>
    <w:bookmarkEnd w:id="58"/>
    <w:p>
      <w:pPr>
        <w:ind w:left="440"/>
        <w:spacing w:after="0"/>
        <w:rPr>
          <w:sz w:val="20"/>
          <w:szCs w:val="20"/>
          <w:color w:val="auto"/>
        </w:rPr>
      </w:pPr>
      <w:r>
        <w:rPr>
          <w:rFonts w:ascii="Courier New" w:cs="Courier New" w:eastAsia="Courier New" w:hAnsi="Courier New"/>
          <w:sz w:val="14"/>
          <w:szCs w:val="14"/>
          <w:color w:val="auto"/>
        </w:rPr>
        <w:t>P.O. Box 852</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UBS House, 75 Fort Street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George Town, Grand Cayman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Cayman Islands BWI</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Georgia Firefighters Pension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GLG Market Neutral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GLG Partners LP</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One Curzon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WIJ5HB United Kingdom</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Guggenheim Portfolio Co. XV, LLC......................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1,360,000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HFR CA Global Select Master Trust Account.............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10,204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HSBC Asset Management (Americas) Inc. for the</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HSBC Multi-Strategy Arbitrage Fund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HSBC Asset Management (Americas)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452 5th Avenue, 18th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10018</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Huntrise Capital Leveraged Partners, LLC..............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Indianapolis Life Insurance Co.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489,332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Inflective Convertible Opportunity Fund I, L.P.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16,813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Inflective Convertible Opportunity Fund I,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Injured Workers Insurance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33,627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Intl. Truck &amp; Engine Corp. Non Contributory</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Retirement Plan Trust.................................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Intl. Truck &amp; Engine Corp. Retirement Plan for</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Salaried Employee's Trust.............................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39,424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Jefferies Umbrella Fund US Convertible Bonds..........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Jefferies Asset Management LTD.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Uraniastrasse 12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CH-8023</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Zurich, Switzerland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JP Morgan Securities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57,977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500 Stanton Christiana Road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Newark, DE 19713</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KBC Financial Products USA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97,402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KBC Financial Products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140 East 45th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 Grand Central Tower, 42nd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10017-3144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KeySpan Foundation....................................</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KeySpan Insurance Company.............................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38" w:orient="portrait"/>
          <w:cols w:equalWidth="0" w:num="1">
            <w:col w:w="11040"/>
          </w:cols>
          <w:pgMar w:left="220" w:top="141" w:right="639" w:bottom="0" w:gutter="0" w:footer="0" w:header="0"/>
        </w:sectPr>
      </w:pPr>
    </w:p>
    <w:bookmarkStart w:id="59" w:name="page60"/>
    <w:bookmarkEnd w:id="59"/>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Lehman Brothers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24,350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745 Seventh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Lord Abbett Investment Trust - LA Convertible</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Lydian Global Opportunities Master Fund Limited.......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495 Post Road East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Westport, CT 06880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Lydian Overseas Partners Master Fund LP..............</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495 Post Road East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Westport, CT 06880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Lyxor/AM Investment Fund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1,870,000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43,367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Lyxor/Context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15,074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Lyxor/Inflective Convertible Opportunity Fund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7,537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 Master Fund Ref: Argent/LowLev CB c/o</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National Bank of Canada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12,755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National Benefit Life Insurance Company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2,597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Nomura Securities Int'l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347,866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Nomura Securities International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 World Financial Center, 18th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10281 USA</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Partners Group Alternative Strategies PCC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18,552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Primerica Life Insurance Company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23,910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R2 Investments, LDC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15,306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 Amalgamated Gadget, L.P. as Investment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Manager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301 Commerce, Suite 2975</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Ft. Worth, TX 76102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Radian Asset Assurance, Inc.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60,876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Radian Group Convertible Securities...................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Radian Guaranty.......................................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137,987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Ramius Capital Group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9,856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Ramius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6,715,000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155,728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62" w:orient="portrait"/>
          <w:cols w:equalWidth="0" w:num="1">
            <w:col w:w="11040"/>
          </w:cols>
          <w:pgMar w:left="220" w:top="141" w:right="639" w:bottom="0" w:gutter="0" w:footer="0" w:header="0"/>
        </w:sectPr>
      </w:pPr>
    </w:p>
    <w:bookmarkStart w:id="60" w:name="page61"/>
    <w:bookmarkEnd w:id="60"/>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RCG Halifax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9,856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RCG Latitude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6,885,000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159,670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RCG Multi Strategy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19,712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Royal Bank of Canada (Norshield)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11,015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Silver Convertible Arbitrage Fund, LDC................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Sphinx Convertible Arbitrage Fund SPC.................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588,000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13,636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Deephaven Domestic Convertible Trading Ltd.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130 Chesire Lane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102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Minnetonka, MN 55305</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State of Florida Division of Treasury................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Froley Revy Investment Co.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10900 Wilshire Blvd. Ste. 900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Los Angeles, CA 90024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Teachers Insurance and Annuity Association of</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America..............................................</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540,352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TIAA-CREF</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730 Third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 USA</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Thomas Weisel Partners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81,168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Thomas Weisel Partners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 Montgomery Street, 37th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Francisco, CA 94104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Thrivent Financial For Lutherans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Thrivent Financial for Lutherans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625 Fourth Avenue South</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Minneapolis, MN 55415 USA</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Total Fina Elf Finance USA, Inc.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Travelers Insurance Company - Life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2,604,000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60,389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Travelers Insurance Company Separate Account</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TLAC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Travelers Life and Annuity Company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Travelers Series Trust Convertible Bond Portfolio.....</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University of Arkansas................................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University of Arkansas Foundation.....................</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Univest Convertible Arbitrage Fund II LTD</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(Norshield)...........................................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62" w:orient="portrait"/>
          <w:cols w:equalWidth="0" w:num="1">
            <w:col w:w="11040"/>
          </w:cols>
          <w:pgMar w:left="220" w:top="308" w:right="639"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Vermont Mutual</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w w:val="97"/>
              </w:rPr>
              <w:t>Insurance Company......................</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Street</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White River Securities L.L.C. (2).....................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144,944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Bear, Stearns &amp; Co. Inc.</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383 Madison Avenue</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23rd Floor, Global Fund</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NY 10179 USA</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Worldwide Transactions Ltd............................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5,125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Worldwide</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Transactions Ltd.</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Washington Mall-Phase I</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Church Street, 3rd Floor</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Hamilton HM 11  Bermuda</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Xavex Convertible Arbitrage 5 Fund....................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Avenue, 26th Floor</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NY 10017</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Xavex Convertible Arbitrage 10 Fund...................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14,842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3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Circle</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3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Xavex Convertible Arbitrage 2 Fund....................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9,276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3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Circle</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3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Any other holder of notes or future transferee,</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pledgee, donee</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or successor of any holder (3).......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101,015,190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2,342,692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1040"/>
          </w:cols>
          <w:pgMar w:left="220" w:top="308" w:right="639" w:bottom="1440" w:gutter="0" w:footer="0" w:header="0"/>
        </w:sectPr>
      </w:pPr>
    </w:p>
    <w:bookmarkStart w:id="62" w:name="page63"/>
    <w:bookmarkEnd w:id="62"/>
    <w:p>
      <w:pPr>
        <w:ind w:left="171" w:hanging="171"/>
        <w:spacing w:after="0"/>
        <w:tabs>
          <w:tab w:leader="none" w:pos="17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w:t>
      </w:r>
    </w:p>
    <w:p>
      <w:pPr>
        <w:spacing w:after="0" w:line="175" w:lineRule="exact"/>
        <w:rPr>
          <w:sz w:val="20"/>
          <w:szCs w:val="20"/>
          <w:color w:val="auto"/>
        </w:rPr>
      </w:pPr>
    </w:p>
    <w:p>
      <w:pPr>
        <w:ind w:left="791" w:right="3379" w:hanging="531"/>
        <w:spacing w:after="0" w:line="254"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162" w:lineRule="exact"/>
        <w:rPr>
          <w:rFonts w:ascii="Courier New" w:cs="Courier New" w:eastAsia="Courier New" w:hAnsi="Courier New"/>
          <w:sz w:val="14"/>
          <w:szCs w:val="14"/>
          <w:color w:val="auto"/>
        </w:rPr>
      </w:pPr>
    </w:p>
    <w:p>
      <w:pPr>
        <w:ind w:left="791" w:right="3979" w:hanging="531"/>
        <w:spacing w:after="0" w:line="258"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securityholder is a registered broker-dealer and an "underwriter" within the meaning of the Securities Act.</w:t>
      </w:r>
    </w:p>
    <w:p>
      <w:pPr>
        <w:spacing w:after="0" w:line="159" w:lineRule="exact"/>
        <w:rPr>
          <w:rFonts w:ascii="Courier New" w:cs="Courier New" w:eastAsia="Courier New" w:hAnsi="Courier New"/>
          <w:sz w:val="14"/>
          <w:szCs w:val="14"/>
          <w:color w:val="auto"/>
        </w:rPr>
      </w:pPr>
    </w:p>
    <w:p>
      <w:pPr>
        <w:ind w:left="791" w:right="3379" w:hanging="531"/>
        <w:spacing w:after="0" w:line="253"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about other selling securityholders will be set forth in an amendment to the registration statement of which this prospectus is a part and information about future transferees, pledgees, donees or successors of any holder named as a selling securityholder in this prospectus will be set forth in prospectus amendments or supplements,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0"/>
          </w:cols>
          <w:pgMar w:left="229" w:top="620" w:right="1440" w:bottom="1440" w:gutter="0" w:footer="0" w:header="0"/>
        </w:sectPr>
      </w:pPr>
    </w:p>
    <w:bookmarkStart w:id="63" w:name="page64"/>
    <w:bookmarkEnd w:id="63"/>
    <w:p>
      <w:pPr>
        <w:spacing w:after="0" w:line="149"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VOTING/INVESTMENT CONTROL TABLE</w:t>
      </w:r>
    </w:p>
    <w:p>
      <w:pPr>
        <w:sectPr>
          <w:pgSz w:w="11900" w:h="16987" w:orient="portrait"/>
          <w:cols w:equalWidth="0" w:num="1">
            <w:col w:w="10260"/>
          </w:cols>
          <w:pgMar w:left="220" w:top="453"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 OF SELLING SECURITYHOLDER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Courier New" w:cs="Courier New" w:eastAsia="Courier New" w:hAnsi="Courier New"/>
          <w:sz w:val="14"/>
          <w:szCs w:val="14"/>
          <w:color w:val="auto"/>
        </w:rPr>
        <w:t>NATURAL PERSON OR PERSONS WITH VOTING/INVESTMENT CONTROL --------------------------------------------------------</w:t>
      </w:r>
    </w:p>
    <w:p>
      <w:pPr>
        <w:spacing w:after="0" w:line="200" w:lineRule="exact"/>
        <w:rPr>
          <w:sz w:val="20"/>
          <w:szCs w:val="20"/>
          <w:color w:val="auto"/>
        </w:rPr>
      </w:pPr>
    </w:p>
    <w:p>
      <w:pPr>
        <w:sectPr>
          <w:pgSz w:w="11900" w:h="16987" w:orient="portrait"/>
          <w:cols w:equalWidth="0" w:num="2">
            <w:col w:w="4680" w:space="720"/>
            <w:col w:w="4860"/>
          </w:cols>
          <w:pgMar w:left="220" w:top="453" w:right="1419" w:bottom="0" w:gutter="0" w:footer="0" w:header="0"/>
          <w:type w:val="continuous"/>
        </w:sectPr>
      </w:pP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Acuity Master Fund, Ltd. .....................................Howard Needle and David J. Harris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Allstate Insurance Company....................................(1)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Allstate Life Insurance Company...............................(1)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 Master Fund I, LP. ........................................Adam Stern and Mark Friedman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 International E MAC 63 Ltd. ...............................Adam Sterm and Mark Friedman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Investors Life Insurance Co.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AmerUs Life Insurance Company.................................Thomas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Animi Master Fund, Ltd. ..................................(2)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Arbitex Master Fund L.P. .....................................Clark Hunt, Jonathan Bren and Ken Tananbaum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(Bermuda)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II, L.P.............Nathanial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L.P.................Nathanial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LLC.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II, LLC.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Aviva Life Insurance Co. .....................................David Clott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Aviva Life Insurance Co. .....................................David Clott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Bankers Life Insurance Company of New York....................Thomas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Bear, Stearns &amp; Co. Inc. .....................................Yan Erlikh &amp; David Liebowitz</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Black Diamond Convertible Offshore LDC........................Clint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Black Diamond Offshore Ltd. ..................................Clint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Credit Trading Ltd. ..................................(4)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Equity Fund Ltd. .....................................(4)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Citigroup Global Markets Inc. ................................(5)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C Trading Company,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Commissioners of the Land Office..............................Maren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Context Convertible Arbitrage Fund, LP.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Context Convertible Arbitrage Offshore Fund, LTD.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 Investments PCC,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Deephaven Domestic Convertible Trading Ltd. ..................Colin Smith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Deutsche Bank Securities Inc. ................................(6)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Diaco Investments LP. ........................................Simon Glick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Double Black Diamond Offshore LDC. ...........................Clint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Georgia Firefighters Pension Fund.............................Maren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GLG Market Neutral Fund.......................................(7)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Guggenheim Portfolio Co. XV, LLC.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HFR CA Global Select Master Trust Account. ...................Nathanial Brown and Robert Richardson</w:t>
      </w:r>
    </w:p>
    <w:p>
      <w:pPr>
        <w:spacing w:after="0" w:line="342" w:lineRule="exact"/>
        <w:rPr>
          <w:sz w:val="20"/>
          <w:szCs w:val="20"/>
          <w:color w:val="auto"/>
        </w:rPr>
      </w:pPr>
    </w:p>
    <w:p>
      <w:pPr>
        <w:ind w:right="1840"/>
        <w:spacing w:after="0" w:line="464" w:lineRule="auto"/>
        <w:rPr>
          <w:sz w:val="20"/>
          <w:szCs w:val="20"/>
          <w:color w:val="auto"/>
        </w:rPr>
      </w:pPr>
      <w:r>
        <w:rPr>
          <w:rFonts w:ascii="Courier New" w:cs="Courier New" w:eastAsia="Courier New" w:hAnsi="Courier New"/>
          <w:sz w:val="14"/>
          <w:szCs w:val="14"/>
          <w:color w:val="auto"/>
        </w:rPr>
        <w:t>HSBC Asset Management (Americas) Inc. for the HSBC Multi-Strategy Arbitrage Fund.................................Warren Stein and John Moore Stanley Huntrise Capital Leveraged Partners, LLC. ....................Thomas J. Ray Indianapolis Life Insurance Co. ..............................Thomas J. Ray Inflective Convertible Opportunity Fund I, L.P. ..............Thomas J. Ray Inflective Convertible Opportunity Fund I, LTD. ..............Thomas J. Ray Injured Workers Insurance Fund................................Maren Lindstrom</w:t>
      </w:r>
    </w:p>
    <w:p>
      <w:pPr>
        <w:sectPr>
          <w:pgSz w:w="11900" w:h="16987" w:orient="portrait"/>
          <w:cols w:equalWidth="0" w:num="1">
            <w:col w:w="10260"/>
          </w:cols>
          <w:pgMar w:left="220" w:top="453" w:right="1419" w:bottom="0" w:gutter="0" w:footer="0" w:header="0"/>
          <w:type w:val="continuous"/>
        </w:sectPr>
      </w:pPr>
    </w:p>
    <w:bookmarkStart w:id="64" w:name="page65"/>
    <w:bookmarkEnd w:id="64"/>
    <w:p>
      <w:pPr>
        <w:spacing w:after="0"/>
        <w:rPr>
          <w:sz w:val="20"/>
          <w:szCs w:val="20"/>
          <w:color w:val="auto"/>
        </w:rPr>
      </w:pPr>
      <w:r>
        <w:rPr>
          <w:rFonts w:ascii="Courier New" w:cs="Courier New" w:eastAsia="Courier New" w:hAnsi="Courier New"/>
          <w:sz w:val="14"/>
          <w:szCs w:val="14"/>
          <w:color w:val="auto"/>
        </w:rPr>
        <w:t>Intl. Truck &amp; Engine Corp. Non Contributory Retirement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Trust....................................................Maren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Intl. Truck &amp; Engine Corp. Retirement Plan for Salaried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Trust..............................................Maren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Jefferies Umbrella Fund US Convertible Bonds..................Andre Sager and Evelyne Kaser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 Morgan Securities Inc. ....................................Craig Petherick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KBC Financial Products USA Inc. ..............................(8)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KeySpan Foundation............................................Maren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KeySpan Insurance Company.....................................Maren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Lehman Brothers...............................................Kevin Lowe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Lord Abbett Investment Trust - LA Convertible Fund............Maren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Lydian Overseas Partners Master Fund..........................(9)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Lydian Global Opportunities Master Fund Limited...............(9)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Lyxor/AM Investment Fund LTD. ................................(3)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Lyxor/Context Fund LTD.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Lyxor/Inflective Convertible Opportunity Fund LTD.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 Master Fund Ref: Argent/LowLev CB c/o Argent............Nathanial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Bank of Canada.......................................Michael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Benefit Life Insurance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Nomura Securities Int'l Inc. .................................Simon Pharr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 Group Alternative Strategies PCC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Primerica Life Insurance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R2 Investments, LDC. .........................................(10)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Asset Assurance, Inc. .................................Maren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Group Convertible Securities...........................Maren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Guaranty...............................................Maren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Ramius Capital Group..........................................Alex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Ramius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Halifax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Latitude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Multi Strategy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Royal Bank of Canada (Norshield)..............................Michael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Silver Convertible Arbitrage Fund, LDC.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Sphinx Convertible Arbitrage Fund SPC. .......................Colin Smith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Florida Division of Treasury.........................Ann Houlihan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 Association of America.........Elizabeth Black and Edward L. Toy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Thrivent Financial For Lutherans..............................(11)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Weisel Partners........................................Tim Heekin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Fina Elf Finance USA, Inc. .............................Maren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Insurance Company - Life............................David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Insurance Company Separate Account TLAC.............David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Life and Annuity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Series Trust Convertible Bond Portfolio.............David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Arkansas........................................Maren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Arkansas Foundation.............................Maren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Univest Convertible Arbitrage Fund II LTD (Norshield).........Michael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Vermont Mutual Insurance Company..............................Maren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White River Securities L.L.C..................................Yan Erlikh &amp; David Liebowitz</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Transactions Ltd. ..................................(12)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Xavex Convertible Arbitrage 5 Fund............................Alex Adair</w:t>
      </w:r>
    </w:p>
    <w:p>
      <w:pPr>
        <w:sectPr>
          <w:pgSz w:w="11900" w:h="16838" w:orient="portrait"/>
          <w:cols w:equalWidth="0" w:num="1">
            <w:col w:w="10239"/>
          </w:cols>
          <w:pgMar w:left="220" w:top="308" w:right="1440" w:bottom="0" w:gutter="0" w:footer="0" w:header="0"/>
        </w:sectPr>
      </w:pPr>
    </w:p>
    <w:bookmarkStart w:id="65" w:name="page66"/>
    <w:bookmarkEnd w:id="65"/>
    <w:p>
      <w:pPr>
        <w:spacing w:after="0"/>
        <w:rPr>
          <w:sz w:val="20"/>
          <w:szCs w:val="20"/>
          <w:color w:val="auto"/>
        </w:rPr>
      </w:pPr>
      <w:r>
        <w:rPr>
          <w:rFonts w:ascii="Courier New" w:cs="Courier New" w:eastAsia="Courier New" w:hAnsi="Courier New"/>
          <w:sz w:val="14"/>
          <w:szCs w:val="14"/>
          <w:color w:val="auto"/>
        </w:rPr>
        <w:t>Xavex Convertible Arbitrage 10 Fund...........................Nathanial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Xavex Convertible Arbitrage 2 Fund............................Nathanial Brown and Robert Richardson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0" w:right="3379" w:hanging="791"/>
        <w:spacing w:after="0" w:line="254"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pacing w:after="0" w:line="163"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Archeus Capital Management, LLC is the Investment Manager for The Animi Master Fund, Ltd., the selling securityholder. Peter Hirsch is a Managing Member of Archeus Capital Management, LLC and its Chief Investment Officer on behalf of The Animi Master Fund, Ltd. and, as a result, exercises voting and dispositive power of the securities held by the selling securityholder. Mr. Hirsch disclaims beneficial ownership of the securities held by Animi Master Fund, Ltd.</w:t>
      </w:r>
    </w:p>
    <w:p>
      <w:pPr>
        <w:spacing w:after="0" w:line="164" w:lineRule="exact"/>
        <w:rPr>
          <w:rFonts w:ascii="Courier New" w:cs="Courier New" w:eastAsia="Courier New" w:hAnsi="Courier New"/>
          <w:sz w:val="14"/>
          <w:szCs w:val="14"/>
          <w:color w:val="auto"/>
        </w:rPr>
      </w:pPr>
    </w:p>
    <w:p>
      <w:pPr>
        <w:ind w:left="800" w:right="3279" w:hanging="791"/>
        <w:spacing w:after="0" w:line="254"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 Investment Partners LLC has the authority to vote over the Company's securities as Investment Managers. The principals of AM Investment Partners LLC are Adam Stern and Mark Friedman and as a result, they exercise voting and investment control over the securities held by the selling securityholder.</w:t>
      </w:r>
    </w:p>
    <w:p>
      <w:pPr>
        <w:spacing w:after="0" w:line="162" w:lineRule="exact"/>
        <w:rPr>
          <w:rFonts w:ascii="Courier New" w:cs="Courier New" w:eastAsia="Courier New" w:hAnsi="Courier New"/>
          <w:sz w:val="14"/>
          <w:szCs w:val="14"/>
          <w:color w:val="auto"/>
        </w:rPr>
      </w:pPr>
    </w:p>
    <w:p>
      <w:pPr>
        <w:ind w:left="800" w:right="3379" w:hanging="791"/>
        <w:spacing w:after="0" w:line="253"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Citadel Limited Partnership ("Citadel") is the trading manager of this securityholder and consequently has investment discretion over the referenced securities held by the securityholder. Citadel disclaims beneficial ownership of the shares beneficially owned by the securityholder. Kenneth C. Griffin indirectly controls Citadel and therefore has ultimate investment discretion over securities held by the securityholder. Mr. Griffin disclaims beneficial ownership of the shares held by the securityholder.</w:t>
      </w:r>
    </w:p>
    <w:p>
      <w:pPr>
        <w:spacing w:after="0" w:line="164" w:lineRule="exact"/>
        <w:rPr>
          <w:rFonts w:ascii="Courier New" w:cs="Courier New" w:eastAsia="Courier New" w:hAnsi="Courier New"/>
          <w:sz w:val="14"/>
          <w:szCs w:val="14"/>
          <w:color w:val="auto"/>
        </w:rPr>
      </w:pPr>
    </w:p>
    <w:p>
      <w:pPr>
        <w:ind w:left="800" w:right="3899" w:hanging="791"/>
        <w:spacing w:after="0" w:line="255"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Citigroup Global Markets Inc. is an indirect wholly owned subsidiary of Citigroup Inc., which is a reporting company under the Exchange Act.</w:t>
      </w:r>
    </w:p>
    <w:p>
      <w:pPr>
        <w:spacing w:after="0" w:line="162" w:lineRule="exact"/>
        <w:rPr>
          <w:rFonts w:ascii="Courier New" w:cs="Courier New" w:eastAsia="Courier New" w:hAnsi="Courier New"/>
          <w:sz w:val="14"/>
          <w:szCs w:val="14"/>
          <w:color w:val="auto"/>
        </w:rPr>
      </w:pPr>
    </w:p>
    <w:p>
      <w:pPr>
        <w:ind w:left="800" w:right="4239" w:hanging="791"/>
        <w:spacing w:after="0" w:line="258"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securityholder is a reporting entity with the Securities and Exchange Commission.</w:t>
      </w:r>
    </w:p>
    <w:p>
      <w:pPr>
        <w:spacing w:after="0" w:line="159"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GLG Market Neutral Fund is a publicly owned company listed on the Irish Stock Exchange. GLG Partners LP, an English limited partnership, acts as the investment manager of the fund and has voting and dispositive power over the securities held by the fund. The general partner of GLG Partners LP GLG Partners Limited, an English limited company. The shareholders of GLG Partners Limited are Noam Gottesman, Pierre Lagrange, Jonathan Green, Philippe Jabre and Lehman (Cayman) Limited, a subsidiary of Lehman Brothers, Inc., a publicly held entity, and as a result, each has voting and dispositive power over the securities held by the selling securityholder. GLG Partners LP, GLG Partners Limited, Noam Gottesman, Pierre Lagrange, Jonathan Green, Philippe Jabre and Lehman (Cayman) Limited disclaim beneficial ownership of the securities held by the fund, except for their pecuniary interest therein.</w:t>
      </w:r>
    </w:p>
    <w:p>
      <w:pPr>
        <w:spacing w:after="0" w:line="163" w:lineRule="exact"/>
        <w:rPr>
          <w:rFonts w:ascii="Courier New" w:cs="Courier New" w:eastAsia="Courier New" w:hAnsi="Courier New"/>
          <w:sz w:val="14"/>
          <w:szCs w:val="14"/>
          <w:color w:val="auto"/>
        </w:rPr>
      </w:pPr>
    </w:p>
    <w:p>
      <w:pPr>
        <w:ind w:left="800" w:right="3279" w:hanging="791"/>
        <w:spacing w:after="0" w:line="254"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162" w:lineRule="exact"/>
        <w:rPr>
          <w:rFonts w:ascii="Courier New" w:cs="Courier New" w:eastAsia="Courier New" w:hAnsi="Courier New"/>
          <w:sz w:val="14"/>
          <w:szCs w:val="14"/>
          <w:color w:val="auto"/>
        </w:rPr>
      </w:pPr>
    </w:p>
    <w:p>
      <w:pPr>
        <w:ind w:left="800" w:right="3379" w:hanging="791"/>
        <w:spacing w:after="0" w:line="254"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Lydian Asset Management is the investment advisor for the selling securityholder. David Friezo is a principal of Lydian Asset Management and, as a result, exercises voting and dispositive power over the securities held by the selling securityholder.</w:t>
      </w:r>
    </w:p>
    <w:p>
      <w:pPr>
        <w:spacing w:after="0" w:line="163" w:lineRule="exact"/>
        <w:rPr>
          <w:rFonts w:ascii="Courier New" w:cs="Courier New" w:eastAsia="Courier New" w:hAnsi="Courier New"/>
          <w:sz w:val="14"/>
          <w:szCs w:val="14"/>
          <w:color w:val="auto"/>
        </w:rPr>
      </w:pPr>
    </w:p>
    <w:p>
      <w:pPr>
        <w:jc w:val="both"/>
        <w:ind w:left="800" w:right="3379" w:hanging="791"/>
        <w:spacing w:after="0" w:line="252"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Amalgamated Gadget, L.P. has the sole power to vote or direct the vote and to dispose or direct the disposition of the securities pursuant to an Investment Management Agreement with R2 Investments, LDC.</w:t>
      </w:r>
    </w:p>
    <w:p>
      <w:pPr>
        <w:spacing w:after="0" w:line="1" w:lineRule="exact"/>
        <w:rPr>
          <w:rFonts w:ascii="Courier New" w:cs="Courier New" w:eastAsia="Courier New" w:hAnsi="Courier New"/>
          <w:sz w:val="14"/>
          <w:szCs w:val="14"/>
          <w:color w:val="auto"/>
        </w:rPr>
      </w:pPr>
    </w:p>
    <w:p>
      <w:pPr>
        <w:jc w:val="both"/>
        <w:ind w:left="800"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Amalgamated Gadget, L.P. is controlled by Scepter Holdings, Inc., its sole general partner, which is in turn controlled by Geoffrey Raynor, the president and sole shareholder of Scepter Holdings, Inc.</w:t>
      </w:r>
    </w:p>
    <w:p>
      <w:pPr>
        <w:spacing w:after="0" w:line="162"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Pickering, Michael Swendsen, Mark Swanson and Rand Mattsson</w:t>
      </w:r>
    </w:p>
    <w:p>
      <w:pPr>
        <w:spacing w:after="0" w:line="175"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ectPr>
          <w:pgSz w:w="11900" w:h="16838" w:orient="portrait"/>
          <w:cols w:equalWidth="0" w:num="1">
            <w:col w:w="10239"/>
          </w:cols>
          <w:pgMar w:left="220" w:top="142" w:right="1440" w:bottom="1440" w:gutter="0" w:footer="0" w:header="0"/>
        </w:sectPr>
      </w:pP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55</w:t>
      </w:r>
    </w:p>
    <w:p>
      <w:pPr>
        <w:sectPr>
          <w:pgSz w:w="11900" w:h="16838" w:orient="portrait"/>
          <w:cols w:equalWidth="0" w:num="1">
            <w:col w:w="10239"/>
          </w:cols>
          <w:pgMar w:left="220" w:top="142" w:right="1440" w:bottom="1440" w:gutter="0" w:footer="0" w:header="0"/>
          <w:type w:val="continuous"/>
        </w:sectPr>
      </w:pPr>
    </w:p>
    <w:bookmarkStart w:id="66" w:name="page67"/>
    <w:bookmarkEnd w:id="66"/>
    <w:p>
      <w:pPr>
        <w:ind w:left="2620"/>
        <w:spacing w:after="0"/>
        <w:rPr>
          <w:sz w:val="20"/>
          <w:szCs w:val="20"/>
          <w:color w:val="auto"/>
        </w:rPr>
      </w:pPr>
      <w:r>
        <w:rPr>
          <w:rFonts w:ascii="Courier New" w:cs="Courier New" w:eastAsia="Courier New" w:hAnsi="Courier New"/>
          <w:sz w:val="14"/>
          <w:szCs w:val="14"/>
          <w:color w:val="auto"/>
        </w:rPr>
        <w:t>PLAN OF DISTRIBUTION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330" w:lineRule="exact"/>
        <w:rPr>
          <w:sz w:val="20"/>
          <w:szCs w:val="20"/>
          <w:color w:val="auto"/>
        </w:rPr>
      </w:pPr>
    </w:p>
    <w:p>
      <w:pPr>
        <w:jc w:val="both"/>
        <w:ind w:left="1320" w:right="3279" w:hanging="530"/>
        <w:spacing w:after="0" w:line="258" w:lineRule="auto"/>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national securities exchange or quotation service on which the notes and shares may be listed or quoted at the time of sale;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over-the-counter market; or</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transactions otherwise than on such exchanges or services or in the over-the-counter market.</w:t>
      </w:r>
    </w:p>
    <w:p>
      <w:pPr>
        <w:spacing w:after="0" w:line="160"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In addition, the selling securityholders may sell ordinary shares issuable upon conversion of the notes by one or more of, or a combination of, the following methods:</w:t>
      </w:r>
    </w:p>
    <w:p>
      <w:pPr>
        <w:spacing w:after="0" w:line="162" w:lineRule="exact"/>
        <w:rPr>
          <w:sz w:val="20"/>
          <w:szCs w:val="20"/>
          <w:color w:val="auto"/>
        </w:rPr>
      </w:pPr>
    </w:p>
    <w:p>
      <w:pPr>
        <w:ind w:left="1320" w:right="3539" w:hanging="530"/>
        <w:spacing w:after="0" w:line="258"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purchases by a broker-dealer as principal and resale by such broker-dealer for its own account pursuant to this prospectus;</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ordinary brokerage transactions and transactions in which the broker solicits purchasers;</w:t>
      </w:r>
    </w:p>
    <w:p>
      <w:pPr>
        <w:spacing w:after="0" w:line="159"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 trades in which the broker-dealer so engaged will attempt to sell the shares as agent but may position and resell a portion of the block as principal to facilitate the transaction;</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privately negotiated transactions; and</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options transactions.</w:t>
      </w:r>
    </w:p>
    <w:p>
      <w:pPr>
        <w:spacing w:after="0" w:line="175"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In addition, the selling securityholders may sell any shares that qualify for sale under Rule 144 rather than pursuant to this prospectus.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20" w:right="1440" w:bottom="1440" w:gutter="0" w:footer="0" w:header="0"/>
        </w:sectPr>
      </w:pPr>
    </w:p>
    <w:bookmarkStart w:id="67" w:name="page68"/>
    <w:bookmarkEnd w:id="67"/>
    <w:p>
      <w:pPr>
        <w:ind w:right="3459"/>
        <w:spacing w:after="0" w:line="255" w:lineRule="auto"/>
        <w:rPr>
          <w:sz w:val="20"/>
          <w:szCs w:val="20"/>
          <w:color w:val="auto"/>
        </w:rPr>
      </w:pPr>
      <w:r>
        <w:rPr>
          <w:rFonts w:ascii="Courier New" w:cs="Courier New" w:eastAsia="Courier New" w:hAnsi="Courier New"/>
          <w:sz w:val="14"/>
          <w:szCs w:val="14"/>
          <w:color w:val="auto"/>
        </w:rPr>
        <w:t>with such sales. Any profits realized by the selling securityholders and the compensation of any broker-dealer may be treated as underwriting discounts and commissions.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Our ordinary shares are listed on the New York Stock Exchange.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securityholders from selling notes and ordinary shares issuable upon conversion of the notes unless the securities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162"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We have agreed to indemnify the selling securityholders against certain liabilities, including certain liabilities under the Securities Act.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20" w:right="1440" w:bottom="1440" w:gutter="0" w:footer="0" w:header="0"/>
        </w:sectPr>
      </w:pPr>
    </w:p>
    <w:bookmarkStart w:id="68" w:name="page69"/>
    <w:bookmarkEnd w:id="68"/>
    <w:p>
      <w:pPr>
        <w:spacing w:after="0" w:line="1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LEGAL MATTERS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validity of the ordinary shares and the notes offered hereby will be passed upon for us by Carey Olsen, Island of Guernsey. Certain legal matters in connection with the offering will be passed upon for us by Wilmer Cutler Pickering Hale and Dorr LLP, New York, New York.</w:t>
      </w:r>
    </w:p>
    <w:p>
      <w:pPr>
        <w:spacing w:after="0" w:line="163" w:lineRule="exact"/>
        <w:rPr>
          <w:sz w:val="20"/>
          <w:szCs w:val="20"/>
          <w:color w:val="auto"/>
        </w:rPr>
      </w:pPr>
    </w:p>
    <w:p>
      <w:pPr>
        <w:jc w:val="both"/>
        <w:ind w:right="3279" w:firstLine="781"/>
        <w:spacing w:after="0" w:line="252" w:lineRule="auto"/>
        <w:rPr>
          <w:sz w:val="20"/>
          <w:szCs w:val="20"/>
          <w:color w:val="auto"/>
        </w:rPr>
      </w:pPr>
      <w:r>
        <w:rPr>
          <w:rFonts w:ascii="Courier New" w:cs="Courier New" w:eastAsia="Courier New" w:hAnsi="Courier New"/>
          <w:sz w:val="14"/>
          <w:szCs w:val="14"/>
          <w:color w:val="auto"/>
        </w:rPr>
        <w:t>Carey Olson has rendered an opinion as to the validity of the Notes and Wilmer Cutler Pickering Hale and Dorr LLP has rendered an opinion that the Notes are binding obligations of the Company under the laws of the state of New York.</w:t>
      </w:r>
    </w:p>
    <w:p>
      <w:pPr>
        <w:spacing w:after="0" w:line="1"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foregoing opinions are exhibits to the registration statement of which this prospectus is included and are subject to the qualifications and assumptions set forth in such opinions.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EXPERTS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consolidated financial statements and schedule of Amdocs Limited appearing in Amdocs Limited's Annual Report (Form 20-F/A Amendment No. 1) for the year ended September 30, 2003, have been audited by Ernst &amp; Young LLP, independent registered public accountants,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consolidated financial statements of Certen Inc. incorporated in this prospectus by reference from Amdocs Limited's Annual Report on Form 20-F/A (Amendment No. 1) for the year ended September 30, 2003, have been audited by Deloitte &amp; Touche LLP, an independent registered accounting firm as stated in their report, which is incorporated by reference and has been so incorporated in reliance upon the report of such firm given their authority as experts in accounting and auditing.</w:t>
      </w:r>
    </w:p>
    <w:p>
      <w:pPr>
        <w:spacing w:after="0" w:line="16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ENFORCEABILITY OF CIVIL LIABILITIES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2" w:lineRule="exact"/>
        <w:rPr>
          <w:sz w:val="20"/>
          <w:szCs w:val="20"/>
          <w:color w:val="auto"/>
        </w:rPr>
      </w:pPr>
    </w:p>
    <w:p>
      <w:pPr>
        <w:jc w:val="both"/>
        <w:ind w:right="3379" w:firstLine="781"/>
        <w:spacing w:after="0" w:line="255" w:lineRule="auto"/>
        <w:rPr>
          <w:sz w:val="20"/>
          <w:szCs w:val="20"/>
          <w:color w:val="auto"/>
        </w:rPr>
      </w:pPr>
      <w:r>
        <w:rPr>
          <w:rFonts w:ascii="Courier New" w:cs="Courier New" w:eastAsia="Courier New" w:hAnsi="Courier New"/>
          <w:sz w:val="14"/>
          <w:szCs w:val="14"/>
          <w:color w:val="auto"/>
        </w:rPr>
        <w:t>In order for the Royal Court of Guernsey to entertain an action to sue on a foreign judgment, it is expected that the following criteria would have to be met:</w:t>
      </w:r>
    </w:p>
    <w:p>
      <w:pPr>
        <w:spacing w:after="0" w:line="329" w:lineRule="exact"/>
        <w:rPr>
          <w:sz w:val="20"/>
          <w:szCs w:val="20"/>
          <w:color w:val="auto"/>
        </w:rPr>
      </w:pPr>
    </w:p>
    <w:p>
      <w:pPr>
        <w:ind w:left="800" w:right="3539" w:hanging="791"/>
        <w:spacing w:after="0" w:line="255" w:lineRule="auto"/>
        <w:tabs>
          <w:tab w:leader="none" w:pos="8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court is recognized by the Royal Court of Guernsey as having jurisdiction to determine the dispute. It is likely that such jurisdiction will be recognized in the following circumstances:</w:t>
      </w:r>
    </w:p>
    <w:p>
      <w:pPr>
        <w:spacing w:after="0" w:line="162"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was present in the foreign country at the time the foreign proceedings were instituted;</w:t>
      </w:r>
    </w:p>
    <w:p>
      <w:pPr>
        <w:spacing w:after="0" w:line="159" w:lineRule="exact"/>
        <w:rPr>
          <w:rFonts w:ascii="Courier New" w:cs="Courier New" w:eastAsia="Courier New" w:hAnsi="Courier New"/>
          <w:sz w:val="14"/>
          <w:szCs w:val="14"/>
          <w:color w:val="auto"/>
        </w:rPr>
      </w:pPr>
    </w:p>
    <w:p>
      <w:pPr>
        <w:ind w:left="1220" w:right="3719" w:hanging="430"/>
        <w:spacing w:after="0" w:line="252" w:lineRule="auto"/>
        <w:tabs>
          <w:tab w:leader="none" w:pos="122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was claimant or counterclaimant in the proceedings in the foreign court;</w:t>
      </w:r>
    </w:p>
    <w:p>
      <w:pPr>
        <w:ind w:left="1220" w:right="3539" w:hanging="430"/>
        <w:spacing w:after="0" w:line="258" w:lineRule="auto"/>
        <w:tabs>
          <w:tab w:leader="none" w:pos="122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being a defendant in the foreign court, submitted to the jurisdiction of that court by voluntarily</w:t>
      </w:r>
    </w:p>
    <w:p>
      <w:pPr>
        <w:sectPr>
          <w:pgSz w:w="11900" w:h="16851" w:orient="portrait"/>
          <w:cols w:equalWidth="0" w:num="1">
            <w:col w:w="10239"/>
          </w:cols>
          <w:pgMar w:left="220" w:top="453" w:right="1440" w:bottom="0" w:gutter="0" w:footer="0" w:header="0"/>
        </w:sectPr>
      </w:pPr>
    </w:p>
    <w:bookmarkStart w:id="69" w:name="page70"/>
    <w:bookmarkEnd w:id="69"/>
    <w:p>
      <w:pPr>
        <w:ind w:left="1211"/>
        <w:spacing w:after="0"/>
        <w:rPr>
          <w:sz w:val="20"/>
          <w:szCs w:val="20"/>
          <w:color w:val="auto"/>
        </w:rPr>
      </w:pPr>
      <w:r>
        <w:rPr>
          <w:rFonts w:ascii="Courier New" w:cs="Courier New" w:eastAsia="Courier New" w:hAnsi="Courier New"/>
          <w:sz w:val="14"/>
          <w:szCs w:val="14"/>
          <w:color w:val="auto"/>
        </w:rPr>
        <w:t>appearing in the proceedings; or</w:t>
      </w:r>
    </w:p>
    <w:p>
      <w:pPr>
        <w:spacing w:after="0" w:line="8" w:lineRule="exact"/>
        <w:rPr>
          <w:sz w:val="20"/>
          <w:szCs w:val="20"/>
          <w:color w:val="auto"/>
        </w:rPr>
      </w:pPr>
    </w:p>
    <w:p>
      <w:pPr>
        <w:ind w:left="1211" w:right="3379" w:hanging="430"/>
        <w:spacing w:after="0" w:line="252" w:lineRule="auto"/>
        <w:tabs>
          <w:tab w:leader="none" w:pos="1211"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1" w:lineRule="exact"/>
        <w:rPr>
          <w:rFonts w:ascii="Courier New" w:cs="Courier New" w:eastAsia="Courier New" w:hAnsi="Courier New"/>
          <w:sz w:val="14"/>
          <w:szCs w:val="14"/>
          <w:color w:val="auto"/>
        </w:rPr>
      </w:pPr>
    </w:p>
    <w:p>
      <w:pPr>
        <w:ind w:left="791" w:right="3279" w:hanging="791"/>
        <w:spacing w:after="0" w:line="254" w:lineRule="auto"/>
        <w:tabs>
          <w:tab w:leader="none" w:pos="79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63" w:lineRule="exact"/>
        <w:rPr>
          <w:rFonts w:ascii="Courier New" w:cs="Courier New" w:eastAsia="Courier New" w:hAnsi="Courier New"/>
          <w:sz w:val="14"/>
          <w:szCs w:val="14"/>
          <w:color w:val="auto"/>
        </w:rPr>
      </w:pPr>
    </w:p>
    <w:p>
      <w:pPr>
        <w:ind w:left="791"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judgment must be final and conclusive on the merits and is for a definite sum of money, other than a sum in respect of taxes, fines or other penalties.</w:t>
      </w:r>
    </w:p>
    <w:p>
      <w:pPr>
        <w:spacing w:after="0" w:line="162"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0"/>
          </w:cols>
          <w:pgMar w:left="229" w:top="141" w:right="1440" w:bottom="1440" w:gutter="0" w:footer="0" w:header="0"/>
        </w:sectPr>
      </w:pPr>
    </w:p>
    <w:bookmarkStart w:id="70" w:name="page71"/>
    <w:bookmarkEnd w:id="70"/>
    <w:p>
      <w:pPr>
        <w:ind w:left="1840"/>
        <w:spacing w:after="0"/>
        <w:rPr>
          <w:sz w:val="20"/>
          <w:szCs w:val="20"/>
          <w:color w:val="auto"/>
        </w:rPr>
      </w:pPr>
      <w:r>
        <w:rPr>
          <w:rFonts w:ascii="Courier New" w:cs="Courier New" w:eastAsia="Courier New" w:hAnsi="Courier New"/>
          <w:sz w:val="14"/>
          <w:szCs w:val="14"/>
          <w:color w:val="auto"/>
        </w:rPr>
        <w:t>INCORPORATION OF DOCUMENTS BY REFERENCE</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162" w:lineRule="exact"/>
        <w:rPr>
          <w:sz w:val="20"/>
          <w:szCs w:val="20"/>
          <w:color w:val="auto"/>
        </w:rPr>
      </w:pPr>
    </w:p>
    <w:p>
      <w:pPr>
        <w:ind w:left="1220" w:right="3279" w:hanging="430"/>
        <w:spacing w:after="0" w:line="258"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20-F for the fiscal year ended September 30, 2003, filed on December 24, 2003;</w:t>
      </w:r>
    </w:p>
    <w:p>
      <w:pPr>
        <w:spacing w:after="0" w:line="159"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1 to our annual report on Form 20-F for the fiscal year ended September 30, 2003, filed on September 21, 2004;</w:t>
      </w:r>
    </w:p>
    <w:p>
      <w:pPr>
        <w:spacing w:after="0" w:line="159" w:lineRule="exact"/>
        <w:rPr>
          <w:rFonts w:ascii="Courier New" w:cs="Courier New" w:eastAsia="Courier New" w:hAnsi="Courier New"/>
          <w:sz w:val="14"/>
          <w:szCs w:val="14"/>
          <w:color w:val="auto"/>
        </w:rPr>
      </w:pPr>
    </w:p>
    <w:p>
      <w:pPr>
        <w:ind w:left="1220" w:right="3459" w:hanging="430"/>
        <w:spacing w:after="0" w:line="255"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reports on Form 6-K with respect to our offering of 0.50% Convertible Senior Notes due 2024, filed on March 1, March 2 and March 5, 2004;</w:t>
      </w:r>
    </w:p>
    <w:p>
      <w:pPr>
        <w:spacing w:after="0" w:line="162"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reports on Form 6-K, filed on September 30, 2004 and October 1, 2004; and</w:t>
      </w:r>
    </w:p>
    <w:p>
      <w:pPr>
        <w:spacing w:after="0" w:line="326" w:lineRule="exact"/>
        <w:rPr>
          <w:rFonts w:ascii="Courier New" w:cs="Courier New" w:eastAsia="Courier New" w:hAnsi="Courier New"/>
          <w:sz w:val="14"/>
          <w:szCs w:val="14"/>
          <w:color w:val="auto"/>
        </w:rPr>
      </w:pPr>
    </w:p>
    <w:p>
      <w:pPr>
        <w:ind w:left="1220" w:right="3379" w:hanging="430"/>
        <w:spacing w:after="0" w:line="254"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ordinary shares contained in our Registration Statement on Form 8-A filed on June 17, 1998 under Section 12 of the Exchange Act, including any amendment or report updating this description.</w:t>
      </w:r>
    </w:p>
    <w:p>
      <w:pPr>
        <w:spacing w:after="0" w:line="200" w:lineRule="exact"/>
        <w:rPr>
          <w:sz w:val="20"/>
          <w:szCs w:val="20"/>
          <w:color w:val="auto"/>
        </w:rPr>
      </w:pPr>
    </w:p>
    <w:p>
      <w:pPr>
        <w:spacing w:after="0" w:line="297"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2" w:lineRule="exact"/>
        <w:rPr>
          <w:sz w:val="20"/>
          <w:szCs w:val="20"/>
          <w:color w:val="auto"/>
        </w:rPr>
      </w:pPr>
    </w:p>
    <w:p>
      <w:pPr>
        <w:ind w:right="3279" w:firstLine="9"/>
        <w:spacing w:after="0" w:line="258" w:lineRule="auto"/>
        <w:tabs>
          <w:tab w:leader="none" w:pos="34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subsequently filed document that is incorporated by reference into this prospectus modifies or supersedes such statement.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33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331"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20" w:right="1440"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2"/>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UNAUDITED CONSOLIDATED FINANCIAL</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STATEMENTS FOR THE THREE AND NINE</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MONTH PERIODS ENDED JUNE 30, 2004</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7820" w:type="dxa"/>
            <w:vAlign w:val="bottom"/>
          </w:tcPr>
          <w:p>
            <w:pPr>
              <w:ind w:left="2880"/>
              <w:spacing w:after="0"/>
              <w:rPr>
                <w:sz w:val="20"/>
                <w:szCs w:val="20"/>
                <w:color w:val="auto"/>
              </w:rPr>
            </w:pPr>
            <w:r>
              <w:rPr>
                <w:rFonts w:ascii="Courier New" w:cs="Courier New" w:eastAsia="Courier New" w:hAnsi="Courier New"/>
                <w:sz w:val="14"/>
                <w:szCs w:val="14"/>
                <w:color w:val="auto"/>
              </w:rPr>
              <w:t>AMDOCS LIMITED</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ind w:left="2360"/>
              <w:spacing w:after="0"/>
              <w:rPr>
                <w:sz w:val="20"/>
                <w:szCs w:val="20"/>
                <w:color w:val="auto"/>
              </w:rPr>
            </w:pPr>
            <w:r>
              <w:rPr>
                <w:rFonts w:ascii="Courier New" w:cs="Courier New" w:eastAsia="Courier New" w:hAnsi="Courier New"/>
                <w:sz w:val="14"/>
                <w:szCs w:val="14"/>
                <w:color w:val="auto"/>
              </w:rPr>
              <w:t>CONSOLIDATED BALANCE SHEETS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1660"/>
              <w:spacing w:after="0"/>
              <w:rPr>
                <w:sz w:val="20"/>
                <w:szCs w:val="20"/>
                <w:color w:val="auto"/>
              </w:rPr>
            </w:pPr>
            <w:r>
              <w:rPr>
                <w:rFonts w:ascii="Courier New" w:cs="Courier New" w:eastAsia="Courier New" w:hAnsi="Courier New"/>
                <w:sz w:val="14"/>
                <w:szCs w:val="14"/>
                <w:color w:val="auto"/>
              </w:rPr>
              <w:t>(in U.S. dollars, unless otherwise stated)</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1920"/>
              <w:spacing w:after="0"/>
              <w:rPr>
                <w:sz w:val="20"/>
                <w:szCs w:val="20"/>
                <w:color w:val="auto"/>
              </w:rPr>
            </w:pPr>
            <w:r>
              <w:rPr>
                <w:rFonts w:ascii="Courier New" w:cs="Courier New" w:eastAsia="Courier New" w:hAnsi="Courier New"/>
                <w:sz w:val="14"/>
                <w:szCs w:val="14"/>
                <w:color w:val="auto"/>
              </w:rPr>
              <w:t>(in thousands, except per share data)</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8"/>
        </w:trPr>
        <w:tc>
          <w:tcPr>
            <w:tcW w:w="7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As of</w:t>
            </w: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14"/>
                <w:szCs w:val="14"/>
                <w:color w:val="auto"/>
              </w:rPr>
            </w:pPr>
          </w:p>
        </w:tc>
        <w:tc>
          <w:tcPr>
            <w:tcW w:w="31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June 30,</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7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3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14"/>
                <w:szCs w:val="14"/>
                <w:color w:val="auto"/>
              </w:rPr>
            </w:pPr>
          </w:p>
        </w:tc>
        <w:tc>
          <w:tcPr>
            <w:tcW w:w="19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(Unaudited)</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9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492,446</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847,600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Short-term interest-bearing investments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735,779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443,292</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net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270,560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198,274</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receivable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68,180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60,868</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66,769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85,902</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1,633,734</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1,635,936</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Equipment, vehicles and leasehold improvements, net</w:t>
            </w:r>
          </w:p>
        </w:tc>
        <w:tc>
          <w:tcPr>
            <w:tcW w:w="9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174,801</w:t>
            </w:r>
          </w:p>
        </w:tc>
        <w:tc>
          <w:tcPr>
            <w:tcW w:w="3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203,467</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108,033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105,943</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803,606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797,134</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52,653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58,841</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Other noncurrent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125,145</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76,196</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assets</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$ 2,897,972</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$ 2,877,517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9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93,540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101,116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141,044</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123,223</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Accrued personnel costs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126,959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106,857</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2% convertible notes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400,454</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Financing arrangements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2,179</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230,952</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174,616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Short-term portion of capital lease obligations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19,863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27,140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payable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161,376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133,002</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current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775,810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1,068,587</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9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37,424</w:t>
            </w:r>
          </w:p>
        </w:tc>
        <w:tc>
          <w:tcPr>
            <w:tcW w:w="3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44,835</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0.50% convertible notes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450,000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Noncurrent liabilities and other</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151,777</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172,495</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1,415,011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1,285,917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Preferred Shares - Authorized 25,000 shares;(pound)0.01 par value; 0 shares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440"/>
              <w:spacing w:after="0"/>
              <w:rPr>
                <w:sz w:val="20"/>
                <w:szCs w:val="20"/>
                <w:color w:val="auto"/>
              </w:rPr>
            </w:pPr>
            <w:r>
              <w:rPr>
                <w:rFonts w:ascii="Courier New" w:cs="Courier New" w:eastAsia="Courier New" w:hAnsi="Courier New"/>
                <w:sz w:val="14"/>
                <w:szCs w:val="14"/>
                <w:color w:val="auto"/>
              </w:rPr>
              <w:t>issued and outstanding</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Ordinary Shares - Authorized 550,000 shares;(pound)0.01 par value; 224,854 and</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440"/>
              <w:spacing w:after="0"/>
              <w:rPr>
                <w:sz w:val="20"/>
                <w:szCs w:val="20"/>
                <w:color w:val="auto"/>
              </w:rPr>
            </w:pPr>
            <w:r>
              <w:rPr>
                <w:rFonts w:ascii="Courier New" w:cs="Courier New" w:eastAsia="Courier New" w:hAnsi="Courier New"/>
                <w:sz w:val="14"/>
                <w:szCs w:val="14"/>
                <w:color w:val="auto"/>
              </w:rPr>
              <w:t>223,790 issued and 206,135 and 216,058 outstanding, respectively</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3,599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1,836,743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1,820,956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Treasury stock, at cost - 18,719 and 7,732 Ordinary Shares, respectively</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(402,360)</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(109,281)</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(loss) income</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3,715</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Unearned compensation</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 (accumulated deficit)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45,908</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(127,370)</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shareholders' equity</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1,482,961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1,591,600</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$ 2,897,972</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$ 2,877,517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940"/>
          </w:cols>
          <w:pgMar w:left="220" w:top="453" w:right="739" w:bottom="1440" w:gutter="0" w:footer="0" w:header="0"/>
        </w:sectPr>
      </w:pPr>
    </w:p>
    <w:bookmarkStart w:id="72" w:name="page73"/>
    <w:bookmarkEnd w:id="72"/>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STATEMENTS OF INCOME (UNAUDITED)</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Three months ended</w:t>
            </w:r>
          </w:p>
        </w:tc>
        <w:tc>
          <w:tcPr>
            <w:tcW w:w="220" w:type="dxa"/>
            <w:vAlign w:val="bottom"/>
          </w:tcPr>
          <w:p>
            <w:pPr>
              <w:spacing w:after="0"/>
              <w:rPr>
                <w:sz w:val="14"/>
                <w:szCs w:val="14"/>
                <w:color w:val="auto"/>
              </w:rPr>
            </w:pPr>
          </w:p>
        </w:tc>
        <w:tc>
          <w:tcPr>
            <w:tcW w:w="19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June 30,</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700" w:type="dxa"/>
            <w:vAlign w:val="bottom"/>
          </w:tcPr>
          <w:p>
            <w:pPr>
              <w:spacing w:after="0"/>
              <w:rPr>
                <w:sz w:val="14"/>
                <w:szCs w:val="14"/>
                <w:color w:val="auto"/>
              </w:rPr>
            </w:pPr>
          </w:p>
        </w:tc>
        <w:tc>
          <w:tcPr>
            <w:tcW w:w="226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License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17,298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11,491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52,026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51,176</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Service (*)</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432,926</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365,677</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1,269,251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1,020,392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450,224</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377,168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1,321,277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1,071,568</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Cost of license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1,448</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1,455</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3,807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4,137</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Cost of service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283,109</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230,323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833,470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646,389</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31,665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29,941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92,247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88,888</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52,745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50,943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159,078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153,644</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purchased intangible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4,558</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4,524</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13,423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14,303</w:t>
            </w:r>
          </w:p>
        </w:tc>
      </w:tr>
      <w:tr>
        <w:trPr>
          <w:trHeight w:val="167"/>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assets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Restructuring charges</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9,956</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373,525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317,186</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1,102,025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917,317</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76,699</w:t>
            </w:r>
          </w:p>
        </w:tc>
        <w:tc>
          <w:tcPr>
            <w:tcW w:w="40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59,982</w:t>
            </w:r>
          </w:p>
        </w:tc>
        <w:tc>
          <w:tcPr>
            <w:tcW w:w="2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219,252</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154,251</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Interest income and other, net (*)</w:t>
            </w:r>
          </w:p>
        </w:tc>
        <w:tc>
          <w:tcPr>
            <w:tcW w:w="3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w:t>
            </w:r>
          </w:p>
        </w:tc>
        <w:tc>
          <w:tcPr>
            <w:tcW w:w="40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3,269</w:t>
            </w:r>
          </w:p>
        </w:tc>
        <w:tc>
          <w:tcPr>
            <w:tcW w:w="2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2,899</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12,432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76,820</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63,251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222,151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166,683</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16,900</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15,813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48,873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41,671</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59,920</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47,438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173,278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0.29</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Basic weighted average number of shares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206,093</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215,938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210,409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215,786</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Diluted weighted average number of shares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211,801</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220,792</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216,186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218,953</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See Note 4.</w:t>
      </w:r>
    </w:p>
    <w:p>
      <w:pPr>
        <w:spacing w:after="0" w:line="34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453" w:right="1440" w:bottom="1440" w:gutter="0" w:footer="0" w:header="0"/>
        </w:sectPr>
      </w:pPr>
    </w:p>
    <w:bookmarkStart w:id="73" w:name="page74"/>
    <w:bookmarkEnd w:id="73"/>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CONSOLIDATED STATEMENT OF CHANGES IN SHAREHOLDERS' EQUITY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835"/>
        </w:trPr>
        <w:tc>
          <w:tcPr>
            <w:tcW w:w="2620" w:type="dxa"/>
            <w:vAlign w:val="bottom"/>
          </w:tcPr>
          <w:p>
            <w:pPr>
              <w:spacing w:after="0"/>
              <w:rPr>
                <w:sz w:val="24"/>
                <w:szCs w:val="24"/>
                <w:color w:val="auto"/>
              </w:rPr>
            </w:pPr>
          </w:p>
        </w:tc>
        <w:tc>
          <w:tcPr>
            <w:tcW w:w="24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Ordinary Shares</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Additional</w:t>
            </w:r>
          </w:p>
        </w:tc>
        <w:tc>
          <w:tcPr>
            <w:tcW w:w="1480" w:type="dxa"/>
            <w:vAlign w:val="bottom"/>
          </w:tcPr>
          <w:p>
            <w:pPr>
              <w:spacing w:after="0"/>
              <w:rPr>
                <w:sz w:val="24"/>
                <w:szCs w:val="24"/>
                <w:color w:val="auto"/>
              </w:rPr>
            </w:pP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Accumulated Other</w:t>
            </w:r>
          </w:p>
        </w:tc>
      </w:tr>
      <w:tr>
        <w:trPr>
          <w:trHeight w:val="167"/>
        </w:trPr>
        <w:tc>
          <w:tcPr>
            <w:tcW w:w="2620" w:type="dxa"/>
            <w:vAlign w:val="bottom"/>
          </w:tcPr>
          <w:p>
            <w:pPr>
              <w:spacing w:after="0"/>
              <w:rPr>
                <w:sz w:val="14"/>
                <w:szCs w:val="14"/>
                <w:color w:val="auto"/>
              </w:rPr>
            </w:pPr>
          </w:p>
        </w:tc>
        <w:tc>
          <w:tcPr>
            <w:tcW w:w="2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Paid-in</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Treasury</w:t>
            </w:r>
          </w:p>
        </w:tc>
        <w:tc>
          <w:tcPr>
            <w:tcW w:w="1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Comprehensive</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Shares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Capital</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Stock</w:t>
            </w:r>
          </w:p>
        </w:tc>
        <w:tc>
          <w:tcPr>
            <w:tcW w:w="1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(Loss) Income</w:t>
            </w:r>
          </w:p>
        </w:tc>
      </w:tr>
      <w:tr>
        <w:trPr>
          <w:trHeight w:val="167"/>
        </w:trPr>
        <w:tc>
          <w:tcPr>
            <w:tcW w:w="2620" w:type="dxa"/>
            <w:vAlign w:val="bottom"/>
          </w:tcPr>
          <w:p>
            <w:pPr>
              <w:spacing w:after="0"/>
              <w:rPr>
                <w:sz w:val="14"/>
                <w:szCs w:val="14"/>
                <w:color w:val="auto"/>
              </w:rPr>
            </w:pP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2620" w:type="dxa"/>
            <w:vAlign w:val="bottom"/>
          </w:tcPr>
          <w:p>
            <w:pPr>
              <w:spacing w:after="0"/>
              <w:rPr>
                <w:sz w:val="20"/>
                <w:szCs w:val="20"/>
                <w:color w:val="auto"/>
              </w:rPr>
            </w:pPr>
            <w:r>
              <w:rPr>
                <w:rFonts w:ascii="Courier New" w:cs="Courier New" w:eastAsia="Courier New" w:hAnsi="Courier New"/>
                <w:sz w:val="14"/>
                <w:szCs w:val="14"/>
                <w:color w:val="auto"/>
              </w:rPr>
              <w:t>Balance as of September</w:t>
            </w: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30, 2003</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216,058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$ 3,580</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$ 1,820,956</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(109,281)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3,715</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hedging contracts,</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net of $(991) tax</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(2,846)</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cash</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equivalents and</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short-term</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investments, net of</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$(348) tax</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(1,227)</w:t>
            </w:r>
          </w:p>
        </w:tc>
      </w:tr>
      <w:tr>
        <w:trPr>
          <w:trHeight w:val="334"/>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01"/>
        </w:trPr>
        <w:tc>
          <w:tcPr>
            <w:tcW w:w="2620" w:type="dxa"/>
            <w:vAlign w:val="bottom"/>
          </w:tcPr>
          <w:p>
            <w:pPr>
              <w:spacing w:after="0"/>
              <w:rPr>
                <w:sz w:val="20"/>
                <w:szCs w:val="20"/>
                <w:color w:val="auto"/>
              </w:rPr>
            </w:pPr>
            <w:r>
              <w:rPr>
                <w:rFonts w:ascii="Courier New" w:cs="Courier New" w:eastAsia="Courier New" w:hAnsi="Courier New"/>
                <w:sz w:val="14"/>
                <w:szCs w:val="14"/>
                <w:color w:val="auto"/>
              </w:rPr>
              <w:t>Issuance of ordinary</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561</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747</w:t>
            </w: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14,392</w:t>
            </w:r>
          </w:p>
        </w:tc>
        <w:tc>
          <w:tcPr>
            <w:tcW w:w="74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shares related to</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acquisition, net</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Employee stock options</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11,345</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Tax benefit of stock</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2,738</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Repurchase of ordinary</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(11,548)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(307,471)</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Expense related to vesting</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Stock options granted</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951</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206,135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$ 3,599</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$ 1,836,743</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(402,360)</w:t>
            </w:r>
          </w:p>
        </w:tc>
        <w:tc>
          <w:tcPr>
            <w:tcW w:w="7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(358)</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Retained</w:t>
            </w: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Earnings</w:t>
            </w: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(Accumulated</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Accumulated</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Compensation</w:t>
            </w:r>
          </w:p>
        </w:tc>
        <w:tc>
          <w:tcPr>
            <w:tcW w:w="20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Deficit)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Equity</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as of September</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30, 2003</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(127,370)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$ 1,591,600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173,278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173,278</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hedging contracts,</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net of $(991) tax</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(2,846)</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cash</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equivalents and</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short-term</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investments, net of</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$(348) tax</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(1,227)</w:t>
            </w: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169,205</w:t>
            </w: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Issuance of ordinary</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15,139</w:t>
            </w: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shares related to</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acquisition, net</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Employee stock options</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11,364</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Tax benefit of stock</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2,738</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Repurchase of ordinary</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(307,471)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Expense related to vesting</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Stock options granted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(951)</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c>
          <w:tcPr>
            <w:tcW w:w="440" w:type="dxa"/>
            <w:vAlign w:val="bottom"/>
          </w:tcPr>
          <w:p>
            <w:pPr>
              <w:spacing w:after="0"/>
              <w:rPr>
                <w:sz w:val="14"/>
                <w:szCs w:val="14"/>
                <w:color w:val="auto"/>
              </w:rPr>
            </w:pPr>
          </w:p>
        </w:tc>
        <w:tc>
          <w:tcPr>
            <w:tcW w:w="1180" w:type="dxa"/>
            <w:vAlign w:val="bottom"/>
          </w:tcPr>
          <w:p>
            <w:pPr>
              <w:ind w:left="600"/>
              <w:spacing w:after="0"/>
              <w:rPr>
                <w:sz w:val="20"/>
                <w:szCs w:val="20"/>
                <w:color w:val="auto"/>
              </w:rPr>
            </w:pPr>
            <w:r>
              <w:rPr>
                <w:rFonts w:ascii="Courier New" w:cs="Courier New" w:eastAsia="Courier New" w:hAnsi="Courier New"/>
                <w:sz w:val="14"/>
                <w:szCs w:val="14"/>
                <w:color w:val="auto"/>
              </w:rPr>
              <w:t>380</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(571)</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45,908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$ 1,482,961</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787" w:right="1440" w:bottom="0" w:gutter="0" w:footer="0" w:header="0"/>
        </w:sectPr>
      </w:pPr>
    </w:p>
    <w:bookmarkStart w:id="74" w:name="page75"/>
    <w:bookmarkEnd w:id="74"/>
    <w:p>
      <w:pPr>
        <w:ind w:right="3539"/>
        <w:spacing w:after="0" w:line="254" w:lineRule="auto"/>
        <w:rPr>
          <w:sz w:val="20"/>
          <w:szCs w:val="20"/>
          <w:color w:val="auto"/>
        </w:rPr>
      </w:pPr>
      <w:r>
        <w:rPr>
          <w:rFonts w:ascii="Courier New" w:cs="Courier New" w:eastAsia="Courier New" w:hAnsi="Courier New"/>
          <w:sz w:val="14"/>
          <w:szCs w:val="14"/>
          <w:color w:val="auto"/>
        </w:rPr>
        <w:t>As of June 30, 2004 and September 30, 2003, accumulated other comprehensive (loss) income is comprised of unrealized gain on derivatives, net of tax, of $837 and $3,683, respectively, and unrealized (loss) gain on cash equivalents and short-term interest-bearing investments, net of tax, of $(1,195) and $32, respectively.</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141" w:right="1440" w:bottom="1440" w:gutter="0" w:footer="0" w:header="0"/>
        </w:sectPr>
      </w:pPr>
    </w:p>
    <w:bookmarkStart w:id="75" w:name="page76"/>
    <w:bookmarkEnd w:id="75"/>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CONSOLIDATED STATEMENTS OF CASH FLOWS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ind w:left="2880"/>
              <w:spacing w:after="0"/>
              <w:rPr>
                <w:sz w:val="20"/>
                <w:szCs w:val="20"/>
                <w:color w:val="auto"/>
              </w:rPr>
            </w:pPr>
            <w:r>
              <w:rPr>
                <w:rFonts w:ascii="Courier New" w:cs="Courier New" w:eastAsia="Courier New" w:hAnsi="Courier New"/>
                <w:sz w:val="14"/>
                <w:szCs w:val="14"/>
                <w:color w:val="auto"/>
              </w:rPr>
              <w:t>(in thousands)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4920" w:type="dxa"/>
            <w:vAlign w:val="bottom"/>
          </w:tcPr>
          <w:p>
            <w:pPr>
              <w:spacing w:after="0"/>
              <w:rPr>
                <w:sz w:val="24"/>
                <w:szCs w:val="24"/>
                <w:color w:val="auto"/>
              </w:rPr>
            </w:pPr>
          </w:p>
        </w:tc>
        <w:tc>
          <w:tcPr>
            <w:tcW w:w="246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Nine months ended June 30,</w:t>
            </w:r>
          </w:p>
        </w:tc>
      </w:tr>
      <w:tr>
        <w:trPr>
          <w:trHeight w:val="167"/>
        </w:trPr>
        <w:tc>
          <w:tcPr>
            <w:tcW w:w="4920" w:type="dxa"/>
            <w:vAlign w:val="bottom"/>
          </w:tcPr>
          <w:p>
            <w:pPr>
              <w:spacing w:after="0"/>
              <w:rPr>
                <w:sz w:val="14"/>
                <w:szCs w:val="14"/>
                <w:color w:val="auto"/>
              </w:rPr>
            </w:pPr>
          </w:p>
        </w:tc>
        <w:tc>
          <w:tcPr>
            <w:tcW w:w="24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Operating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173,278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Reconciliation of net income to net cash provided by</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operating activities: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76,944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69,973</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(Gain) loss on sale of equipment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427</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Gain on repurchase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(8,093)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10,556</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Tax benefit of stock options exercised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2,738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Realized  loss from short-term interest-bearing</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investments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changes in operating assets and liabilities, net of</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amounts acquired: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(69,503)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32,365</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14,879</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(12,597)</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Other noncurrent assets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(41,941)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(18,795)</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expenses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32,947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20,436</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54,543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47,889</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Income taxes payable</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27,735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Noncurrent liabilities and other</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(6,442)</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2,920</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257,667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284,017</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Investing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sale of equipment, vehicles and leasehold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improvements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1,841</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1,710</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Payments for purchase of equipment, vehicles, leasehold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improvements and other</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(33,532)</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(47,192)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sale of short-term interest-bearing</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investments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863,304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631,845</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Purchase of short-term interest-bearing investments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(1,158,407)</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(637,148)</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paid for) reimbursement of cash in acquisition</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(10,567)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11,111</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(337,361)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(39,674)</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Financing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employee stock options exercised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11,364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2,024</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proceeds from issue of long-term 0.50% convertible</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notes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441,736</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Repurchase of ordinary shares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(307,471)</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Redemption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(395,110)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Repurchase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(4,987)</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Borrowings under financing arrangements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Principal payments under financing arrangements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(1,651)</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Principal payments on capital lease obligations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(20,251)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(7,714)</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(275,460)</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(5,690)</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20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(355,154)</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238,653</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847,600</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466,655</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492,446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705,308</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Supplementary Cash Flow Information</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paid for:</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Income taxes, net of refunds</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22,734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25,611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9,733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9,323</w:t>
            </w:r>
          </w:p>
        </w:tc>
      </w:tr>
    </w:tbl>
    <w:p>
      <w:pPr>
        <w:spacing w:after="0" w:line="17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Non-Cash Investing and Financing Activities</w:t>
      </w:r>
    </w:p>
    <w:p>
      <w:pPr>
        <w:spacing w:after="0" w:line="34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In the nine months ended June 30, 2004, the Company issued 561 ordinary shares in connection with the acquisition of XACCT (as defined below). See Note 10.</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20" w:right="1440" w:bottom="1440" w:gutter="0" w:footer="0" w:header="0"/>
        </w:sectPr>
      </w:pPr>
    </w:p>
    <w:bookmarkStart w:id="76" w:name="page77"/>
    <w:bookmarkEnd w:id="76"/>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left="440" w:hanging="431"/>
        <w:spacing w:after="0"/>
        <w:tabs>
          <w:tab w:leader="none" w:pos="4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w:t>
      </w:r>
    </w:p>
    <w:p>
      <w:pPr>
        <w:spacing w:after="0" w:line="17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Amdocs Limited (the "Company") is a leading provider of software products and services to the communications industry. The Company and its subsidiaries operate in one operating segment, providing integrated customer management systems and related services primarily for the communications industry. The Company designs, develops, markets, implements, supports and operates information systems solutions, including Managed Services, primarily for leading communications companies throughout the world.</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unaudited consolidated financial statements of the Company have been prepared in accordance with accounting principles generally accepted in the United States ("GAAP"). In the opinion of the Company's management, all adjustments considered necessary for a fair presentation of the unaudited interim consolidated financial statements have been included herein and are of a normal recurring nature.</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2003, set forth in the Company's Annual Report on Form 20-F filed on December 24, 2003 with the Securities and Exchange Commission.</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Reclassification</w:t>
      </w:r>
    </w:p>
    <w:p>
      <w:pPr>
        <w:spacing w:after="0" w:line="175"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Certain prior year amounts have been reclassified to conform to the current year presentation.</w:t>
      </w:r>
    </w:p>
    <w:p>
      <w:pPr>
        <w:spacing w:after="0" w:line="160" w:lineRule="exact"/>
        <w:rPr>
          <w:sz w:val="20"/>
          <w:szCs w:val="20"/>
          <w:color w:val="auto"/>
        </w:rPr>
      </w:pPr>
    </w:p>
    <w:p>
      <w:pPr>
        <w:ind w:left="800" w:right="6059" w:hanging="791"/>
        <w:spacing w:after="0" w:line="505" w:lineRule="auto"/>
        <w:tabs>
          <w:tab w:leader="none" w:pos="80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Accounting Policy Accounting for Stock-Based Compensation</w:t>
      </w: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Company follows Accounting Principles Board ("APB") Opinion No. 25, "Accounting for Stock Issued to Employees" in accounting for its employee stock options.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Employee stock-based compensation cost of $354 and $380 is reflected in net income for the three months and nine months ended June 30, 2004, respectively. No employee stock-based compensation cost was reflected in net income for the three months and nine months ended June 30, 2003.</w:t>
      </w:r>
    </w:p>
    <w:p>
      <w:pPr>
        <w:spacing w:after="0" w:line="331"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As presented below, the Company determined net income and earnings per share information as if the fair value method described in Statements of Financial Accounting Standards ("SFAS") No. 123, "Accounting for Stock-Based Compensation", as amended by SFAS No. 148, "Accounting for Stock-Based Compensation - Transition and Disclosure - an Amendment of Financial Accounting Standards Board Statement No. 123", had been applied to its employee stock-based compensation. The Company utilized the Black-Scholes option-pricing model to estimate fair value, which is one of several methods that can be used under SFAS No. 123. The Black-Scholes option valuation model was developed for use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453" w:right="1440" w:bottom="1440" w:gutter="0" w:footer="0" w:header="0"/>
        </w:sectPr>
      </w:pPr>
    </w:p>
    <w:bookmarkStart w:id="77" w:name="page78"/>
    <w:bookmarkEnd w:id="77"/>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165" w:lineRule="exact"/>
        <w:rPr>
          <w:sz w:val="20"/>
          <w:szCs w:val="20"/>
          <w:color w:val="auto"/>
        </w:rPr>
      </w:pPr>
    </w:p>
    <w:p>
      <w:pPr>
        <w:jc w:val="both"/>
        <w:ind w:right="3539" w:firstLine="347"/>
        <w:spacing w:after="0" w:line="255" w:lineRule="auto"/>
        <w:rPr>
          <w:sz w:val="20"/>
          <w:szCs w:val="20"/>
          <w:color w:val="auto"/>
        </w:rPr>
      </w:pPr>
      <w:r>
        <w:rPr>
          <w:rFonts w:ascii="Courier New" w:cs="Courier New" w:eastAsia="Courier New" w:hAnsi="Courier New"/>
          <w:sz w:val="14"/>
          <w:szCs w:val="14"/>
          <w:color w:val="auto"/>
        </w:rPr>
        <w:t>The fair value of options granted was estimated at the date of grant using the Black-Scholes pricing model with the following assumptions for the presented periods (all in weighted averages):</w:t>
      </w:r>
    </w:p>
    <w:p>
      <w:pPr>
        <w:spacing w:after="0" w:line="200" w:lineRule="exact"/>
        <w:rPr>
          <w:sz w:val="20"/>
          <w:szCs w:val="20"/>
          <w:color w:val="auto"/>
        </w:rPr>
      </w:pP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Three months ended</w:t>
            </w:r>
          </w:p>
        </w:tc>
        <w:tc>
          <w:tcPr>
            <w:tcW w:w="440" w:type="dxa"/>
            <w:vAlign w:val="bottom"/>
          </w:tcPr>
          <w:p>
            <w:pPr>
              <w:spacing w:after="0"/>
              <w:rPr>
                <w:sz w:val="14"/>
                <w:szCs w:val="14"/>
                <w:color w:val="auto"/>
              </w:rPr>
            </w:pPr>
          </w:p>
        </w:tc>
        <w:tc>
          <w:tcPr>
            <w:tcW w:w="260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spacing w:after="0"/>
              <w:rPr>
                <w:sz w:val="14"/>
                <w:szCs w:val="14"/>
                <w:color w:val="auto"/>
              </w:rPr>
            </w:pPr>
          </w:p>
        </w:tc>
      </w:tr>
      <w:tr>
        <w:trPr>
          <w:trHeight w:val="167"/>
        </w:trPr>
        <w:tc>
          <w:tcPr>
            <w:tcW w:w="2900" w:type="dxa"/>
            <w:vAlign w:val="bottom"/>
          </w:tcPr>
          <w:p>
            <w:pPr>
              <w:spacing w:after="0"/>
              <w:rPr>
                <w:sz w:val="14"/>
                <w:szCs w:val="14"/>
                <w:color w:val="auto"/>
              </w:rPr>
            </w:pPr>
          </w:p>
        </w:tc>
        <w:tc>
          <w:tcPr>
            <w:tcW w:w="65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5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1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90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1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290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10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3.10%</w:t>
            </w:r>
          </w:p>
        </w:tc>
        <w:tc>
          <w:tcPr>
            <w:tcW w:w="520" w:type="dxa"/>
            <w:vAlign w:val="bottom"/>
          </w:tcPr>
          <w:p>
            <w:pPr>
              <w:spacing w:after="0"/>
              <w:rPr>
                <w:sz w:val="24"/>
                <w:szCs w:val="2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2.56%</w:t>
            </w:r>
          </w:p>
        </w:tc>
        <w:tc>
          <w:tcPr>
            <w:tcW w:w="44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2.14%</w:t>
            </w:r>
          </w:p>
        </w:tc>
        <w:tc>
          <w:tcPr>
            <w:tcW w:w="400" w:type="dxa"/>
            <w:vAlign w:val="bottom"/>
          </w:tcPr>
          <w:p>
            <w:pPr>
              <w:spacing w:after="0"/>
              <w:rPr>
                <w:sz w:val="24"/>
                <w:szCs w:val="2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2.70%</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life of options</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3.00</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2.98</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3.00</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2.93</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annual volatility</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44.1%</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51.1%</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44.3%</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57.0%</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dividend yield</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None</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None</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None</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None</w:t>
            </w:r>
          </w:p>
        </w:tc>
      </w:tr>
      <w:tr>
        <w:trPr>
          <w:trHeight w:val="334"/>
        </w:trPr>
        <w:tc>
          <w:tcPr>
            <w:tcW w:w="2900" w:type="dxa"/>
            <w:vAlign w:val="bottom"/>
          </w:tcPr>
          <w:p>
            <w:pPr>
              <w:spacing w:after="0"/>
              <w:rPr>
                <w:sz w:val="20"/>
                <w:szCs w:val="20"/>
                <w:color w:val="auto"/>
              </w:rPr>
            </w:pPr>
            <w:r>
              <w:rPr>
                <w:rFonts w:ascii="Courier New" w:cs="Courier New" w:eastAsia="Courier New" w:hAnsi="Courier New"/>
                <w:sz w:val="14"/>
                <w:szCs w:val="14"/>
                <w:color w:val="auto"/>
              </w:rPr>
              <w:t>Fair value per option</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11.2</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7.01</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10.4</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5.02</w:t>
            </w:r>
          </w:p>
        </w:tc>
      </w:tr>
    </w:tbl>
    <w:p>
      <w:pPr>
        <w:spacing w:after="0" w:line="338"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The following table sets forth the pro forma effect of applying SFAS No. 123 on net income and earnings per share for the three months and nine months ended June 30, 2004 and 2003:</w:t>
      </w:r>
    </w:p>
    <w:p>
      <w:pPr>
        <w:spacing w:after="0" w:line="200" w:lineRule="exact"/>
        <w:rPr>
          <w:sz w:val="20"/>
          <w:szCs w:val="20"/>
          <w:color w:val="auto"/>
        </w:rPr>
      </w:pP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3"/>
          </w:tcPr>
          <w:p>
            <w:pPr>
              <w:jc w:val="center"/>
              <w:ind w:right="348"/>
              <w:spacing w:after="0"/>
              <w:rPr>
                <w:sz w:val="20"/>
                <w:szCs w:val="20"/>
                <w:color w:val="auto"/>
              </w:rPr>
            </w:pPr>
            <w:r>
              <w:rPr>
                <w:rFonts w:ascii="Courier New" w:cs="Courier New" w:eastAsia="Courier New" w:hAnsi="Courier New"/>
                <w:sz w:val="14"/>
                <w:szCs w:val="14"/>
                <w:color w:val="auto"/>
              </w:rPr>
              <w:t>Three months ended</w:t>
            </w:r>
          </w:p>
        </w:tc>
        <w:tc>
          <w:tcPr>
            <w:tcW w:w="360" w:type="dxa"/>
            <w:vAlign w:val="bottom"/>
          </w:tcPr>
          <w:p>
            <w:pPr>
              <w:spacing w:after="0"/>
              <w:rPr>
                <w:sz w:val="14"/>
                <w:szCs w:val="14"/>
                <w:color w:val="auto"/>
              </w:rPr>
            </w:pPr>
          </w:p>
        </w:tc>
        <w:tc>
          <w:tcPr>
            <w:tcW w:w="256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left="588"/>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June 30,</w:t>
            </w:r>
          </w:p>
        </w:tc>
        <w:tc>
          <w:tcPr>
            <w:tcW w:w="1000" w:type="dxa"/>
            <w:vAlign w:val="bottom"/>
          </w:tcPr>
          <w:p>
            <w:pPr>
              <w:spacing w:after="0"/>
              <w:rPr>
                <w:sz w:val="14"/>
                <w:szCs w:val="14"/>
                <w:color w:val="auto"/>
              </w:rPr>
            </w:pPr>
          </w:p>
        </w:tc>
      </w:tr>
      <w:tr>
        <w:trPr>
          <w:trHeight w:val="167"/>
        </w:trPr>
        <w:tc>
          <w:tcPr>
            <w:tcW w:w="3380" w:type="dxa"/>
            <w:vAlign w:val="bottom"/>
          </w:tcPr>
          <w:p>
            <w:pPr>
              <w:spacing w:after="0"/>
              <w:rPr>
                <w:sz w:val="14"/>
                <w:szCs w:val="14"/>
                <w:color w:val="auto"/>
              </w:rPr>
            </w:pPr>
          </w:p>
        </w:tc>
        <w:tc>
          <w:tcPr>
            <w:tcW w:w="3160" w:type="dxa"/>
            <w:vAlign w:val="bottom"/>
            <w:gridSpan w:val="4"/>
          </w:tcPr>
          <w:p>
            <w:pPr>
              <w:ind w:left="340"/>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2004</w:t>
            </w:r>
          </w:p>
        </w:tc>
        <w:tc>
          <w:tcPr>
            <w:tcW w:w="420" w:type="dxa"/>
            <w:vAlign w:val="bottom"/>
          </w:tcPr>
          <w:p>
            <w:pPr>
              <w:spacing w:after="0"/>
              <w:rPr>
                <w:sz w:val="14"/>
                <w:szCs w:val="14"/>
                <w:color w:val="auto"/>
              </w:rPr>
            </w:pP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360" w:type="dxa"/>
            <w:vAlign w:val="bottom"/>
          </w:tcPr>
          <w:p>
            <w:pPr>
              <w:spacing w:after="0"/>
              <w:rPr>
                <w:sz w:val="14"/>
                <w:szCs w:val="14"/>
                <w:color w:val="auto"/>
              </w:rPr>
            </w:pP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380" w:type="dxa"/>
            <w:vAlign w:val="bottom"/>
          </w:tcPr>
          <w:p>
            <w:pPr>
              <w:spacing w:after="0"/>
              <w:rPr>
                <w:sz w:val="14"/>
                <w:szCs w:val="14"/>
                <w:color w:val="auto"/>
              </w:rPr>
            </w:pPr>
          </w:p>
        </w:tc>
        <w:tc>
          <w:tcPr>
            <w:tcW w:w="16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501"/>
        </w:trPr>
        <w:tc>
          <w:tcPr>
            <w:tcW w:w="3380" w:type="dxa"/>
            <w:vAlign w:val="bottom"/>
          </w:tcPr>
          <w:p>
            <w:pPr>
              <w:spacing w:after="0"/>
              <w:rPr>
                <w:sz w:val="20"/>
                <w:szCs w:val="20"/>
                <w:color w:val="auto"/>
              </w:rPr>
            </w:pPr>
            <w:r>
              <w:rPr>
                <w:rFonts w:ascii="Courier New" w:cs="Courier New" w:eastAsia="Courier New" w:hAnsi="Courier New"/>
                <w:sz w:val="14"/>
                <w:szCs w:val="14"/>
                <w:color w:val="auto"/>
              </w:rPr>
              <w:t>Net income, 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59,920</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47,438</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173,278</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Add: Stock-based employee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compensation expense included</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in net income, net of related</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tax effects</w:t>
            </w:r>
          </w:p>
        </w:tc>
        <w:tc>
          <w:tcPr>
            <w:tcW w:w="56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276</w:t>
            </w:r>
          </w:p>
        </w:tc>
        <w:tc>
          <w:tcPr>
            <w:tcW w:w="4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36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Less: Total stock-based employee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compensation expense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determined under fair value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method for all awards, net of</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related tax effects</w:t>
            </w:r>
          </w:p>
        </w:tc>
        <w:tc>
          <w:tcPr>
            <w:tcW w:w="5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(7,131)</w:t>
            </w:r>
          </w:p>
        </w:tc>
        <w:tc>
          <w:tcPr>
            <w:tcW w:w="4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(17,182)</w:t>
            </w:r>
          </w:p>
        </w:tc>
        <w:tc>
          <w:tcPr>
            <w:tcW w:w="3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(26,335)</w:t>
            </w:r>
          </w:p>
        </w:tc>
        <w:tc>
          <w:tcPr>
            <w:tcW w:w="4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(47,189)</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53,065</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30,260</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147,244</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77,846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0.29</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0.22</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0.82</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Pro forma</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0.26</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0.70</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0.28</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0.21</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0.80</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Pro forma</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0.25</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0.68</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pro forma results for the three months and nine months ended June 30, 2003 have been revised due to a correction of the stock based employee compensation expense amounts for such periods. These corrections resulted in a decrease in pro forma net income of $15,499 and $32,552 in the three months and nine months ended June 30, 2003, respectively, and a decrease in pro forma diluted earnings per share of $0.07 and $0.15 in the three months and nine months ended June 30, 2003, respectively. The correction for fiscal 2003 resulted in a decrease in pro forma net income of $33,732 and a decrease in pro forma diluted earnings per share of $0.15. The Company has analyzed the impact of the correction only for the aforementioned periods.</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9799"/>
          </w:cols>
          <w:pgMar w:left="660" w:top="620" w:right="1440" w:bottom="1440" w:gutter="0" w:footer="0" w:header="0"/>
        </w:sectPr>
      </w:pPr>
    </w:p>
    <w:bookmarkStart w:id="78" w:name="page79"/>
    <w:bookmarkEnd w:id="78"/>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800" w:right="7199" w:hanging="791"/>
        <w:spacing w:after="0" w:line="505" w:lineRule="auto"/>
        <w:tabs>
          <w:tab w:leader="none" w:pos="8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Accounting Standards Variable Interest Entities</w:t>
      </w: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In January 2003, the Financial Accounting Standards Board ("FASB") issued Interpretation No. 46 ("FIN No. 46"), "Consolidation of Variable Interest Entities", which was further revised in December 2003. FIN No. 46 requires the consolidation of entities in which an enterprise absorbs a majority of the entity's expected losses, receives a majority of the entity's expected residual returns, or both, as a result of ownership, contractual or other financial interests in the entity. FIN No. 46 currently has no effect on the Company's consolidated financial position and results of operations.</w:t>
      </w:r>
    </w:p>
    <w:p>
      <w:pPr>
        <w:spacing w:after="0" w:line="164" w:lineRule="exact"/>
        <w:rPr>
          <w:sz w:val="20"/>
          <w:szCs w:val="20"/>
          <w:color w:val="auto"/>
        </w:rPr>
      </w:pPr>
    </w:p>
    <w:p>
      <w:pPr>
        <w:ind w:left="800" w:hanging="791"/>
        <w:spacing w:after="0"/>
        <w:tabs>
          <w:tab w:leader="none" w:pos="8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had licensed software and provided computer systems integration and related services to Certen Inc. ("Certen") prior to the acquisition of the remaining 90% of Certen by the Company on July 2, 2003 (see Note 10). As a result of the acquisition of the remaining 90% of Certen by the Company, commencing on the acquisition date, the fair market value of Certen's assets and liabilities has been included in the Company's consolidated balance sheet and the results of Certen's operations are included in the Company's consolidated statements of income. Certen is now a wholly owned subsidiary of the Company, and Certen ceased to be a related party as of July 2, 2003, according to SFAS No. 57, "Related Party Disclosures".</w:t>
      </w:r>
    </w:p>
    <w:p>
      <w:pPr>
        <w:spacing w:after="0" w:line="164"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related party revenue is included in the statements of income for the three months and nine months ended June 30, 2003:</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Three months</w:t>
            </w: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ended</w:t>
            </w:r>
          </w:p>
        </w:tc>
        <w:tc>
          <w:tcPr>
            <w:tcW w:w="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June 30,</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2160" w:type="dxa"/>
            <w:vAlign w:val="bottom"/>
          </w:tcPr>
          <w:p>
            <w:pPr>
              <w:spacing w:after="0"/>
              <w:rPr>
                <w:sz w:val="14"/>
                <w:szCs w:val="14"/>
                <w:color w:val="auto"/>
              </w:rPr>
            </w:pPr>
          </w:p>
        </w:tc>
        <w:tc>
          <w:tcPr>
            <w:tcW w:w="248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160" w:type="dxa"/>
            <w:vAlign w:val="bottom"/>
          </w:tcPr>
          <w:p>
            <w:pPr>
              <w:spacing w:after="0"/>
              <w:rPr>
                <w:sz w:val="14"/>
                <w:szCs w:val="14"/>
                <w:color w:val="auto"/>
              </w:rPr>
            </w:pPr>
          </w:p>
        </w:tc>
        <w:tc>
          <w:tcPr>
            <w:tcW w:w="248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License</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583</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3,827</w:t>
            </w:r>
          </w:p>
        </w:tc>
      </w:tr>
      <w:tr>
        <w:trPr>
          <w:trHeight w:val="167"/>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Service</w:t>
            </w:r>
          </w:p>
        </w:tc>
        <w:tc>
          <w:tcPr>
            <w:tcW w:w="12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32,374</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84,122</w:t>
            </w:r>
          </w:p>
        </w:tc>
      </w:tr>
    </w:tbl>
    <w:p>
      <w:pPr>
        <w:spacing w:after="0" w:line="338"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related party expense is included in the statements of income for the three months and nine months ended June 30, 2003:</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Interest income and other, net (1)</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Three months</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ended</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June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564</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Nine months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ended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June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1,662</w:t>
      </w:r>
    </w:p>
    <w:p>
      <w:pPr>
        <w:spacing w:after="0" w:line="175" w:lineRule="exact"/>
        <w:rPr>
          <w:sz w:val="20"/>
          <w:szCs w:val="20"/>
          <w:color w:val="auto"/>
        </w:rPr>
      </w:pPr>
    </w:p>
    <w:p>
      <w:pPr>
        <w:sectPr>
          <w:pgSz w:w="11900" w:h="16838" w:orient="portrait"/>
          <w:cols w:equalWidth="0" w:num="3">
            <w:col w:w="3560" w:space="360"/>
            <w:col w:w="1300" w:space="340"/>
            <w:col w:w="4679"/>
          </w:cols>
          <w:pgMar w:left="220" w:top="620" w:right="1440" w:bottom="1440" w:gutter="0" w:footer="0" w:header="0"/>
          <w:type w:val="continuous"/>
        </w:sectPr>
      </w:pPr>
    </w:p>
    <w:p>
      <w:pPr>
        <w:ind w:left="960" w:right="3279" w:hanging="951"/>
        <w:spacing w:after="0" w:line="254" w:lineRule="auto"/>
        <w:tabs>
          <w:tab w:leader="none" w:pos="9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interest and exchange rate differences, net of hedging, on the convertible debentures of Certen. Absent hedging, these amounts would be $4,733 and $9,344 for the three and nine months ended June 30, 2003, respectively.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20" w:right="1440" w:bottom="1440" w:gutter="0" w:footer="0" w:header="0"/>
          <w:type w:val="continuous"/>
        </w:sectPr>
      </w:pPr>
    </w:p>
    <w:bookmarkStart w:id="79" w:name="page80"/>
    <w:bookmarkEnd w:id="79"/>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left="360" w:hanging="351"/>
        <w:spacing w:after="0"/>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Receivable, Net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Accounts receivable, net consists of the following:</w:t>
      </w:r>
    </w:p>
    <w:p>
      <w:pPr>
        <w:spacing w:after="0" w:line="342"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As of</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820" w:type="dxa"/>
            <w:vAlign w:val="bottom"/>
          </w:tcPr>
          <w:p>
            <w:pPr>
              <w:spacing w:after="0"/>
              <w:rPr>
                <w:sz w:val="14"/>
                <w:szCs w:val="14"/>
                <w:color w:val="auto"/>
              </w:rPr>
            </w:pPr>
          </w:p>
        </w:tc>
        <w:tc>
          <w:tcPr>
            <w:tcW w:w="32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June 30,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-billed</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269,660</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200,220</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-unbilled</w:t>
            </w:r>
          </w:p>
        </w:tc>
        <w:tc>
          <w:tcPr>
            <w:tcW w:w="560" w:type="dxa"/>
            <w:vAlign w:val="bottom"/>
          </w:tcPr>
          <w:p>
            <w:pPr>
              <w:spacing w:after="0"/>
              <w:rPr>
                <w:sz w:val="14"/>
                <w:szCs w:val="14"/>
                <w:color w:val="auto"/>
              </w:rPr>
            </w:pP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16,086</w:t>
            </w:r>
          </w:p>
        </w:tc>
        <w:tc>
          <w:tcPr>
            <w:tcW w:w="3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16,072</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Less - allowances</w:t>
            </w:r>
          </w:p>
        </w:tc>
        <w:tc>
          <w:tcPr>
            <w:tcW w:w="560" w:type="dxa"/>
            <w:vAlign w:val="bottom"/>
          </w:tcPr>
          <w:p>
            <w:pPr>
              <w:spacing w:after="0"/>
              <w:rPr>
                <w:sz w:val="14"/>
                <w:szCs w:val="14"/>
                <w:color w:val="auto"/>
              </w:rPr>
            </w:pP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(15,186)</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(18,018)</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net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270,560</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198,274</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hanging="351"/>
        <w:spacing w:after="0"/>
        <w:tabs>
          <w:tab w:leader="none" w:pos="3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Comprehensive Income</w:t>
      </w:r>
    </w:p>
    <w:p>
      <w:pPr>
        <w:spacing w:after="0" w:line="175" w:lineRule="exact"/>
        <w:rPr>
          <w:sz w:val="20"/>
          <w:szCs w:val="20"/>
          <w:color w:val="auto"/>
        </w:rPr>
      </w:pPr>
    </w:p>
    <w:p>
      <w:pPr>
        <w:ind w:left="440" w:right="3379" w:firstLine="347"/>
        <w:spacing w:after="0" w:line="254" w:lineRule="auto"/>
        <w:rPr>
          <w:sz w:val="20"/>
          <w:szCs w:val="20"/>
          <w:color w:val="auto"/>
        </w:rPr>
      </w:pPr>
      <w:r>
        <w:rPr>
          <w:rFonts w:ascii="Courier New" w:cs="Courier New" w:eastAsia="Courier New" w:hAnsi="Courier New"/>
          <w:sz w:val="14"/>
          <w:szCs w:val="14"/>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63"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2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Three months ended</w:t>
            </w:r>
          </w:p>
        </w:tc>
        <w:tc>
          <w:tcPr>
            <w:tcW w:w="400" w:type="dxa"/>
            <w:vAlign w:val="bottom"/>
          </w:tcPr>
          <w:p>
            <w:pPr>
              <w:spacing w:after="0"/>
              <w:rPr>
                <w:sz w:val="14"/>
                <w:szCs w:val="14"/>
                <w:color w:val="auto"/>
              </w:rPr>
            </w:pPr>
          </w:p>
        </w:tc>
        <w:tc>
          <w:tcPr>
            <w:tcW w:w="248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June 30,</w:t>
            </w:r>
          </w:p>
        </w:tc>
        <w:tc>
          <w:tcPr>
            <w:tcW w:w="920" w:type="dxa"/>
            <w:vAlign w:val="bottom"/>
          </w:tcPr>
          <w:p>
            <w:pPr>
              <w:spacing w:after="0"/>
              <w:rPr>
                <w:sz w:val="14"/>
                <w:szCs w:val="14"/>
                <w:color w:val="auto"/>
              </w:rPr>
            </w:pPr>
          </w:p>
        </w:tc>
      </w:tr>
      <w:tr>
        <w:trPr>
          <w:trHeight w:val="167"/>
        </w:trPr>
        <w:tc>
          <w:tcPr>
            <w:tcW w:w="3340" w:type="dxa"/>
            <w:vAlign w:val="bottom"/>
          </w:tcPr>
          <w:p>
            <w:pPr>
              <w:spacing w:after="0"/>
              <w:rPr>
                <w:sz w:val="14"/>
                <w:szCs w:val="14"/>
                <w:color w:val="auto"/>
              </w:rPr>
            </w:pPr>
          </w:p>
        </w:tc>
        <w:tc>
          <w:tcPr>
            <w:tcW w:w="1640" w:type="dxa"/>
            <w:vAlign w:val="bottom"/>
            <w:gridSpan w:val="2"/>
          </w:tcPr>
          <w:p>
            <w:pPr>
              <w:ind w:left="380"/>
              <w:spacing w:after="0"/>
              <w:rPr>
                <w:sz w:val="20"/>
                <w:szCs w:val="20"/>
                <w:color w:val="auto"/>
              </w:rPr>
            </w:pPr>
            <w:r>
              <w:rPr>
                <w:rFonts w:ascii="Courier New" w:cs="Courier New" w:eastAsia="Courier New" w:hAnsi="Courier New"/>
                <w:sz w:val="10"/>
                <w:szCs w:val="10"/>
                <w:color w:val="auto"/>
                <w:w w:val="71"/>
              </w:rPr>
              <w:t>-----------------------------</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2004</w:t>
            </w:r>
          </w:p>
        </w:tc>
        <w:tc>
          <w:tcPr>
            <w:tcW w:w="48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2004</w:t>
            </w:r>
          </w:p>
        </w:tc>
        <w:tc>
          <w:tcPr>
            <w:tcW w:w="44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3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59,920</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47,438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173,278</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340" w:type="dxa"/>
            <w:vAlign w:val="bottom"/>
          </w:tcPr>
          <w:p>
            <w:pPr>
              <w:spacing w:after="0"/>
              <w:rPr>
                <w:sz w:val="20"/>
                <w:szCs w:val="20"/>
                <w:color w:val="auto"/>
              </w:rPr>
            </w:pPr>
            <w:r>
              <w:rPr>
                <w:rFonts w:ascii="Courier New" w:cs="Courier New" w:eastAsia="Courier New" w:hAnsi="Courier New"/>
                <w:sz w:val="14"/>
                <w:szCs w:val="14"/>
                <w:color w:val="auto"/>
              </w:rPr>
              <w:t>Other comprehensive income (loss):</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340"/>
              <w:spacing w:after="0"/>
              <w:rPr>
                <w:sz w:val="20"/>
                <w:szCs w:val="20"/>
                <w:color w:val="auto"/>
              </w:rPr>
            </w:pPr>
            <w:r>
              <w:rPr>
                <w:rFonts w:ascii="Courier New" w:cs="Courier New" w:eastAsia="Courier New" w:hAnsi="Courier New"/>
                <w:sz w:val="14"/>
                <w:szCs w:val="14"/>
                <w:color w:val="auto"/>
              </w:rPr>
              <w:t>Unrealized income (loss) on</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hedging</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contracts, net of tax</w:t>
            </w:r>
          </w:p>
        </w:tc>
        <w:tc>
          <w:tcPr>
            <w:tcW w:w="7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2,716</w:t>
            </w:r>
          </w:p>
        </w:tc>
        <w:tc>
          <w:tcPr>
            <w:tcW w:w="4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6,151</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(2,846)</w:t>
            </w:r>
          </w:p>
        </w:tc>
        <w:tc>
          <w:tcPr>
            <w:tcW w:w="4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15,285</w:t>
            </w:r>
          </w:p>
        </w:tc>
      </w:tr>
      <w:tr>
        <w:trPr>
          <w:trHeight w:val="167"/>
        </w:trPr>
        <w:tc>
          <w:tcPr>
            <w:tcW w:w="3340" w:type="dxa"/>
            <w:vAlign w:val="bottom"/>
          </w:tcPr>
          <w:p>
            <w:pPr>
              <w:ind w:left="260"/>
              <w:spacing w:after="0"/>
              <w:rPr>
                <w:sz w:val="20"/>
                <w:szCs w:val="20"/>
                <w:color w:val="auto"/>
              </w:rPr>
            </w:pPr>
            <w:r>
              <w:rPr>
                <w:rFonts w:ascii="Courier New" w:cs="Courier New" w:eastAsia="Courier New" w:hAnsi="Courier New"/>
                <w:sz w:val="14"/>
                <w:szCs w:val="14"/>
                <w:color w:val="auto"/>
              </w:rPr>
              <w:t>Unrealized loss on short-term</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 investments,</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net of tax</w:t>
            </w:r>
          </w:p>
        </w:tc>
        <w:tc>
          <w:tcPr>
            <w:tcW w:w="7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(1,687)</w:t>
            </w:r>
          </w:p>
        </w:tc>
        <w:tc>
          <w:tcPr>
            <w:tcW w:w="4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(882)</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(1,227)</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(1,931)</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60,949</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52,707</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169,205</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138,366</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hanging="351"/>
        <w:spacing w:after="0"/>
        <w:tabs>
          <w:tab w:leader="none" w:pos="3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The provision for income taxes for the following periods consisted of:</w:t>
      </w:r>
    </w:p>
    <w:p>
      <w:pPr>
        <w:spacing w:after="0" w:line="200" w:lineRule="exact"/>
        <w:rPr>
          <w:sz w:val="20"/>
          <w:szCs w:val="20"/>
          <w:color w:val="auto"/>
        </w:rPr>
      </w:pPr>
    </w:p>
    <w:p>
      <w:pPr>
        <w:spacing w:after="0" w:line="309"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60" w:type="dxa"/>
            <w:vAlign w:val="bottom"/>
            <w:gridSpan w:val="3"/>
          </w:tcPr>
          <w:p>
            <w:pPr>
              <w:jc w:val="right"/>
              <w:ind w:right="648"/>
              <w:spacing w:after="0"/>
              <w:rPr>
                <w:sz w:val="20"/>
                <w:szCs w:val="20"/>
                <w:color w:val="auto"/>
              </w:rPr>
            </w:pPr>
            <w:r>
              <w:rPr>
                <w:rFonts w:ascii="Courier New" w:cs="Courier New" w:eastAsia="Courier New" w:hAnsi="Courier New"/>
                <w:sz w:val="14"/>
                <w:szCs w:val="14"/>
                <w:color w:val="auto"/>
              </w:rPr>
              <w:t>Three months ended</w:t>
            </w:r>
          </w:p>
        </w:tc>
        <w:tc>
          <w:tcPr>
            <w:tcW w:w="440" w:type="dxa"/>
            <w:vAlign w:val="bottom"/>
          </w:tcPr>
          <w:p>
            <w:pPr>
              <w:spacing w:after="0"/>
              <w:rPr>
                <w:sz w:val="14"/>
                <w:szCs w:val="14"/>
                <w:color w:val="auto"/>
              </w:rPr>
            </w:pPr>
          </w:p>
        </w:tc>
        <w:tc>
          <w:tcPr>
            <w:tcW w:w="2400" w:type="dxa"/>
            <w:vAlign w:val="bottom"/>
            <w:gridSpan w:val="3"/>
          </w:tcPr>
          <w:p>
            <w:pPr>
              <w:jc w:val="right"/>
              <w:ind w:right="46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June 30,</w:t>
            </w:r>
          </w:p>
        </w:tc>
        <w:tc>
          <w:tcPr>
            <w:tcW w:w="880" w:type="dxa"/>
            <w:vAlign w:val="bottom"/>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3240" w:type="dxa"/>
            <w:vAlign w:val="bottom"/>
            <w:gridSpan w:val="2"/>
          </w:tcPr>
          <w:p>
            <w:pPr>
              <w:ind w:left="1980"/>
              <w:spacing w:after="0"/>
              <w:rPr>
                <w:sz w:val="20"/>
                <w:szCs w:val="20"/>
                <w:color w:val="auto"/>
              </w:rPr>
            </w:pPr>
            <w:r>
              <w:rPr>
                <w:rFonts w:ascii="Courier New" w:cs="Courier New" w:eastAsia="Courier New" w:hAnsi="Courier New"/>
                <w:sz w:val="9"/>
                <w:szCs w:val="9"/>
                <w:color w:val="auto"/>
                <w:w w:val="76"/>
              </w:rPr>
              <w:t>------------------------------</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2004</w:t>
            </w:r>
          </w:p>
        </w:tc>
        <w:tc>
          <w:tcPr>
            <w:tcW w:w="52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c>
          <w:tcPr>
            <w:tcW w:w="44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7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3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32,755</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10,571</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56,966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31,115</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3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(15,855)</w:t>
            </w:r>
          </w:p>
        </w:tc>
        <w:tc>
          <w:tcPr>
            <w:tcW w:w="52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5,242</w:t>
            </w:r>
          </w:p>
        </w:tc>
        <w:tc>
          <w:tcPr>
            <w:tcW w:w="4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(8,093)</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10,556</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14"/>
                <w:szCs w:val="14"/>
                <w:color w:val="auto"/>
              </w:rPr>
            </w:pPr>
          </w:p>
        </w:tc>
        <w:tc>
          <w:tcPr>
            <w:tcW w:w="23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16,900</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15,813</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48,873</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41,671</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1740" w:type="dxa"/>
            <w:vAlign w:val="bottom"/>
          </w:tcPr>
          <w:p>
            <w:pPr>
              <w:spacing w:after="0"/>
              <w:rPr>
                <w:sz w:val="24"/>
                <w:szCs w:val="24"/>
                <w:color w:val="auto"/>
              </w:rPr>
            </w:pPr>
          </w:p>
        </w:tc>
        <w:tc>
          <w:tcPr>
            <w:tcW w:w="2340" w:type="dxa"/>
            <w:vAlign w:val="bottom"/>
          </w:tcPr>
          <w:p>
            <w:pPr>
              <w:jc w:val="right"/>
              <w:ind w:right="1071"/>
              <w:spacing w:after="0"/>
              <w:rPr>
                <w:sz w:val="20"/>
                <w:szCs w:val="20"/>
                <w:color w:val="auto"/>
              </w:rPr>
            </w:pPr>
            <w:r>
              <w:rPr>
                <w:rFonts w:ascii="Courier New" w:cs="Courier New" w:eastAsia="Courier New" w:hAnsi="Courier New"/>
                <w:sz w:val="14"/>
                <w:szCs w:val="14"/>
                <w:color w:val="auto"/>
              </w:rPr>
              <w:t>67</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80" w:name="page81"/>
    <w:bookmarkEnd w:id="80"/>
    <w:p>
      <w:pPr>
        <w:jc w:val="center"/>
        <w:ind w:right="330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560" w:firstLine="781"/>
        <w:spacing w:after="0" w:line="258" w:lineRule="auto"/>
        <w:rPr>
          <w:sz w:val="20"/>
          <w:szCs w:val="20"/>
          <w:color w:val="auto"/>
        </w:rPr>
      </w:pPr>
      <w:r>
        <w:rPr>
          <w:rFonts w:ascii="Courier New" w:cs="Courier New" w:eastAsia="Courier New" w:hAnsi="Courier New"/>
          <w:sz w:val="14"/>
          <w:szCs w:val="14"/>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36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Three months ended</w:t>
            </w:r>
          </w:p>
        </w:tc>
        <w:tc>
          <w:tcPr>
            <w:tcW w:w="2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00" w:type="dxa"/>
            <w:vAlign w:val="bottom"/>
          </w:tcPr>
          <w:p>
            <w:pPr>
              <w:jc w:val="right"/>
              <w:ind w:right="1148"/>
              <w:spacing w:after="0"/>
              <w:rPr>
                <w:sz w:val="20"/>
                <w:szCs w:val="20"/>
                <w:color w:val="auto"/>
              </w:rPr>
            </w:pPr>
            <w:r>
              <w:rPr>
                <w:rFonts w:ascii="Courier New" w:cs="Courier New" w:eastAsia="Courier New" w:hAnsi="Courier New"/>
                <w:sz w:val="14"/>
                <w:szCs w:val="14"/>
                <w:color w:val="auto"/>
                <w:w w:val="98"/>
              </w:rPr>
              <w:t>June 30,</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1060" w:type="dxa"/>
            <w:vAlign w:val="bottom"/>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3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17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2004</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19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2004</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040" w:type="dxa"/>
            <w:vAlign w:val="bottom"/>
          </w:tcPr>
          <w:p>
            <w:pPr>
              <w:spacing w:after="0"/>
              <w:rPr>
                <w:sz w:val="20"/>
                <w:szCs w:val="20"/>
                <w:color w:val="auto"/>
              </w:rPr>
            </w:pPr>
            <w:r>
              <w:rPr>
                <w:rFonts w:ascii="Courier New" w:cs="Courier New" w:eastAsia="Courier New" w:hAnsi="Courier New"/>
                <w:sz w:val="14"/>
                <w:szCs w:val="14"/>
                <w:color w:val="auto"/>
              </w:rPr>
              <w:t>Statutory Guernsey tax rate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Guernsey tax-exempt status</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Foreign taxes</w:t>
            </w: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w:t>
            </w:r>
          </w:p>
        </w:tc>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22</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Effective income tax rate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right="3400" w:firstLine="260"/>
        <w:spacing w:after="0" w:line="255" w:lineRule="auto"/>
        <w:rPr>
          <w:sz w:val="20"/>
          <w:szCs w:val="20"/>
          <w:color w:val="auto"/>
        </w:rPr>
      </w:pPr>
      <w:r>
        <w:rPr>
          <w:rFonts w:ascii="Courier New" w:cs="Courier New" w:eastAsia="Courier New" w:hAnsi="Courier New"/>
          <w:sz w:val="14"/>
          <w:szCs w:val="14"/>
          <w:color w:val="auto"/>
        </w:rPr>
        <w:t>As a Guernsey corporation with tax-exempt status, the Company's overall effective tax rate is attributable solely to foreign taxes and for fiscal year 2004 is expected to approximate 22%.</w:t>
      </w:r>
    </w:p>
    <w:p>
      <w:pPr>
        <w:spacing w:after="0" w:line="162" w:lineRule="exact"/>
        <w:rPr>
          <w:sz w:val="20"/>
          <w:szCs w:val="20"/>
          <w:color w:val="auto"/>
        </w:rPr>
      </w:pPr>
    </w:p>
    <w:p>
      <w:pPr>
        <w:ind w:left="360" w:hanging="351"/>
        <w:spacing w:after="0"/>
        <w:tabs>
          <w:tab w:leader="none" w:pos="3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5" w:lineRule="exact"/>
        <w:rPr>
          <w:sz w:val="20"/>
          <w:szCs w:val="20"/>
          <w:color w:val="auto"/>
        </w:rPr>
      </w:pPr>
    </w:p>
    <w:p>
      <w:pPr>
        <w:ind w:right="3820" w:firstLine="608"/>
        <w:spacing w:after="0" w:line="258" w:lineRule="auto"/>
        <w:rPr>
          <w:sz w:val="20"/>
          <w:szCs w:val="20"/>
          <w:color w:val="auto"/>
        </w:rPr>
      </w:pPr>
      <w:r>
        <w:rPr>
          <w:rFonts w:ascii="Courier New" w:cs="Courier New" w:eastAsia="Courier New" w:hAnsi="Courier New"/>
          <w:sz w:val="14"/>
          <w:szCs w:val="14"/>
          <w:color w:val="auto"/>
        </w:rPr>
        <w:t>The following table sets forth the computation of basic and diluted earnings per share:</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20" w:type="dxa"/>
            <w:vAlign w:val="bottom"/>
            <w:gridSpan w:val="3"/>
          </w:tcPr>
          <w:p>
            <w:pPr>
              <w:jc w:val="right"/>
              <w:ind w:right="808"/>
              <w:spacing w:after="0"/>
              <w:rPr>
                <w:sz w:val="20"/>
                <w:szCs w:val="20"/>
                <w:color w:val="auto"/>
              </w:rPr>
            </w:pPr>
            <w:r>
              <w:rPr>
                <w:rFonts w:ascii="Courier New" w:cs="Courier New" w:eastAsia="Courier New" w:hAnsi="Courier New"/>
                <w:sz w:val="14"/>
                <w:szCs w:val="14"/>
                <w:color w:val="auto"/>
              </w:rPr>
              <w:t>Three months ended</w:t>
            </w:r>
          </w:p>
        </w:tc>
        <w:tc>
          <w:tcPr>
            <w:tcW w:w="260" w:type="dxa"/>
            <w:vAlign w:val="bottom"/>
          </w:tcPr>
          <w:p>
            <w:pPr>
              <w:spacing w:after="0"/>
              <w:rPr>
                <w:sz w:val="14"/>
                <w:szCs w:val="14"/>
                <w:color w:val="auto"/>
              </w:rPr>
            </w:pPr>
          </w:p>
        </w:tc>
        <w:tc>
          <w:tcPr>
            <w:tcW w:w="242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June 30,</w:t>
            </w:r>
          </w:p>
        </w:tc>
        <w:tc>
          <w:tcPr>
            <w:tcW w:w="860" w:type="dxa"/>
            <w:vAlign w:val="bottom"/>
          </w:tcPr>
          <w:p>
            <w:pPr>
              <w:spacing w:after="0"/>
              <w:rPr>
                <w:sz w:val="14"/>
                <w:szCs w:val="14"/>
                <w:color w:val="auto"/>
              </w:rPr>
            </w:pPr>
          </w:p>
        </w:tc>
      </w:tr>
      <w:tr>
        <w:trPr>
          <w:trHeight w:val="167"/>
        </w:trPr>
        <w:tc>
          <w:tcPr>
            <w:tcW w:w="3640" w:type="dxa"/>
            <w:vAlign w:val="bottom"/>
          </w:tcPr>
          <w:p>
            <w:pPr>
              <w:spacing w:after="0"/>
              <w:rPr>
                <w:sz w:val="14"/>
                <w:szCs w:val="14"/>
                <w:color w:val="auto"/>
              </w:rPr>
            </w:pPr>
          </w:p>
        </w:tc>
        <w:tc>
          <w:tcPr>
            <w:tcW w:w="32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t>
            </w:r>
          </w:p>
        </w:tc>
        <w:tc>
          <w:tcPr>
            <w:tcW w:w="268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2004</w:t>
            </w:r>
          </w:p>
        </w:tc>
        <w:tc>
          <w:tcPr>
            <w:tcW w:w="8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640" w:type="dxa"/>
            <w:vAlign w:val="bottom"/>
          </w:tcPr>
          <w:p>
            <w:pPr>
              <w:spacing w:after="0"/>
              <w:rPr>
                <w:sz w:val="14"/>
                <w:szCs w:val="14"/>
                <w:color w:val="auto"/>
              </w:rPr>
            </w:pPr>
          </w:p>
        </w:tc>
        <w:tc>
          <w:tcPr>
            <w:tcW w:w="1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r>
      <w:tr>
        <w:trPr>
          <w:trHeight w:val="501"/>
        </w:trPr>
        <w:tc>
          <w:tcPr>
            <w:tcW w:w="364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59,920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47,438</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173,278</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Denominator for basic earnings per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share-</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weighted average number of shares</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outstanding (1)</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206,093</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215,938</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210,409</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215,786</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Effect of dilutive stock options</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5,708</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4,854</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5,777</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3,167</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Denominator for diluted earnings per</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share -</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adjusted weighted average shares and</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assumed conversions (1)</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211,801</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220,792</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216,186</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218,953</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Basic earnings per share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0.22</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 per share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0.28</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0.21</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060" w:right="3300" w:hanging="357"/>
        <w:spacing w:after="0" w:line="253" w:lineRule="auto"/>
        <w:tabs>
          <w:tab w:leader="none" w:pos="123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weighted average number of shares outstanding during the three months and nine months ended June 30, 2003 includes exchangeable shares held by shareholders of Amdocs Canada, Inc. (formerly Solect Technology Group Inc. ("Solect")) pursuant to the Company's acquisition of Solect in April 2000, which were exchangeable for the Company's ordinary shares on a one-for-one basis. As of August 2003, none of the exchangeable shares remained outstanding.</w:t>
      </w:r>
    </w:p>
    <w:p>
      <w:pPr>
        <w:spacing w:after="0" w:line="165" w:lineRule="exact"/>
        <w:rPr>
          <w:sz w:val="20"/>
          <w:szCs w:val="20"/>
          <w:color w:val="auto"/>
        </w:rPr>
      </w:pPr>
    </w:p>
    <w:p>
      <w:pPr>
        <w:ind w:left="440" w:right="3300" w:firstLine="347"/>
        <w:spacing w:after="0" w:line="253" w:lineRule="auto"/>
        <w:rPr>
          <w:sz w:val="20"/>
          <w:szCs w:val="20"/>
          <w:color w:val="auto"/>
        </w:rPr>
      </w:pPr>
      <w:r>
        <w:rPr>
          <w:rFonts w:ascii="Courier New" w:cs="Courier New" w:eastAsia="Courier New" w:hAnsi="Courier New"/>
          <w:sz w:val="14"/>
          <w:szCs w:val="14"/>
          <w:color w:val="auto"/>
        </w:rPr>
        <w:t>The effect of the 2% Convertible Notes due June 1, 2008 issued by the Company in May 2001 (the "2% Notes") on diluted earnings per share was anti-dilutive for the three months and nine months ended June 30, 2004 and 2003, and, therefore, was not included in the above calculation. The effect of the 0.50% Convertible Senior Notes due 2024 (the "0.50% Notes") issued by the Company in March 2004 on diluted earnings per share was not included in the above calculation due to the conditions on their conversion (see Note 11). The weighted average effect of the repurchase of ordinary shares by the Company has been included in the calculation of basic earnings per share.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60"/>
          </w:cols>
          <w:pgMar w:left="220" w:top="620" w:right="1419" w:bottom="306" w:gutter="0" w:footer="0" w:header="0"/>
        </w:sectPr>
      </w:pPr>
    </w:p>
    <w:bookmarkStart w:id="81" w:name="page82"/>
    <w:bookmarkEnd w:id="81"/>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800" w:right="7719" w:hanging="791"/>
        <w:spacing w:after="0" w:line="505" w:lineRule="auto"/>
        <w:tabs>
          <w:tab w:leader="none" w:pos="453"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of Securities Ordinary Shares</w:t>
      </w: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On November 5, 2003, the Company announced that its board of directors had authorized a share repurchase program of up to 5,000 ordinary shares during fiscal 2004. The authorization permits the Company to purchase ordinary shares in the open market or in privately negotiated transactions and at prices the Company deems appropriate. The Company stated that one of the main purposes of the repurchase program was to offset the dilutive effect of any future share issuances, including issuances pursuant to employee equity plans or in connection with acquisitions. During the three months ended December 31, 2003 the Company repurchased 4,990 ordinary shares under this repurchase program, for an aggregate purchase price of $123,993. No share repurchases under this program were made in the six months ended June 30, 2004.</w:t>
      </w:r>
    </w:p>
    <w:p>
      <w:pPr>
        <w:spacing w:after="0" w:line="164"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connection with the Company's acquisition of XACCT Technologies Ltd. (see Note 10), the Company's board of directors approved the repurchase of ordinary shares to offset the dilutive effect of share issuances in the acquisition. The closing of the acquisition occurred in February 2004, and the Company repurchased 484 ordinary shares in February 2004 for an aggregate purchase price of $13,417.</w:t>
      </w:r>
    </w:p>
    <w:p>
      <w:pPr>
        <w:spacing w:after="0" w:line="16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connection with the Company's issuance of the 0.50% Notes (see Note 11), the board of directors approved the repurchase of ordinary shares sold short by purchasers of the 0.50% Notes in negotiated transactions, concurrently with the sale of the notes, to offset the dilutive effect of the ordinary shares issuable upon conversion of the 0.50% Notes. The closing of the sale of the 0.50% Notes occurred in March 2004, and the Company repurchased 6,074 ordinary shares for an aggregate purchase price of $170,061, out of the 10,436 ordinary shares issuable upon conversion of the 0.50% Notes, based on a conversion rate of 23.1911 shares per $1,000 principal amount.</w:t>
      </w:r>
    </w:p>
    <w:p>
      <w:pPr>
        <w:spacing w:after="0" w:line="164"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On July 28, 2004 the Company announced that its board of directors had extended the Company's share repurchase program by authorizing the repurchase of up to $100,000 of its outstanding ordinary shares. The authorization permits the Company to purchase its ordinary shares in open market or privately negotiated transactions at times and prices considered appropriate by the Company. As of August 10, 2004, the Company had repurchased 2,219 ordinary shares under this repurchase program, for an aggregate purchase price of $46,811.</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Convertible Notes</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July 2002, the board of directors authorized the Company to repurchase its outstanding 2% Notes, in such amounts, at such prices and at such times considered appropriate by the Company. During the three months ended December 31, 2003, the Company repurchased $5,000 aggregate principal amount of the 2% Notes for an aggregate purchase price of $4,987. During fiscal 2003 and 2002, the Company repurchased $99,546 aggregate principal amount of the 2% Notes for an aggregate purchase price of $93,087.</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On June 1, 2004, the Company completed a cash offer for the 2% Notes.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Pursuant to the indenture for the 2% Notes, each holder of the 2% Notes had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right to require the Company to repurchase on June 1, 2004 all or any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part of such holder's notes at a price equal to 100% of the principal</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amount plus accrued and unpaid interest. Under the terms of the 2% Notes,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had the option to pay for the 2% Notes with cash, ordinary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shares, or a combination of cash and ordinary shares. The Company elected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pay for the notes solely with cash. The Company accepted for payment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$395,110 principal amount of 2% Notes surrendered for repurchase pursuant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the offer. The untendered $344 principal amount of 2% Notes will remain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obligations of the Company, due June 1, 2008, in accordance with</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453" w:right="1440" w:bottom="1440" w:gutter="0" w:footer="0" w:header="0"/>
        </w:sectPr>
      </w:pPr>
    </w:p>
    <w:bookmarkStart w:id="82" w:name="page83"/>
    <w:bookmarkEnd w:id="82"/>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their terms, and are included in "Noncurrent liabilities and other" in the accompanying consolidated balance sheet as of June 30, 2004.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ACQUISITIONS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CERTEN INC.</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On July 2, 2003, the Company acquired from Bell Canada ("Bell") its 90% ownership interest in Certen (renamed Amdocs Canada Managed Services, Inc.) for approximately $66,000 in cash. In addition, the Company had related transaction costs of approximately $3,000. The Company and Bell formed Certen in January 2001 to provide customer care and billing solutions to Bell and a number of Bell's affiliated companies. Prior to this acquisition, the Company owned 10% of Certen. As a result of the acquisition, Certen is now a wholly owned subsidiary of the Company. Since Certen's inception, the Company has provided customer care and billing software required by Certen, including related customization, installation, maintenance and other services. This acquisition expanded the Company's Managed Services offerings and positioned it as a major provider of Managed Services to the communications industry, and was its next logical step in the evolution of its relationship with Bell. In addition, as a result of this acquisition, the Company continued to develop an integrated billing platform to replace legacy systems built on a product-by-product basis. Following the acquisition, Certen continued to provide Managed Services to Bell as it did prior to the acquisition, and the wholly owned subsidiary contributes a positive cash flow to the Company. The acquisition did not affect the Company's liquidity position. The fair market value of Certen's assets and liabilities has been included in the Company's consolidated balance sheet and the results of Certen's operations have been included in the Company's consolidated statements of income, commencing on July 2, 2003.</w:t>
      </w:r>
    </w:p>
    <w:p>
      <w:pPr>
        <w:spacing w:after="0" w:line="34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following is the revised allocation of the purchase price and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20"/>
                <w:szCs w:val="20"/>
                <w:color w:val="auto"/>
              </w:rPr>
            </w:pPr>
            <w:r>
              <w:rPr>
                <w:rFonts w:ascii="Courier New" w:cs="Courier New" w:eastAsia="Courier New" w:hAnsi="Courier New"/>
                <w:sz w:val="14"/>
                <w:szCs w:val="14"/>
                <w:color w:val="auto"/>
              </w:rPr>
              <w:t>deferred tax liability:</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35"/>
        </w:trPr>
        <w:tc>
          <w:tcPr>
            <w:tcW w:w="6980" w:type="dxa"/>
            <w:vAlign w:val="bottom"/>
          </w:tcPr>
          <w:p>
            <w:pPr>
              <w:ind w:left="520"/>
              <w:spacing w:after="0"/>
              <w:rPr>
                <w:sz w:val="20"/>
                <w:szCs w:val="20"/>
                <w:color w:val="auto"/>
              </w:rPr>
            </w:pPr>
            <w:r>
              <w:rPr>
                <w:rFonts w:ascii="Courier New" w:cs="Courier New" w:eastAsia="Courier New" w:hAnsi="Courier New"/>
                <w:sz w:val="14"/>
                <w:szCs w:val="14"/>
                <w:color w:val="auto"/>
              </w:rPr>
              <w:t>Purchase price</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65,887</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Estimated transaction costs</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2,925</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Total purchase price</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68,812</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Write-off of deferred revenue and allowance on Amdocs books, net of</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tax</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(33,666)</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amount for purchase price allocation</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35,146</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980" w:type="dxa"/>
            <w:vAlign w:val="bottom"/>
          </w:tcPr>
          <w:p>
            <w:pPr>
              <w:ind w:left="520"/>
              <w:spacing w:after="0"/>
              <w:rPr>
                <w:sz w:val="20"/>
                <w:szCs w:val="20"/>
                <w:color w:val="auto"/>
              </w:rPr>
            </w:pPr>
            <w:r>
              <w:rPr>
                <w:rFonts w:ascii="Courier New" w:cs="Courier New" w:eastAsia="Courier New" w:hAnsi="Courier New"/>
                <w:sz w:val="14"/>
                <w:szCs w:val="14"/>
                <w:color w:val="auto"/>
              </w:rPr>
              <w:t>Allocation of purchase price:</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90% tangible assets acquired, net of capitalized Amdocs system on</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Certen's books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80,929</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90% liabilities assumed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(241,460)</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liabilities acquired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(160,531)</w:t>
            </w:r>
          </w:p>
        </w:tc>
      </w:tr>
      <w:tr>
        <w:trPr>
          <w:trHeight w:val="334"/>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Customer arrangement</w:t>
            </w:r>
          </w:p>
        </w:tc>
        <w:tc>
          <w:tcPr>
            <w:tcW w:w="4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36,385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Adjustment to fair value of pension and other post-employment benefit</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liabilities</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(12,605)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EITF 95-3 and other liabilities</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(2,857)</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Deferred taxes resulting from the difference between the assigned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value of certain assets and liabilities and their respective tax</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bases</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73,673</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fair value of liabilities acquired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(65,935)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Goodwill</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101,081</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6980" w:type="dxa"/>
            <w:vAlign w:val="bottom"/>
          </w:tcPr>
          <w:p>
            <w:pPr>
              <w:ind w:left="2960"/>
              <w:spacing w:after="0"/>
              <w:rPr>
                <w:sz w:val="20"/>
                <w:szCs w:val="20"/>
                <w:color w:val="auto"/>
              </w:rPr>
            </w:pPr>
            <w:r>
              <w:rPr>
                <w:rFonts w:ascii="Courier New" w:cs="Courier New" w:eastAsia="Courier New" w:hAnsi="Courier New"/>
                <w:sz w:val="14"/>
                <w:szCs w:val="14"/>
                <w:color w:val="auto"/>
              </w:rPr>
              <w:t>70</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9799"/>
          </w:cols>
          <w:pgMar w:left="660" w:top="453" w:right="1440" w:bottom="1440" w:gutter="0" w:footer="0" w:header="0"/>
        </w:sectPr>
      </w:pPr>
    </w:p>
    <w:bookmarkStart w:id="83" w:name="page84"/>
    <w:bookmarkEnd w:id="83"/>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The following table sets forth the unaudited pro forma revenue, operating income, net income and earnings per share figures for the three months and nine months ended June 30, 2003, as if Certen had been acquired as of October 1, 2001:</w:t>
      </w:r>
    </w:p>
    <w:p>
      <w:pPr>
        <w:spacing w:after="0" w:line="200" w:lineRule="exact"/>
        <w:rPr>
          <w:sz w:val="20"/>
          <w:szCs w:val="20"/>
          <w:color w:val="auto"/>
        </w:rPr>
      </w:pPr>
    </w:p>
    <w:p>
      <w:pPr>
        <w:spacing w:after="0" w:line="29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THREE MONTHS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2900" w:type="dxa"/>
            <w:vAlign w:val="bottom"/>
          </w:tcPr>
          <w:p>
            <w:pPr>
              <w:spacing w:after="0"/>
              <w:rPr>
                <w:sz w:val="14"/>
                <w:szCs w:val="14"/>
                <w:color w:val="auto"/>
              </w:rPr>
            </w:pP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ENDED</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2900" w:type="dxa"/>
            <w:vAlign w:val="bottom"/>
          </w:tcPr>
          <w:p>
            <w:pPr>
              <w:spacing w:after="0"/>
              <w:rPr>
                <w:sz w:val="14"/>
                <w:szCs w:val="14"/>
                <w:color w:val="auto"/>
              </w:rPr>
            </w:pP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spacing w:after="0"/>
              <w:rPr>
                <w:sz w:val="14"/>
                <w:szCs w:val="14"/>
                <w:color w:val="auto"/>
              </w:rPr>
            </w:pPr>
          </w:p>
        </w:tc>
        <w:tc>
          <w:tcPr>
            <w:tcW w:w="2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JUNE 30, 2003</w:t>
            </w:r>
          </w:p>
        </w:tc>
      </w:tr>
      <w:tr>
        <w:trPr>
          <w:trHeight w:val="167"/>
        </w:trPr>
        <w:tc>
          <w:tcPr>
            <w:tcW w:w="2900" w:type="dxa"/>
            <w:vAlign w:val="bottom"/>
          </w:tcPr>
          <w:p>
            <w:pPr>
              <w:spacing w:after="0"/>
              <w:rPr>
                <w:sz w:val="14"/>
                <w:szCs w:val="14"/>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$ 432,383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$ 1,210,198</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51,727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129,381</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40,883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104,107</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bl>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XACCT TECHNOLOGIES LIMITED</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On February 19, 2004, the Company acquired XACCT Technologies Ltd. ("XACCT"), a privately-held provider of mediation software to communications service providers. The Company acquired XACCT's outstanding shares for $28,425, of which $13,286 was paid in cash and the balance in 561 of the Company's ordinary shares. In addition, the Company had related transaction costs of approximately $750. This acquisition further expands the scope of the Company's billing capabilities in the network mediation space, enabling the collection, formatting and distribution of network usage events. With this acquisition, the Company achieves the capability to support end-to-end event processing, from network mediation through billing, for voice, data, content and commerce prepaid and postpaid transactions. The Company repurchased 484 ordinary shares in February 2004 to offset the dilutive effect of shares issued in the acquisition. The fair market value of XACCT's assets and liabilities has been included in the Company's balance sheet and the results of XACCT's operations have been included in the Company's consolidated statements of income, commencing on February 19, 2004.</w:t>
      </w:r>
    </w:p>
    <w:p>
      <w:pPr>
        <w:spacing w:after="0" w:line="340" w:lineRule="exact"/>
        <w:rPr>
          <w:sz w:val="20"/>
          <w:szCs w:val="20"/>
          <w:color w:val="auto"/>
        </w:rPr>
      </w:pPr>
    </w:p>
    <w:p>
      <w:pPr>
        <w:ind w:right="3639" w:firstLine="347"/>
        <w:spacing w:after="0" w:line="258" w:lineRule="auto"/>
        <w:rPr>
          <w:sz w:val="20"/>
          <w:szCs w:val="20"/>
          <w:color w:val="auto"/>
        </w:rPr>
      </w:pPr>
      <w:r>
        <w:rPr>
          <w:rFonts w:ascii="Courier New" w:cs="Courier New" w:eastAsia="Courier New" w:hAnsi="Courier New"/>
          <w:sz w:val="14"/>
          <w:szCs w:val="14"/>
          <w:color w:val="auto"/>
        </w:rPr>
        <w:t>The following is the revised preliminary allocation of the purchase price and deferred tax assets:</w:t>
      </w:r>
    </w:p>
    <w:p>
      <w:pPr>
        <w:spacing w:after="0" w:line="32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assets acquired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551</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Technology</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9,209</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Customer arrangements</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1,064</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8,164</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10,187</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$29,175</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Pro forma information on the Company's consolidated results of operations for the nine months and three months ended June 30, 2004 and 2003 to reflect the XACCT acquisition is not presented, as its results of operations during such periods are not material to the Company's consolidated results of operations.</w:t>
      </w:r>
    </w:p>
    <w:p>
      <w:pPr>
        <w:spacing w:after="0" w:line="32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9799"/>
          </w:cols>
          <w:pgMar w:left="660" w:top="453" w:right="1440" w:bottom="1440" w:gutter="0" w:footer="0" w:header="0"/>
        </w:sectPr>
      </w:pPr>
    </w:p>
    <w:bookmarkStart w:id="84" w:name="page85"/>
    <w:bookmarkEnd w:id="84"/>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hanging="431"/>
        <w:spacing w:after="0"/>
        <w:tabs>
          <w:tab w:leader="none" w:pos="4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0.50% Convertible Senior Notes Due 2024</w:t>
      </w:r>
    </w:p>
    <w:p>
      <w:pPr>
        <w:spacing w:after="0" w:line="175" w:lineRule="exact"/>
        <w:rPr>
          <w:sz w:val="20"/>
          <w:szCs w:val="20"/>
          <w:color w:val="auto"/>
        </w:rPr>
      </w:pPr>
    </w:p>
    <w:p>
      <w:pPr>
        <w:ind w:left="440" w:right="3279" w:firstLine="347"/>
        <w:spacing w:after="0" w:line="252" w:lineRule="auto"/>
        <w:rPr>
          <w:sz w:val="20"/>
          <w:szCs w:val="20"/>
          <w:color w:val="auto"/>
        </w:rPr>
      </w:pPr>
      <w:r>
        <w:rPr>
          <w:rFonts w:ascii="Courier New" w:cs="Courier New" w:eastAsia="Courier New" w:hAnsi="Courier New"/>
          <w:sz w:val="14"/>
          <w:szCs w:val="14"/>
          <w:color w:val="auto"/>
        </w:rPr>
        <w:t>In March 2004, the Company issued $450,000 aggregate principal amount of 0.50% Notes.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 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w:t>
      </w:r>
    </w:p>
    <w:p>
      <w:pPr>
        <w:spacing w:after="0" w:line="5" w:lineRule="exact"/>
        <w:rPr>
          <w:sz w:val="20"/>
          <w:szCs w:val="20"/>
          <w:color w:val="auto"/>
        </w:rPr>
      </w:pPr>
    </w:p>
    <w:p>
      <w:pPr>
        <w:ind w:left="440" w:right="3279" w:firstLine="3"/>
        <w:spacing w:after="0" w:line="252" w:lineRule="auto"/>
        <w:tabs>
          <w:tab w:leader="none" w:pos="874"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 The 0.50% Notes are subject to redemption at any time on or after March 20, 2009, in whole or in part, at the option of the Company, at a redemption price of 100% of the principal amount plus accrued and unpaid interest, if any, on such redemption date. The 0.50% Notes are subject to repurchase, at the holders' option, on March 15, 2009, 2014 and 2019, at a repurchase price equal to 100% of the principal amount plus accrued and unpaid interest, if any, on such repurchase date. The Company may choose to pay the repurchase price in cash, ordinary shares or a combination of cash and ordinary shares.</w:t>
      </w:r>
    </w:p>
    <w:p>
      <w:pPr>
        <w:spacing w:after="0" w:line="341"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Operational Efficiency and Cost Reduction Programs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Fiscal Year Ended September 30, 2003</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the first quarter of fiscal 2003, the Company implemented a series of measures designed to reduce costs and improve productivity, with targeted quarterly savings of approximately $8,000. As part of this plan, the Company reduced its workforce by approximately 400 employees, representing approximately 4% of the Company's worldwide workforce of 9,000 full-time employees, vacated facilities in different centers around the world and implemented other cost reduction measures, including travel cuts and reduction in other discretionary costs.</w:t>
      </w:r>
    </w:p>
    <w:p>
      <w:pPr>
        <w:spacing w:after="0" w:line="165" w:lineRule="exact"/>
        <w:rPr>
          <w:sz w:val="20"/>
          <w:szCs w:val="20"/>
          <w:color w:val="auto"/>
        </w:rPr>
      </w:pPr>
    </w:p>
    <w:p>
      <w:pPr>
        <w:ind w:left="440" w:right="3379"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these actions and recorded in the first quarter of fiscal 2003 was $9,956. Approximately $5,816 of the total charge was paid in cash as of June 30, 2004. The remainder of the charge, comprised of facility related costs, is expected to be paid out through June 2008.</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Details of $9,956 Restructuring Charge:</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recorded a charge of $4,011 related to employee separation costs in connection with the termination of employment of software information technology specialists and administrative professionals from various locations around the world. The Company recorded a charge of $4,022 related to facilities, representing rent obligations relating to vacated facilities in Raanana, Israel and St. Louis,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787" w:right="1440" w:bottom="1440" w:gutter="0" w:footer="0" w:header="0"/>
        </w:sectPr>
      </w:pPr>
    </w:p>
    <w:bookmarkStart w:id="85" w:name="page86"/>
    <w:bookmarkEnd w:id="85"/>
    <w:p>
      <w:pPr>
        <w:jc w:val="center"/>
        <w:ind w:right="44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Missouri. The Company also recorded a provision of $1,829 for asset write-offs, principally for leasehold improvements in Raanana, Israel and St. Louis, Missouri that were abandoned.</w:t>
      </w:r>
    </w:p>
    <w:p>
      <w:pPr>
        <w:spacing w:after="0" w:line="162" w:lineRule="exact"/>
        <w:rPr>
          <w:sz w:val="20"/>
          <w:szCs w:val="20"/>
          <w:color w:val="auto"/>
        </w:rPr>
      </w:pPr>
    </w:p>
    <w:p>
      <w:pPr>
        <w:ind w:right="180" w:firstLine="347"/>
        <w:spacing w:after="0" w:line="258" w:lineRule="auto"/>
        <w:rPr>
          <w:sz w:val="20"/>
          <w:szCs w:val="20"/>
          <w:color w:val="auto"/>
        </w:rPr>
      </w:pPr>
      <w:r>
        <w:rPr>
          <w:rFonts w:ascii="Courier New" w:cs="Courier New" w:eastAsia="Courier New" w:hAnsi="Courier New"/>
          <w:sz w:val="14"/>
          <w:szCs w:val="14"/>
          <w:color w:val="auto"/>
        </w:rPr>
        <w:t>The first quarter of fiscal 2003 restructuring charge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EMPLOYEE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SEPARATION</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ASSET</w:t>
            </w:r>
          </w:p>
        </w:tc>
      </w:tr>
      <w:tr>
        <w:trPr>
          <w:trHeight w:val="167"/>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COSTS</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FACILITIES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WRITE-OFFS</w:t>
            </w:r>
          </w:p>
        </w:tc>
      </w:tr>
      <w:tr>
        <w:trPr>
          <w:trHeight w:val="167"/>
        </w:trPr>
        <w:tc>
          <w:tcPr>
            <w:tcW w:w="2600" w:type="dxa"/>
            <w:vAlign w:val="bottom"/>
          </w:tcPr>
          <w:p>
            <w:pPr>
              <w:spacing w:after="0"/>
              <w:rPr>
                <w:sz w:val="14"/>
                <w:szCs w:val="14"/>
                <w:color w:val="auto"/>
              </w:rPr>
            </w:pP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4,011</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4,022</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1,829</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(3,890)</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(467)</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(1,829)</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(453)</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3,102</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(1,198)</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100" w:firstLine="347"/>
        <w:spacing w:after="0" w:line="253" w:lineRule="auto"/>
        <w:rPr>
          <w:sz w:val="20"/>
          <w:szCs w:val="20"/>
          <w:color w:val="auto"/>
        </w:rPr>
      </w:pPr>
      <w:r>
        <w:rPr>
          <w:rFonts w:ascii="Courier New" w:cs="Courier New" w:eastAsia="Courier New" w:hAnsi="Courier New"/>
          <w:sz w:val="14"/>
          <w:szCs w:val="14"/>
          <w:color w:val="auto"/>
        </w:rPr>
        <w:t>The financial savings of these actions, of approximately $8,000 quarterly commencing in the second quarter of 2003, is reflected as a reduction in operating expense. These cost savings may not be permanent as increased activity levels resulting from, among other factors, acquisitions, new Managed Services agreements and increased revenue, may require an increase in headcount and other increased spending.</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Fiscal Year Ended September 30, 2002</w:t>
      </w:r>
    </w:p>
    <w:p>
      <w:pPr>
        <w:spacing w:after="0" w:line="175" w:lineRule="exact"/>
        <w:rPr>
          <w:sz w:val="20"/>
          <w:szCs w:val="20"/>
          <w:color w:val="auto"/>
        </w:rPr>
      </w:pPr>
    </w:p>
    <w:p>
      <w:pPr>
        <w:ind w:right="100" w:firstLine="347"/>
        <w:spacing w:after="0" w:line="253" w:lineRule="auto"/>
        <w:rPr>
          <w:sz w:val="20"/>
          <w:szCs w:val="20"/>
          <w:color w:val="auto"/>
        </w:rPr>
      </w:pPr>
      <w:r>
        <w:rPr>
          <w:rFonts w:ascii="Courier New" w:cs="Courier New" w:eastAsia="Courier New" w:hAnsi="Courier New"/>
          <w:sz w:val="14"/>
          <w:szCs w:val="14"/>
          <w:color w:val="auto"/>
        </w:rPr>
        <w:t>In the fourth quarter of fiscal 2002, the Company implemented a cost reduction program targeted to reduce costs by approximately $30,000 quarterly in response to a decline of the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than expected, as well as from smaller than expected initial spending commitments and reduced discretionary spending under contracts with some customers.</w:t>
      </w:r>
    </w:p>
    <w:p>
      <w:pPr>
        <w:spacing w:after="0" w:line="164" w:lineRule="exact"/>
        <w:rPr>
          <w:sz w:val="20"/>
          <w:szCs w:val="20"/>
          <w:color w:val="auto"/>
        </w:rPr>
      </w:pPr>
    </w:p>
    <w:p>
      <w:pPr>
        <w:ind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these actions and recorded in the fourth quarter of fiscal 2002 was $20,919. Approximately $16,957 of the total charge was paid in cash as of June 30, 2004. The remainder of the charge, comprised of facility related costs, is expected to be paid out through April 2012.</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Details of $20,919 Restructuring Charge:</w:t>
      </w:r>
    </w:p>
    <w:p>
      <w:pPr>
        <w:spacing w:after="0" w:line="175" w:lineRule="exact"/>
        <w:rPr>
          <w:sz w:val="20"/>
          <w:szCs w:val="20"/>
          <w:color w:val="auto"/>
        </w:rPr>
      </w:pPr>
    </w:p>
    <w:p>
      <w:pPr>
        <w:ind w:firstLine="347"/>
        <w:spacing w:after="0" w:line="253" w:lineRule="auto"/>
        <w:rPr>
          <w:sz w:val="20"/>
          <w:szCs w:val="20"/>
          <w:color w:val="auto"/>
        </w:rPr>
      </w:pPr>
      <w:r>
        <w:rPr>
          <w:rFonts w:ascii="Courier New" w:cs="Courier New" w:eastAsia="Courier New" w:hAnsi="Courier New"/>
          <w:sz w:val="14"/>
          <w:szCs w:val="14"/>
          <w:color w:val="auto"/>
        </w:rPr>
        <w:t>The Company recorded a charge of $11,353 related to employee separation costs in connection with the termination of employment of approximately 1,000 employees, representing approximately 10% of the Company's worldwide workforce of 9,900 full-time employees. The actual number of employees terminated approximated original estimates. There was not a single group of employees or business function that was solely impacted by these measures; instead it impacted information technology specialists and administration professionals across a broad range of functions according to the areas with reduced activities. The Company recorded a charge of $7,880 related to facilities, representing rent obligations relating to vacated facilities in various locations in Canada, Israel and the United States.</w:t>
      </w:r>
    </w:p>
    <w:p>
      <w:pPr>
        <w:spacing w:after="0" w:line="33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tabs>
          <w:tab w:leader="none" w:pos="120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spacing w:after="0"/>
        <w:tabs>
          <w:tab w:leader="none" w:pos="500" w:val="left"/>
          <w:tab w:leader="none" w:pos="1020" w:val="left"/>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9,956</w:t>
      </w:r>
    </w:p>
    <w:p>
      <w:pPr>
        <w:spacing w:after="0" w:line="8" w:lineRule="exact"/>
        <w:rPr>
          <w:sz w:val="20"/>
          <w:szCs w:val="20"/>
          <w:color w:val="auto"/>
        </w:rPr>
      </w:pPr>
    </w:p>
    <w:p>
      <w:pPr>
        <w:ind w:left="1220" w:hanging="786"/>
        <w:spacing w:after="0"/>
        <w:tabs>
          <w:tab w:leader="none" w:pos="12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(4,451)</w:t>
      </w:r>
    </w:p>
    <w:p>
      <w:pPr>
        <w:spacing w:after="0" w:line="8" w:lineRule="exact"/>
        <w:rPr>
          <w:sz w:val="20"/>
          <w:szCs w:val="20"/>
          <w:color w:val="auto"/>
        </w:rPr>
      </w:pPr>
    </w:p>
    <w:p>
      <w:pPr>
        <w:ind w:left="1220" w:hanging="700"/>
        <w:spacing w:after="0"/>
        <w:tabs>
          <w:tab w:leader="none" w:pos="12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(1,829)</w:t>
      </w:r>
    </w:p>
    <w:p>
      <w:pPr>
        <w:spacing w:after="0" w:line="8" w:lineRule="exact"/>
        <w:rPr>
          <w:rFonts w:ascii="Courier New" w:cs="Courier New" w:eastAsia="Courier New" w:hAnsi="Courier New"/>
          <w:sz w:val="14"/>
          <w:szCs w:val="14"/>
          <w:color w:val="auto"/>
        </w:rPr>
      </w:pPr>
    </w:p>
    <w:p>
      <w:pPr>
        <w:ind w:left="1380" w:hanging="860"/>
        <w:spacing w:after="0"/>
        <w:tabs>
          <w:tab w:leader="none" w:pos="13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(415)</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300" w:hanging="780"/>
        <w:spacing w:after="0"/>
        <w:tabs>
          <w:tab w:leader="none" w:pos="13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3,261</w:t>
      </w:r>
    </w:p>
    <w:p>
      <w:pPr>
        <w:spacing w:after="0" w:line="8" w:lineRule="exact"/>
        <w:rPr>
          <w:rFonts w:ascii="Courier New" w:cs="Courier New" w:eastAsia="Courier New" w:hAnsi="Courier New"/>
          <w:sz w:val="14"/>
          <w:szCs w:val="14"/>
          <w:color w:val="auto"/>
        </w:rPr>
      </w:pPr>
    </w:p>
    <w:p>
      <w:pPr>
        <w:ind w:left="1220" w:hanging="700"/>
        <w:spacing w:after="0"/>
        <w:tabs>
          <w:tab w:leader="none" w:pos="12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(1,365)</w:t>
      </w:r>
    </w:p>
    <w:p>
      <w:pPr>
        <w:spacing w:after="0" w:line="8" w:lineRule="exact"/>
        <w:rPr>
          <w:rFonts w:ascii="Courier New" w:cs="Courier New" w:eastAsia="Courier New" w:hAnsi="Courier New"/>
          <w:sz w:val="14"/>
          <w:szCs w:val="14"/>
          <w:color w:val="auto"/>
        </w:rPr>
      </w:pPr>
    </w:p>
    <w:p>
      <w:pPr>
        <w:ind w:left="1640" w:hanging="1120"/>
        <w:spacing w:after="0"/>
        <w:tabs>
          <w:tab w:leader="none" w:pos="16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8</w:t>
      </w:r>
    </w:p>
    <w:p>
      <w:pPr>
        <w:spacing w:after="0" w:line="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520" w:hanging="520"/>
        <w:spacing w:after="0"/>
        <w:tabs>
          <w:tab w:leader="none" w:pos="5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1,904</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6520" w:space="340"/>
            <w:col w:w="2940"/>
          </w:cols>
          <w:pgMar w:left="660" w:top="453" w:right="1440" w:bottom="1440" w:gutter="0" w:footer="0" w:header="0"/>
        </w:sectPr>
      </w:pPr>
    </w:p>
    <w:bookmarkStart w:id="86" w:name="page87"/>
    <w:bookmarkEnd w:id="86"/>
    <w:p>
      <w:pPr>
        <w:jc w:val="center"/>
        <w:ind w:right="104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jc w:val="both"/>
        <w:ind w:right="600"/>
        <w:spacing w:after="0" w:line="255" w:lineRule="auto"/>
        <w:rPr>
          <w:sz w:val="20"/>
          <w:szCs w:val="20"/>
          <w:color w:val="auto"/>
        </w:rPr>
      </w:pPr>
      <w:r>
        <w:rPr>
          <w:rFonts w:ascii="Courier New" w:cs="Courier New" w:eastAsia="Courier New" w:hAnsi="Courier New"/>
          <w:sz w:val="14"/>
          <w:szCs w:val="14"/>
          <w:color w:val="auto"/>
        </w:rPr>
        <w:t>The Company also recorded a provision of $1,584 for asset write-offs, principally for leasehold improvements in Canada, Israel and the United States that were abandoned.</w:t>
      </w:r>
    </w:p>
    <w:p>
      <w:pPr>
        <w:spacing w:after="0" w:line="162" w:lineRule="exact"/>
        <w:rPr>
          <w:sz w:val="20"/>
          <w:szCs w:val="20"/>
          <w:color w:val="auto"/>
        </w:rPr>
      </w:pPr>
    </w:p>
    <w:p>
      <w:pPr>
        <w:ind w:right="700" w:firstLine="347"/>
        <w:spacing w:after="0" w:line="258" w:lineRule="auto"/>
        <w:rPr>
          <w:sz w:val="20"/>
          <w:szCs w:val="20"/>
          <w:color w:val="auto"/>
        </w:rPr>
      </w:pPr>
      <w:r>
        <w:rPr>
          <w:rFonts w:ascii="Courier New" w:cs="Courier New" w:eastAsia="Courier New" w:hAnsi="Courier New"/>
          <w:sz w:val="14"/>
          <w:szCs w:val="14"/>
          <w:color w:val="auto"/>
        </w:rPr>
        <w:t>The fourth quarter of fiscal 2002 restructuring charge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Employee</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Separation</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Asset</w:t>
            </w:r>
          </w:p>
        </w:tc>
      </w:tr>
      <w:tr>
        <w:trPr>
          <w:trHeight w:val="167"/>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Costs</w:t>
            </w:r>
          </w:p>
        </w:tc>
        <w:tc>
          <w:tcPr>
            <w:tcW w:w="1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Facilities</w:t>
            </w:r>
          </w:p>
        </w:tc>
        <w:tc>
          <w:tcPr>
            <w:tcW w:w="3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Write-offs</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11,353</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7,880</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1,584</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(8,053)</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(456)</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(1,584)</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3,300</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7,424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(3,240)</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(4,082)</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3,194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2,213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600" w:firstLine="347"/>
        <w:spacing w:after="0" w:line="253" w:lineRule="auto"/>
        <w:rPr>
          <w:sz w:val="20"/>
          <w:szCs w:val="20"/>
          <w:color w:val="auto"/>
        </w:rPr>
      </w:pPr>
      <w:r>
        <w:rPr>
          <w:rFonts w:ascii="Courier New" w:cs="Courier New" w:eastAsia="Courier New" w:hAnsi="Courier New"/>
          <w:sz w:val="14"/>
          <w:szCs w:val="14"/>
          <w:color w:val="auto"/>
        </w:rPr>
        <w:t>The financial savings of these actions of approximately $30,000 quarterly commencing in the first quarter of fiscal 2003, is reflected as a reduction in operating expense. These cost savings may not be permanent as increased activity levels resulting from, among other factors, acquisitions, Managed Services agreements and increased revenue, may require an increase in headcount and other increased spending.</w:t>
      </w:r>
    </w:p>
    <w:p>
      <w:pPr>
        <w:spacing w:after="0" w:line="165" w:lineRule="exact"/>
        <w:rPr>
          <w:sz w:val="20"/>
          <w:szCs w:val="20"/>
          <w:color w:val="auto"/>
        </w:rPr>
      </w:pPr>
    </w:p>
    <w:p>
      <w:pPr>
        <w:ind w:right="700" w:firstLine="347"/>
        <w:spacing w:after="0" w:line="254" w:lineRule="auto"/>
        <w:rPr>
          <w:sz w:val="20"/>
          <w:szCs w:val="20"/>
          <w:color w:val="auto"/>
        </w:rPr>
      </w:pPr>
      <w:r>
        <w:rPr>
          <w:rFonts w:ascii="Courier New" w:cs="Courier New" w:eastAsia="Courier New" w:hAnsi="Courier New"/>
          <w:sz w:val="14"/>
          <w:szCs w:val="14"/>
          <w:color w:val="auto"/>
        </w:rPr>
        <w:t>In the first quarter of fiscal 2002, as part of a plan to achieve increased operational efficiency and to more closely monitor and reduce costs, the Company consolidated its Stamford, Connecticut data center into its Champaign, Illinois facility and closed the Stamford facility.</w:t>
      </w:r>
    </w:p>
    <w:p>
      <w:pPr>
        <w:spacing w:after="0" w:line="163" w:lineRule="exact"/>
        <w:rPr>
          <w:sz w:val="20"/>
          <w:szCs w:val="20"/>
          <w:color w:val="auto"/>
        </w:rPr>
      </w:pPr>
    </w:p>
    <w:p>
      <w:pPr>
        <w:ind w:right="780"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this action and recorded in the first quarter of fiscal 2002 was $13,311. Approximately $6,789 of the total charge was paid in cash as of June 30, 2004. The remainder of the charge, comprised of facility related costs, is expected to be paid out through August 2008.</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Details of $13,311 Restructuring charge:</w:t>
      </w:r>
    </w:p>
    <w:p>
      <w:pPr>
        <w:spacing w:after="0" w:line="175" w:lineRule="exact"/>
        <w:rPr>
          <w:sz w:val="20"/>
          <w:szCs w:val="20"/>
          <w:color w:val="auto"/>
        </w:rPr>
      </w:pPr>
    </w:p>
    <w:p>
      <w:pPr>
        <w:ind w:right="600" w:firstLine="347"/>
        <w:spacing w:after="0" w:line="253" w:lineRule="auto"/>
        <w:rPr>
          <w:sz w:val="20"/>
          <w:szCs w:val="20"/>
          <w:color w:val="auto"/>
        </w:rPr>
      </w:pPr>
      <w:r>
        <w:rPr>
          <w:rFonts w:ascii="Courier New" w:cs="Courier New" w:eastAsia="Courier New" w:hAnsi="Courier New"/>
          <w:sz w:val="14"/>
          <w:szCs w:val="14"/>
          <w:color w:val="auto"/>
        </w:rPr>
        <w:t>Approximately $6,255 of the total restructuring charge related to facilities and represented rent obligations outstanding for the Stamford site. Approximately $4,126 of the total restructuring charge related to the write-off of leasehold improvements at the Stamford site that were abandoned. The Company also recorded a provision of $2,530 related to employee separation costs in connection with the termination of employment of 166 employees.</w:t>
      </w:r>
    </w:p>
    <w:p>
      <w:pPr>
        <w:spacing w:after="0" w:line="200" w:lineRule="exact"/>
        <w:rPr>
          <w:sz w:val="20"/>
          <w:szCs w:val="20"/>
          <w:color w:val="auto"/>
        </w:rPr>
      </w:pPr>
    </w:p>
    <w:p>
      <w:pPr>
        <w:spacing w:after="0" w:line="29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Other</w:t>
            </w:r>
          </w:p>
        </w:tc>
        <w:tc>
          <w:tcPr>
            <w:tcW w:w="48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501"/>
        </w:trPr>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102</w:t>
            </w:r>
          </w:p>
        </w:tc>
        <w:tc>
          <w:tcPr>
            <w:tcW w:w="48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20,919</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(8,566)</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(1,584)</w:t>
            </w:r>
          </w:p>
        </w:tc>
      </w:tr>
      <w:tr>
        <w:trPr>
          <w:trHeight w:val="167"/>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 w:type="dxa"/>
            <w:vAlign w:val="bottom"/>
          </w:tcPr>
          <w:p>
            <w:pPr>
              <w:spacing w:after="0"/>
              <w:rPr>
                <w:sz w:val="24"/>
                <w:szCs w:val="2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w:t>
            </w:r>
          </w:p>
        </w:tc>
        <w:tc>
          <w:tcPr>
            <w:tcW w:w="48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10,769</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(7,367)</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w:t>
            </w:r>
          </w:p>
        </w:tc>
      </w:tr>
      <w:tr>
        <w:trPr>
          <w:trHeight w:val="167"/>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1820" w:hanging="1119"/>
        <w:spacing w:after="0"/>
        <w:tabs>
          <w:tab w:leader="none" w:pos="182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3,276</w:t>
      </w:r>
    </w:p>
    <w:p>
      <w:pPr>
        <w:spacing w:after="0" w:line="8" w:lineRule="exact"/>
        <w:rPr>
          <w:rFonts w:ascii="Courier New" w:cs="Courier New" w:eastAsia="Courier New" w:hAnsi="Courier New"/>
          <w:sz w:val="14"/>
          <w:szCs w:val="14"/>
          <w:color w:val="auto"/>
        </w:rPr>
      </w:pPr>
    </w:p>
    <w:p>
      <w:pPr>
        <w:ind w:left="1740" w:hanging="1039"/>
        <w:spacing w:after="0"/>
        <w:tabs>
          <w:tab w:leader="none" w:pos="17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(1,024)</w:t>
      </w:r>
    </w:p>
    <w:p>
      <w:pPr>
        <w:spacing w:after="0" w:line="8" w:lineRule="exact"/>
        <w:rPr>
          <w:rFonts w:ascii="Courier New" w:cs="Courier New" w:eastAsia="Courier New" w:hAnsi="Courier New"/>
          <w:sz w:val="14"/>
          <w:szCs w:val="14"/>
          <w:color w:val="auto"/>
        </w:rPr>
      </w:pPr>
    </w:p>
    <w:p>
      <w:pPr>
        <w:ind w:left="2000" w:hanging="1299"/>
        <w:spacing w:after="0"/>
        <w:tabs>
          <w:tab w:leader="none" w:pos="200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(39)</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tabs>
          <w:tab w:leader="none" w:pos="680" w:val="left"/>
          <w:tab w:leader="none" w:pos="1540" w:val="left"/>
          <w:tab w:leader="none" w:pos="1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2,213</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2">
            <w:col w:w="7120" w:space="340"/>
            <w:col w:w="2620"/>
          </w:cols>
          <w:pgMar w:left="660" w:top="620" w:right="1159" w:bottom="1440" w:gutter="0" w:footer="0" w:header="0"/>
        </w:sectPr>
      </w:pPr>
    </w:p>
    <w:bookmarkStart w:id="87" w:name="page88"/>
    <w:bookmarkEnd w:id="87"/>
    <w:p>
      <w:pPr>
        <w:jc w:val="center"/>
        <w:ind w:right="330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right="3300" w:firstLine="347"/>
        <w:spacing w:after="0" w:line="258" w:lineRule="auto"/>
        <w:rPr>
          <w:sz w:val="20"/>
          <w:szCs w:val="20"/>
          <w:color w:val="auto"/>
        </w:rPr>
      </w:pPr>
      <w:r>
        <w:rPr>
          <w:rFonts w:ascii="Courier New" w:cs="Courier New" w:eastAsia="Courier New" w:hAnsi="Courier New"/>
          <w:sz w:val="14"/>
          <w:szCs w:val="14"/>
          <w:color w:val="auto"/>
        </w:rPr>
        <w:t>The restructuring charge related to the consolidation of the Stamford and Champaign facilities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4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Employee</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Separation</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Asset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5"/>
              </w:rPr>
              <w:t>Costs</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Facilities</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Write-offs</w:t>
            </w:r>
          </w:p>
        </w:tc>
        <w:tc>
          <w:tcPr>
            <w:tcW w:w="44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Other</w:t>
            </w:r>
          </w:p>
        </w:tc>
        <w:tc>
          <w:tcPr>
            <w:tcW w:w="4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2,530</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6,255</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4,126</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13,311</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(2,473)</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(2,592)</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(5,070)</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(4,126)</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(4,126)</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3,663</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395</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4,115</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(785)</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(926)</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(57)</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2,710</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2,710</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(793)</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(793)</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1,917</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440" w:right="3400" w:firstLine="434"/>
        <w:spacing w:after="0" w:line="258" w:lineRule="auto"/>
        <w:rPr>
          <w:sz w:val="20"/>
          <w:szCs w:val="20"/>
          <w:color w:val="auto"/>
        </w:rPr>
      </w:pPr>
      <w:r>
        <w:rPr>
          <w:rFonts w:ascii="Courier New" w:cs="Courier New" w:eastAsia="Courier New" w:hAnsi="Courier New"/>
          <w:sz w:val="14"/>
          <w:szCs w:val="14"/>
          <w:color w:val="auto"/>
        </w:rPr>
        <w:t>The operating costs related to the Stamford site that were eliminated were approximately $8,500 in its last quarter of activity.</w:t>
      </w:r>
    </w:p>
    <w:p>
      <w:pPr>
        <w:spacing w:after="0" w:line="160" w:lineRule="exact"/>
        <w:rPr>
          <w:sz w:val="20"/>
          <w:szCs w:val="20"/>
          <w:color w:val="auto"/>
        </w:rPr>
      </w:pPr>
    </w:p>
    <w:p>
      <w:pPr>
        <w:ind w:left="440" w:hanging="431"/>
        <w:spacing w:after="0"/>
        <w:tabs>
          <w:tab w:leader="none" w:pos="4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w:t>
      </w:r>
    </w:p>
    <w:p>
      <w:pPr>
        <w:spacing w:after="0" w:line="175" w:lineRule="exact"/>
        <w:rPr>
          <w:sz w:val="20"/>
          <w:szCs w:val="20"/>
          <w:color w:val="auto"/>
        </w:rPr>
      </w:pPr>
    </w:p>
    <w:p>
      <w:pPr>
        <w:ind w:left="440" w:right="3300" w:firstLine="347"/>
        <w:spacing w:after="0" w:line="254" w:lineRule="auto"/>
        <w:rPr>
          <w:sz w:val="20"/>
          <w:szCs w:val="20"/>
          <w:color w:val="auto"/>
        </w:rPr>
      </w:pPr>
      <w:r>
        <w:rPr>
          <w:rFonts w:ascii="Courier New" w:cs="Courier New" w:eastAsia="Courier New" w:hAnsi="Courier New"/>
          <w:sz w:val="14"/>
          <w:szCs w:val="14"/>
          <w:color w:val="auto"/>
        </w:rPr>
        <w:t>FASB Statement No. 132 (revised 2003), "Employers' Disclosures about Pensions and Other Postretirement Benefits", requires additional disclosures about assets, obligations, cash flows, and net periodic benefit cost of defined benefit pension plans and other post-retirement benefit plans.</w:t>
      </w:r>
    </w:p>
    <w:p>
      <w:pPr>
        <w:spacing w:after="0" w:line="330" w:lineRule="exact"/>
        <w:rPr>
          <w:sz w:val="20"/>
          <w:szCs w:val="20"/>
          <w:color w:val="auto"/>
        </w:rPr>
      </w:pPr>
    </w:p>
    <w:p>
      <w:pPr>
        <w:ind w:left="440" w:right="3300" w:firstLine="347"/>
        <w:spacing w:after="0" w:line="253" w:lineRule="auto"/>
        <w:rPr>
          <w:sz w:val="20"/>
          <w:szCs w:val="20"/>
          <w:color w:val="auto"/>
        </w:rPr>
      </w:pPr>
      <w:r>
        <w:rPr>
          <w:rFonts w:ascii="Courier New" w:cs="Courier New" w:eastAsia="Courier New" w:hAnsi="Courier New"/>
          <w:sz w:val="14"/>
          <w:szCs w:val="14"/>
          <w:color w:val="auto"/>
        </w:rPr>
        <w:t>As a result of the Company's acquisition of Certen (see Note 10) on July 2, 2003, the Company now maintains several non-contributory defined benefit plans that provide for pension, other retirement and post-employment benefits for Certen employees based on length of service and rate of pay. Contributions by the Company are based on various generally accepted actuarial methods and reflect actuarial assumptions concerning future investment returns, salary projections and future service benefits. Plan assets consist primarily of Canadian and other equities, government and corporate bonds, debentures and secured mortgages, which are held in units of the BCE Master Trust Fund, a trust established by Bell.</w:t>
      </w:r>
    </w:p>
    <w:p>
      <w:pPr>
        <w:spacing w:after="0" w:line="164" w:lineRule="exact"/>
        <w:rPr>
          <w:sz w:val="20"/>
          <w:szCs w:val="20"/>
          <w:color w:val="auto"/>
        </w:rPr>
      </w:pPr>
    </w:p>
    <w:p>
      <w:pPr>
        <w:ind w:left="440" w:right="3560" w:firstLine="347"/>
        <w:spacing w:after="0" w:line="258" w:lineRule="auto"/>
        <w:rPr>
          <w:sz w:val="20"/>
          <w:szCs w:val="20"/>
          <w:color w:val="auto"/>
        </w:rPr>
      </w:pPr>
      <w:r>
        <w:rPr>
          <w:rFonts w:ascii="Courier New" w:cs="Courier New" w:eastAsia="Courier New" w:hAnsi="Courier New"/>
          <w:sz w:val="14"/>
          <w:szCs w:val="14"/>
          <w:color w:val="auto"/>
        </w:rPr>
        <w:t>The net periodic benefit cost under these plans for the three months and nine months ended June 30, 2004, was as follows:</w:t>
      </w:r>
    </w:p>
    <w:p>
      <w:pPr>
        <w:spacing w:after="0" w:line="200" w:lineRule="exact"/>
        <w:rPr>
          <w:sz w:val="20"/>
          <w:szCs w:val="20"/>
          <w:color w:val="auto"/>
        </w:rPr>
      </w:pPr>
    </w:p>
    <w:p>
      <w:pPr>
        <w:spacing w:after="0" w:line="294"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Three months ended</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Nine months ended</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June 30, 2004</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June 30, 2004</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3"/>
              </w:rPr>
              <w:t>------------------------------</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Pension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Pension</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Benefits</w:t>
            </w:r>
          </w:p>
        </w:tc>
        <w:tc>
          <w:tcPr>
            <w:tcW w:w="16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Benefits</w:t>
            </w:r>
          </w:p>
        </w:tc>
        <w:tc>
          <w:tcPr>
            <w:tcW w:w="46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Benefits</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Benefits</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860" w:type="dxa"/>
            <w:vAlign w:val="bottom"/>
          </w:tcPr>
          <w:p>
            <w:pPr>
              <w:spacing w:after="0"/>
              <w:rPr>
                <w:sz w:val="20"/>
                <w:szCs w:val="20"/>
                <w:color w:val="auto"/>
              </w:rPr>
            </w:pPr>
            <w:r>
              <w:rPr>
                <w:rFonts w:ascii="Courier New" w:cs="Courier New" w:eastAsia="Courier New" w:hAnsi="Courier New"/>
                <w:sz w:val="14"/>
                <w:szCs w:val="14"/>
                <w:color w:val="auto"/>
              </w:rPr>
              <w:t>Service costs</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515</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1,488</w:t>
            </w: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271</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Interest on benefit obligations</w:t>
            </w:r>
          </w:p>
        </w:tc>
        <w:tc>
          <w:tcPr>
            <w:tcW w:w="36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673</w:t>
            </w:r>
          </w:p>
        </w:tc>
        <w:tc>
          <w:tcPr>
            <w:tcW w:w="1000" w:type="dxa"/>
            <w:vAlign w:val="bottom"/>
          </w:tcPr>
          <w:p>
            <w:pPr>
              <w:spacing w:after="0"/>
              <w:rPr>
                <w:sz w:val="14"/>
                <w:szCs w:val="14"/>
                <w:color w:val="auto"/>
              </w:rPr>
            </w:pP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1,943</w:t>
            </w: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279</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3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(575)</w:t>
            </w:r>
          </w:p>
        </w:tc>
        <w:tc>
          <w:tcPr>
            <w:tcW w:w="1000" w:type="dxa"/>
            <w:vAlign w:val="bottom"/>
          </w:tcPr>
          <w:p>
            <w:pPr>
              <w:spacing w:after="0"/>
              <w:rPr>
                <w:sz w:val="14"/>
                <w:szCs w:val="14"/>
                <w:color w:val="auto"/>
              </w:rPr>
            </w:pP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(1,661)</w:t>
            </w: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613</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191</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1,770</w:t>
            </w: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550</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right="3480" w:firstLine="347"/>
        <w:spacing w:after="0" w:line="254" w:lineRule="auto"/>
        <w:rPr>
          <w:sz w:val="20"/>
          <w:szCs w:val="20"/>
          <w:color w:val="auto"/>
        </w:rPr>
      </w:pPr>
      <w:r>
        <w:rPr>
          <w:rFonts w:ascii="Courier New" w:cs="Courier New" w:eastAsia="Courier New" w:hAnsi="Courier New"/>
          <w:sz w:val="14"/>
          <w:szCs w:val="14"/>
          <w:color w:val="auto"/>
        </w:rPr>
        <w:t>For the three and nine months ended June 30, 2004, no contributions were made by the Company, although the Company expects that contributions for the fiscal year ending September 30, 2004 will approximate the net periodic benefit cost.</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60"/>
          </w:cols>
          <w:pgMar w:left="220" w:top="453" w:right="1419" w:bottom="1440" w:gutter="0" w:footer="0" w:header="0"/>
        </w:sectPr>
      </w:pPr>
    </w:p>
    <w:bookmarkStart w:id="88" w:name="page89"/>
    <w:bookmarkEnd w:id="88"/>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hanging="431"/>
        <w:spacing w:after="0"/>
        <w:tabs>
          <w:tab w:leader="none" w:pos="44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Legal Proceedings</w:t>
      </w:r>
    </w:p>
    <w:p>
      <w:pPr>
        <w:spacing w:after="0" w:line="175"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On December 2, 2003 the Company announced that the United States District Court for the Eastern District of Missouri had issued an order granting the Company's motion to dismiss the securities class action lawsuits that had been pending against the Company and certain of its directors and officers since June 2002. The court's order also directed that judgment be entered in favor of the defendants. The consolidated complaint filed in the action alleged that the Company and the individual defendants had made false or misleading statements about the Company's business and future prospects during a putative class period between July 18, 2000 and June 20, 2002. On December 29, 2003 the lead plaintiffs appealed to the United States Court of Appeals for the Eighth Circuit from the final judgment entered on December 1, 2003.</w:t>
      </w:r>
    </w:p>
    <w:p>
      <w:pPr>
        <w:spacing w:after="0" w:line="164" w:lineRule="exact"/>
        <w:rPr>
          <w:sz w:val="20"/>
          <w:szCs w:val="20"/>
          <w:color w:val="auto"/>
        </w:rPr>
      </w:pPr>
    </w:p>
    <w:p>
      <w:pPr>
        <w:ind w:left="440" w:right="3279" w:firstLine="347"/>
        <w:spacing w:after="0" w:line="254" w:lineRule="auto"/>
        <w:rPr>
          <w:sz w:val="20"/>
          <w:szCs w:val="20"/>
          <w:color w:val="auto"/>
        </w:rPr>
      </w:pPr>
      <w:r>
        <w:rPr>
          <w:rFonts w:ascii="Courier New" w:cs="Courier New" w:eastAsia="Courier New" w:hAnsi="Courier New"/>
          <w:sz w:val="14"/>
          <w:szCs w:val="14"/>
          <w:color w:val="auto"/>
        </w:rPr>
        <w:t>The Company is involved in various other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Securities and Exchange Commission Investigation</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has been informed that the Midwest Regional Office of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Guarantor's Accounting and Disclosure Requirements for Guarantees</w:t>
      </w:r>
    </w:p>
    <w:p>
      <w:pPr>
        <w:spacing w:after="0" w:line="17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expires in December 2005. As of June 30, 2004 and September 30, 2003, the maximum potential amount of the Company's future exposure under this guarantee as determined in accordance with Financial Accounting Standards Board Interpretation No. 45 "Guarantor's Accounting and Disclosure Requirements for Guarantees, Including Indirect Guarantees of Indebtedness of Others" was $4,717.</w:t>
      </w:r>
    </w:p>
    <w:p>
      <w:pPr>
        <w:spacing w:after="0" w:line="164" w:lineRule="exact"/>
        <w:rPr>
          <w:sz w:val="20"/>
          <w:szCs w:val="20"/>
          <w:color w:val="auto"/>
        </w:rPr>
      </w:pPr>
    </w:p>
    <w:p>
      <w:pPr>
        <w:ind w:left="360" w:right="3379" w:firstLine="434"/>
        <w:spacing w:after="0" w:line="253" w:lineRule="auto"/>
        <w:rPr>
          <w:sz w:val="20"/>
          <w:szCs w:val="20"/>
          <w:color w:val="auto"/>
        </w:rPr>
      </w:pPr>
      <w:r>
        <w:rPr>
          <w:rFonts w:ascii="Courier New" w:cs="Courier New" w:eastAsia="Courier New" w:hAnsi="Courier New"/>
          <w:sz w:val="14"/>
          <w:szCs w:val="14"/>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the nine months ended June 30, 2004 and 2003.</w:t>
      </w:r>
    </w:p>
    <w:p>
      <w:pPr>
        <w:spacing w:after="0" w:line="332" w:lineRule="exact"/>
        <w:rPr>
          <w:sz w:val="20"/>
          <w:szCs w:val="20"/>
          <w:color w:val="auto"/>
        </w:rPr>
      </w:pPr>
    </w:p>
    <w:p>
      <w:pPr>
        <w:ind w:left="440" w:right="3459" w:firstLine="347"/>
        <w:spacing w:after="0" w:line="253" w:lineRule="auto"/>
        <w:rPr>
          <w:sz w:val="20"/>
          <w:szCs w:val="20"/>
          <w:color w:val="auto"/>
        </w:rPr>
      </w:pPr>
      <w:r>
        <w:rPr>
          <w:rFonts w:ascii="Courier New" w:cs="Courier New" w:eastAsia="Courier New" w:hAnsi="Courier New"/>
          <w:sz w:val="14"/>
          <w:szCs w:val="14"/>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20" w:right="1440" w:bottom="1440" w:gutter="0" w:footer="0" w:header="0"/>
        </w:sectPr>
      </w:pPr>
    </w:p>
    <w:bookmarkStart w:id="89" w:name="page90"/>
    <w:bookmarkEnd w:id="89"/>
    <w:p>
      <w:pPr>
        <w:jc w:val="center"/>
        <w:ind w:right="3379"/>
        <w:spacing w:after="0"/>
        <w:rPr>
          <w:sz w:val="20"/>
          <w:szCs w:val="20"/>
          <w:color w:val="auto"/>
        </w:rPr>
      </w:pPr>
      <w:r>
        <w:rPr>
          <w:rFonts w:ascii="Courier New" w:cs="Courier New" w:eastAsia="Courier New" w:hAnsi="Courier New"/>
          <w:sz w:val="14"/>
          <w:szCs w:val="14"/>
          <w:color w:val="auto"/>
        </w:rPr>
        <w:t>OPERATING AND FINANCIAL REVIEW AND PROSPECTS FOR THE THREE AND NINE</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MONTH PERIODS ENDED JUNE 30, 2004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In this section, we discuss the general financial condition and the results of operations for Amdocs and its subsidiaries including:</w:t>
      </w:r>
    </w:p>
    <w:p>
      <w:pPr>
        <w:spacing w:after="0" w:line="160" w:lineRule="exact"/>
        <w:rPr>
          <w:sz w:val="20"/>
          <w:szCs w:val="20"/>
          <w:color w:val="auto"/>
        </w:rPr>
      </w:pPr>
    </w:p>
    <w:p>
      <w:pPr>
        <w:ind w:left="800" w:hanging="444"/>
        <w:spacing w:after="0"/>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factors that affect our business,</w:t>
      </w:r>
    </w:p>
    <w:p>
      <w:pPr>
        <w:spacing w:after="0" w:line="175" w:lineRule="exact"/>
        <w:rPr>
          <w:rFonts w:ascii="Courier New" w:cs="Courier New" w:eastAsia="Courier New" w:hAnsi="Courier New"/>
          <w:sz w:val="14"/>
          <w:szCs w:val="14"/>
          <w:color w:val="auto"/>
        </w:rPr>
      </w:pPr>
    </w:p>
    <w:p>
      <w:pPr>
        <w:ind w:left="800" w:right="327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revenue and costs for the nine months and three months ended June 30, 2004 and 2003,</w:t>
      </w:r>
    </w:p>
    <w:p>
      <w:pPr>
        <w:spacing w:after="0" w:line="159" w:lineRule="exact"/>
        <w:rPr>
          <w:rFonts w:ascii="Courier New" w:cs="Courier New" w:eastAsia="Courier New" w:hAnsi="Courier New"/>
          <w:sz w:val="14"/>
          <w:szCs w:val="14"/>
          <w:color w:val="auto"/>
        </w:rPr>
      </w:pPr>
    </w:p>
    <w:p>
      <w:pPr>
        <w:ind w:left="800" w:right="389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reasons why such revenue and costs were different from period to period,</w:t>
      </w:r>
    </w:p>
    <w:p>
      <w:pPr>
        <w:spacing w:after="0" w:line="159"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sources of our revenue,</w:t>
      </w:r>
    </w:p>
    <w:p>
      <w:pPr>
        <w:spacing w:after="0" w:line="175"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how all of this affects our overall financial condition,</w:t>
      </w:r>
    </w:p>
    <w:p>
      <w:pPr>
        <w:spacing w:after="0" w:line="175" w:lineRule="exact"/>
        <w:rPr>
          <w:rFonts w:ascii="Courier New" w:cs="Courier New" w:eastAsia="Courier New" w:hAnsi="Courier New"/>
          <w:sz w:val="14"/>
          <w:szCs w:val="14"/>
          <w:color w:val="auto"/>
        </w:rPr>
      </w:pPr>
    </w:p>
    <w:p>
      <w:pPr>
        <w:ind w:left="800" w:right="337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expenditures for the nine months and three months ended June 30, 2004 and 2003, and</w:t>
      </w:r>
    </w:p>
    <w:p>
      <w:pPr>
        <w:spacing w:after="0" w:line="159" w:lineRule="exact"/>
        <w:rPr>
          <w:rFonts w:ascii="Courier New" w:cs="Courier New" w:eastAsia="Courier New" w:hAnsi="Courier New"/>
          <w:sz w:val="14"/>
          <w:szCs w:val="14"/>
          <w:color w:val="auto"/>
        </w:rPr>
      </w:pPr>
    </w:p>
    <w:p>
      <w:pPr>
        <w:ind w:left="800" w:right="371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sources of our cash to pay for future capital expenditures and possible acquisitions.</w:t>
      </w:r>
    </w:p>
    <w:p>
      <w:pPr>
        <w:spacing w:after="0" w:line="16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In this section, we also analyze and explain the changes in the specific line items in our consolidated statements of income between the nine-month and three-month periods ended June 30, 2004 and 2003. You should read this section in conjunction with our consolidated financial statements.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20"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4"/>
          <w:szCs w:val="14"/>
          <w:color w:val="auto"/>
        </w:rPr>
        <w:t>Overview of Business and Trend Information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Our market focus is primarily the communications industry, and we are a leading provider of software products and services to major communications companies in North America, Europe and the rest of the world. The products and services that we provide are known as integrated customer management systems,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 Our portfolio of products also includes a full range of directory sales and publishing systems, which we refer to as "Directory Systems", for publishers of both traditional printed yellow page and white page directories and electronic Internet directories.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Our Integrated Customer Management systems are designed to meet the mission-critical needs of leading communications service providers. We support a wide range of communications services, including wireline, wireless, voice, data, broadband, content, electronic and mobile commerce and Internet Protocol ("IP") based services. We also support companies that offer bundled or convergent service packages. Due to the complexity of our customers' projects and the expertise required for system support, we also provide extensive implementation, system integration, system modification, ongoing support, system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 in all cases on either or a combination of a fixed or unit charge basis to our customers.</w:t>
      </w:r>
    </w:p>
    <w:p>
      <w:pPr>
        <w:spacing w:after="0" w:line="33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Our business is conducted on a global basis. We maintain five development facilities located in Israel, the United States, Cyprus, Ireland and Canada. Recently, we established a new development center in India. We expect this development center to grow and support the overall activity of our business worldwide, at comparatively lower operating costs.</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As part of our strategy, we may pursue acquisitions and other initiatives in order to offer new products or services or otherwise enhance our market position or strategic strengths.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derive our revenue principally from:</w:t>
      </w:r>
    </w:p>
    <w:p>
      <w:pPr>
        <w:spacing w:after="0" w:line="175" w:lineRule="exact"/>
        <w:rPr>
          <w:sz w:val="20"/>
          <w:szCs w:val="20"/>
          <w:color w:val="auto"/>
        </w:rPr>
      </w:pPr>
    </w:p>
    <w:p>
      <w:pPr>
        <w:ind w:left="880" w:right="3539" w:hanging="437"/>
        <w:spacing w:after="0" w:line="255"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sales of our products and related services, including license fees and modification, implementation and integration services,</w:t>
      </w:r>
    </w:p>
    <w:p>
      <w:pPr>
        <w:spacing w:after="0" w:line="162" w:lineRule="exact"/>
        <w:rPr>
          <w:rFonts w:ascii="Courier New" w:cs="Courier New" w:eastAsia="Courier New" w:hAnsi="Courier New"/>
          <w:sz w:val="14"/>
          <w:szCs w:val="14"/>
          <w:color w:val="auto"/>
        </w:rPr>
      </w:pPr>
    </w:p>
    <w:p>
      <w:pPr>
        <w:ind w:left="880" w:right="3799" w:hanging="437"/>
        <w:spacing w:after="0" w:line="258"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Managed Services and other related services for our solutions, and</w:t>
      </w:r>
    </w:p>
    <w:p>
      <w:pPr>
        <w:spacing w:after="0" w:line="159" w:lineRule="exact"/>
        <w:rPr>
          <w:rFonts w:ascii="Courier New" w:cs="Courier New" w:eastAsia="Courier New" w:hAnsi="Courier New"/>
          <w:sz w:val="14"/>
          <w:szCs w:val="14"/>
          <w:color w:val="auto"/>
        </w:rPr>
      </w:pPr>
    </w:p>
    <w:p>
      <w:pPr>
        <w:ind w:left="880" w:right="3279" w:hanging="437"/>
        <w:spacing w:after="0" w:line="255"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support and maintenance provided to our customers, and from incremental license fees resulting from increases in a customer's business volume.</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620" w:right="1440" w:bottom="1440" w:gutter="0" w:footer="0" w:header="0"/>
        </w:sectPr>
      </w:pPr>
    </w:p>
    <w:bookmarkStart w:id="91" w:name="page92"/>
    <w:bookmarkEnd w:id="91"/>
    <w:p>
      <w:pPr>
        <w:ind w:right="3279"/>
        <w:spacing w:after="0" w:line="252" w:lineRule="auto"/>
        <w:rPr>
          <w:sz w:val="20"/>
          <w:szCs w:val="20"/>
          <w:color w:val="auto"/>
        </w:rPr>
      </w:pPr>
      <w:r>
        <w:rPr>
          <w:rFonts w:ascii="Courier New" w:cs="Courier New" w:eastAsia="Courier New" w:hAnsi="Courier New"/>
          <w:sz w:val="14"/>
          <w:szCs w:val="14"/>
          <w:color w:val="auto"/>
        </w:rPr>
        <w:t>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Managed Services contracts, we typically recognize revenue from the operation of a customer's system either ratably over the service period or as services are performed. Revenue from ongoing support services is recognized as work is performed. Revenue from third-party hardware and software sales is recognized upon installation and delivery, respectively.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34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Our business is subject to the effects of general global economic conditions and, in particular, market conditions in the communications industry. As a result of the slowdown in the communications industry during the last two years, the market value, financial results and prospects, and capital spending levels of communications companies declined or degraded. The challenging environment in the communications industry significantly impacted our business. During the last two years, delays in customer buying decisions stemming from rigorous management of operating expenses and overall reductions in the capital investment budgets of many communications service providers led to fewer new contracts, as well as smaller initial spending commitments and reduced discretionary spending under contracts with some of our customers. As a result of the market conditions during fiscal 2002 mentioned above, our revenue in the fiscal 2002 third quarter decreased by more than $75 million from the previous quarter. Revenue continued to decline in the fourth quarter of fiscal 2002 and the first quarter of fiscal 2003. During calendar 2003, the market began to stabilize. As a result, we resumed sequential revenue growth in the second quarter of fiscal 2003. During the nine months ended June 30, 2004, communications service providers demonstrated a greater readiness to commit to new projects, although the market has not grown at the rate expected. While difficulties remain in the communications industry, we believe that, with the overall improvement of market conditions, we should achieve very modest sequential growth in the coming quarters.</w:t>
      </w:r>
    </w:p>
    <w:p>
      <w:pPr>
        <w:spacing w:after="0" w:line="342"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Our quarterly revenue for the last eleven quarters is summarized below (in millions):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83"/>
              </w:rPr>
              <w:t>Q1</w:t>
            </w:r>
          </w:p>
        </w:tc>
        <w:tc>
          <w:tcPr>
            <w:tcW w:w="860" w:type="dxa"/>
            <w:vAlign w:val="bottom"/>
          </w:tcPr>
          <w:p>
            <w:pPr>
              <w:spacing w:after="0"/>
              <w:rPr>
                <w:sz w:val="14"/>
                <w:szCs w:val="14"/>
                <w:color w:val="auto"/>
              </w:rPr>
            </w:pP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Q2</w:t>
            </w:r>
          </w:p>
        </w:tc>
        <w:tc>
          <w:tcPr>
            <w:tcW w:w="700" w:type="dxa"/>
            <w:vAlign w:val="bottom"/>
          </w:tcPr>
          <w:p>
            <w:pPr>
              <w:spacing w:after="0"/>
              <w:rPr>
                <w:sz w:val="14"/>
                <w:szCs w:val="14"/>
                <w:color w:val="auto"/>
              </w:rPr>
            </w:pP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Q3</w:t>
            </w:r>
          </w:p>
        </w:tc>
        <w:tc>
          <w:tcPr>
            <w:tcW w:w="660" w:type="dxa"/>
            <w:vAlign w:val="bottom"/>
          </w:tcPr>
          <w:p>
            <w:pPr>
              <w:spacing w:after="0"/>
              <w:rPr>
                <w:sz w:val="14"/>
                <w:szCs w:val="14"/>
                <w:color w:val="auto"/>
              </w:rPr>
            </w:pPr>
          </w:p>
        </w:tc>
        <w:tc>
          <w:tcPr>
            <w:tcW w:w="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Q4</w:t>
            </w:r>
          </w:p>
        </w:tc>
      </w:tr>
      <w:tr>
        <w:trPr>
          <w:trHeight w:val="167"/>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Fiscal 2004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428.3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442.8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450.2</w:t>
            </w:r>
          </w:p>
        </w:tc>
        <w:tc>
          <w:tcPr>
            <w:tcW w:w="66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377.2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411.7</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455.3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380.2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355.5</w:t>
            </w:r>
          </w:p>
        </w:tc>
      </w:tr>
    </w:tbl>
    <w:p>
      <w:pPr>
        <w:spacing w:after="0" w:line="33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Due to our heavy dependence on the communications industry and a limited number of significant customers, we can be adversely affected by consolidations of service providers and by bankruptcies or other business failures in that industry. The potential loss of a customer due to consolidation or failures in the communications industry could harm our business and might have a material adverse effect on our consolidated operating results and financial condition.</w:t>
      </w:r>
    </w:p>
    <w:p>
      <w:pPr>
        <w:spacing w:after="0" w:line="16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We believe that we are a leading global provider of CC&amp;B Systems. We provide a broad set of billing and CRM products, with proven functionality and scalability, accompanied by a comprehensive range of support services.</w:t>
      </w:r>
    </w:p>
    <w:p>
      <w:pPr>
        <w:spacing w:after="0" w:line="162"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We believe that demand for our CC&amp;B Systems is driven by, among other key factors:</w:t>
      </w:r>
    </w:p>
    <w:p>
      <w:pPr>
        <w:spacing w:after="0" w:line="160" w:lineRule="exact"/>
        <w:rPr>
          <w:sz w:val="20"/>
          <w:szCs w:val="20"/>
          <w:color w:val="auto"/>
        </w:rPr>
      </w:pPr>
    </w:p>
    <w:p>
      <w:pPr>
        <w:ind w:left="800" w:hanging="357"/>
        <w:spacing w:after="0"/>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global penetration of communications service providers,</w:t>
      </w:r>
    </w:p>
    <w:p>
      <w:pPr>
        <w:spacing w:after="0" w:line="175" w:lineRule="exact"/>
        <w:rPr>
          <w:rFonts w:ascii="Courier New" w:cs="Courier New" w:eastAsia="Courier New" w:hAnsi="Courier New"/>
          <w:sz w:val="14"/>
          <w:szCs w:val="14"/>
          <w:color w:val="auto"/>
        </w:rPr>
      </w:pPr>
    </w:p>
    <w:p>
      <w:pPr>
        <w:ind w:left="800" w:right="3459" w:hanging="357"/>
        <w:spacing w:after="0" w:line="258" w:lineRule="auto"/>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emergence of new communications products and services, especially IP, data and content services,</w:t>
      </w:r>
    </w:p>
    <w:p>
      <w:pPr>
        <w:spacing w:after="0" w:line="159" w:lineRule="exact"/>
        <w:rPr>
          <w:rFonts w:ascii="Courier New" w:cs="Courier New" w:eastAsia="Courier New" w:hAnsi="Courier New"/>
          <w:sz w:val="14"/>
          <w:szCs w:val="14"/>
          <w:color w:val="auto"/>
        </w:rPr>
      </w:pPr>
    </w:p>
    <w:p>
      <w:pPr>
        <w:ind w:left="800" w:right="3459" w:hanging="357"/>
        <w:spacing w:after="0" w:line="255" w:lineRule="auto"/>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technological changes, such as the introduction of wireless Internet services via GPRS (General Packet Radio Services) and UMTS (Universal Mobile Telecommunications System) technology,</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787" w:right="1440" w:bottom="1440" w:gutter="0" w:footer="0" w:header="0"/>
        </w:sectPr>
      </w:pPr>
    </w:p>
    <w:bookmarkStart w:id="92" w:name="page93"/>
    <w:bookmarkEnd w:id="92"/>
    <w:p>
      <w:pPr>
        <w:ind w:left="800" w:hanging="357"/>
        <w:spacing w:after="0"/>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ongoing consolidation within the communications industry,</w:t>
      </w:r>
    </w:p>
    <w:p>
      <w:pPr>
        <w:spacing w:after="0" w:line="175" w:lineRule="exact"/>
        <w:rPr>
          <w:rFonts w:ascii="Courier New" w:cs="Courier New" w:eastAsia="Courier New" w:hAnsi="Courier New"/>
          <w:sz w:val="14"/>
          <w:szCs w:val="14"/>
          <w:color w:val="auto"/>
        </w:rPr>
      </w:pPr>
    </w:p>
    <w:p>
      <w:pPr>
        <w:ind w:left="800" w:right="3279" w:hanging="357"/>
        <w:spacing w:after="0" w:line="258" w:lineRule="auto"/>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needs of communications service providers to reduce costs and retain high value customers, and</w:t>
      </w:r>
    </w:p>
    <w:p>
      <w:pPr>
        <w:spacing w:after="0" w:line="159"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shift from in-house management to vendor solutions.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We also believe that additional drivers of demand are the continuing trend for communications service providers to offer their subscribers multiple service packages, commonly referred to as bundled or convergent services (combinations of voice, broadband, electronic and mobile commerce and IP services), and the ability of our CC&amp;B Systems to improve productivity.</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License and service revenue from the sale of CC&amp;B Systems and Directory Systems includes revenue from Managed Services arrangements. Managed Services projects are a significant part of our business, and generate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relationships. Revenue related to Managed Services agreements in the three months and nine months ended June 30, 2004 was approximately 40% of total revenue for such periods.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following table sets forth for the nine months and three months ended June 30, 2004 and 2003 certain items in our consolidated statements of income reflected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4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Three months ended</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960" w:type="dxa"/>
            <w:vAlign w:val="bottom"/>
          </w:tcPr>
          <w:p>
            <w:pPr>
              <w:spacing w:after="0"/>
              <w:rPr>
                <w:sz w:val="14"/>
                <w:szCs w:val="14"/>
                <w:color w:val="auto"/>
              </w:rPr>
            </w:pPr>
          </w:p>
        </w:tc>
        <w:tc>
          <w:tcPr>
            <w:tcW w:w="19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260" w:type="dxa"/>
            <w:vAlign w:val="bottom"/>
          </w:tcPr>
          <w:p>
            <w:pPr>
              <w:spacing w:after="0"/>
              <w:rPr>
                <w:sz w:val="14"/>
                <w:szCs w:val="14"/>
                <w:color w:val="auto"/>
              </w:rPr>
            </w:pPr>
          </w:p>
        </w:tc>
        <w:tc>
          <w:tcPr>
            <w:tcW w:w="2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2004</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License ..........................</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Service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96.2</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95.2</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 of license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0.3</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 of service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Research and development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administrative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11.7</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purchased</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intangible assets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Restructuring charges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82.9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85.6</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Operating income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income and other, net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before income taxes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taxes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13.3%</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3260" w:type="dxa"/>
            <w:vAlign w:val="bottom"/>
          </w:tcPr>
          <w:p>
            <w:pPr>
              <w:spacing w:after="0"/>
              <w:rPr>
                <w:sz w:val="24"/>
                <w:szCs w:val="24"/>
                <w:color w:val="auto"/>
              </w:rPr>
            </w:pPr>
          </w:p>
        </w:tc>
        <w:tc>
          <w:tcPr>
            <w:tcW w:w="152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80</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787" w:right="1440" w:bottom="1440" w:gutter="0" w:footer="0" w:header="0"/>
        </w:sectPr>
      </w:pPr>
    </w:p>
    <w:bookmarkStart w:id="93" w:name="page94"/>
    <w:bookmarkEnd w:id="93"/>
    <w:p>
      <w:pPr>
        <w:ind w:left="440"/>
        <w:spacing w:after="0"/>
        <w:rPr>
          <w:sz w:val="20"/>
          <w:szCs w:val="20"/>
          <w:color w:val="auto"/>
        </w:rPr>
      </w:pPr>
      <w:r>
        <w:rPr>
          <w:rFonts w:ascii="Courier New" w:cs="Courier New" w:eastAsia="Courier New" w:hAnsi="Courier New"/>
          <w:sz w:val="14"/>
          <w:szCs w:val="14"/>
          <w:color w:val="auto"/>
        </w:rPr>
        <w:t>NINE MONTHS ENDED JUNE 30, 2004 AND 2003</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following is a tabular presentation of our results of operations for the nine months ended June 30, 2004 compared to the nine months ended June 30, 2003. Following the table is a discussion and analysis of our business and results of operations for such periods.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NINE MONTHS ENDED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JUNE 30,</w:t>
            </w:r>
          </w:p>
        </w:tc>
        <w:tc>
          <w:tcPr>
            <w:tcW w:w="1840" w:type="dxa"/>
            <w:vAlign w:val="bottom"/>
            <w:gridSpan w:val="3"/>
          </w:tcPr>
          <w:p>
            <w:pPr>
              <w:spacing w:after="0"/>
              <w:rPr>
                <w:sz w:val="20"/>
                <w:szCs w:val="20"/>
                <w:color w:val="auto"/>
              </w:rPr>
            </w:pPr>
            <w:r>
              <w:rPr>
                <w:rFonts w:ascii="Courier New" w:cs="Courier New" w:eastAsia="Courier New" w:hAnsi="Courier New"/>
                <w:sz w:val="14"/>
                <w:szCs w:val="14"/>
                <w:color w:val="auto"/>
              </w:rPr>
              <w:t>INCREASE (DECREASE)</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4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AMOUNT</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3520" w:type="dxa"/>
            <w:vAlign w:val="bottom"/>
            <w:gridSpan w:val="6"/>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License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51,176</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Service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1,269,251</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1,020,392</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248,859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1,321,277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1,071,568</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249,709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license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4,137</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service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833,470</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646,389</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187,081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92,247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88,888</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r>
      <w:tr>
        <w:trPr>
          <w:trHeight w:val="334"/>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administrative ..........</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159,078</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153,644</w:t>
            </w:r>
          </w:p>
        </w:tc>
        <w:tc>
          <w:tcPr>
            <w:tcW w:w="1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5,434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r>
      <w:tr>
        <w:trPr>
          <w:trHeight w:val="334"/>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purchased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intangible assets .......</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13,423</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14,303</w:t>
            </w:r>
          </w:p>
        </w:tc>
        <w:tc>
          <w:tcPr>
            <w:tcW w:w="1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Restructuring charges .....</w:t>
            </w:r>
          </w:p>
        </w:tc>
        <w:tc>
          <w:tcPr>
            <w:tcW w:w="26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9,956</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(9,956)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1,102,025</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917,317</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184,708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219,252</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154,251</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65,001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42.1</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 and other, net</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2,899</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12,432</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(9,533)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(76.7)</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222,151</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166,683</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55,468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48,873</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41,671</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7,202</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173,278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125,012</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48,266</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38.6%</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REVENUE. The increase in total revenue in the nine months ended June 30, 2004 is due to an increase in service revenue as a result of the Managed Services agreements signed during fiscal 2003 and additional revenue resulting from our acquisition of Certen in the fourth quarter of fiscal 2003. Revenue related to Managed Services agreements in the nine months ended June 30, 2004 was approximately 40% of total revenue. The net revenue impact of the Managed Services agreements entered into during fiscal 2003, including the effect of the Certen acquisition, was approximately $208 million in the nine months ended June 30, 2004.</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Managed Services arrangements accounted for the majority part of the increase in revenue during the nine months ended June 30, 2004 and include only a small license revenue component, therefore, in the nine months ended June 30, 2004, such arrangements had the effect of decreasing license revenue, as a percentage of revenue, by 0.9% compared to the nine months ended June 30, 2003.</w:t>
      </w:r>
    </w:p>
    <w:p>
      <w:pPr>
        <w:spacing w:after="0" w:line="16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License and service revenue from the sale of CC&amp;B Systems was $1,144.7 million for the nine months ended June 30, 2004, an increase of $218.1 million, or 23.5%, over the nine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86.6% and 86.5% of our total revenue in the nine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to the increase in revenue in the nine months ended June 30, 2004.</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453" w:right="1440" w:bottom="0" w:gutter="0" w:footer="0" w:header="0"/>
        </w:sectPr>
      </w:pPr>
    </w:p>
    <w:bookmarkStart w:id="94" w:name="page95"/>
    <w:bookmarkEnd w:id="94"/>
    <w:p>
      <w:pPr>
        <w:ind w:right="3279" w:firstLine="521"/>
        <w:spacing w:after="0" w:line="253" w:lineRule="auto"/>
        <w:rPr>
          <w:sz w:val="20"/>
          <w:szCs w:val="20"/>
          <w:color w:val="auto"/>
        </w:rPr>
      </w:pPr>
      <w:r>
        <w:rPr>
          <w:rFonts w:ascii="Courier New" w:cs="Courier New" w:eastAsia="Courier New" w:hAnsi="Courier New"/>
          <w:sz w:val="14"/>
          <w:szCs w:val="14"/>
          <w:color w:val="auto"/>
        </w:rPr>
        <w:t>License and service revenue from the sale of Directory Systems was $176.6 million for the nine months ended June 30, 2004, an increase of $31.6 million, or 21.8%, over the nine months ended June 30, 2003. Approximately $59 million of the increase in Directory Systems revenue in the nine months ended June 30, 2004 was attributable to the Managed Services agreements. This revenue was partially offset by the completion of certain implementation projects that accounted for $27 million of revenue in the comparable period of fiscal 2003. License and service revenue from the sale of Directory Systems represented 13.4% and 13.5% of our total revenue in the nine months ended June 30, 2004 and 2003, respectively. We believe that we are a leading provider of Directory Systems in most of the markets we serve. We expect that our revenue from Directory Systems will remain relatively stable in fiscal 2004.</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nine months ended June 30, 2004, revenue from customers in North America, Europe and the rest of the world accounted for 66.8%, 26.4% and 6.8%, respectively, of total revenue compared to 61.1%, 30.2% and 8.7%, respectively, for the nine months ended June 30, 2003. Approximately 90.0% of the increase in revenue from customers in North America is attributable to Managed Services agreements, including the acquisition of Certen, which expanded our activity and revenue from customers in North America, and approximately 10.0% is attributable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nine months ended June 30, 2004. Revenue from customers in the rest of the world in absolute amount was relatively stable in the nine months ended June 30, 2004 compared to the nine months ended June 30, 2003.</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nine months ended June 30, 2004, cost of license, as a percentage of license revenue, was 7.3% compared to 8.1% in the nine months ended June 30, 2003.</w:t>
      </w:r>
    </w:p>
    <w:p>
      <w:pPr>
        <w:spacing w:after="0" w:line="33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Cost of Service. The increase in cost of service in the nine months ended June 30, 2004 was 28.9%, which was higher than 23.3%, the increase in our total revenue in the nine months ended June 30, 2004, and resulted in a 2.6% decrease in our gross margin. Our gross margin was affected by the Managed Services agreements signed during fiscal 2003, which we expect to be less profitable in their initial period, and to a lesser extent, by the decrease, as a percentage of revenue, in our license revenue.</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order management solutions and other activities.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34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The increase in selling, general and administrative expense in the nine months ended June 30, 2004 was attributable to the overall increase in our operations, as well as to the increase in our selling and marketing efforts. The increase in selling, general and administrative expense in the nine months ended June 30, 2004 was 3.5%, which was proportionally less than the 23.3% increase in our total revenue.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20" w:right="1440" w:bottom="1440" w:gutter="0" w:footer="0" w:header="0"/>
        </w:sectPr>
      </w:pPr>
    </w:p>
    <w:bookmarkStart w:id="95" w:name="page96"/>
    <w:bookmarkEnd w:id="95"/>
    <w:p>
      <w:pPr>
        <w:ind w:right="3379" w:firstLine="434"/>
        <w:spacing w:after="0" w:line="255" w:lineRule="auto"/>
        <w:rPr>
          <w:sz w:val="20"/>
          <w:szCs w:val="20"/>
          <w:color w:val="auto"/>
        </w:rPr>
      </w:pPr>
      <w:r>
        <w:rPr>
          <w:rFonts w:ascii="Courier New" w:cs="Courier New" w:eastAsia="Courier New" w:hAnsi="Courier New"/>
          <w:sz w:val="14"/>
          <w:szCs w:val="14"/>
          <w:color w:val="auto"/>
        </w:rPr>
        <w:t>Restructuring Charges. The restructuring charge in the nine months ended June 30, 2003 consisted of the cost reduction program we implemented during the first quarter of fiscal 2003.</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Operating Income. The increase in operating income in the nine months ended June 30, 2004 resulted from the 23.3% increase in our total revenue, which was partially offset by the 2.6% decrease in our gross margin attributable to the relative low gross margin of our Managed Services projects in their early stages of implementation, and to the effect of the $10.0 million restructuring charge in the nine months ended June 30, 2003.</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Interest Income and Other, Net. The decrease in interest income and other, net, in the nine months ended June 30, 2004 is primarily attributable to the decline in interest rates on our short-term interest-bearing investments, which resulted from our decision to shorten the duration of our investments due to volatility in the interest rate environment, and was also affected by the decrease of interest income on debentures issued by Certen to us that was eliminated as a result of the Certen acquisition.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Income Taxes. Our effective tax rate in the nine months ended June 30, 2004 was 22% compared to 25% in the nine months ended June 30, 2003. Our effective tax rate for fiscal year 2004 is expected to be approximately 22%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Net Income. The increase in net income in the nine months ended June 30, 2004 is attributable to the 23.3% increase in our total revenue and to the effect of the $10.0 million restructuring charge in the nine months ended June 30, 2003. The increase was partially offset by the 2.6% decrease in our gross margin attributable to the relative low gross margin of our Managed Services projects in their early stages of implementation.</w:t>
      </w:r>
    </w:p>
    <w:p>
      <w:pPr>
        <w:spacing w:after="0" w:line="16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Diluted Earnings Per Share. Diluted earnings per share were $0.80 for the nine months ended June 30, 2004, compared to $0.57 in the nine months ended June 30, 2003.</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620" w:right="1440" w:bottom="1440" w:gutter="0" w:footer="0" w:header="0"/>
        </w:sectPr>
      </w:pPr>
    </w:p>
    <w:bookmarkStart w:id="96" w:name="page97"/>
    <w:bookmarkEnd w:id="96"/>
    <w:p>
      <w:pPr>
        <w:ind w:left="440"/>
        <w:spacing w:after="0"/>
        <w:rPr>
          <w:sz w:val="20"/>
          <w:szCs w:val="20"/>
          <w:color w:val="auto"/>
        </w:rPr>
      </w:pPr>
      <w:r>
        <w:rPr>
          <w:rFonts w:ascii="Courier New" w:cs="Courier New" w:eastAsia="Courier New" w:hAnsi="Courier New"/>
          <w:sz w:val="14"/>
          <w:szCs w:val="14"/>
          <w:color w:val="auto"/>
        </w:rPr>
        <w:t>THREE MONTHS ENDED JUNE 30, 2004 AND 2003</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following is a tabular presentation of our results of operations for the three months ended June 30, 2004 compared to the three months ended 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2003. Following the table is a discussion and analysis of our</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business</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and</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results of operations for such periods.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THREE MONTHS ENDED</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JUNE 30,</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INCREASE</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(DECREASE)</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w:t>
            </w:r>
          </w:p>
        </w:tc>
        <w:tc>
          <w:tcPr>
            <w:tcW w:w="1220" w:type="dxa"/>
            <w:vAlign w:val="bottom"/>
          </w:tcPr>
          <w:p>
            <w:pPr>
              <w:spacing w:after="0"/>
              <w:rPr>
                <w:sz w:val="14"/>
                <w:szCs w:val="14"/>
                <w:color w:val="auto"/>
              </w:rPr>
            </w:pP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440" w:type="dxa"/>
            <w:vAlign w:val="bottom"/>
          </w:tcPr>
          <w:p>
            <w:pPr>
              <w:spacing w:after="0"/>
              <w:rPr>
                <w:sz w:val="14"/>
                <w:szCs w:val="14"/>
                <w:color w:val="auto"/>
              </w:rPr>
            </w:pPr>
          </w:p>
        </w:tc>
        <w:tc>
          <w:tcPr>
            <w:tcW w:w="27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License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17,298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$ 11,491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  5,807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Service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432,926</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365,677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67,249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450,224</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377,168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73,056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 of license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1,448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1,455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 of service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283,109</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230,323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52,786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Research and development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31,665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29,941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r>
      <w:tr>
        <w:trPr>
          <w:trHeight w:val="334"/>
        </w:trPr>
        <w:tc>
          <w:tcPr>
            <w:tcW w:w="344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administrative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52,745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50,943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334"/>
        </w:trPr>
        <w:tc>
          <w:tcPr>
            <w:tcW w:w="344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purchased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intangible assets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4,558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4,524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373,525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317,186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56,339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Operating income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76,699</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59,982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16,717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income and other, net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3,269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(96.3)</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before income taxes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76,820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63,251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13,569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taxes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16,900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15,813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59,920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$ 47,438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$ 12,482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26.3%</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REVENUE. The increase in total revenue in the three months ended June 30, 2004 is due primarily to an increase in service revenue as a result of Managed Services agreements signed during fiscal 2003 and additional revenue resulting from our acquisition of Certen in the fourth quarter of fiscal 2003. Revenue related to Managed Services agreements in the three months ended June 30, 2004 was approximately 40% of total revenue. The net revenue impact of the Managed Services agreements entered into during fiscal 2003, including the effect of the Certen acquisition, was approximately $58 million in the three months ended June 30, 2004.</w:t>
      </w:r>
    </w:p>
    <w:p>
      <w:pPr>
        <w:spacing w:after="0" w:line="164"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License revenue in the three months ended June 30, 2004 increased compared to the three months ended June 30, 2003, as a result of new contracts that we obtained from new and existing customers during fiscal 2004.</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License and service revenue from the sale of CC&amp;B Systems was $388.0 million for the three months ended June 30, 2004, an increase of $65.9 million, or 20.4%, over the three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86.2% and 85.4% of our total revenue in the three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for the increase in revenue in the third quarter of fiscal 2004.</w:t>
      </w:r>
    </w:p>
    <w:p>
      <w:pPr>
        <w:spacing w:after="0" w:line="173"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License and service revenue from the sale of Directory Systems was $62.2 million for the three months ended June 30, 2004, an increase of $7.2 million, or 13.1%, over the three months ended June 30, 2003. Approximately $15 million of the increase in Directory Systems revenue in the three months ended June 30,</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453" w:right="1440" w:bottom="0" w:gutter="0" w:footer="0" w:header="0"/>
        </w:sectPr>
      </w:pPr>
    </w:p>
    <w:bookmarkStart w:id="97" w:name="page98"/>
    <w:bookmarkEnd w:id="97"/>
    <w:p>
      <w:pPr>
        <w:ind w:right="3279"/>
        <w:spacing w:after="0" w:line="253" w:lineRule="auto"/>
        <w:rPr>
          <w:sz w:val="20"/>
          <w:szCs w:val="20"/>
          <w:color w:val="auto"/>
        </w:rPr>
      </w:pPr>
      <w:r>
        <w:rPr>
          <w:rFonts w:ascii="Courier New" w:cs="Courier New" w:eastAsia="Courier New" w:hAnsi="Courier New"/>
          <w:sz w:val="14"/>
          <w:szCs w:val="14"/>
          <w:color w:val="auto"/>
        </w:rPr>
        <w:t>2004 was attributable to the Managed Services agreements. This revenue was partially offset by the completion of certain implementation projects that accounted for $8 million of revenue in the comparable period of fiscal 2003. License and service revenue from the sale of Directory Systems represented 13.8% and 14.6% of our total revenue in the three months ended June 30, 2004 and 2003, respectively. We believe that we are a leading provider of Directory Systems in most of the markets we serve. We expect that our revenue from Directory Systems will remain relatively stable in fiscal 2004.</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three months ended June 30, 2004, revenue from customers in North America, Europe and the rest of the world accounted for 65.9%, 26.1% and 8.0%, respectively, of total revenue compared to 62.9%, 28.1% and 9.0%, respectively, for the three months ended June 30, 2003. Approximately 95.0% of the increase in revenue from customers in North America is attributable to Managed Services agreements, including the acquisition of Certen, which expanded our activity and revenue from customers in North America, and approximately 5.0%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three months ended June 30, 2004. Revenue from customers in the rest of the world in absolute amount was relatively stable in the three months ended June 30, 2004 compared to the three months ended June 30, 2003.</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June 30, 2004, cost of license, as a percentage of license revenue, was 8.4%, compared to 12.7% in the three months ended June 30, 2003.</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Service. The increase in cost of service in the three months ended June 30, 2004 was 22.9%, which was higher than 19.4%, the increase in our total revenue in the three months ended June 30, 2004, and resulted in a 1.7% decrease in our gross margin. Our gross margin was affected by the Managed Services agreements signed during fiscal 2003, which we expect to be less profitable in their initial period.</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and order management solutions.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7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The increase in selling, general and administrative expense in the three months ended June 30, 2004 was attributable to overall increase in our operations, as well as to the increase in our selling and marketing efforts. The increase in selling, general and administrative expense in the three months ended June 30, 2004 was 3.5%, which was proportionally less than the 19.4% increase in our total revenue.</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Operating Income. The increase in operating income in the three months ended June 30, 2004 resulted from the 19.4% increase in our total revenue, partially offset by the 1.7% decrease in our gross margin attributable to the relative low gross margin of our Managed Services projects in their early stages of implementation.</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85</w:t>
      </w:r>
    </w:p>
    <w:sectPr>
      <w:pgSz w:w="11900" w:h="16838" w:orient="portrait"/>
      <w:cols w:equalWidth="0" w:num="1">
        <w:col w:w="10239"/>
      </w:cols>
      <w:pgMar w:left="220" w:top="6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1)"/>
      <w:numFmt w:val="decimal"/>
      <w:start w:val="1"/>
    </w:lvl>
  </w:abstractNum>
  <w:abstractNum w:abstractNumId="5">
    <w:nsid w:val="57E4CCAF"/>
    <w:multiLevelType w:val="hybridMultilevel"/>
    <w:lvl w:ilvl="0">
      <w:lvlJc w:val="left"/>
      <w:lvlText w:val="(%1)"/>
      <w:numFmt w:val="decimal"/>
      <w:start w:val="3"/>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amp;"/>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1)"/>
      <w:numFmt w:val="decimal"/>
      <w:start w:val="1"/>
    </w:lvl>
    <w:lvl w:ilvl="1">
      <w:lvlJc w:val="left"/>
      <w:lvlText w:val="(%2)"/>
      <w:numFmt w:val="decimal"/>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amp;"/>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lvl w:ilvl="1">
      <w:lvlJc w:val="left"/>
      <w:lvlText w:val="*"/>
      <w:numFmt w:val="bullet"/>
      <w:start w:val="1"/>
    </w:lvl>
  </w:abstractNum>
  <w:abstractNum w:abstractNumId="52">
    <w:nsid w:val="100F8FCA"/>
    <w:multiLevelType w:val="hybridMultilevel"/>
    <w:lvl w:ilvl="0">
      <w:lvlJc w:val="left"/>
      <w:lvlText w:val="(%1)"/>
      <w:numFmt w:val="decimal"/>
      <w:start w:val="1"/>
    </w:lvl>
  </w:abstractNum>
  <w:abstractNum w:abstractNumId="53">
    <w:nsid w:val="6590700B"/>
    <w:multiLevelType w:val="hybridMultilevel"/>
    <w:lvl w:ilvl="0">
      <w:lvlJc w:val="left"/>
      <w:lvlText w:val="(%1)"/>
      <w:numFmt w:val="decimal"/>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1."/>
      <w:numFmt w:val="decimal"/>
      <w:start w:val="1"/>
    </w:lvl>
    <w:lvl w:ilvl="1">
      <w:lvlJc w:val="left"/>
      <w:lvlText w:val="-"/>
      <w:numFmt w:val="bullet"/>
      <w:start w:val="1"/>
    </w:lvl>
  </w:abstractNum>
  <w:abstractNum w:abstractNumId="57">
    <w:nsid w:val="799D0247"/>
    <w:multiLevelType w:val="hybridMultilevel"/>
    <w:lvl w:ilvl="0">
      <w:lvlJc w:val="left"/>
      <w:lvlText w:val="%1."/>
      <w:numFmt w:val="decimal"/>
      <w:start w:val="1"/>
    </w:lvl>
    <w:lvl w:ilvl="1">
      <w:lvlJc w:val="left"/>
      <w:lvlText w:val="-"/>
      <w:numFmt w:val="bullet"/>
      <w:start w:val="1"/>
    </w:lvl>
  </w:abstractNum>
  <w:abstractNum w:abstractNumId="58">
    <w:nsid w:val="6B94764"/>
    <w:multiLevelType w:val="hybridMultilevel"/>
    <w:lvl w:ilvl="0">
      <w:lvlJc w:val="left"/>
      <w:lvlText w:val="o"/>
      <w:numFmt w:val="bullet"/>
      <w:start w:val="1"/>
    </w:lvl>
  </w:abstractNum>
  <w:abstractNum w:abstractNumId="59">
    <w:nsid w:val="42C296BD"/>
    <w:multiLevelType w:val="hybridMultilevel"/>
    <w:lvl w:ilvl="0">
      <w:lvlJc w:val="left"/>
      <w:lvlText w:val="(%1)"/>
      <w:numFmt w:val="decimal"/>
      <w:start w:val="2"/>
    </w:lvl>
  </w:abstractNum>
  <w:abstractNum w:abstractNumId="60">
    <w:nsid w:val="168E121F"/>
    <w:multiLevelType w:val="hybridMultilevel"/>
    <w:lvl w:ilvl="0">
      <w:lvlJc w:val="left"/>
      <w:lvlText w:val="%1."/>
      <w:numFmt w:val="decimal"/>
      <w:start w:val="1"/>
    </w:lvl>
  </w:abstractNum>
  <w:abstractNum w:abstractNumId="61">
    <w:nsid w:val="1EBA5D23"/>
    <w:multiLevelType w:val="hybridMultilevel"/>
    <w:lvl w:ilvl="0">
      <w:lvlJc w:val="left"/>
      <w:lvlText w:val="%1."/>
      <w:numFmt w:val="decimal"/>
      <w:start w:val="2"/>
    </w:lvl>
  </w:abstractNum>
  <w:abstractNum w:abstractNumId="62">
    <w:nsid w:val="661E3F1E"/>
    <w:multiLevelType w:val="hybridMultilevel"/>
    <w:lvl w:ilvl="0">
      <w:lvlJc w:val="left"/>
      <w:lvlText w:val="%1."/>
      <w:numFmt w:val="decimal"/>
      <w:start w:val="3"/>
    </w:lvl>
  </w:abstractNum>
  <w:abstractNum w:abstractNumId="63">
    <w:nsid w:val="5DC79EA8"/>
    <w:multiLevelType w:val="hybridMultilevel"/>
    <w:lvl w:ilvl="0">
      <w:lvlJc w:val="left"/>
      <w:lvlText w:val="%1."/>
      <w:numFmt w:val="decimal"/>
      <w:start w:val="4"/>
    </w:lvl>
  </w:abstractNum>
  <w:abstractNum w:abstractNumId="64">
    <w:nsid w:val="540A471C"/>
    <w:multiLevelType w:val="hybridMultilevel"/>
    <w:lvl w:ilvl="0">
      <w:lvlJc w:val="left"/>
      <w:lvlText w:val="(%1)"/>
      <w:numFmt w:val="decimal"/>
      <w:start w:val="1"/>
    </w:lvl>
  </w:abstractNum>
  <w:abstractNum w:abstractNumId="65">
    <w:nsid w:val="7BD3EE7B"/>
    <w:multiLevelType w:val="hybridMultilevel"/>
    <w:lvl w:ilvl="0">
      <w:lvlJc w:val="left"/>
      <w:lvlText w:val="%1."/>
      <w:numFmt w:val="decimal"/>
      <w:start w:val="5"/>
    </w:lvl>
  </w:abstractNum>
  <w:abstractNum w:abstractNumId="66">
    <w:nsid w:val="51D9C564"/>
    <w:multiLevelType w:val="hybridMultilevel"/>
    <w:lvl w:ilvl="0">
      <w:lvlJc w:val="left"/>
      <w:lvlText w:val="%1."/>
      <w:numFmt w:val="decimal"/>
      <w:start w:val="6"/>
    </w:lvl>
  </w:abstractNum>
  <w:abstractNum w:abstractNumId="67">
    <w:nsid w:val="613EFDC5"/>
    <w:multiLevelType w:val="hybridMultilevel"/>
    <w:lvl w:ilvl="0">
      <w:lvlJc w:val="left"/>
      <w:lvlText w:val="%1."/>
      <w:numFmt w:val="decimal"/>
      <w:start w:val="7"/>
    </w:lvl>
  </w:abstractNum>
  <w:abstractNum w:abstractNumId="68">
    <w:nsid w:val="BF72B14"/>
    <w:multiLevelType w:val="hybridMultilevel"/>
    <w:lvl w:ilvl="0">
      <w:lvlJc w:val="left"/>
      <w:lvlText w:val="%1."/>
      <w:numFmt w:val="decimal"/>
      <w:start w:val="8"/>
    </w:lvl>
  </w:abstractNum>
  <w:abstractNum w:abstractNumId="69">
    <w:nsid w:val="11447B73"/>
    <w:multiLevelType w:val="hybridMultilevel"/>
    <w:lvl w:ilvl="0">
      <w:lvlJc w:val="left"/>
      <w:lvlText w:val="(%1)"/>
      <w:numFmt w:val="decimal"/>
      <w:start w:val="1"/>
    </w:lvl>
  </w:abstractNum>
  <w:abstractNum w:abstractNumId="70">
    <w:nsid w:val="42963E5A"/>
    <w:multiLevelType w:val="hybridMultilevel"/>
    <w:lvl w:ilvl="0">
      <w:lvlJc w:val="left"/>
      <w:lvlText w:val="%1."/>
      <w:numFmt w:val="decimal"/>
      <w:start w:val="9"/>
    </w:lvl>
  </w:abstractNum>
  <w:abstractNum w:abstractNumId="71">
    <w:nsid w:val="A0382C5"/>
    <w:multiLevelType w:val="hybridMultilevel"/>
    <w:lvl w:ilvl="0">
      <w:lvlJc w:val="left"/>
      <w:lvlText w:val="%1."/>
      <w:numFmt w:val="decimal"/>
      <w:start w:val="11"/>
    </w:lvl>
  </w:abstractNum>
  <w:abstractNum w:abstractNumId="72">
    <w:nsid w:val="8F2B15E"/>
    <w:multiLevelType w:val="hybridMultilevel"/>
    <w:lvl w:ilvl="0">
      <w:lvlJc w:val="left"/>
      <w:lvlText w:val="%1"/>
      <w:numFmt w:val="decimal"/>
      <w:start w:val="1"/>
    </w:lvl>
    <w:lvl w:ilvl="1">
      <w:lvlJc w:val="left"/>
      <w:lvlText w:val="(%2)"/>
      <w:numFmt w:val="lowerRoman"/>
      <w:start w:val="2"/>
    </w:lvl>
  </w:abstractNum>
  <w:abstractNum w:abstractNumId="73">
    <w:nsid w:val="1A32234B"/>
    <w:multiLevelType w:val="hybridMultilevel"/>
    <w:lvl w:ilvl="0">
      <w:lvlJc w:val="left"/>
      <w:lvlText w:val="%1."/>
      <w:numFmt w:val="decimal"/>
      <w:start w:val="12"/>
    </w:lvl>
    <w:lvl w:ilvl="1">
      <w:lvlJc w:val="left"/>
      <w:lvlText w:val="%2"/>
      <w:numFmt w:val="lowerRoman"/>
      <w:start w:val="1"/>
    </w:lvl>
  </w:abstractNum>
  <w:abstractNum w:abstractNumId="74">
    <w:nsid w:val="3B0FD379"/>
    <w:multiLevelType w:val="hybridMultilevel"/>
    <w:lvl w:ilvl="0">
      <w:lvlJc w:val="left"/>
      <w:lvlText w:val="(%1)"/>
      <w:numFmt w:val="decimal"/>
      <w:start w:val="94"/>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1."/>
      <w:numFmt w:val="decimal"/>
      <w:start w:val="13"/>
    </w:lvl>
  </w:abstractNum>
  <w:abstractNum w:abstractNumId="79">
    <w:nsid w:val="14330624"/>
    <w:multiLevelType w:val="hybridMultilevel"/>
    <w:lvl w:ilvl="0">
      <w:lvlJc w:val="left"/>
      <w:lvlText w:val="%1."/>
      <w:numFmt w:val="decimal"/>
      <w:start w:val="14"/>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2019-12-14T21:17:49Z</dcterms:created>
  <dcterms:modified xsi:type="dcterms:W3CDTF">2019-12-14T21:17:49Z</dcterms:modified>
</cp:coreProperties>
</file>