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293370</wp:posOffset>
            </wp:positionH>
            <wp:positionV relativeFrom="page">
              <wp:posOffset>165735</wp:posOffset>
            </wp:positionV>
            <wp:extent cx="6962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2140" cy="8255"/>
                    </a:xfrm>
                    <a:prstGeom prst="rect">
                      <a:avLst/>
                    </a:prstGeom>
                    <a:noFill/>
                  </pic:spPr>
                </pic:pic>
              </a:graphicData>
            </a:graphic>
          </wp:anchor>
        </w:drawing>
        <w:drawing>
          <wp:anchor simplePos="0" relativeHeight="251657728" behindDoc="1" locked="0" layoutInCell="0" allowOverlap="1">
            <wp:simplePos x="0" y="0"/>
            <wp:positionH relativeFrom="page">
              <wp:posOffset>293370</wp:posOffset>
            </wp:positionH>
            <wp:positionV relativeFrom="page">
              <wp:posOffset>208280</wp:posOffset>
            </wp:positionV>
            <wp:extent cx="6962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2140" cy="8255"/>
                    </a:xfrm>
                    <a:prstGeom prst="rect">
                      <a:avLst/>
                    </a:prstGeom>
                    <a:noFill/>
                  </pic:spPr>
                </pic:pic>
              </a:graphicData>
            </a:graphic>
          </wp:anchor>
        </w:drawing>
        <w:t>UNITED STATES</w:t>
      </w:r>
    </w:p>
    <w:p>
      <w:pPr>
        <w:spacing w:after="0" w:line="3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224155</wp:posOffset>
            </wp:positionV>
            <wp:extent cx="1467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248285</wp:posOffset>
            </wp:positionV>
            <wp:extent cx="1467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1"/>
          <w:szCs w:val="21"/>
          <w:b w:val="1"/>
          <w:bCs w:val="1"/>
          <w:color w:val="auto"/>
        </w:rPr>
        <w:t>REPORT OF FOREIGN PRIVATE ISSUER</w:t>
      </w:r>
    </w:p>
    <w:p>
      <w:pPr>
        <w:spacing w:after="0" w:line="2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1"/>
          <w:szCs w:val="21"/>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249555</wp:posOffset>
            </wp:positionV>
            <wp:extent cx="1467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256540</wp:posOffset>
            </wp:positionV>
            <wp:extent cx="1467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Hirzel House, Smith Street,</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St. Peter Port, Island of Guernsey, GY1 2NG</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Amdocs, Inc.</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625 Maryville Centre Drive, Suite 200, Saint Louis, Missouri 63141</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217805</wp:posOffset>
            </wp:positionV>
            <wp:extent cx="1467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2" w:lineRule="exact"/>
        <w:rPr>
          <w:sz w:val="24"/>
          <w:szCs w:val="24"/>
          <w:color w:val="auto"/>
        </w:rPr>
      </w:pPr>
    </w:p>
    <w:p>
      <w:pPr>
        <w:ind w:left="40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196215</wp:posOffset>
            </wp:positionV>
            <wp:extent cx="6962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21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238760</wp:posOffset>
            </wp:positionV>
            <wp:extent cx="6962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2140" cy="8255"/>
                    </a:xfrm>
                    <a:prstGeom prst="rect">
                      <a:avLst/>
                    </a:prstGeom>
                    <a:noFill/>
                  </pic:spPr>
                </pic:pic>
              </a:graphicData>
            </a:graphic>
          </wp:anchor>
        </w:drawing>
      </w:r>
    </w:p>
    <w:p>
      <w:pPr>
        <w:sectPr>
          <w:pgSz w:w="11900" w:h="16838" w:orient="portrait"/>
          <w:cols w:equalWidth="0" w:num="1">
            <w:col w:w="9999"/>
          </w:cols>
          <w:pgMar w:left="460" w:top="375" w:right="1440" w:bottom="1440" w:gutter="0" w:footer="0" w:header="0"/>
        </w:sectPr>
      </w:pPr>
    </w:p>
    <w:bookmarkStart w:id="1" w:name="page2"/>
    <w:bookmarkEnd w:id="1"/>
    <w:p>
      <w:pPr>
        <w:spacing w:after="0" w:line="28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On May 13, 2026 Amdocs Limited (“Amdocs”) issued a press release announcing financial results for the quarter ended March 31, 2026. A copy of the press release and the accompanying presentation are furnished as Exhibits 99.1 and 99.2 to this Report of Foreign Private Issuer on Form 6-K.</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860"/>
          </w:cols>
          <w:pgMar w:left="460" w:top="269"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0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EXHIBIT INDEX</w:t>
            </w:r>
          </w:p>
        </w:tc>
        <w:tc>
          <w:tcPr>
            <w:tcW w:w="0" w:type="dxa"/>
            <w:vAlign w:val="bottom"/>
          </w:tcPr>
          <w:p>
            <w:pPr>
              <w:spacing w:after="0"/>
              <w:rPr>
                <w:sz w:val="1"/>
                <w:szCs w:val="1"/>
                <w:color w:val="auto"/>
              </w:rPr>
            </w:pPr>
          </w:p>
        </w:tc>
      </w:tr>
      <w:tr>
        <w:trPr>
          <w:trHeight w:val="367"/>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w w:val="99"/>
              </w:rPr>
              <w:t>EXHIBIT</w:t>
            </w:r>
          </w:p>
        </w:tc>
        <w:tc>
          <w:tcPr>
            <w:tcW w:w="640" w:type="dxa"/>
            <w:vAlign w:val="bottom"/>
          </w:tcPr>
          <w:p>
            <w:pPr>
              <w:spacing w:after="0"/>
              <w:rPr>
                <w:sz w:val="24"/>
                <w:szCs w:val="24"/>
                <w:color w:val="auto"/>
              </w:rPr>
            </w:pPr>
          </w:p>
        </w:tc>
        <w:tc>
          <w:tcPr>
            <w:tcW w:w="9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7"/>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NO.</w:t>
            </w:r>
          </w:p>
        </w:tc>
        <w:tc>
          <w:tcPr>
            <w:tcW w:w="640" w:type="dxa"/>
            <w:vAlign w:val="bottom"/>
          </w:tcPr>
          <w:p>
            <w:pPr>
              <w:spacing w:after="0"/>
              <w:rPr>
                <w:sz w:val="15"/>
                <w:szCs w:val="15"/>
                <w:color w:val="auto"/>
              </w:rPr>
            </w:pPr>
          </w:p>
        </w:tc>
        <w:tc>
          <w:tcPr>
            <w:tcW w:w="97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23"/>
                <w:szCs w:val="23"/>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Amdocs Limited Press Release Announcing Q2 Earnings, dated May 13, 2026</w:t>
            </w:r>
          </w:p>
        </w:tc>
        <w:tc>
          <w:tcPr>
            <w:tcW w:w="0" w:type="dxa"/>
            <w:vAlign w:val="bottom"/>
          </w:tcPr>
          <w:p>
            <w:pPr>
              <w:spacing w:after="0"/>
              <w:rPr>
                <w:sz w:val="1"/>
                <w:szCs w:val="1"/>
                <w:color w:val="auto"/>
              </w:rPr>
            </w:pPr>
          </w:p>
        </w:tc>
      </w:tr>
      <w:tr>
        <w:trPr>
          <w:trHeight w:val="30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640" w:type="dxa"/>
            <w:vAlign w:val="bottom"/>
          </w:tcPr>
          <w:p>
            <w:pPr>
              <w:spacing w:after="0"/>
              <w:rPr>
                <w:sz w:val="24"/>
                <w:szCs w:val="24"/>
                <w:color w:val="auto"/>
              </w:rPr>
            </w:pPr>
          </w:p>
        </w:tc>
        <w:tc>
          <w:tcPr>
            <w:tcW w:w="27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Fiscal Q2 2026 Earnings Presentation</w:t>
            </w:r>
          </w:p>
        </w:tc>
        <w:tc>
          <w:tcPr>
            <w:tcW w:w="2920" w:type="dxa"/>
            <w:vAlign w:val="bottom"/>
            <w:tcBorders>
              <w:top w:val="single" w:sz="8" w:color="0000EE"/>
            </w:tcBorders>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60" w:top="269" w:right="47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16510</wp:posOffset>
            </wp:positionV>
            <wp:extent cx="2551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Secretary and Authorized Signatory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ectPr>
          <w:pgSz w:w="11900" w:h="16838" w:orient="portrait"/>
          <w:cols w:equalWidth="0" w:num="1">
            <w:col w:w="10220"/>
          </w:cols>
          <w:pgMar w:left="460" w:top="265" w:right="12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110730" cy="1706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073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i w:val="1"/>
          <w:iCs w:val="1"/>
          <w:color w:val="auto"/>
        </w:rPr>
        <w:t>Amdocs Limited Reports Second Quarter Fiscal 2026 Results</w:t>
      </w:r>
    </w:p>
    <w:p>
      <w:pPr>
        <w:spacing w:after="0" w:line="1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Revenue of $1.17 Billion, up 3.9% YoY as Reported and up 2.2% YoY in Constant Currency</w:t>
      </w:r>
      <w:r>
        <w:rPr>
          <w:rFonts w:ascii="Times New Roman" w:cs="Times New Roman" w:eastAsia="Times New Roman" w:hAnsi="Times New Roman"/>
          <w:sz w:val="26"/>
          <w:szCs w:val="26"/>
          <w:i w:val="1"/>
          <w:iCs w:val="1"/>
          <w:color w:val="auto"/>
          <w:vertAlign w:val="superscript"/>
        </w:rPr>
        <w:t>(1)</w:t>
      </w:r>
    </w:p>
    <w:p>
      <w:pPr>
        <w:spacing w:after="0" w:line="4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i w:val="1"/>
          <w:iCs w:val="1"/>
          <w:color w:val="auto"/>
        </w:rPr>
        <w:t>Expects Fiscal 2026 Revenue Growth Outlook of 2.6%-4.6% YoY as Reported</w:t>
      </w:r>
    </w:p>
    <w:p>
      <w:pPr>
        <w:spacing w:after="0" w:line="7"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i w:val="1"/>
          <w:iCs w:val="1"/>
          <w:color w:val="auto"/>
        </w:rPr>
        <w:t>Reiterates Midpoint of Fiscal 2026 Revenue Growth Outlook in Constant Currency</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while Tightening Expected Range to 2.0%-4.0% YoY Announces Retirement of Long-Serving CFO and Appointment of Internal CFO Successor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Fiscal 2026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comparisons are against same quarter of the prior year, unless otherwise stated)</w:t>
      </w:r>
    </w:p>
    <w:p>
      <w:pPr>
        <w:spacing w:after="0" w:line="67" w:lineRule="exact"/>
        <w:rPr>
          <w:sz w:val="20"/>
          <w:szCs w:val="20"/>
          <w:color w:val="auto"/>
        </w:rPr>
      </w:pPr>
    </w:p>
    <w:p>
      <w:pPr>
        <w:ind w:left="960" w:hanging="421"/>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$1,172 million, up 3.9% as reported and up 2.2% in constant currency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revenue was above the midpoint of the</w:t>
      </w:r>
    </w:p>
    <w:p>
      <w:pPr>
        <w:ind w:left="960" w:right="4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$1,150-$1,190 million guidance range and includes a positive impact from foreign currency movements of approximately $2 million relative to our guidance assumptions</w:t>
      </w:r>
    </w:p>
    <w:p>
      <w:pPr>
        <w:spacing w:after="0" w:line="89" w:lineRule="exact"/>
        <w:rPr>
          <w:rFonts w:ascii="Times New Roman" w:cs="Times New Roman" w:eastAsia="Times New Roman" w:hAnsi="Times New Roman"/>
          <w:sz w:val="18"/>
          <w:szCs w:val="18"/>
          <w:color w:val="auto"/>
        </w:rPr>
      </w:pPr>
    </w:p>
    <w:p>
      <w:pPr>
        <w:ind w:left="960" w:right="80" w:hanging="421"/>
        <w:spacing w:after="0" w:line="280"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$754 million in North America, up 2.2%; record revenue of $192 million in Europe, up 6.2%; revenue of $226 million in Rest of World, up 8.0%</w:t>
      </w:r>
    </w:p>
    <w:p>
      <w:pPr>
        <w:spacing w:after="0" w:line="67"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services revenue of $759 million, equivalent to approximately 65% of total revenue and up 1.6%</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of $1.28, above the midpoint of the guidance range of $1.22-$1.30</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EPS of $1.78, above the midpoint of the guidance range of $1.73-$1.79</w:t>
      </w:r>
    </w:p>
    <w:p>
      <w:pPr>
        <w:spacing w:after="0" w:line="128" w:lineRule="exact"/>
        <w:rPr>
          <w:rFonts w:ascii="Times New Roman" w:cs="Times New Roman" w:eastAsia="Times New Roman" w:hAnsi="Times New Roman"/>
          <w:sz w:val="18"/>
          <w:szCs w:val="18"/>
          <w:color w:val="auto"/>
        </w:rPr>
      </w:pPr>
    </w:p>
    <w:p>
      <w:pPr>
        <w:jc w:val="both"/>
        <w:ind w:left="960" w:right="20" w:hanging="421"/>
        <w:spacing w:after="0" w:line="264" w:lineRule="auto"/>
        <w:tabs>
          <w:tab w:leader="none" w:pos="9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of $183 million; GAAP operating margin of 15.6%, down 190 basis points compared to last year’s second quarter and 230 basis points sequentially, mainly due to costs related to leadership transition as well as benefit from changes in certain acquisitions related liabilities measured at fair value in the first fiscal quarter</w:t>
      </w:r>
    </w:p>
    <w:p>
      <w:pPr>
        <w:spacing w:after="0" w:line="203"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on a constant currency basis assumes exchange rates in the current period were unchanged from the prior period</w:t>
      </w:r>
    </w:p>
    <w:p>
      <w:pPr>
        <w:spacing w:after="0" w:line="26" w:lineRule="exact"/>
        <w:rPr>
          <w:rFonts w:ascii="Times New Roman" w:cs="Times New Roman" w:eastAsia="Times New Roman" w:hAnsi="Times New Roman"/>
          <w:sz w:val="18"/>
          <w:szCs w:val="18"/>
          <w:color w:val="auto"/>
        </w:rPr>
      </w:pPr>
    </w:p>
    <w:p>
      <w:pPr>
        <w:ind w:left="440" w:hanging="438"/>
        <w:spacing w:after="0"/>
        <w:tabs>
          <w:tab w:leader="none" w:pos="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the Selected Financial Metrics tables below (figures may not sum because of rounding)</w:t>
      </w:r>
    </w:p>
    <w:p>
      <w:pPr>
        <w:sectPr>
          <w:pgSz w:w="11900" w:h="16838" w:orient="portrait"/>
          <w:cols w:equalWidth="0" w:num="1">
            <w:col w:w="10960"/>
          </w:cols>
          <w:pgMar w:left="460" w:top="117" w:right="479" w:bottom="1440" w:gutter="0" w:footer="0" w:header="0"/>
        </w:sectPr>
      </w:pPr>
    </w:p>
    <w:bookmarkStart w:id="5" w:name="page6"/>
    <w:bookmarkEnd w:id="5"/>
    <w:p>
      <w:pPr>
        <w:ind w:left="960" w:right="380" w:hanging="421"/>
        <w:spacing w:after="0" w:line="280"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Non-GAAP operating income of $252 million; non-GAAP operating margin of 21.5%, up 20 basis points as compared to last year’s second fiscal quarter and down 10 basis points sequentially</w:t>
      </w:r>
    </w:p>
    <w:p>
      <w:pPr>
        <w:spacing w:after="0" w:line="67" w:lineRule="exact"/>
        <w:rPr>
          <w:rFonts w:ascii="Times New Roman" w:cs="Times New Roman" w:eastAsia="Times New Roman" w:hAnsi="Times New Roman"/>
          <w:sz w:val="18"/>
          <w:szCs w:val="18"/>
          <w:color w:val="auto"/>
        </w:rPr>
      </w:pPr>
    </w:p>
    <w:p>
      <w:pPr>
        <w:jc w:val="both"/>
        <w:ind w:left="960" w:hanging="421"/>
        <w:spacing w:after="0" w:line="22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$80 million, comprised of cash flow from operations of $102 million, including $17 million of restructuring payments, less $21 million in net capital expenditures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excluding restructuring payments, free cash flow was $97 million; reiterates full year fiscal 2026 free cash outlook of $710 million to $730 million, excluding restructuring payments</w:t>
      </w:r>
    </w:p>
    <w:p>
      <w:pPr>
        <w:spacing w:after="0" w:line="103"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$138 million of ordinary shares during the second fiscal quarter</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backlog of $4.28 billion, up $30 million sequentially and up 2.6%</w:t>
      </w:r>
    </w:p>
    <w:p>
      <w:pPr>
        <w:spacing w:after="0" w:line="128" w:lineRule="exact"/>
        <w:rPr>
          <w:rFonts w:ascii="Times New Roman" w:cs="Times New Roman" w:eastAsia="Times New Roman" w:hAnsi="Times New Roman"/>
          <w:sz w:val="18"/>
          <w:szCs w:val="18"/>
          <w:color w:val="auto"/>
        </w:rPr>
      </w:pPr>
    </w:p>
    <w:p>
      <w:pPr>
        <w:ind w:left="960" w:right="20" w:hanging="421"/>
        <w:spacing w:after="0" w:line="259"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Amdocs Limited (the “Company” or “Amdocs”) announced today that Tamar Rapaport-Dagim, Chief Financial Officer and Chief Operating Officer, has decided to retire from the Company following a distinguished career spanning over two decades. Tal Rozenfeld, currently General Manager Head of Finance, has been appointed Chief Financial Officer, effective June 1st, 2026. Tamar will continue to complete the transition process to help ensure a seamless handover of responsibilities.</w:t>
      </w:r>
    </w:p>
    <w:p>
      <w:pPr>
        <w:spacing w:after="0" w:line="17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JERSEY CITY, NJ – May 13, 2026 </w:t>
      </w:r>
      <w:r>
        <w:rPr>
          <w:rFonts w:ascii="Times New Roman" w:cs="Times New Roman" w:eastAsia="Times New Roman" w:hAnsi="Times New Roman"/>
          <w:sz w:val="18"/>
          <w:szCs w:val="18"/>
          <w:color w:val="auto"/>
        </w:rPr>
        <w:t>– Amdocs Limited (NASDAQ: DOX), a leading provider of software and services to communications and media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today reported operating results for the three months ended March 31, 2026.</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“I’m excited to be leading Amdocs forward in the agentic era, as our vision is to become the primary partner of choice to turn the agentic opportunity into reality for our customers. We believe Amdocs is uniquely positioned to lead due to our deep industry knowledge and telco domain expertise, engineering and innovation pedigree, mission critical systems transformation leadership and our outcome-based business model. To realize our vision, we are aiming to move towards an agentic and automated portfolio, tailor agentic customer roadmaps, leverage strategic partnerships, and internally transform the way we operate. While we are continuing to refine our strategy, we are already seeing initial commercial engagements with the launch of aOS- Amdocs’ agentic operating system for telco.</w:t>
      </w:r>
    </w:p>
    <w:p>
      <w:pPr>
        <w:sectPr>
          <w:pgSz w:w="11900" w:h="16838" w:orient="portrait"/>
          <w:cols w:equalWidth="0" w:num="1">
            <w:col w:w="10820"/>
          </w:cols>
          <w:pgMar w:left="460" w:top="269" w:right="619" w:bottom="1440" w:gutter="0" w:footer="0" w:header="0"/>
        </w:sectPr>
      </w:pPr>
    </w:p>
    <w:bookmarkStart w:id="6" w:name="page7"/>
    <w:bookmarkEnd w:id="6"/>
    <w:p>
      <w:pPr>
        <w:ind w:right="500"/>
        <w:spacing w:after="0" w:line="31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We are building this strategy on our strong business foundations, as demonstrated by solid Q2 results which show healthy sales, strong customer relationships and consistent operating execution,” said Shimie Hortig, president and chief executive officer of Amdocs Management Limited.</w:t>
      </w:r>
    </w:p>
    <w:p>
      <w:pPr>
        <w:spacing w:after="0" w:line="14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“Project delivery continued as a defining strength for Amdocs this quarter, as reflected by many production milestones achieved for AT&amp;T, Vodafone Germany and other flagship customers worldwide. Profitability improved year-over-year, demonstrating our continued focus on operational excellence and automation, and we generated healthy free cash flow of which we returned more than 100% to shareholders though share repurchases and dividend payments,” said Tamar Rapaport-Dagim, chief financial officer and chief operating officer of Amdocs Management Limited.</w:t>
      </w:r>
    </w:p>
    <w:p>
      <w:pPr>
        <w:spacing w:after="0" w:line="181"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7"/>
          <w:szCs w:val="17"/>
          <w:color w:val="auto"/>
        </w:rPr>
        <w:t>Hortig continued, “I’m pleased with our financial and operational progress for the fiscal year to date, and while we are closely monitoring macroeconomic developments and customer spending behavior in the current climate, we are on track to achieve our fiscal 2026 financial guidance.”</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Hortig concluded, “On behalf of the Board and the entire leadership team, I want to thank Tamar for her exceptional leadership, partnership and dedication over the past 22 years. Throughout her tenure, Tamar has played a critical role in strengthening our financial foundation, leading operational excellence, supporting our strategic growth and helping position the company for long-term success. We are deeply grateful for her many contributions and wish her the very best. We are very pleased to appoint Tal Rozenfeld as our next Chief Financial Officer. Tal brings deep financial expertise, strong operational and business knowledge and a proven track record of leadership. Tal has been an important part of our finance and leadership team, and we are confident he will play a key role in driving the next phase of Amdocs’ growth and execution.”</w:t>
      </w:r>
    </w:p>
    <w:p>
      <w:pPr>
        <w:sectPr>
          <w:pgSz w:w="11900" w:h="16838" w:orient="portrait"/>
          <w:cols w:equalWidth="0" w:num="1">
            <w:col w:w="10840"/>
          </w:cols>
          <w:pgMar w:left="460" w:top="269" w:right="5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Revenue</w:t>
      </w:r>
    </w:p>
    <w:p>
      <w:pPr>
        <w:spacing w:after="0" w:line="11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i w:val="1"/>
          <w:iCs w:val="1"/>
          <w:color w:val="auto"/>
        </w:rPr>
        <w:t>(All comparisons are against same quarter of the prior year, unless otherwise stated)</w:t>
      </w:r>
    </w:p>
    <w:p>
      <w:pPr>
        <w:spacing w:after="0" w:line="232"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48"/>
        </w:trPr>
        <w:tc>
          <w:tcPr>
            <w:tcW w:w="6080" w:type="dxa"/>
            <w:vAlign w:val="bottom"/>
          </w:tcPr>
          <w:p>
            <w:pPr>
              <w:spacing w:after="0"/>
              <w:rPr>
                <w:sz w:val="12"/>
                <w:szCs w:val="12"/>
                <w:color w:val="auto"/>
              </w:rPr>
            </w:pPr>
          </w:p>
        </w:tc>
        <w:tc>
          <w:tcPr>
            <w:tcW w:w="2240" w:type="dxa"/>
            <w:vAlign w:val="bottom"/>
            <w:gridSpan w:val="5"/>
          </w:tcPr>
          <w:p>
            <w:pPr>
              <w:jc w:val="center"/>
              <w:ind w:right="60"/>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2"/>
        </w:trPr>
        <w:tc>
          <w:tcPr>
            <w:tcW w:w="6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41"/>
        </w:trPr>
        <w:tc>
          <w:tcPr>
            <w:tcW w:w="6080" w:type="dxa"/>
            <w:vAlign w:val="bottom"/>
          </w:tcPr>
          <w:p>
            <w:pPr>
              <w:spacing w:after="0"/>
              <w:rPr>
                <w:sz w:val="12"/>
                <w:szCs w:val="12"/>
                <w:color w:val="auto"/>
              </w:rPr>
            </w:pPr>
          </w:p>
        </w:tc>
        <w:tc>
          <w:tcPr>
            <w:tcW w:w="700" w:type="dxa"/>
            <w:vAlign w:val="bottom"/>
            <w:tcBorders>
              <w:top w:val="single" w:sz="8" w:color="auto"/>
            </w:tcBorders>
            <w:gridSpan w:val="2"/>
          </w:tcPr>
          <w:p>
            <w:pPr>
              <w:jc w:val="center"/>
              <w:ind w:right="148"/>
              <w:spacing w:after="0" w:line="141" w:lineRule="exact"/>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Guidance</w:t>
            </w:r>
          </w:p>
        </w:tc>
        <w:tc>
          <w:tcPr>
            <w:tcW w:w="40" w:type="dxa"/>
            <w:vAlign w:val="bottom"/>
          </w:tcPr>
          <w:p>
            <w:pPr>
              <w:spacing w:after="0"/>
              <w:rPr>
                <w:sz w:val="12"/>
                <w:szCs w:val="12"/>
                <w:color w:val="auto"/>
              </w:rPr>
            </w:pPr>
          </w:p>
        </w:tc>
      </w:tr>
      <w:tr>
        <w:trPr>
          <w:trHeight w:val="208"/>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$1,172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$1,150 -$1,190 </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Revenue Growth, as reported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6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Revenue Growth, constant currency</w:t>
            </w:r>
            <w:r>
              <w:rPr>
                <w:rFonts w:ascii="Times New Roman" w:cs="Times New Roman" w:eastAsia="Times New Roman" w:hAnsi="Times New Roman"/>
                <w:sz w:val="24"/>
                <w:szCs w:val="24"/>
                <w:color w:val="auto"/>
                <w:vertAlign w:val="superscript"/>
              </w:rPr>
              <w:t>(1)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24" w:lineRule="exact"/>
        <w:rPr>
          <w:sz w:val="20"/>
          <w:szCs w:val="20"/>
          <w:color w:val="auto"/>
        </w:rPr>
      </w:pPr>
    </w:p>
    <w:p>
      <w:pPr>
        <w:ind w:left="960" w:right="60" w:hanging="421"/>
        <w:spacing w:after="0" w:line="280"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second fiscal quarter of 2026 was above the midpoint of Amdocs’ guidance and includes positive impact from foreign currency movement of $2 million compared to our guidance assumptions</w:t>
      </w:r>
    </w:p>
    <w:p>
      <w:pPr>
        <w:spacing w:after="0" w:line="67" w:lineRule="exact"/>
        <w:rPr>
          <w:rFonts w:ascii="Times New Roman" w:cs="Times New Roman" w:eastAsia="Times New Roman" w:hAnsi="Times New Roman"/>
          <w:sz w:val="18"/>
          <w:szCs w:val="18"/>
          <w:color w:val="auto"/>
        </w:rPr>
      </w:pPr>
    </w:p>
    <w:p>
      <w:pPr>
        <w:ind w:left="960" w:hanging="421"/>
        <w:spacing w:after="0" w:line="310"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for the second fiscal quarter includes a positive impact from foreign currency movements of $19 million relative to the second quarter of fiscal 2025 and a positive impact from foreign currency movements of $3 million relative to the first quarter of fiscal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248"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jc w:val="center"/>
        <w:ind w:left="5940"/>
        <w:spacing w:after="0" w:line="227"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940"/>
        <w:spacing w:after="0" w:line="230" w:lineRule="auto"/>
        <w:rPr>
          <w:sz w:val="20"/>
          <w:szCs w:val="20"/>
          <w:color w:val="auto"/>
        </w:rPr>
      </w:pPr>
      <w:r>
        <w:rPr>
          <w:rFonts w:ascii="Times New Roman" w:cs="Times New Roman" w:eastAsia="Times New Roman" w:hAnsi="Times New Roman"/>
          <w:sz w:val="14"/>
          <w:szCs w:val="14"/>
          <w:b w:val="1"/>
          <w:bCs w:val="1"/>
          <w:color w:val="auto"/>
        </w:rPr>
        <w:t>March 31,</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1"/>
        </w:trPr>
        <w:tc>
          <w:tcPr>
            <w:tcW w:w="502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r>
      <w:tr>
        <w:trPr>
          <w:trHeight w:val="195"/>
        </w:trPr>
        <w:tc>
          <w:tcPr>
            <w:tcW w:w="5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GAAP Measures</w:t>
            </w: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138,772</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164,001</w:t>
            </w:r>
          </w:p>
        </w:tc>
        <w:tc>
          <w:tcPr>
            <w:tcW w:w="40" w:type="dxa"/>
            <w:vAlign w:val="bottom"/>
          </w:tcPr>
          <w:p>
            <w:pPr>
              <w:spacing w:after="0"/>
              <w:rPr>
                <w:sz w:val="18"/>
                <w:szCs w:val="18"/>
                <w:color w:val="auto"/>
              </w:rPr>
            </w:pPr>
          </w:p>
        </w:tc>
      </w:tr>
      <w:tr>
        <w:trPr>
          <w:trHeight w:val="215"/>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137,815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163,243</w:t>
            </w:r>
          </w:p>
        </w:tc>
        <w:tc>
          <w:tcPr>
            <w:tcW w:w="40" w:type="dxa"/>
            <w:vAlign w:val="bottom"/>
            <w:shd w:val="clear" w:color="auto" w:fill="CCEEFF"/>
          </w:tcPr>
          <w:p>
            <w:pPr>
              <w:spacing w:after="0"/>
              <w:rPr>
                <w:sz w:val="18"/>
                <w:szCs w:val="18"/>
                <w:color w:val="auto"/>
              </w:rPr>
            </w:pPr>
          </w:p>
        </w:tc>
      </w:tr>
      <w:tr>
        <w:trPr>
          <w:trHeight w:val="21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r>
      <w:tr>
        <w:trPr>
          <w:trHeight w:val="215"/>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Measures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192,501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201,017</w:t>
            </w:r>
          </w:p>
        </w:tc>
        <w:tc>
          <w:tcPr>
            <w:tcW w:w="40" w:type="dxa"/>
            <w:vAlign w:val="bottom"/>
          </w:tcPr>
          <w:p>
            <w:pPr>
              <w:spacing w:after="0"/>
              <w:rPr>
                <w:sz w:val="18"/>
                <w:szCs w:val="18"/>
                <w:color w:val="auto"/>
              </w:rPr>
            </w:pPr>
          </w:p>
        </w:tc>
      </w:tr>
      <w:tr>
        <w:trPr>
          <w:trHeight w:val="215"/>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Amdocs Limited</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191,544</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200,259</w:t>
            </w:r>
          </w:p>
        </w:tc>
        <w:tc>
          <w:tcPr>
            <w:tcW w:w="40" w:type="dxa"/>
            <w:vAlign w:val="bottom"/>
            <w:shd w:val="clear" w:color="auto" w:fill="CCEEFF"/>
          </w:tcPr>
          <w:p>
            <w:pPr>
              <w:spacing w:after="0"/>
              <w:rPr>
                <w:sz w:val="18"/>
                <w:szCs w:val="18"/>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bl>
    <w:p>
      <w:pPr>
        <w:sectPr>
          <w:pgSz w:w="11900" w:h="16838" w:orient="portrait"/>
          <w:cols w:equalWidth="0" w:num="1">
            <w:col w:w="10680"/>
          </w:cols>
          <w:pgMar w:left="460" w:top="265" w:right="759" w:bottom="1440" w:gutter="0" w:footer="0" w:header="0"/>
        </w:sectPr>
      </w:pPr>
    </w:p>
    <w:bookmarkStart w:id="8" w:name="page9"/>
    <w:bookmarkEnd w:id="8"/>
    <w:p>
      <w:pPr>
        <w:ind w:left="960" w:hanging="421"/>
        <w:spacing w:after="0" w:line="287" w:lineRule="auto"/>
        <w:tabs>
          <w:tab w:leader="none" w:pos="9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 &amp; Liquidity</w:t>
      </w:r>
    </w:p>
    <w:p>
      <w:pPr>
        <w:spacing w:after="0" w:line="129" w:lineRule="exact"/>
        <w:rPr>
          <w:sz w:val="20"/>
          <w:szCs w:val="20"/>
          <w:color w:val="auto"/>
        </w:rPr>
      </w:pPr>
    </w:p>
    <w:p>
      <w:pPr>
        <w:ind w:left="960" w:right="160" w:hanging="421"/>
        <w:spacing w:after="0" w:line="267"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Quarterly Cash Dividend Program: </w:t>
      </w:r>
      <w:r>
        <w:rPr>
          <w:rFonts w:ascii="Times New Roman" w:cs="Times New Roman" w:eastAsia="Times New Roman" w:hAnsi="Times New Roman"/>
          <w:sz w:val="18"/>
          <w:szCs w:val="18"/>
          <w:color w:val="auto"/>
        </w:rPr>
        <w:t>On May 13, 2026, the Board approved the Company’s next quarterly cash dividend payment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 of $0.569 per share, and set June 30, 2026 as the record date for determining the shareholders entitled to receive the dividend, which will be payable on July 31, 2026</w:t>
      </w:r>
    </w:p>
    <w:p>
      <w:pPr>
        <w:spacing w:after="0" w:line="75"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Share Repurchase Activity: </w:t>
      </w:r>
      <w:r>
        <w:rPr>
          <w:rFonts w:ascii="Times New Roman" w:cs="Times New Roman" w:eastAsia="Times New Roman" w:hAnsi="Times New Roman"/>
          <w:sz w:val="18"/>
          <w:szCs w:val="18"/>
          <w:color w:val="auto"/>
        </w:rPr>
        <w:t>Repurchased $138 million of ordinary shares during the second quarter of fiscal 2026</w:t>
      </w:r>
    </w:p>
    <w:p>
      <w:pPr>
        <w:spacing w:after="0" w:line="128" w:lineRule="exact"/>
        <w:rPr>
          <w:rFonts w:ascii="Times New Roman" w:cs="Times New Roman" w:eastAsia="Times New Roman" w:hAnsi="Times New Roman"/>
          <w:sz w:val="18"/>
          <w:szCs w:val="18"/>
          <w:color w:val="auto"/>
        </w:rPr>
      </w:pPr>
    </w:p>
    <w:p>
      <w:pPr>
        <w:jc w:val="both"/>
        <w:ind w:left="960" w:right="120" w:hanging="421"/>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 Paper Program</w:t>
      </w:r>
      <w:r>
        <w:rPr>
          <w:rFonts w:ascii="Times New Roman" w:cs="Times New Roman" w:eastAsia="Times New Roman" w:hAnsi="Times New Roman"/>
          <w:sz w:val="18"/>
          <w:szCs w:val="18"/>
          <w:color w:val="auto"/>
        </w:rPr>
        <w:t>: In March 2026, the Company established a commercial paper program, supported by the Revolving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Facility under which it may issue unsecured commercial paper up to a total of $800 million outstanding at any time, with maturities of up to 397 days from the date of issue. The net proceeds from the issuance of commercial paper are expected to be used for general corporate purposes. As of March 31, 2026, there was no outstanding borrowing amount under the commercial paper program</w:t>
      </w:r>
    </w:p>
    <w:p>
      <w:pPr>
        <w:spacing w:after="0" w:line="80" w:lineRule="exact"/>
        <w:rPr>
          <w:rFonts w:ascii="Times New Roman" w:cs="Times New Roman" w:eastAsia="Times New Roman" w:hAnsi="Times New Roman"/>
          <w:sz w:val="18"/>
          <w:szCs w:val="18"/>
          <w:color w:val="auto"/>
        </w:rPr>
      </w:pPr>
    </w:p>
    <w:p>
      <w:pPr>
        <w:ind w:left="960" w:right="340" w:hanging="421"/>
        <w:spacing w:after="0" w:line="284"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Revolving Credit Facility</w:t>
      </w:r>
      <w:r>
        <w:rPr>
          <w:rFonts w:ascii="Times New Roman" w:cs="Times New Roman" w:eastAsia="Times New Roman" w:hAnsi="Times New Roman"/>
          <w:sz w:val="18"/>
          <w:szCs w:val="18"/>
          <w:color w:val="auto"/>
        </w:rPr>
        <w:t>: In March 2026, the Revolving Credit Facility was amended to increase the amount from $500 million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aggregate amount of $800 million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Twelve-month Backlog</w:t>
      </w:r>
    </w:p>
    <w:p>
      <w:pPr>
        <w:spacing w:after="0" w:line="11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color w:val="auto"/>
        </w:rPr>
        <w:t>Twelve-month backlog was $4.28 billion at the end of the second quarter of fiscal 2026, up approximately 2.6% as compared to last year’s second fiscal quarter. Twelve-month backlog includes anticipated revenue related to contracts, estimated revenue from managed services contracts, letters of intent, maintenance and estimated on-going support activities.</w:t>
      </w:r>
    </w:p>
    <w:p>
      <w:pPr>
        <w:sectPr>
          <w:pgSz w:w="11900" w:h="16838" w:orient="portrait"/>
          <w:cols w:equalWidth="0" w:num="1">
            <w:col w:w="10940"/>
          </w:cols>
          <w:pgMar w:left="460" w:top="269"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Third Quarter Fiscal 2026 Outlook</w:t>
      </w:r>
    </w:p>
    <w:p>
      <w:pPr>
        <w:spacing w:after="0" w:line="234"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48"/>
        </w:trPr>
        <w:tc>
          <w:tcPr>
            <w:tcW w:w="6340" w:type="dxa"/>
            <w:vAlign w:val="bottom"/>
          </w:tcPr>
          <w:p>
            <w:pPr>
              <w:spacing w:after="0"/>
              <w:rPr>
                <w:sz w:val="12"/>
                <w:szCs w:val="12"/>
                <w:color w:val="auto"/>
              </w:rPr>
            </w:pPr>
          </w:p>
        </w:tc>
        <w:tc>
          <w:tcPr>
            <w:tcW w:w="1100" w:type="dxa"/>
            <w:vAlign w:val="bottom"/>
            <w:gridSpan w:val="3"/>
          </w:tcPr>
          <w:p>
            <w:pPr>
              <w:jc w:val="center"/>
              <w:ind w:right="60"/>
              <w:spacing w:after="0" w:line="148" w:lineRule="exact"/>
              <w:rPr>
                <w:sz w:val="20"/>
                <w:szCs w:val="20"/>
                <w:color w:val="auto"/>
              </w:rPr>
            </w:pPr>
            <w:r>
              <w:rPr>
                <w:rFonts w:ascii="Times New Roman" w:cs="Times New Roman" w:eastAsia="Times New Roman" w:hAnsi="Times New Roman"/>
                <w:sz w:val="14"/>
                <w:szCs w:val="14"/>
                <w:b w:val="1"/>
                <w:bCs w:val="1"/>
                <w:color w:val="auto"/>
              </w:rPr>
              <w:t>except per share</w:t>
            </w:r>
          </w:p>
        </w:tc>
      </w:tr>
      <w:tr>
        <w:trPr>
          <w:trHeight w:val="172"/>
        </w:trPr>
        <w:tc>
          <w:tcPr>
            <w:tcW w:w="6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data</w:t>
            </w:r>
          </w:p>
        </w:tc>
      </w:tr>
      <w:tr>
        <w:trPr>
          <w:trHeight w:val="141"/>
        </w:trPr>
        <w:tc>
          <w:tcPr>
            <w:tcW w:w="6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ind w:right="61"/>
              <w:spacing w:after="0" w:line="141" w:lineRule="exact"/>
              <w:rPr>
                <w:sz w:val="20"/>
                <w:szCs w:val="20"/>
                <w:color w:val="auto"/>
              </w:rPr>
            </w:pPr>
            <w:r>
              <w:rPr>
                <w:rFonts w:ascii="Times New Roman" w:cs="Times New Roman" w:eastAsia="Times New Roman" w:hAnsi="Times New Roman"/>
                <w:sz w:val="14"/>
                <w:szCs w:val="14"/>
                <w:b w:val="1"/>
                <w:bCs w:val="1"/>
                <w:color w:val="auto"/>
              </w:rPr>
              <w:t>Q3 - 2026</w:t>
            </w:r>
          </w:p>
        </w:tc>
        <w:tc>
          <w:tcPr>
            <w:tcW w:w="40" w:type="dxa"/>
            <w:vAlign w:val="bottom"/>
            <w:tcBorders>
              <w:bottom w:val="single" w:sz="8" w:color="CCEEFF"/>
            </w:tcBorders>
          </w:tcPr>
          <w:p>
            <w:pPr>
              <w:spacing w:after="0"/>
              <w:rPr>
                <w:sz w:val="12"/>
                <w:szCs w:val="12"/>
                <w:color w:val="auto"/>
              </w:rPr>
            </w:pPr>
          </w:p>
        </w:tc>
      </w:tr>
      <w:tr>
        <w:trPr>
          <w:trHeight w:val="20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$1,155-$1,195</w:t>
            </w:r>
          </w:p>
        </w:tc>
        <w:tc>
          <w:tcPr>
            <w:tcW w:w="40" w:type="dxa"/>
            <w:vAlign w:val="bottom"/>
            <w:shd w:val="clear" w:color="auto" w:fill="CCEEFF"/>
          </w:tcPr>
          <w:p>
            <w:pPr>
              <w:spacing w:after="0"/>
              <w:rPr>
                <w:sz w:val="18"/>
                <w:szCs w:val="18"/>
                <w:color w:val="auto"/>
              </w:rPr>
            </w:pPr>
          </w:p>
        </w:tc>
      </w:tr>
      <w:tr>
        <w:trPr>
          <w:trHeight w:val="21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1.39-$1.47</w:t>
            </w:r>
          </w:p>
        </w:tc>
      </w:tr>
      <w:tr>
        <w:trPr>
          <w:trHeight w:val="215"/>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1.81-$1.87</w:t>
            </w:r>
          </w:p>
        </w:tc>
      </w:tr>
    </w:tbl>
    <w:p>
      <w:pPr>
        <w:spacing w:after="0" w:line="224" w:lineRule="exact"/>
        <w:rPr>
          <w:sz w:val="20"/>
          <w:szCs w:val="20"/>
          <w:color w:val="auto"/>
        </w:rPr>
      </w:pPr>
    </w:p>
    <w:p>
      <w:pPr>
        <w:ind w:left="960" w:right="180" w:hanging="421"/>
        <w:spacing w:after="0" w:line="28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revenue guidance assumes a negative $1 million sequential impact from foreign currency fluctuations as compared to the second quarter of fiscal 2026</w:t>
      </w:r>
    </w:p>
    <w:p>
      <w:pPr>
        <w:spacing w:after="0" w:line="67"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guidance does not include the impact of future restructuring charges</w:t>
      </w:r>
    </w:p>
    <w:p>
      <w:pPr>
        <w:spacing w:after="0" w:line="128" w:lineRule="exact"/>
        <w:rPr>
          <w:rFonts w:ascii="Times New Roman" w:cs="Times New Roman" w:eastAsia="Times New Roman" w:hAnsi="Times New Roman"/>
          <w:sz w:val="18"/>
          <w:szCs w:val="18"/>
          <w:color w:val="auto"/>
        </w:rPr>
      </w:pPr>
    </w:p>
    <w:p>
      <w:pPr>
        <w:jc w:val="both"/>
        <w:ind w:left="960" w:hanging="421"/>
        <w:spacing w:after="0" w:line="264"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non-GAAP diluted EPS guidance excludes primarily equity-based compensation expense of approximately $0.22-$0.24 per share, amortization of purchased intangible assets and other acquisition-related costs of approximately $0.16 per share, changes in certain acquisitions related liabilities measured at fair value, and other, net of related tax effects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Fiscal 2026 Outlook</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4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FY 2026 - Year-over -Year growth</w:t>
            </w:r>
          </w:p>
        </w:tc>
      </w:tr>
      <w:tr>
        <w:trPr>
          <w:trHeight w:val="141"/>
        </w:trPr>
        <w:tc>
          <w:tcPr>
            <w:tcW w:w="4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Borders>
              <w:top w:val="single" w:sz="8" w:color="auto"/>
            </w:tcBorders>
            <w:gridSpan w:val="3"/>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Current guidance</w:t>
            </w:r>
          </w:p>
        </w:tc>
        <w:tc>
          <w:tcPr>
            <w:tcW w:w="11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Previous guidance</w:t>
            </w:r>
          </w:p>
        </w:tc>
        <w:tc>
          <w:tcPr>
            <w:tcW w:w="40" w:type="dxa"/>
            <w:vAlign w:val="bottom"/>
          </w:tcPr>
          <w:p>
            <w:pPr>
              <w:spacing w:after="0"/>
              <w:rPr>
                <w:sz w:val="12"/>
                <w:szCs w:val="12"/>
                <w:color w:val="auto"/>
              </w:rPr>
            </w:pPr>
          </w:p>
        </w:tc>
      </w:tr>
      <w:tr>
        <w:trPr>
          <w:trHeight w:val="208"/>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Growth, as reported</w:t>
            </w:r>
          </w:p>
        </w:tc>
        <w:tc>
          <w:tcPr>
            <w:tcW w:w="1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41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 xml:space="preserve">Revenue Growth, constant currency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w:t>
            </w:r>
          </w:p>
        </w:tc>
      </w:tr>
      <w:tr>
        <w:trPr>
          <w:trHeight w:val="21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12.0%-15.0%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10.0%-17.0%</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4.0%-8.0%</w:t>
            </w:r>
          </w:p>
        </w:tc>
      </w:tr>
      <w:tr>
        <w:trPr>
          <w:trHeight w:val="371"/>
        </w:trPr>
        <w:tc>
          <w:tcPr>
            <w:tcW w:w="4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FY 2026, in millions</w:t>
            </w:r>
          </w:p>
        </w:tc>
      </w:tr>
      <w:tr>
        <w:trPr>
          <w:trHeight w:val="141"/>
        </w:trPr>
        <w:tc>
          <w:tcPr>
            <w:tcW w:w="4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Borders>
              <w:top w:val="single" w:sz="8" w:color="auto"/>
            </w:tcBorders>
            <w:gridSpan w:val="4"/>
          </w:tcPr>
          <w:p>
            <w:pPr>
              <w:jc w:val="right"/>
              <w:ind w:right="640"/>
              <w:spacing w:after="0" w:line="141" w:lineRule="exact"/>
              <w:rPr>
                <w:sz w:val="20"/>
                <w:szCs w:val="20"/>
                <w:color w:val="auto"/>
              </w:rPr>
            </w:pPr>
            <w:r>
              <w:rPr>
                <w:rFonts w:ascii="Times New Roman" w:cs="Times New Roman" w:eastAsia="Times New Roman" w:hAnsi="Times New Roman"/>
                <w:sz w:val="14"/>
                <w:szCs w:val="14"/>
                <w:b w:val="1"/>
                <w:bCs w:val="1"/>
                <w:color w:val="auto"/>
              </w:rPr>
              <w:t>Current guidance</w:t>
            </w:r>
          </w:p>
        </w:tc>
        <w:tc>
          <w:tcPr>
            <w:tcW w:w="1120" w:type="dxa"/>
            <w:vAlign w:val="bottom"/>
            <w:tcBorders>
              <w:top w:val="single" w:sz="8" w:color="auto"/>
            </w:tcBorders>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Previous guidance</w:t>
            </w:r>
          </w:p>
        </w:tc>
        <w:tc>
          <w:tcPr>
            <w:tcW w:w="40" w:type="dxa"/>
            <w:vAlign w:val="bottom"/>
          </w:tcPr>
          <w:p>
            <w:pPr>
              <w:spacing w:after="0"/>
              <w:rPr>
                <w:sz w:val="12"/>
                <w:szCs w:val="12"/>
                <w:color w:val="auto"/>
              </w:rPr>
            </w:pPr>
          </w:p>
        </w:tc>
      </w:tr>
      <w:tr>
        <w:trPr>
          <w:trHeight w:val="208"/>
        </w:trPr>
        <w:tc>
          <w:tcPr>
            <w:tcW w:w="4100" w:type="dxa"/>
            <w:vAlign w:val="bottom"/>
            <w:tcBorders>
              <w:top w:val="single" w:sz="8" w:color="CCEEFF"/>
            </w:tcBorders>
            <w:shd w:val="clear" w:color="auto" w:fill="CCEEFF"/>
          </w:tcPr>
          <w:p>
            <w:pPr>
              <w:spacing w:after="0" w:line="209" w:lineRule="exact"/>
              <w:rPr>
                <w:sz w:val="20"/>
                <w:szCs w:val="20"/>
                <w:color w:val="auto"/>
              </w:rPr>
            </w:pPr>
            <w:r>
              <w:rPr>
                <w:rFonts w:ascii="Times New Roman" w:cs="Times New Roman" w:eastAsia="Times New Roman" w:hAnsi="Times New Roman"/>
                <w:sz w:val="17"/>
                <w:szCs w:val="17"/>
                <w:color w:val="auto"/>
              </w:rPr>
              <w:t xml:space="preserve">Free Cash Flow </w:t>
            </w:r>
            <w:r>
              <w:rPr>
                <w:rFonts w:ascii="Times New Roman" w:cs="Times New Roman" w:eastAsia="Times New Roman" w:hAnsi="Times New Roman"/>
                <w:sz w:val="24"/>
                <w:szCs w:val="24"/>
                <w:color w:val="auto"/>
                <w:vertAlign w:val="superscript"/>
              </w:rPr>
              <w:t>(2)</w:t>
            </w:r>
          </w:p>
        </w:tc>
        <w:tc>
          <w:tcPr>
            <w:tcW w:w="1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710-$730</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710-$730</w:t>
            </w:r>
          </w:p>
        </w:tc>
        <w:tc>
          <w:tcPr>
            <w:tcW w:w="4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0820"/>
          </w:cols>
          <w:pgMar w:left="460" w:top="265" w:right="619" w:bottom="1440" w:gutter="0" w:footer="0" w:header="0"/>
        </w:sectPr>
      </w:pPr>
    </w:p>
    <w:bookmarkStart w:id="10" w:name="page11"/>
    <w:bookmarkEnd w:id="10"/>
    <w:p>
      <w:pPr>
        <w:ind w:left="960" w:hanging="421"/>
        <w:spacing w:after="0" w:line="280"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Full year fiscal 2026 revenue guidance incorporates an expected positive impact from foreign currency fluctuations of approximately 0.6% year-over-year compared with a positive impact of 0.5% year-over-year previously, and includes some inorganic contribution</w:t>
      </w:r>
    </w:p>
    <w:p>
      <w:pPr>
        <w:spacing w:after="0" w:line="67"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EPS guidance does not include the impact of future restructuring charges</w:t>
      </w:r>
    </w:p>
    <w:p>
      <w:pPr>
        <w:spacing w:after="0" w:line="128" w:lineRule="exact"/>
        <w:rPr>
          <w:rFonts w:ascii="Times New Roman" w:cs="Times New Roman" w:eastAsia="Times New Roman" w:hAnsi="Times New Roman"/>
          <w:sz w:val="18"/>
          <w:szCs w:val="18"/>
          <w:color w:val="auto"/>
        </w:rPr>
      </w:pPr>
    </w:p>
    <w:p>
      <w:pPr>
        <w:ind w:left="960" w:right="100" w:hanging="421"/>
        <w:spacing w:after="0" w:line="26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diluted earnings per share growth excludes primarily equity-based compensation expense of approximately $0.97-$1.01 per share, amortization of purchased intangible assets and other acquisition-related costs of approximately $0.58 per share, changes in certain acquisitions related liabilities measured at fair value, and other, net of related tax effects</w:t>
      </w:r>
    </w:p>
    <w:p>
      <w:pPr>
        <w:spacing w:after="0" w:line="82"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operating margin is anticipated to be within a range of 21.3% to 21.9% for the full year fiscal 2026</w:t>
      </w:r>
    </w:p>
    <w:p>
      <w:pPr>
        <w:spacing w:after="0" w:line="128" w:lineRule="exact"/>
        <w:rPr>
          <w:rFonts w:ascii="Times New Roman" w:cs="Times New Roman" w:eastAsia="Times New Roman" w:hAnsi="Times New Roman"/>
          <w:sz w:val="18"/>
          <w:szCs w:val="18"/>
          <w:color w:val="auto"/>
        </w:rPr>
      </w:pPr>
    </w:p>
    <w:p>
      <w:pPr>
        <w:ind w:left="960" w:right="180" w:hanging="421"/>
        <w:spacing w:after="0" w:line="310" w:lineRule="auto"/>
        <w:tabs>
          <w:tab w:leader="none" w:pos="9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operating margin is comprised of GAAP operating margin, excluding amortization of purchased intangible assets and other, equity-based compensation expense, restructuring charges, and changes in certain acquisitions related liabilities measured at fair value</w:t>
      </w:r>
    </w:p>
    <w:p>
      <w:pPr>
        <w:spacing w:after="0" w:line="45" w:lineRule="exact"/>
        <w:rPr>
          <w:rFonts w:ascii="Times New Roman" w:cs="Times New Roman" w:eastAsia="Times New Roman" w:hAnsi="Times New Roman"/>
          <w:sz w:val="17"/>
          <w:szCs w:val="17"/>
          <w:color w:val="auto"/>
        </w:rPr>
      </w:pPr>
    </w:p>
    <w:p>
      <w:pPr>
        <w:ind w:left="960" w:hanging="421"/>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effective tax rate is anticipated to be within a range of 16% to 19% for the full year fiscal 2026</w:t>
      </w:r>
    </w:p>
    <w:p>
      <w:pPr>
        <w:spacing w:after="0" w:line="128" w:lineRule="exact"/>
        <w:rPr>
          <w:rFonts w:ascii="Times New Roman" w:cs="Times New Roman" w:eastAsia="Times New Roman" w:hAnsi="Times New Roman"/>
          <w:sz w:val="18"/>
          <w:szCs w:val="18"/>
          <w:color w:val="auto"/>
        </w:rPr>
      </w:pPr>
    </w:p>
    <w:p>
      <w:pPr>
        <w:ind w:left="960" w:right="60" w:hanging="421"/>
        <w:spacing w:after="0" w:line="230"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Reiterates full year fiscal 2026 free cash flow</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$710 million to $730 million, excluding payments related to restructuring charges; free cash flow</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is comprised of cash flow from operations, less net capital expenditures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forward-looking statements regarding our third fiscal quarter 2026 and full year fiscal 2026 guidance take into consideration the Company’s current expectations regarding macroeconomic, geopolitical and industry specific risks and various uncertainties and certain assumptions, some of which we will discuss on our earnings conference call. However, we note that market dynamics continue to shift rapidly and we cannot predict all possible outcomes, including those resulting from certain geopolitical events, the current inflationary environment, changes to trade policies including tariffs and trade restrictions</w:t>
      </w:r>
    </w:p>
    <w:p>
      <w:pPr>
        <w:sectPr>
          <w:pgSz w:w="11900" w:h="16838" w:orient="portrait"/>
          <w:cols w:equalWidth="0" w:num="1">
            <w:col w:w="10920"/>
          </w:cols>
          <w:pgMar w:left="460" w:top="269" w:right="519" w:bottom="1440" w:gutter="0" w:footer="0" w:header="0"/>
        </w:sectPr>
      </w:pPr>
    </w:p>
    <w:bookmarkStart w:id="11" w:name="page12"/>
    <w:bookmarkEnd w:id="11"/>
    <w:p>
      <w:pPr>
        <w:jc w:val="both"/>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and the resulting impact on economic activities (as our outlook assumes current economic conditions do not deteriorate significantly due to trade policy or other macro factors), global or regional events, and the prevailing level of macro-economic, business and operational uncertainty, including customer spending behavior which have created, and continue to create, a significant amount of uncertainty, or from current and potential customer consolidation or their other strategic corporate activities. See “Forward-Looking Statements” below.</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Earnings Webcast Presentation Details</w:t>
      </w:r>
    </w:p>
    <w:p>
      <w:pPr>
        <w:spacing w:after="0" w:line="11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Amdocs will host a conference call and earnings webcast presentation on May 13, 2026 at 5:00 p.m. Eastern Time to discuss the Company’s second quarter of fiscal 2026 results. To participate in the call, please register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9"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8"/>
          <w:szCs w:val="18"/>
          <w:color w:val="auto"/>
        </w:rPr>
        <w:t>This release includes non-GAAP financial measures, including non-GAAP diluted earnings per share, free cash flow</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revenue on a constant currency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w:t>
      </w:r>
    </w:p>
    <w:p>
      <w:pPr>
        <w:spacing w:after="0" w:line="104" w:lineRule="exact"/>
        <w:rPr>
          <w:sz w:val="20"/>
          <w:szCs w:val="20"/>
          <w:color w:val="auto"/>
        </w:rPr>
      </w:pPr>
    </w:p>
    <w:p>
      <w:pPr>
        <w:ind w:left="960" w:hanging="42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purchased intangible assets and other acquisition-related costs;</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certain acquisition-related liabilities measured at fair value;</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unusual charges or benefits;</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and</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related to the above.</w:t>
      </w:r>
    </w:p>
    <w:p>
      <w:pPr>
        <w:sectPr>
          <w:pgSz w:w="11900" w:h="16838" w:orient="portrait"/>
          <w:cols w:equalWidth="0" w:num="1">
            <w:col w:w="10880"/>
          </w:cols>
          <w:pgMar w:left="460" w:top="269" w:right="559" w:bottom="1440" w:gutter="0" w:footer="0" w:header="0"/>
        </w:sectPr>
      </w:pPr>
    </w:p>
    <w:bookmarkStart w:id="12" w:name="page13"/>
    <w:bookmarkEnd w:id="12"/>
    <w:p>
      <w:pPr>
        <w:spacing w:after="0" w:line="23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Free cash flow</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99"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Amdocs believes that the presentation of non-GAAP financial measures, including non-GAAP diluted earnings per share, free cash flow</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revenue on a constant currency</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10960"/>
          </w:cols>
          <w:pgMar w:left="460" w:top="269" w:right="479" w:bottom="1440" w:gutter="0" w:footer="0" w:header="0"/>
        </w:sectPr>
      </w:pPr>
    </w:p>
    <w:bookmarkStart w:id="13" w:name="page14"/>
    <w:bookmarkEnd w:id="13"/>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Supporting Resources</w:t>
      </w:r>
    </w:p>
    <w:p>
      <w:pPr>
        <w:spacing w:after="0" w:line="133" w:lineRule="exact"/>
        <w:rPr>
          <w:sz w:val="20"/>
          <w:szCs w:val="20"/>
          <w:color w:val="auto"/>
        </w:rPr>
      </w:pPr>
    </w:p>
    <w:p>
      <w:pPr>
        <w:ind w:left="960" w:hanging="4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up with Amdocs news by visiting the Company’s </w:t>
      </w:r>
      <w:r>
        <w:rPr>
          <w:rFonts w:ascii="Times New Roman" w:cs="Times New Roman" w:eastAsia="Times New Roman" w:hAnsi="Times New Roman"/>
          <w:sz w:val="18"/>
          <w:szCs w:val="18"/>
          <w:u w:val="single" w:color="auto"/>
          <w:color w:val="auto"/>
        </w:rPr>
        <w:t>website</w:t>
      </w:r>
    </w:p>
    <w:p>
      <w:pPr>
        <w:spacing w:after="0" w:line="128" w:lineRule="exact"/>
        <w:rPr>
          <w:rFonts w:ascii="Times New Roman" w:cs="Times New Roman" w:eastAsia="Times New Roman" w:hAnsi="Times New Roman"/>
          <w:sz w:val="18"/>
          <w:szCs w:val="18"/>
          <w:color w:val="auto"/>
        </w:rPr>
      </w:pPr>
    </w:p>
    <w:p>
      <w:pPr>
        <w:ind w:left="960" w:hanging="421"/>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Subscribe to Amdocs’ </w:t>
      </w:r>
      <w:r>
        <w:rPr>
          <w:rFonts w:ascii="Times New Roman" w:cs="Times New Roman" w:eastAsia="Times New Roman" w:hAnsi="Times New Roman"/>
          <w:sz w:val="18"/>
          <w:szCs w:val="18"/>
          <w:u w:val="single" w:color="auto"/>
          <w:color w:val="auto"/>
        </w:rPr>
        <w:t>RSS Feed</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Amdocs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Amdocs helps the world’s leading communications and media companies deliver exceptional customer experiences through reliable, efficient, and secure operations at scale. We provide software products and services that embed intelligence into how work runs across business, IT, and network domains – delivering measurable outcomes in customer experience, network performance, cloud modernization, and revenue growth. With our talented people, and more than 40 years of experience running mission-critical systems around the globe, Amdocs runs billions of transactions daily. Our technology is relied on every day, connecting people worldwide and advancing a more inclusive, connected world. Together, we help those who shape the future to make it amazing. Amdocs is listed on the NASDAQ Global Select Market (NASDAQ: DOX) and reported revenue of $4.53 billion in fiscal 2025. For more information, visit www.amdocs.com.</w:t>
      </w:r>
    </w:p>
    <w:p>
      <w:pPr>
        <w:sectPr>
          <w:pgSz w:w="11900" w:h="16838" w:orient="portrait"/>
          <w:cols w:equalWidth="0" w:num="1">
            <w:col w:w="10960"/>
          </w:cols>
          <w:pgMar w:left="460" w:top="269"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Forward-Looking Statements</w:t>
      </w:r>
    </w:p>
    <w:p>
      <w:pPr>
        <w:spacing w:after="0" w:line="11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information that constitutes forward-looking statements made pursuant to the safe harbor provision of the Private Securities Litigation Reform Act of 1995, including statements about Amdocs’ strategy, including with respect to artificial intelligence and agentic opportunities, growth, financial outlook,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uncertainties, and other important factors that may cause future results to differ materially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and our Form 6-K furnished for the first quarter of fiscal 2026 on February 17, 2026.</w:t>
      </w:r>
    </w:p>
    <w:p>
      <w:pPr>
        <w:sectPr>
          <w:pgSz w:w="11900" w:h="16838" w:orient="portrait"/>
          <w:cols w:equalWidth="0" w:num="1">
            <w:col w:w="10960"/>
          </w:cols>
          <w:pgMar w:left="460" w:top="26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Contact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Amdocs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314-212-8328</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dox_info@amdocs.com</w:t>
      </w:r>
    </w:p>
    <w:p>
      <w:pPr>
        <w:sectPr>
          <w:pgSz w:w="11900" w:h="16838" w:orient="portrait"/>
          <w:cols w:equalWidth="0" w:num="1">
            <w:col w:w="9999"/>
          </w:cols>
          <w:pgMar w:left="460" w:top="265"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LIMITED</w:t>
      </w:r>
    </w:p>
    <w:p>
      <w:pPr>
        <w:spacing w:after="0" w:line="11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18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1,171,979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1,128,203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2,327,918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2,238,258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716,733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1,444,456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1,380,308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87,001</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81,796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1,938,381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1,841,689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182,855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38,120</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25,269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315,853</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295,381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314,376</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 attributable to Amdocs Limited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107,095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111,961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112,357</w:t>
            </w:r>
          </w:p>
        </w:tc>
        <w:tc>
          <w:tcPr>
            <w:tcW w:w="0" w:type="dxa"/>
            <w:vAlign w:val="bottom"/>
          </w:tcPr>
          <w:p>
            <w:pPr>
              <w:spacing w:after="0"/>
              <w:rPr>
                <w:sz w:val="1"/>
                <w:szCs w:val="1"/>
                <w:color w:val="auto"/>
              </w:rPr>
            </w:pPr>
          </w:p>
        </w:tc>
      </w:tr>
      <w:tr>
        <w:trPr>
          <w:trHeight w:val="22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65" w:right="4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Metrics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9"/>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5"/>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ind w:right="16"/>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tcPr>
          <w:p>
            <w:pPr>
              <w:jc w:val="right"/>
              <w:ind w:right="19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85"/>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$1,171,979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$1,128,203</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$2,327,918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$2,238,258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251,836</w:t>
            </w:r>
          </w:p>
        </w:tc>
        <w:tc>
          <w:tcPr>
            <w:tcW w:w="13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240,106</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501,775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475,504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192,501</w:t>
            </w:r>
          </w:p>
        </w:tc>
        <w:tc>
          <w:tcPr>
            <w:tcW w:w="1340" w:type="dxa"/>
            <w:vAlign w:val="bottom"/>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201,017</w:t>
            </w: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389,894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Amdocs Limited</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191,544</w:t>
            </w:r>
          </w:p>
        </w:tc>
        <w:tc>
          <w:tcPr>
            <w:tcW w:w="13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200,259</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387,787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388,417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5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5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107,472</w:t>
            </w:r>
          </w:p>
        </w:tc>
        <w:tc>
          <w:tcPr>
            <w:tcW w:w="13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112,514</w:t>
            </w:r>
          </w:p>
        </w:tc>
        <w:tc>
          <w:tcPr>
            <w:tcW w:w="1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112,981</w:t>
            </w: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58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Free Cash Flows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58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119"/>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$101,584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$172,458</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$321,766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$278,013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net (a)</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(21,237)</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(53,476)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80,347</w:t>
            </w:r>
          </w:p>
        </w:tc>
        <w:tc>
          <w:tcPr>
            <w:tcW w:w="88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$156,494</w:t>
            </w:r>
          </w:p>
        </w:tc>
        <w:tc>
          <w:tcPr>
            <w:tcW w:w="9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$268,290</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$234,694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677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50" w:lineRule="exact"/>
        <w:rPr>
          <w:sz w:val="20"/>
          <w:szCs w:val="20"/>
          <w:color w:val="auto"/>
        </w:rPr>
      </w:pPr>
    </w:p>
    <w:p>
      <w:pPr>
        <w:ind w:left="440" w:right="40" w:hanging="438"/>
        <w:spacing w:after="0" w:line="280" w:lineRule="auto"/>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“Purchase of property and equipment, net”, include immaterial proceeds from sale of property and equipment for the three and six months ended March 31, 2026 and 2025, respectively.</w:t>
      </w:r>
    </w:p>
    <w:p>
      <w:pPr>
        <w:sectPr>
          <w:pgSz w:w="11900" w:h="16838" w:orient="portrait"/>
          <w:cols w:equalWidth="0" w:num="1">
            <w:col w:w="10960"/>
          </w:cols>
          <w:pgMar w:left="460" w:top="265" w:right="4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1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5"/>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Changes in</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certain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5"/>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of purchased</w:t>
            </w:r>
          </w:p>
        </w:tc>
        <w:tc>
          <w:tcPr>
            <w:tcW w:w="11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140" w:type="dxa"/>
            <w:vAlign w:val="bottom"/>
          </w:tcPr>
          <w:p>
            <w:pPr>
              <w:spacing w:after="0"/>
              <w:rPr>
                <w:sz w:val="12"/>
                <w:szCs w:val="12"/>
                <w:color w:val="auto"/>
              </w:rPr>
            </w:pPr>
          </w:p>
        </w:tc>
        <w:tc>
          <w:tcPr>
            <w:tcW w:w="860" w:type="dxa"/>
            <w:vAlign w:val="bottom"/>
            <w:gridSpan w:val="4"/>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right="340"/>
              <w:spacing w:after="0" w:line="14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100" w:type="dxa"/>
            <w:vAlign w:val="bottom"/>
            <w:gridSpan w:val="5"/>
            <w:vMerge w:val="continue"/>
          </w:tcPr>
          <w:p>
            <w:pPr>
              <w:spacing w:after="0"/>
              <w:rPr>
                <w:sz w:val="12"/>
                <w:szCs w:val="12"/>
                <w:color w:val="auto"/>
              </w:rPr>
            </w:pPr>
          </w:p>
        </w:tc>
        <w:tc>
          <w:tcPr>
            <w:tcW w:w="1000" w:type="dxa"/>
            <w:vAlign w:val="bottom"/>
            <w:gridSpan w:val="5"/>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2"/>
                <w:szCs w:val="12"/>
                <w:color w:val="auto"/>
              </w:rPr>
            </w:pPr>
          </w:p>
        </w:tc>
        <w:tc>
          <w:tcPr>
            <w:tcW w:w="112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Restructuring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4"/>
              </w:rPr>
              <w:t>Tax</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right="360"/>
              <w:spacing w:after="0" w:line="148"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100" w:type="dxa"/>
            <w:vAlign w:val="bottom"/>
            <w:gridSpan w:val="5"/>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5"/>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20" w:type="dxa"/>
            <w:vAlign w:val="bottom"/>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84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9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$716,733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(11,392)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$ 705,206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153,677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(24,539)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130,004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Amortization of purchased intangible</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and other</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(21,308)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(21,308)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920,143</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center"/>
              <w:ind w:left="153"/>
              <w:spacing w:after="0"/>
              <w:rPr>
                <w:sz w:val="20"/>
                <w:szCs w:val="20"/>
                <w:color w:val="auto"/>
              </w:rPr>
            </w:pPr>
            <w:r>
              <w:rPr>
                <w:rFonts w:ascii="Times New Roman" w:cs="Times New Roman" w:eastAsia="Times New Roman" w:hAnsi="Times New Roman"/>
                <w:sz w:val="18"/>
                <w:szCs w:val="18"/>
                <w:color w:val="auto"/>
                <w:w w:val="96"/>
              </w:rPr>
              <w:t>21,308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6"/>
              </w:rPr>
              <w:t>21,308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(7,637)</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(7,615)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192,501</w:t>
            </w:r>
          </w:p>
        </w:tc>
        <w:tc>
          <w:tcPr>
            <w:tcW w:w="0" w:type="dxa"/>
            <w:vAlign w:val="bottom"/>
          </w:tcPr>
          <w:p>
            <w:pPr>
              <w:spacing w:after="0"/>
              <w:rPr>
                <w:sz w:val="1"/>
                <w:szCs w:val="1"/>
                <w:color w:val="auto"/>
              </w:rPr>
            </w:pPr>
          </w:p>
        </w:tc>
      </w:tr>
      <w:tr>
        <w:trPr>
          <w:trHeight w:val="204"/>
        </w:trPr>
        <w:tc>
          <w:tcPr>
            <w:tcW w:w="31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Net income attributable to Amdocs</w:t>
            </w:r>
          </w:p>
        </w:tc>
        <w:tc>
          <w:tcPr>
            <w:tcW w:w="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137,815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6"/>
              </w:rPr>
              <w:t>21,308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37,999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10,405</w:t>
            </w:r>
          </w:p>
        </w:tc>
        <w:tc>
          <w:tcPr>
            <w:tcW w:w="1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(7,637)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(7,615)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$ 191,544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right="120"/>
              <w:spacing w:after="0" w:line="117" w:lineRule="exact"/>
              <w:rPr>
                <w:sz w:val="20"/>
                <w:szCs w:val="20"/>
                <w:color w:val="auto"/>
              </w:rPr>
            </w:pPr>
            <w:r>
              <w:rPr>
                <w:rFonts w:ascii="Times New Roman" w:cs="Times New Roman" w:eastAsia="Times New Roman" w:hAnsi="Times New Roman"/>
                <w:sz w:val="13"/>
                <w:szCs w:val="13"/>
                <w:b w:val="1"/>
                <w:bCs w:val="1"/>
                <w:color w:val="auto"/>
              </w:rPr>
              <w:t>Changes in</w:t>
            </w: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certain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4"/>
          </w:tcPr>
          <w:p>
            <w:pPr>
              <w:jc w:val="center"/>
              <w:ind w:right="140"/>
              <w:spacing w:after="0" w:line="148" w:lineRule="exact"/>
              <w:rPr>
                <w:sz w:val="20"/>
                <w:szCs w:val="20"/>
                <w:color w:val="auto"/>
              </w:rPr>
            </w:pPr>
            <w:r>
              <w:rPr>
                <w:rFonts w:ascii="Times New Roman" w:cs="Times New Roman" w:eastAsia="Times New Roman" w:hAnsi="Times New Roman"/>
                <w:sz w:val="14"/>
                <w:szCs w:val="14"/>
                <w:b w:val="1"/>
                <w:bCs w:val="1"/>
                <w:color w:val="auto"/>
              </w:rPr>
              <w:t>of purchased</w:t>
            </w:r>
          </w:p>
        </w:tc>
        <w:tc>
          <w:tcPr>
            <w:tcW w:w="140" w:type="dxa"/>
            <w:vAlign w:val="bottom"/>
          </w:tcPr>
          <w:p>
            <w:pPr>
              <w:spacing w:after="0"/>
              <w:rPr>
                <w:sz w:val="12"/>
                <w:szCs w:val="12"/>
                <w:color w:val="auto"/>
              </w:rPr>
            </w:pPr>
          </w:p>
        </w:tc>
        <w:tc>
          <w:tcPr>
            <w:tcW w:w="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00"/>
              <w:spacing w:after="0" w:line="148"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Tax</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40" w:type="dxa"/>
            <w:vAlign w:val="bottom"/>
          </w:tcPr>
          <w:p>
            <w:pPr>
              <w:spacing w:after="0"/>
              <w:rPr>
                <w:sz w:val="12"/>
                <w:szCs w:val="12"/>
                <w:color w:val="auto"/>
              </w:rPr>
            </w:pPr>
          </w:p>
        </w:tc>
        <w:tc>
          <w:tcPr>
            <w:tcW w:w="86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120"/>
              <w:spacing w:after="0" w:line="148"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6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effect</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lef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$698,049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48"/>
              <w:spacing w:after="0"/>
              <w:rPr>
                <w:sz w:val="20"/>
                <w:szCs w:val="20"/>
                <w:color w:val="auto"/>
              </w:rPr>
            </w:pPr>
            <w:r>
              <w:rPr>
                <w:rFonts w:ascii="Times New Roman" w:cs="Times New Roman" w:eastAsia="Times New Roman" w:hAnsi="Times New Roman"/>
                <w:sz w:val="18"/>
                <w:szCs w:val="18"/>
                <w:color w:val="auto"/>
              </w:rPr>
              <w:t>(12,356)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$ 685,333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134,625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48"/>
              <w:spacing w:after="0"/>
              <w:rPr>
                <w:sz w:val="20"/>
                <w:szCs w:val="20"/>
                <w:color w:val="auto"/>
              </w:rPr>
            </w:pPr>
            <w:r>
              <w:rPr>
                <w:rFonts w:ascii="Times New Roman" w:cs="Times New Roman" w:eastAsia="Times New Roman" w:hAnsi="Times New Roman"/>
                <w:sz w:val="18"/>
                <w:szCs w:val="18"/>
                <w:color w:val="auto"/>
              </w:rPr>
              <w:t>(11,014)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930,468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(25,653)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888,097</w:t>
            </w: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197,735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(5,286)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201,017</w:t>
            </w:r>
          </w:p>
        </w:tc>
        <w:tc>
          <w:tcPr>
            <w:tcW w:w="0" w:type="dxa"/>
            <w:vAlign w:val="bottom"/>
          </w:tcPr>
          <w:p>
            <w:pPr>
              <w:spacing w:after="0"/>
              <w:rPr>
                <w:sz w:val="1"/>
                <w:szCs w:val="1"/>
                <w:color w:val="auto"/>
              </w:rPr>
            </w:pPr>
          </w:p>
        </w:tc>
      </w:tr>
      <w:tr>
        <w:trPr>
          <w:trHeight w:val="229"/>
        </w:trPr>
        <w:tc>
          <w:tcPr>
            <w:tcW w:w="4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Net income attributable to Amdocs Limited</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163,243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15,998</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(5,286)</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$ 200,259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60" w:top="265" w:right="4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Financial Metrics from GAAP to Non-GAAP</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1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5"/>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Changes 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certain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5"/>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380"/>
              <w:spacing w:after="0" w:line="148"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of purchased</w:t>
            </w:r>
          </w:p>
        </w:tc>
        <w:tc>
          <w:tcPr>
            <w:tcW w:w="106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60" w:type="dxa"/>
            <w:vAlign w:val="bottom"/>
          </w:tcPr>
          <w:p>
            <w:pPr>
              <w:spacing w:after="0"/>
              <w:rPr>
                <w:sz w:val="12"/>
                <w:szCs w:val="12"/>
                <w:color w:val="auto"/>
              </w:rPr>
            </w:pPr>
          </w:p>
        </w:tc>
        <w:tc>
          <w:tcPr>
            <w:tcW w:w="1000" w:type="dxa"/>
            <w:vAlign w:val="bottom"/>
            <w:gridSpan w:val="5"/>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5"/>
          </w:tcPr>
          <w:p>
            <w:pPr>
              <w:ind w:left="100"/>
              <w:spacing w:after="0" w:line="14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0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5"/>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0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0" w:type="dxa"/>
            <w:vAlign w:val="bottom"/>
          </w:tcPr>
          <w:p>
            <w:pPr>
              <w:spacing w:after="0"/>
              <w:rPr>
                <w:sz w:val="12"/>
                <w:szCs w:val="12"/>
                <w:color w:val="auto"/>
              </w:rPr>
            </w:pPr>
          </w:p>
        </w:tc>
        <w:tc>
          <w:tcPr>
            <w:tcW w:w="1080" w:type="dxa"/>
            <w:vAlign w:val="bottom"/>
            <w:gridSpan w:val="5"/>
          </w:tcPr>
          <w:p>
            <w:pPr>
              <w:ind w:left="100"/>
              <w:spacing w:after="0" w:line="148"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060" w:type="dxa"/>
            <w:vAlign w:val="bottom"/>
            <w:gridSpan w:val="5"/>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400"/>
              <w:spacing w:after="0" w:line="148" w:lineRule="exact"/>
              <w:rPr>
                <w:sz w:val="20"/>
                <w:szCs w:val="20"/>
                <w:color w:val="auto"/>
              </w:rPr>
            </w:pPr>
            <w:r>
              <w:rPr>
                <w:rFonts w:ascii="Times New Roman" w:cs="Times New Roman" w:eastAsia="Times New Roman" w:hAnsi="Times New Roman"/>
                <w:sz w:val="14"/>
                <w:szCs w:val="14"/>
                <w:b w:val="1"/>
                <w:bCs w:val="1"/>
                <w:color w:val="auto"/>
              </w:rPr>
              <w:t>at fair</w:t>
            </w:r>
          </w:p>
        </w:tc>
        <w:tc>
          <w:tcPr>
            <w:tcW w:w="10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9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6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effect</w:t>
            </w:r>
          </w:p>
        </w:tc>
        <w:tc>
          <w:tcPr>
            <w:tcW w:w="1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$1,444,456</w:t>
            </w:r>
          </w:p>
        </w:tc>
        <w:tc>
          <w:tcPr>
            <w:tcW w:w="1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(22,765)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$1,421,197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168,979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267,398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Amortization of purchased intangible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and other</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1,938,381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(62,089)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1,826,143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297,226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389,632</w:t>
            </w:r>
          </w:p>
        </w:tc>
        <w:tc>
          <w:tcPr>
            <w:tcW w:w="0" w:type="dxa"/>
            <w:vAlign w:val="bottom"/>
          </w:tcPr>
          <w:p>
            <w:pPr>
              <w:spacing w:after="0"/>
              <w:rPr>
                <w:sz w:val="1"/>
                <w:szCs w:val="1"/>
                <w:color w:val="auto"/>
              </w:rPr>
            </w:pPr>
          </w:p>
        </w:tc>
      </w:tr>
      <w:tr>
        <w:trPr>
          <w:trHeight w:val="204"/>
        </w:trPr>
        <w:tc>
          <w:tcPr>
            <w:tcW w:w="27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 attributable to</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Net income attributable to Amdocs</w:t>
            </w: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295,381</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35,842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62,089</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21,706</w:t>
            </w:r>
          </w:p>
        </w:tc>
        <w:tc>
          <w:tcPr>
            <w:tcW w:w="100" w:type="dxa"/>
            <w:vAlign w:val="bottom"/>
            <w:shd w:val="clear" w:color="auto" w:fill="CCEEFF"/>
          </w:tcPr>
          <w:p>
            <w:pPr>
              <w:spacing w:after="0"/>
              <w:rPr>
                <w:sz w:val="20"/>
                <w:szCs w:val="20"/>
                <w:color w:val="auto"/>
              </w:rPr>
            </w:pPr>
          </w:p>
        </w:tc>
        <w:tc>
          <w:tcPr>
            <w:tcW w:w="7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(6,064)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jc w:val="center"/>
              <w:ind w:right="180"/>
              <w:spacing w:after="0" w:line="117" w:lineRule="exact"/>
              <w:rPr>
                <w:sz w:val="20"/>
                <w:szCs w:val="20"/>
                <w:color w:val="auto"/>
              </w:rPr>
            </w:pPr>
            <w:r>
              <w:rPr>
                <w:rFonts w:ascii="Times New Roman" w:cs="Times New Roman" w:eastAsia="Times New Roman" w:hAnsi="Times New Roman"/>
                <w:sz w:val="13"/>
                <w:szCs w:val="13"/>
                <w:b w:val="1"/>
                <w:bCs w:val="1"/>
                <w:color w:val="auto"/>
              </w:rPr>
              <w:t>Changes in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w w:val="99"/>
              </w:rPr>
              <w:t>certain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w w:val="99"/>
              </w:rPr>
              <w:t>related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of purchased</w:t>
            </w:r>
          </w:p>
        </w:tc>
        <w:tc>
          <w:tcPr>
            <w:tcW w:w="100" w:type="dxa"/>
            <w:vAlign w:val="bottom"/>
          </w:tcPr>
          <w:p>
            <w:pPr>
              <w:spacing w:after="0"/>
              <w:rPr>
                <w:sz w:val="12"/>
                <w:szCs w:val="12"/>
                <w:color w:val="auto"/>
              </w:rPr>
            </w:pPr>
          </w:p>
        </w:tc>
        <w:tc>
          <w:tcPr>
            <w:tcW w:w="96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Equity based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180"/>
              <w:spacing w:after="0" w:line="148" w:lineRule="exact"/>
              <w:rPr>
                <w:sz w:val="20"/>
                <w:szCs w:val="20"/>
                <w:color w:val="auto"/>
              </w:rPr>
            </w:pPr>
            <w:r>
              <w:rPr>
                <w:rFonts w:ascii="Times New Roman" w:cs="Times New Roman" w:eastAsia="Times New Roman" w:hAnsi="Times New Roman"/>
                <w:sz w:val="14"/>
                <w:szCs w:val="14"/>
                <w:b w:val="1"/>
                <w:bCs w:val="1"/>
                <w:color w:val="auto"/>
              </w:rPr>
              <w:t>measured</w:t>
            </w:r>
          </w:p>
        </w:tc>
        <w:tc>
          <w:tcPr>
            <w:tcW w:w="10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Restructuring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assets and</w:t>
            </w:r>
          </w:p>
        </w:tc>
        <w:tc>
          <w:tcPr>
            <w:tcW w:w="100" w:type="dxa"/>
            <w:vAlign w:val="bottom"/>
          </w:tcPr>
          <w:p>
            <w:pPr>
              <w:spacing w:after="0"/>
              <w:rPr>
                <w:sz w:val="12"/>
                <w:szCs w:val="12"/>
                <w:color w:val="auto"/>
              </w:rPr>
            </w:pPr>
          </w:p>
        </w:tc>
        <w:tc>
          <w:tcPr>
            <w:tcW w:w="96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rPr>
              <w:t>at fair</w:t>
            </w:r>
          </w:p>
        </w:tc>
        <w:tc>
          <w:tcPr>
            <w:tcW w:w="1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effect</w:t>
            </w:r>
          </w:p>
        </w:tc>
        <w:tc>
          <w:tcPr>
            <w:tcW w:w="1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$1,380,308</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(25,606)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$1,354,342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256,712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(22,013)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12,138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Amortization of purchased intangible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and other</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31,757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1,841,689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1,762,754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396,569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52,173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(11,778)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5,979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65,842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5,979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389,894</w:t>
            </w:r>
          </w:p>
        </w:tc>
        <w:tc>
          <w:tcPr>
            <w:tcW w:w="0" w:type="dxa"/>
            <w:vAlign w:val="bottom"/>
          </w:tcPr>
          <w:p>
            <w:pPr>
              <w:spacing w:after="0"/>
              <w:rPr>
                <w:sz w:val="1"/>
                <w:szCs w:val="1"/>
                <w:color w:val="auto"/>
              </w:rPr>
            </w:pPr>
          </w:p>
        </w:tc>
      </w:tr>
      <w:tr>
        <w:trPr>
          <w:trHeight w:val="204"/>
        </w:trPr>
        <w:tc>
          <w:tcPr>
            <w:tcW w:w="27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 attributable to</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Net income attributable to Amdocs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314,376</w:t>
            </w: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31,757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52,173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(11,778)</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7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60" w:top="265" w:right="47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2"/>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tcPr>
          <w:p>
            <w:pPr>
              <w:spacing w:after="0"/>
              <w:rPr>
                <w:sz w:val="10"/>
                <w:szCs w:val="10"/>
                <w:color w:val="auto"/>
              </w:rPr>
            </w:pPr>
          </w:p>
        </w:tc>
        <w:tc>
          <w:tcPr>
            <w:tcW w:w="88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644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214,495</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324,999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including unbilled</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938,182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935,751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331,387</w:t>
            </w: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1,517,024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1,592,137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738,836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768,557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Lease assets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182,088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3,243,895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3,046,962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684,535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6,363,870</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6,249,830</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accruals and other</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1,108,842</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1,201,206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financing arrangements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1,547,293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1,358,792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140,776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646,901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632,681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3,382,292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3,429,453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41,227</w:t>
            </w:r>
          </w:p>
        </w:tc>
        <w:tc>
          <w:tcPr>
            <w:tcW w:w="0" w:type="dxa"/>
            <w:vAlign w:val="bottom"/>
          </w:tcPr>
          <w:p>
            <w:pPr>
              <w:spacing w:after="0"/>
              <w:rPr>
                <w:sz w:val="1"/>
                <w:szCs w:val="1"/>
                <w:color w:val="auto"/>
              </w:rPr>
            </w:pPr>
          </w:p>
        </w:tc>
      </w:tr>
      <w:tr>
        <w:trPr>
          <w:trHeight w:val="229"/>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3,423,423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6,363,870</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6,249,830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60" w:top="265" w:right="4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1"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840"/>
        <w:spacing w:after="0" w:line="237"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0"/>
              <w:spacing w:after="0" w:line="141"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0"/>
              <w:spacing w:after="0" w:line="141"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89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gridSpan w:val="2"/>
          </w:tcPr>
          <w:p>
            <w:pPr>
              <w:jc w:val="right"/>
              <w:ind w:right="138"/>
              <w:spacing w:after="0" w:line="229" w:lineRule="exact"/>
              <w:rPr>
                <w:sz w:val="20"/>
                <w:szCs w:val="20"/>
                <w:color w:val="auto"/>
              </w:rPr>
            </w:pPr>
            <w:r>
              <w:rPr>
                <w:rFonts w:ascii="Times New Roman" w:cs="Times New Roman" w:eastAsia="Times New Roman" w:hAnsi="Times New Roman"/>
                <w:sz w:val="20"/>
                <w:szCs w:val="20"/>
                <w:color w:val="auto"/>
                <w:w w:val="99"/>
              </w:rPr>
              <w:t>$ 297,226</w:t>
            </w:r>
          </w:p>
        </w:tc>
        <w:tc>
          <w:tcPr>
            <w:tcW w:w="1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22"/>
              <w:spacing w:after="0" w:line="229" w:lineRule="exact"/>
              <w:rPr>
                <w:sz w:val="20"/>
                <w:szCs w:val="20"/>
                <w:color w:val="auto"/>
              </w:rPr>
            </w:pPr>
            <w:r>
              <w:rPr>
                <w:rFonts w:ascii="Times New Roman" w:cs="Times New Roman" w:eastAsia="Times New Roman" w:hAnsi="Times New Roman"/>
                <w:sz w:val="20"/>
                <w:szCs w:val="20"/>
                <w:color w:val="auto"/>
              </w:rPr>
              <w:t>315,853</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103,747</w:t>
            </w:r>
          </w:p>
        </w:tc>
        <w:tc>
          <w:tcPr>
            <w:tcW w:w="12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94,460</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0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300</w:t>
            </w:r>
          </w:p>
        </w:tc>
      </w:tr>
      <w:tr>
        <w:trPr>
          <w:trHeight w:val="215"/>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62,089</w:t>
            </w:r>
          </w:p>
        </w:tc>
        <w:tc>
          <w:tcPr>
            <w:tcW w:w="12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52,173</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0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24,148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10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(46,640)</w:t>
            </w:r>
          </w:p>
        </w:tc>
        <w:tc>
          <w:tcPr>
            <w:tcW w:w="120" w:type="dxa"/>
            <w:vAlign w:val="bottom"/>
          </w:tcPr>
          <w:p>
            <w:pPr>
              <w:spacing w:after="0"/>
              <w:rPr>
                <w:sz w:val="18"/>
                <w:szCs w:val="18"/>
                <w:color w:val="auto"/>
              </w:rPr>
            </w:pPr>
          </w:p>
        </w:tc>
        <w:tc>
          <w:tcPr>
            <w:tcW w:w="8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33,174</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(23,114)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w:t>
            </w:r>
          </w:p>
        </w:tc>
      </w:tr>
      <w:tr>
        <w:trPr>
          <w:trHeight w:val="215"/>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18,492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10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(6,408)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15"/>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(90,120)</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(126,700)</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23,505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27,846</w:t>
            </w:r>
          </w:p>
        </w:tc>
      </w:tr>
      <w:tr>
        <w:trPr>
          <w:trHeight w:val="215"/>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(11,082)</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(36,466)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(83,467)</w:t>
            </w:r>
          </w:p>
        </w:tc>
      </w:tr>
      <w:tr>
        <w:trPr>
          <w:trHeight w:val="24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$ 321,766</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278,013</w:t>
            </w:r>
          </w:p>
        </w:tc>
        <w:tc>
          <w:tcPr>
            <w:tcW w:w="1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 net (a)</w:t>
            </w: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(53,476)</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(43,319)</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10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92,955</w:t>
            </w: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Net cash paid for business and intangible assets acquisitions</w:t>
            </w: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(217,663)</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(57,169)</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equity investments and other</w:t>
            </w:r>
          </w:p>
        </w:tc>
        <w:tc>
          <w:tcPr>
            <w:tcW w:w="10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11,848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16,741</w:t>
            </w:r>
          </w:p>
        </w:tc>
      </w:tr>
      <w:tr>
        <w:trPr>
          <w:trHeight w:val="24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provided by investing activities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(259,291</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9,208</w:t>
            </w:r>
          </w:p>
        </w:tc>
        <w:tc>
          <w:tcPr>
            <w:tcW w:w="120" w:type="dxa"/>
            <w:vAlign w:val="bottom"/>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(284,513)</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(279,720)</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10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2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10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(113,849)</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(107,810)</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10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5"/>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financing arrangements</w:t>
            </w:r>
          </w:p>
        </w:tc>
        <w:tc>
          <w:tcPr>
            <w:tcW w:w="10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8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— </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 and deferred payment of business acquisitions</w:t>
            </w:r>
          </w:p>
        </w:tc>
        <w:tc>
          <w:tcPr>
            <w:tcW w:w="10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(25,869)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r>
      <w:tr>
        <w:trPr>
          <w:trHeight w:val="242"/>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(172,979</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(385,916</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r>
      <w:tr>
        <w:trPr>
          <w:trHeight w:val="215"/>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(110,504)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(98,695)</w:t>
            </w: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40" w:type="dxa"/>
            <w:vAlign w:val="bottom"/>
            <w:gridSpan w:val="2"/>
            <w:shd w:val="clear" w:color="auto" w:fill="CCEEFF"/>
          </w:tcPr>
          <w:p>
            <w:pPr>
              <w:jc w:val="right"/>
              <w:ind w:right="138"/>
              <w:spacing w:after="0" w:line="229" w:lineRule="exact"/>
              <w:rPr>
                <w:sz w:val="20"/>
                <w:szCs w:val="20"/>
                <w:color w:val="auto"/>
              </w:rPr>
            </w:pPr>
            <w:r>
              <w:rPr>
                <w:rFonts w:ascii="Times New Roman" w:cs="Times New Roman" w:eastAsia="Times New Roman" w:hAnsi="Times New Roman"/>
                <w:sz w:val="20"/>
                <w:szCs w:val="20"/>
                <w:color w:val="auto"/>
                <w:w w:val="99"/>
              </w:rPr>
              <w:t>$ 214,495</w:t>
            </w:r>
          </w:p>
        </w:tc>
        <w:tc>
          <w:tcPr>
            <w:tcW w:w="120" w:type="dxa"/>
            <w:vAlign w:val="bottom"/>
            <w:shd w:val="clear" w:color="auto" w:fill="CCEEFF"/>
          </w:tcPr>
          <w:p>
            <w:pPr>
              <w:jc w:val="right"/>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shd w:val="clear" w:color="auto" w:fill="CCEEFF"/>
          </w:tcPr>
          <w:p>
            <w:pPr>
              <w:jc w:val="right"/>
              <w:ind w:right="22"/>
              <w:spacing w:after="0" w:line="229" w:lineRule="exact"/>
              <w:rPr>
                <w:sz w:val="20"/>
                <w:szCs w:val="20"/>
                <w:color w:val="auto"/>
              </w:rPr>
            </w:pPr>
            <w:r>
              <w:rPr>
                <w:rFonts w:ascii="Times New Roman" w:cs="Times New Roman" w:eastAsia="Times New Roman" w:hAnsi="Times New Roman"/>
                <w:sz w:val="20"/>
                <w:szCs w:val="20"/>
                <w:color w:val="auto"/>
              </w:rPr>
              <w:t>247,390</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0960"/>
          </w:cols>
          <w:pgMar w:left="460" w:top="265" w:right="4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6240" w:type="dxa"/>
            <w:vAlign w:val="bottom"/>
          </w:tcPr>
          <w:p>
            <w:pPr>
              <w:spacing w:after="0"/>
              <w:rPr>
                <w:sz w:val="10"/>
                <w:szCs w:val="10"/>
                <w:color w:val="auto"/>
              </w:rPr>
            </w:pPr>
          </w:p>
        </w:tc>
        <w:tc>
          <w:tcPr>
            <w:tcW w:w="900" w:type="dxa"/>
            <w:vAlign w:val="bottom"/>
            <w:gridSpan w:val="3"/>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gridSpan w:val="3"/>
          </w:tcPr>
          <w:p>
            <w:pPr>
              <w:jc w:val="center"/>
              <w:ind w:right="260"/>
              <w:spacing w:after="0" w:line="117"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2"/>
        </w:trPr>
        <w:tc>
          <w:tcPr>
            <w:tcW w:w="6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8"/>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754.3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764.7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191.8</w:t>
            </w:r>
          </w:p>
        </w:tc>
        <w:tc>
          <w:tcPr>
            <w:tcW w:w="18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179.8</w:t>
            </w:r>
          </w:p>
        </w:tc>
        <w:tc>
          <w:tcPr>
            <w:tcW w:w="1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180.7</w:t>
            </w:r>
          </w:p>
        </w:tc>
      </w:tr>
      <w:tr>
        <w:trPr>
          <w:trHeight w:val="215"/>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225.8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209.5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209.6</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209.2</w:t>
            </w:r>
          </w:p>
        </w:tc>
      </w:tr>
      <w:tr>
        <w:trPr>
          <w:trHeight w:val="22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1,172.0</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2"/>
              </w:rPr>
              <w:t>1,155.9</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1,144.4</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1,128.2</w:t>
            </w:r>
          </w:p>
        </w:tc>
        <w:tc>
          <w:tcPr>
            <w:tcW w:w="4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7"/>
        </w:trPr>
        <w:tc>
          <w:tcPr>
            <w:tcW w:w="6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6240" w:type="dxa"/>
            <w:vAlign w:val="bottom"/>
          </w:tcPr>
          <w:p>
            <w:pPr>
              <w:spacing w:after="0"/>
              <w:rPr>
                <w:sz w:val="10"/>
                <w:szCs w:val="10"/>
                <w:color w:val="auto"/>
              </w:rPr>
            </w:pPr>
          </w:p>
        </w:tc>
        <w:tc>
          <w:tcPr>
            <w:tcW w:w="900" w:type="dxa"/>
            <w:vAlign w:val="bottom"/>
            <w:gridSpan w:val="3"/>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gridSpan w:val="3"/>
          </w:tcPr>
          <w:p>
            <w:pPr>
              <w:jc w:val="center"/>
              <w:ind w:right="260"/>
              <w:spacing w:after="0" w:line="117"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2"/>
        </w:trPr>
        <w:tc>
          <w:tcPr>
            <w:tcW w:w="6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8"/>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Managed Services Revenue</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758.7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745.9</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40" w:type="dxa"/>
            <w:vAlign w:val="bottom"/>
            <w:shd w:val="clear" w:color="auto" w:fill="CCEEFF"/>
          </w:tcPr>
          <w:p>
            <w:pPr>
              <w:spacing w:after="0"/>
              <w:rPr>
                <w:sz w:val="18"/>
                <w:szCs w:val="18"/>
                <w:color w:val="auto"/>
              </w:rPr>
            </w:pPr>
          </w:p>
        </w:tc>
      </w:tr>
      <w:tr>
        <w:trPr>
          <w:trHeight w:val="370"/>
        </w:trPr>
        <w:tc>
          <w:tcPr>
            <w:tcW w:w="6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6240" w:type="dxa"/>
            <w:vAlign w:val="bottom"/>
          </w:tcPr>
          <w:p>
            <w:pPr>
              <w:spacing w:after="0"/>
              <w:rPr>
                <w:sz w:val="10"/>
                <w:szCs w:val="10"/>
                <w:color w:val="auto"/>
              </w:rPr>
            </w:pPr>
          </w:p>
        </w:tc>
        <w:tc>
          <w:tcPr>
            <w:tcW w:w="900" w:type="dxa"/>
            <w:vAlign w:val="bottom"/>
            <w:gridSpan w:val="3"/>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10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gridSpan w:val="3"/>
          </w:tcPr>
          <w:p>
            <w:pPr>
              <w:jc w:val="center"/>
              <w:ind w:right="260"/>
              <w:spacing w:after="0" w:line="117" w:lineRule="exact"/>
              <w:rPr>
                <w:sz w:val="20"/>
                <w:szCs w:val="20"/>
                <w:color w:val="auto"/>
              </w:rPr>
            </w:pPr>
            <w:r>
              <w:rPr>
                <w:rFonts w:ascii="Times New Roman" w:cs="Times New Roman" w:eastAsia="Times New Roman" w:hAnsi="Times New Roman"/>
                <w:sz w:val="13"/>
                <w:szCs w:val="13"/>
                <w:b w:val="1"/>
                <w:bCs w:val="1"/>
                <w:color w:val="auto"/>
              </w:rPr>
              <w:t>June 30,</w:t>
            </w:r>
          </w:p>
        </w:tc>
        <w:tc>
          <w:tcPr>
            <w:tcW w:w="6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40" w:type="dxa"/>
            <w:vAlign w:val="bottom"/>
          </w:tcPr>
          <w:p>
            <w:pPr>
              <w:spacing w:after="0"/>
              <w:rPr>
                <w:sz w:val="10"/>
                <w:szCs w:val="10"/>
                <w:color w:val="auto"/>
              </w:rPr>
            </w:pPr>
          </w:p>
        </w:tc>
      </w:tr>
      <w:tr>
        <w:trPr>
          <w:trHeight w:val="172"/>
        </w:trPr>
        <w:tc>
          <w:tcPr>
            <w:tcW w:w="6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8"/>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12-Month Backlog</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4,280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3"/>
              </w:rPr>
              <w:t>4,250</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40" w:type="dxa"/>
            <w:vAlign w:val="bottom"/>
            <w:shd w:val="clear" w:color="auto" w:fill="CCEEFF"/>
          </w:tcPr>
          <w:p>
            <w:pPr>
              <w:spacing w:after="0"/>
              <w:rPr>
                <w:sz w:val="18"/>
                <w:szCs w:val="18"/>
                <w:color w:val="auto"/>
              </w:rPr>
            </w:pPr>
          </w:p>
        </w:tc>
      </w:tr>
      <w:tr>
        <w:trPr>
          <w:trHeight w:val="262"/>
        </w:trPr>
        <w:tc>
          <w:tcPr>
            <w:tcW w:w="6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 #</w:t>
      </w:r>
    </w:p>
    <w:p>
      <w:pPr>
        <w:sectPr>
          <w:pgSz w:w="11900" w:h="16838" w:orient="portrait"/>
          <w:cols w:equalWidth="0" w:num="1">
            <w:col w:w="10960"/>
          </w:cols>
          <w:pgMar w:left="460" w:top="265" w:right="479" w:bottom="1440" w:gutter="0" w:footer="0" w:header="0"/>
        </w:sectPr>
      </w:pPr>
    </w:p>
    <w:bookmarkStart w:id="23" w:name="page24"/>
    <w:bookmarkEnd w:id="23"/>
    <w:p>
      <w:pPr>
        <w:ind w:left="906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180340</wp:posOffset>
            </wp:positionV>
            <wp:extent cx="7098665" cy="4001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665" cy="4001770"/>
                    </a:xfrm>
                    <a:prstGeom prst="rect">
                      <a:avLst/>
                    </a:prstGeom>
                    <a:noFill/>
                  </pic:spPr>
                </pic:pic>
              </a:graphicData>
            </a:graphic>
          </wp:anchor>
        </w:drawing>
      </w:r>
    </w:p>
    <w:p>
      <w:pPr>
        <w:sectPr>
          <w:pgSz w:w="11900" w:h="16838" w:orient="portrait"/>
          <w:cols w:equalWidth="0" w:num="1">
            <w:col w:w="9980"/>
          </w:cols>
          <w:pgMar w:left="1440" w:top="117" w:right="479" w:bottom="1440"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97090" cy="4095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7090" cy="40957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2026-05-14T05:19:09Z</dcterms:created>
  <dcterms:modified xsi:type="dcterms:W3CDTF">2026-05-14T05:19:09Z</dcterms:modified>
</cp:coreProperties>
</file>