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For the month of January 2025</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258445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Hirzel House, Smith Street,</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St. Peter Port, Island of Guernsey, GY1 2NG</w:t>
      </w:r>
    </w:p>
    <w:p>
      <w:pPr>
        <w:spacing w:after="0" w:line="203"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Amdocs, Inc.</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625 Maryville Centre Drive, Suite 200, Saint Louis, Missouri 63141</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060"/>
        <w:spacing w:after="0" w:line="207" w:lineRule="exact"/>
        <w:tabs>
          <w:tab w:leader="none" w:pos="5380" w:val="left"/>
          <w:tab w:leader="none" w:pos="5560" w:val="left"/>
          <w:tab w:leader="none" w:pos="57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tab/>
        <w:t> </w:t>
      </w:r>
      <w:r>
        <w:rPr>
          <w:sz w:val="20"/>
          <w:szCs w:val="20"/>
          <w:color w:val="auto"/>
        </w:rPr>
        <w:tab/>
      </w:r>
      <w:r>
        <w:rPr>
          <w:rFonts w:ascii="Times New Roman" w:cs="Times New Roman" w:eastAsia="Times New Roman" w:hAnsi="Times New Roman"/>
          <w:sz w:val="16"/>
          <w:szCs w:val="16"/>
          <w:color w:val="auto"/>
        </w:rPr>
        <w:t xml:space="preserve">FORM 40-F 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214630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257810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Submission of Matters to a Vote of Security 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Voting Results.</w:t>
      </w:r>
    </w:p>
    <w:p>
      <w:pPr>
        <w:spacing w:after="0" w:line="11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At the 2025 Annual General Meeting of Shareholders of Amdocs Limited (the “Company”) held on January 31, 2025, the proposals listed below were submitted to a vote of the Company’s shareholders. The proposals are described in the Company’s proxy statement for the 2025 Annual General Meeting of Shareholders.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Proposal 1 – The election of nine nominees to the Company’s Board of Directors each for a term of one year.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9 nominees named in the proxy statement were elected to serve as directors until the Company’s 2026 Annual General Meeting of Shareholders.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as to the vote on each director standing for election is provided below:</w:t>
      </w:r>
    </w:p>
    <w:p>
      <w:pPr>
        <w:spacing w:after="0" w:line="215"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Nominee</w:t>
            </w:r>
          </w:p>
        </w:tc>
        <w:tc>
          <w:tcPr>
            <w:tcW w:w="5700" w:type="dxa"/>
            <w:vAlign w:val="bottom"/>
            <w:vMerge w:val="restart"/>
          </w:tcPr>
          <w:p>
            <w:pPr>
              <w:spacing w:after="0"/>
              <w:rPr>
                <w:sz w:val="13"/>
                <w:szCs w:val="13"/>
                <w:color w:val="auto"/>
              </w:rPr>
            </w:pP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Votes</w:t>
            </w: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5"/>
              </w:rPr>
              <w:t>Votes</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80"/>
        </w:trPr>
        <w:tc>
          <w:tcPr>
            <w:tcW w:w="560" w:type="dxa"/>
            <w:vAlign w:val="bottom"/>
            <w:tcBorders>
              <w:bottom w:val="single" w:sz="8" w:color="auto"/>
            </w:tcBorders>
            <w:vMerge w:val="continue"/>
          </w:tcPr>
          <w:p>
            <w:pPr>
              <w:spacing w:after="0"/>
              <w:rPr>
                <w:sz w:val="15"/>
                <w:szCs w:val="15"/>
                <w:color w:val="auto"/>
              </w:rPr>
            </w:pPr>
          </w:p>
        </w:tc>
        <w:tc>
          <w:tcPr>
            <w:tcW w:w="5700" w:type="dxa"/>
            <w:vAlign w:val="bottom"/>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12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Against</w:t>
            </w:r>
          </w:p>
        </w:tc>
        <w:tc>
          <w:tcPr>
            <w:tcW w:w="98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Abstaining</w:t>
            </w:r>
          </w:p>
        </w:tc>
        <w:tc>
          <w:tcPr>
            <w:tcW w:w="6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203"/>
        </w:trPr>
        <w:tc>
          <w:tcPr>
            <w:tcW w:w="62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Eli Gelman</w:t>
            </w:r>
          </w:p>
        </w:tc>
        <w:tc>
          <w:tcPr>
            <w:tcW w:w="8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93,773,836</w:t>
            </w:r>
          </w:p>
        </w:tc>
        <w:tc>
          <w:tcPr>
            <w:tcW w:w="3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2,380,020</w:t>
            </w:r>
          </w:p>
        </w:tc>
        <w:tc>
          <w:tcPr>
            <w:tcW w:w="3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91,132</w:t>
            </w:r>
          </w:p>
        </w:tc>
        <w:tc>
          <w:tcPr>
            <w:tcW w:w="3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6"/>
              </w:rPr>
              <w:t>90,359</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A. Minicucci</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78,009,604</w:t>
            </w:r>
          </w:p>
        </w:tc>
        <w:tc>
          <w:tcPr>
            <w:tcW w:w="3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18,114,545</w:t>
            </w:r>
          </w:p>
        </w:tc>
        <w:tc>
          <w:tcPr>
            <w:tcW w:w="3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120,839</w:t>
            </w:r>
          </w:p>
        </w:tc>
        <w:tc>
          <w:tcPr>
            <w:tcW w:w="30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90,359</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Adrian Gardner</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92,623,773</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3,527,257</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93,958</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90,359</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Rafael de la Vega</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94,736,752</w:t>
            </w:r>
          </w:p>
        </w:tc>
        <w:tc>
          <w:tcPr>
            <w:tcW w:w="3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1,404,228</w:t>
            </w:r>
          </w:p>
        </w:tc>
        <w:tc>
          <w:tcPr>
            <w:tcW w:w="3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104,008</w:t>
            </w:r>
          </w:p>
        </w:tc>
        <w:tc>
          <w:tcPr>
            <w:tcW w:w="30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90,359</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A. MacDonald</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90,834,932</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5,316,574</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93,482</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90,359</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Yvette Kanouff</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95,710,262</w:t>
            </w:r>
          </w:p>
        </w:tc>
        <w:tc>
          <w:tcPr>
            <w:tcW w:w="3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439,196</w:t>
            </w:r>
          </w:p>
        </w:tc>
        <w:tc>
          <w:tcPr>
            <w:tcW w:w="3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95,530</w:t>
            </w:r>
          </w:p>
        </w:tc>
        <w:tc>
          <w:tcPr>
            <w:tcW w:w="30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90,359</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Sarah Ruth Davis</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95,942,160</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207,256</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95,572</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90,359</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Amos Genish</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92,032,338</w:t>
            </w:r>
          </w:p>
        </w:tc>
        <w:tc>
          <w:tcPr>
            <w:tcW w:w="3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4,116,534</w:t>
            </w:r>
          </w:p>
        </w:tc>
        <w:tc>
          <w:tcPr>
            <w:tcW w:w="3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95,116</w:t>
            </w:r>
          </w:p>
        </w:tc>
        <w:tc>
          <w:tcPr>
            <w:tcW w:w="30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90,359</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Shuky Sheffer</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95,358,052</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794,001</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92,935</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90,359</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Proposal 2 – The approval of an amendment to the Amdocs Limited 1998 Stock Option and Incentive Plan to extend the term to January 31, 2035</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shareholders approved the amendment to the Amdocs Limited 1998 Stock Option and Incentive Plan. The voting results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3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31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Votes Abstaining</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28"/>
        </w:trPr>
        <w:tc>
          <w:tcPr>
            <w:tcW w:w="3400" w:type="dxa"/>
            <w:vAlign w:val="bottom"/>
            <w:tcBorders>
              <w:top w:val="single" w:sz="8" w:color="auto"/>
            </w:tcBorders>
          </w:tcPr>
          <w:p>
            <w:pPr>
              <w:jc w:val="right"/>
              <w:ind w:right="1219"/>
              <w:spacing w:after="0"/>
              <w:rPr>
                <w:sz w:val="20"/>
                <w:szCs w:val="20"/>
                <w:color w:val="auto"/>
              </w:rPr>
            </w:pPr>
            <w:r>
              <w:rPr>
                <w:rFonts w:ascii="Times New Roman" w:cs="Times New Roman" w:eastAsia="Times New Roman" w:hAnsi="Times New Roman"/>
                <w:sz w:val="18"/>
                <w:szCs w:val="18"/>
                <w:color w:val="auto"/>
              </w:rPr>
              <w:t>89,869,901</w:t>
            </w:r>
          </w:p>
        </w:tc>
        <w:tc>
          <w:tcPr>
            <w:tcW w:w="100" w:type="dxa"/>
            <w:vAlign w:val="bottom"/>
          </w:tcPr>
          <w:p>
            <w:pPr>
              <w:spacing w:after="0"/>
              <w:rPr>
                <w:sz w:val="19"/>
                <w:szCs w:val="19"/>
                <w:color w:val="auto"/>
              </w:rPr>
            </w:pPr>
          </w:p>
        </w:tc>
        <w:tc>
          <w:tcPr>
            <w:tcW w:w="2980" w:type="dxa"/>
            <w:vAlign w:val="bottom"/>
            <w:tcBorders>
              <w:top w:val="single" w:sz="8" w:color="auto"/>
            </w:tcBorders>
          </w:tcPr>
          <w:p>
            <w:pPr>
              <w:jc w:val="right"/>
              <w:ind w:right="1039"/>
              <w:spacing w:after="0"/>
              <w:rPr>
                <w:sz w:val="20"/>
                <w:szCs w:val="20"/>
                <w:color w:val="auto"/>
              </w:rPr>
            </w:pPr>
            <w:r>
              <w:rPr>
                <w:rFonts w:ascii="Times New Roman" w:cs="Times New Roman" w:eastAsia="Times New Roman" w:hAnsi="Times New Roman"/>
                <w:sz w:val="18"/>
                <w:szCs w:val="18"/>
                <w:color w:val="auto"/>
              </w:rPr>
              <w:t>6,276,662</w:t>
            </w:r>
          </w:p>
        </w:tc>
        <w:tc>
          <w:tcPr>
            <w:tcW w:w="100" w:type="dxa"/>
            <w:vAlign w:val="bottom"/>
          </w:tcPr>
          <w:p>
            <w:pPr>
              <w:spacing w:after="0"/>
              <w:rPr>
                <w:sz w:val="19"/>
                <w:szCs w:val="19"/>
                <w:color w:val="auto"/>
              </w:rPr>
            </w:pPr>
          </w:p>
        </w:tc>
        <w:tc>
          <w:tcPr>
            <w:tcW w:w="2980" w:type="dxa"/>
            <w:vAlign w:val="bottom"/>
            <w:tcBorders>
              <w:top w:val="single" w:sz="8" w:color="auto"/>
            </w:tcBorders>
          </w:tcPr>
          <w:p>
            <w:pPr>
              <w:jc w:val="right"/>
              <w:ind w:right="1159"/>
              <w:spacing w:after="0"/>
              <w:rPr>
                <w:sz w:val="20"/>
                <w:szCs w:val="20"/>
                <w:color w:val="auto"/>
              </w:rPr>
            </w:pPr>
            <w:r>
              <w:rPr>
                <w:rFonts w:ascii="Times New Roman" w:cs="Times New Roman" w:eastAsia="Times New Roman" w:hAnsi="Times New Roman"/>
                <w:sz w:val="18"/>
                <w:szCs w:val="18"/>
                <w:color w:val="auto"/>
              </w:rPr>
              <w:t>98,425</w:t>
            </w:r>
          </w:p>
        </w:tc>
        <w:tc>
          <w:tcPr>
            <w:tcW w:w="140" w:type="dxa"/>
            <w:vAlign w:val="bottom"/>
          </w:tcPr>
          <w:p>
            <w:pPr>
              <w:spacing w:after="0"/>
              <w:rPr>
                <w:sz w:val="19"/>
                <w:szCs w:val="19"/>
                <w:color w:val="auto"/>
              </w:rPr>
            </w:pPr>
          </w:p>
        </w:tc>
        <w:tc>
          <w:tcPr>
            <w:tcW w:w="132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8"/>
                <w:szCs w:val="18"/>
                <w:color w:val="auto"/>
              </w:rPr>
              <w:t>90,359</w:t>
            </w:r>
          </w:p>
        </w:tc>
      </w:tr>
    </w:tbl>
    <w:p>
      <w:pPr>
        <w:spacing w:after="0" w:line="191"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Proposal 3 – The approval of an increase in the dividend rate under the Company’s quarterly cash dividend program from $0.479 per share to $0.527 per share.</w:t>
      </w:r>
    </w:p>
    <w:p>
      <w:pPr>
        <w:spacing w:after="0" w:line="16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shareholders approved an increase in the dividend rate under the Company’s quarterly cash dividend program from $0.479 per share to $0.527 per share. The voting results were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3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31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Votes Abstaining</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28"/>
        </w:trPr>
        <w:tc>
          <w:tcPr>
            <w:tcW w:w="3400" w:type="dxa"/>
            <w:vAlign w:val="bottom"/>
            <w:tcBorders>
              <w:top w:val="single" w:sz="8" w:color="auto"/>
            </w:tcBorders>
          </w:tcPr>
          <w:p>
            <w:pPr>
              <w:jc w:val="right"/>
              <w:ind w:right="1219"/>
              <w:spacing w:after="0"/>
              <w:rPr>
                <w:sz w:val="20"/>
                <w:szCs w:val="20"/>
                <w:color w:val="auto"/>
              </w:rPr>
            </w:pPr>
            <w:r>
              <w:rPr>
                <w:rFonts w:ascii="Times New Roman" w:cs="Times New Roman" w:eastAsia="Times New Roman" w:hAnsi="Times New Roman"/>
                <w:sz w:val="18"/>
                <w:szCs w:val="18"/>
                <w:color w:val="auto"/>
              </w:rPr>
              <w:t>96,152,505</w:t>
            </w:r>
          </w:p>
        </w:tc>
        <w:tc>
          <w:tcPr>
            <w:tcW w:w="100" w:type="dxa"/>
            <w:vAlign w:val="bottom"/>
          </w:tcPr>
          <w:p>
            <w:pPr>
              <w:spacing w:after="0"/>
              <w:rPr>
                <w:sz w:val="19"/>
                <w:szCs w:val="19"/>
                <w:color w:val="auto"/>
              </w:rPr>
            </w:pPr>
          </w:p>
        </w:tc>
        <w:tc>
          <w:tcPr>
            <w:tcW w:w="2980" w:type="dxa"/>
            <w:vAlign w:val="bottom"/>
            <w:tcBorders>
              <w:top w:val="single" w:sz="8" w:color="auto"/>
            </w:tcBorders>
          </w:tcPr>
          <w:p>
            <w:pPr>
              <w:jc w:val="right"/>
              <w:ind w:right="1199"/>
              <w:spacing w:after="0"/>
              <w:rPr>
                <w:sz w:val="20"/>
                <w:szCs w:val="20"/>
                <w:color w:val="auto"/>
              </w:rPr>
            </w:pPr>
            <w:r>
              <w:rPr>
                <w:rFonts w:ascii="Times New Roman" w:cs="Times New Roman" w:eastAsia="Times New Roman" w:hAnsi="Times New Roman"/>
                <w:sz w:val="18"/>
                <w:szCs w:val="18"/>
                <w:color w:val="auto"/>
              </w:rPr>
              <w:t>4,931</w:t>
            </w:r>
          </w:p>
        </w:tc>
        <w:tc>
          <w:tcPr>
            <w:tcW w:w="100" w:type="dxa"/>
            <w:vAlign w:val="bottom"/>
          </w:tcPr>
          <w:p>
            <w:pPr>
              <w:spacing w:after="0"/>
              <w:rPr>
                <w:sz w:val="19"/>
                <w:szCs w:val="19"/>
                <w:color w:val="auto"/>
              </w:rPr>
            </w:pPr>
          </w:p>
        </w:tc>
        <w:tc>
          <w:tcPr>
            <w:tcW w:w="2980" w:type="dxa"/>
            <w:vAlign w:val="bottom"/>
            <w:tcBorders>
              <w:top w:val="single" w:sz="8" w:color="auto"/>
            </w:tcBorders>
          </w:tcPr>
          <w:p>
            <w:pPr>
              <w:jc w:val="right"/>
              <w:ind w:right="1159"/>
              <w:spacing w:after="0"/>
              <w:rPr>
                <w:sz w:val="20"/>
                <w:szCs w:val="20"/>
                <w:color w:val="auto"/>
              </w:rPr>
            </w:pPr>
            <w:r>
              <w:rPr>
                <w:rFonts w:ascii="Times New Roman" w:cs="Times New Roman" w:eastAsia="Times New Roman" w:hAnsi="Times New Roman"/>
                <w:sz w:val="18"/>
                <w:szCs w:val="18"/>
                <w:color w:val="auto"/>
              </w:rPr>
              <w:t>87,552</w:t>
            </w:r>
          </w:p>
        </w:tc>
        <w:tc>
          <w:tcPr>
            <w:tcW w:w="140" w:type="dxa"/>
            <w:vAlign w:val="bottom"/>
          </w:tcPr>
          <w:p>
            <w:pPr>
              <w:spacing w:after="0"/>
              <w:rPr>
                <w:sz w:val="19"/>
                <w:szCs w:val="19"/>
                <w:color w:val="auto"/>
              </w:rPr>
            </w:pPr>
          </w:p>
        </w:tc>
        <w:tc>
          <w:tcPr>
            <w:tcW w:w="132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8"/>
                <w:szCs w:val="18"/>
                <w:color w:val="auto"/>
              </w:rPr>
              <w:t>90,359</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Proposal 4 – The approval of the Company’s Consolidated Financial Statements for the fiscal year ended September 30, 2024.</w:t>
      </w:r>
    </w:p>
    <w:p>
      <w:pPr>
        <w:spacing w:after="0" w:line="22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shareholders approved the Company’s Consolidated Financial Statements for the fiscal year ended September 30, 2024. The voting results were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3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31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Votes Abstaining</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28"/>
        </w:trPr>
        <w:tc>
          <w:tcPr>
            <w:tcW w:w="3400" w:type="dxa"/>
            <w:vAlign w:val="bottom"/>
            <w:tcBorders>
              <w:top w:val="single" w:sz="8" w:color="auto"/>
            </w:tcBorders>
          </w:tcPr>
          <w:p>
            <w:pPr>
              <w:jc w:val="right"/>
              <w:ind w:right="1219"/>
              <w:spacing w:after="0"/>
              <w:rPr>
                <w:sz w:val="20"/>
                <w:szCs w:val="20"/>
                <w:color w:val="auto"/>
              </w:rPr>
            </w:pPr>
            <w:r>
              <w:rPr>
                <w:rFonts w:ascii="Times New Roman" w:cs="Times New Roman" w:eastAsia="Times New Roman" w:hAnsi="Times New Roman"/>
                <w:sz w:val="18"/>
                <w:szCs w:val="18"/>
                <w:color w:val="auto"/>
              </w:rPr>
              <w:t>95,766,922</w:t>
            </w:r>
          </w:p>
        </w:tc>
        <w:tc>
          <w:tcPr>
            <w:tcW w:w="100" w:type="dxa"/>
            <w:vAlign w:val="bottom"/>
          </w:tcPr>
          <w:p>
            <w:pPr>
              <w:spacing w:after="0"/>
              <w:rPr>
                <w:sz w:val="19"/>
                <w:szCs w:val="19"/>
                <w:color w:val="auto"/>
              </w:rPr>
            </w:pPr>
          </w:p>
        </w:tc>
        <w:tc>
          <w:tcPr>
            <w:tcW w:w="2980" w:type="dxa"/>
            <w:vAlign w:val="bottom"/>
            <w:tcBorders>
              <w:top w:val="single" w:sz="8" w:color="auto"/>
            </w:tcBorders>
          </w:tcPr>
          <w:p>
            <w:pPr>
              <w:jc w:val="right"/>
              <w:ind w:right="1159"/>
              <w:spacing w:after="0"/>
              <w:rPr>
                <w:sz w:val="20"/>
                <w:szCs w:val="20"/>
                <w:color w:val="auto"/>
              </w:rPr>
            </w:pPr>
            <w:r>
              <w:rPr>
                <w:rFonts w:ascii="Times New Roman" w:cs="Times New Roman" w:eastAsia="Times New Roman" w:hAnsi="Times New Roman"/>
                <w:sz w:val="18"/>
                <w:szCs w:val="18"/>
                <w:color w:val="auto"/>
              </w:rPr>
              <w:t>55,852</w:t>
            </w:r>
          </w:p>
        </w:tc>
        <w:tc>
          <w:tcPr>
            <w:tcW w:w="100" w:type="dxa"/>
            <w:vAlign w:val="bottom"/>
          </w:tcPr>
          <w:p>
            <w:pPr>
              <w:spacing w:after="0"/>
              <w:rPr>
                <w:sz w:val="19"/>
                <w:szCs w:val="19"/>
                <w:color w:val="auto"/>
              </w:rPr>
            </w:pPr>
          </w:p>
        </w:tc>
        <w:tc>
          <w:tcPr>
            <w:tcW w:w="2980" w:type="dxa"/>
            <w:vAlign w:val="bottom"/>
            <w:tcBorders>
              <w:top w:val="single" w:sz="8" w:color="auto"/>
            </w:tcBorders>
          </w:tcPr>
          <w:p>
            <w:pPr>
              <w:jc w:val="right"/>
              <w:ind w:right="1119"/>
              <w:spacing w:after="0"/>
              <w:rPr>
                <w:sz w:val="20"/>
                <w:szCs w:val="20"/>
                <w:color w:val="auto"/>
              </w:rPr>
            </w:pPr>
            <w:r>
              <w:rPr>
                <w:rFonts w:ascii="Times New Roman" w:cs="Times New Roman" w:eastAsia="Times New Roman" w:hAnsi="Times New Roman"/>
                <w:sz w:val="18"/>
                <w:szCs w:val="18"/>
                <w:color w:val="auto"/>
              </w:rPr>
              <w:t>422,214</w:t>
            </w:r>
          </w:p>
        </w:tc>
        <w:tc>
          <w:tcPr>
            <w:tcW w:w="140" w:type="dxa"/>
            <w:vAlign w:val="bottom"/>
          </w:tcPr>
          <w:p>
            <w:pPr>
              <w:spacing w:after="0"/>
              <w:rPr>
                <w:sz w:val="19"/>
                <w:szCs w:val="19"/>
                <w:color w:val="auto"/>
              </w:rPr>
            </w:pPr>
          </w:p>
        </w:tc>
        <w:tc>
          <w:tcPr>
            <w:tcW w:w="132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8"/>
                <w:szCs w:val="18"/>
                <w:color w:val="auto"/>
              </w:rPr>
              <w:t>90,359</w:t>
            </w:r>
          </w:p>
        </w:tc>
      </w:tr>
    </w:tbl>
    <w:p>
      <w:pPr>
        <w:sectPr>
          <w:pgSz w:w="11900" w:h="16838" w:orient="portrait"/>
          <w:cols w:equalWidth="0" w:num="1">
            <w:col w:w="11020"/>
          </w:cols>
          <w:pgMar w:left="440" w:top="266" w:right="439" w:bottom="1440" w:gutter="0" w:footer="0" w:header="0"/>
        </w:sectPr>
      </w:pPr>
    </w:p>
    <w:bookmarkStart w:id="2" w:name="page3"/>
    <w:bookmarkEnd w:id="2"/>
    <w:p>
      <w:pPr>
        <w:ind w:right="20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Proposal 5 – The ratification and approval of the appointment of Ernst &amp; Young LLP as the Company’s independent registered public accounting firm for the fiscal year ending September 30, 2025, and until the next annual general meeting, and authorization of the Audit Committee of the Board of Directors to fix the remuneration of such independent registered public accounting firm in accordance with the nature and extent of its services.</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shareholders ratified and approved the appointment of Ernst &amp; Young LLP as the Company’s independent registered public accounting firm for the fiscal year ending September 30, 2025, and until the next annual general meeting, and authorized the Audit Committee of the Board of Directors to fix the remuneration of such independent registered public accounting firm in accordance with the nature and extent of its services. The voting results were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3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31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Votes Abstaining</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28"/>
        </w:trPr>
        <w:tc>
          <w:tcPr>
            <w:tcW w:w="3400" w:type="dxa"/>
            <w:vAlign w:val="bottom"/>
            <w:tcBorders>
              <w:top w:val="single" w:sz="8" w:color="auto"/>
            </w:tcBorders>
          </w:tcPr>
          <w:p>
            <w:pPr>
              <w:jc w:val="right"/>
              <w:ind w:right="1219"/>
              <w:spacing w:after="0"/>
              <w:rPr>
                <w:sz w:val="20"/>
                <w:szCs w:val="20"/>
                <w:color w:val="auto"/>
              </w:rPr>
            </w:pPr>
            <w:r>
              <w:rPr>
                <w:rFonts w:ascii="Times New Roman" w:cs="Times New Roman" w:eastAsia="Times New Roman" w:hAnsi="Times New Roman"/>
                <w:sz w:val="18"/>
                <w:szCs w:val="18"/>
                <w:color w:val="auto"/>
              </w:rPr>
              <w:t>91,252,292</w:t>
            </w:r>
          </w:p>
        </w:tc>
        <w:tc>
          <w:tcPr>
            <w:tcW w:w="100" w:type="dxa"/>
            <w:vAlign w:val="bottom"/>
          </w:tcPr>
          <w:p>
            <w:pPr>
              <w:spacing w:after="0"/>
              <w:rPr>
                <w:sz w:val="19"/>
                <w:szCs w:val="19"/>
                <w:color w:val="auto"/>
              </w:rPr>
            </w:pPr>
          </w:p>
        </w:tc>
        <w:tc>
          <w:tcPr>
            <w:tcW w:w="2980" w:type="dxa"/>
            <w:vAlign w:val="bottom"/>
            <w:tcBorders>
              <w:top w:val="single" w:sz="8" w:color="auto"/>
            </w:tcBorders>
          </w:tcPr>
          <w:p>
            <w:pPr>
              <w:jc w:val="right"/>
              <w:ind w:right="1059"/>
              <w:spacing w:after="0"/>
              <w:rPr>
                <w:sz w:val="20"/>
                <w:szCs w:val="20"/>
                <w:color w:val="auto"/>
              </w:rPr>
            </w:pPr>
            <w:r>
              <w:rPr>
                <w:rFonts w:ascii="Times New Roman" w:cs="Times New Roman" w:eastAsia="Times New Roman" w:hAnsi="Times New Roman"/>
                <w:sz w:val="18"/>
                <w:szCs w:val="18"/>
                <w:color w:val="auto"/>
              </w:rPr>
              <w:t>4,997,011</w:t>
            </w:r>
          </w:p>
        </w:tc>
        <w:tc>
          <w:tcPr>
            <w:tcW w:w="100" w:type="dxa"/>
            <w:vAlign w:val="bottom"/>
          </w:tcPr>
          <w:p>
            <w:pPr>
              <w:spacing w:after="0"/>
              <w:rPr>
                <w:sz w:val="19"/>
                <w:szCs w:val="19"/>
                <w:color w:val="auto"/>
              </w:rPr>
            </w:pPr>
          </w:p>
        </w:tc>
        <w:tc>
          <w:tcPr>
            <w:tcW w:w="2980" w:type="dxa"/>
            <w:vAlign w:val="bottom"/>
            <w:tcBorders>
              <w:top w:val="single" w:sz="8" w:color="auto"/>
            </w:tcBorders>
          </w:tcPr>
          <w:p>
            <w:pPr>
              <w:jc w:val="right"/>
              <w:ind w:right="1159"/>
              <w:spacing w:after="0"/>
              <w:rPr>
                <w:sz w:val="20"/>
                <w:szCs w:val="20"/>
                <w:color w:val="auto"/>
              </w:rPr>
            </w:pPr>
            <w:r>
              <w:rPr>
                <w:rFonts w:ascii="Times New Roman" w:cs="Times New Roman" w:eastAsia="Times New Roman" w:hAnsi="Times New Roman"/>
                <w:sz w:val="18"/>
                <w:szCs w:val="18"/>
                <w:color w:val="auto"/>
              </w:rPr>
              <w:t>86,044</w:t>
            </w:r>
          </w:p>
        </w:tc>
        <w:tc>
          <w:tcPr>
            <w:tcW w:w="140" w:type="dxa"/>
            <w:vAlign w:val="bottom"/>
          </w:tcPr>
          <w:p>
            <w:pPr>
              <w:spacing w:after="0"/>
              <w:rPr>
                <w:sz w:val="19"/>
                <w:szCs w:val="19"/>
                <w:color w:val="auto"/>
              </w:rPr>
            </w:pPr>
          </w:p>
        </w:tc>
        <w:tc>
          <w:tcPr>
            <w:tcW w:w="1320" w:type="dxa"/>
            <w:vAlign w:val="bottom"/>
            <w:tcBorders>
              <w:top w:val="single" w:sz="8" w:color="auto"/>
            </w:tcBorders>
          </w:tcPr>
          <w:p>
            <w:pPr>
              <w:jc w:val="right"/>
              <w:ind w:right="539"/>
              <w:spacing w:after="0"/>
              <w:rPr>
                <w:sz w:val="20"/>
                <w:szCs w:val="20"/>
                <w:color w:val="auto"/>
              </w:rPr>
            </w:pPr>
            <w:r>
              <w:rPr>
                <w:rFonts w:ascii="Times New Roman" w:cs="Times New Roman" w:eastAsia="Times New Roman" w:hAnsi="Times New Roman"/>
                <w:sz w:val="18"/>
                <w:szCs w:val="18"/>
                <w:color w:val="auto"/>
              </w:rPr>
              <w:t>0</w:t>
            </w:r>
          </w:p>
        </w:tc>
      </w:tr>
    </w:tbl>
    <w:p>
      <w:pPr>
        <w:sectPr>
          <w:pgSz w:w="11900" w:h="16838" w:orient="portrait"/>
          <w:cols w:equalWidth="0" w:num="1">
            <w:col w:w="11020"/>
          </w:cols>
          <w:pgMar w:left="440" w:top="268" w:right="439" w:bottom="1440" w:gutter="0" w:footer="0" w:header="0"/>
        </w:sectPr>
      </w:pPr>
    </w:p>
    <w:bookmarkStart w:id="3" w:name="page4"/>
    <w:bookmarkEnd w:id="3"/>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AMDOCS LIMITED</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Matthew E. Smith</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i w:val="1"/>
          <w:iCs w:val="1"/>
          <w:color w:val="auto"/>
        </w:rPr>
        <w:t>Secretary and Authorized Signatory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31, 2025</w:t>
      </w:r>
    </w:p>
    <w:sectPr>
      <w:pgSz w:w="11900" w:h="16838" w:orient="portrait"/>
      <w:cols w:equalWidth="0" w:num="1">
        <w:col w:w="10260"/>
      </w:cols>
      <w:pgMar w:left="440" w:top="266"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2025-02-03T05:09:14Z</dcterms:created>
  <dcterms:modified xsi:type="dcterms:W3CDTF">2025-02-03T05:09:14Z</dcterms:modified>
</cp:coreProperties>
</file>