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month of November 2025</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173355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182245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Hirzel House, Smith Street,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 Peter Port, Island of Guernsey, GY1 2NG</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Amdocs, Inc.</w:t>
      </w:r>
    </w:p>
    <w:p>
      <w:pPr>
        <w:jc w:val="center"/>
        <w:spacing w:after="0"/>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25" w:lineRule="exact"/>
        <w:rPr>
          <w:sz w:val="24"/>
          <w:szCs w:val="24"/>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135890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166370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November 11, 2025, Amdocs Limited (“Amdocs”) issued a press release announcing financial results for the quarter ended September 30, 2025. A copy of the press release and the accompanying presentation are furnished as Exhibits 99.1 and 99.2 to this Report of Foreign Private Issuer on Form 6-K.</w:t>
      </w:r>
    </w:p>
    <w:p>
      <w:pPr>
        <w:spacing w:after="0" w:line="13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1"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5"/>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98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EXHIBIT INDEX</w:t>
            </w:r>
          </w:p>
        </w:tc>
      </w:tr>
      <w:tr>
        <w:trPr>
          <w:trHeight w:val="260"/>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w w:val="94"/>
              </w:rPr>
              <w:t>EXHIBIT</w:t>
            </w: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119"/>
        </w:trPr>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460" w:type="dxa"/>
            <w:vAlign w:val="bottom"/>
          </w:tcPr>
          <w:p>
            <w:pPr>
              <w:spacing w:after="0"/>
              <w:rPr>
                <w:sz w:val="10"/>
                <w:szCs w:val="10"/>
                <w:color w:val="auto"/>
              </w:rPr>
            </w:pPr>
          </w:p>
        </w:tc>
        <w:tc>
          <w:tcPr>
            <w:tcW w:w="6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DESCRIPTION</w:t>
            </w:r>
          </w:p>
        </w:tc>
      </w:tr>
      <w:tr>
        <w:trPr>
          <w:trHeight w:val="188"/>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460" w:type="dxa"/>
            <w:vAlign w:val="bottom"/>
          </w:tcPr>
          <w:p>
            <w:pPr>
              <w:spacing w:after="0"/>
              <w:rPr>
                <w:sz w:val="16"/>
                <w:szCs w:val="16"/>
                <w:color w:val="auto"/>
              </w:rPr>
            </w:pPr>
          </w:p>
        </w:tc>
        <w:tc>
          <w:tcPr>
            <w:tcW w:w="4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Amdocs Limited Press Release Announcing Q4 Earnings, dated November 11, 2025</w:t>
            </w:r>
          </w:p>
        </w:tc>
        <w:tc>
          <w:tcPr>
            <w:tcW w:w="2620" w:type="dxa"/>
            <w:vAlign w:val="bottom"/>
          </w:tcPr>
          <w:p>
            <w:pPr>
              <w:spacing w:after="0"/>
              <w:rPr>
                <w:sz w:val="16"/>
                <w:szCs w:val="16"/>
                <w:color w:val="auto"/>
              </w:rPr>
            </w:pPr>
          </w:p>
        </w:tc>
      </w:tr>
      <w:tr>
        <w:trPr>
          <w:trHeight w:val="207"/>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460" w:type="dxa"/>
            <w:vAlign w:val="bottom"/>
          </w:tcPr>
          <w:p>
            <w:pPr>
              <w:spacing w:after="0"/>
              <w:rPr>
                <w:sz w:val="18"/>
                <w:szCs w:val="18"/>
                <w:color w:val="auto"/>
              </w:rPr>
            </w:pPr>
          </w:p>
        </w:tc>
        <w:tc>
          <w:tcPr>
            <w:tcW w:w="1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Fiscal Q4 2025 Earnings Presentation</w:t>
            </w:r>
          </w:p>
        </w:tc>
        <w:tc>
          <w:tcPr>
            <w:tcW w:w="4980" w:type="dxa"/>
            <w:vAlign w:val="bottom"/>
            <w:gridSpan w:val="2"/>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 LIMITED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Matthew E. Smith</w:t>
      </w:r>
    </w:p>
    <w:p>
      <w:pPr>
        <w:spacing w:after="0" w:line="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Secretary and Authorized Signatory</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November 12, 2025</w:t>
      </w:r>
    </w:p>
    <w:p>
      <w:pPr>
        <w:sectPr>
          <w:pgSz w:w="11900" w:h="16838" w:orient="portrait"/>
          <w:cols w:equalWidth="0" w:num="1">
            <w:col w:w="9019"/>
          </w:cols>
          <w:pgMar w:left="1440" w:top="229"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4759960" cy="1143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59960" cy="114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Amdocs Limited Reports Fourth Quarter Fiscal 2025 Results &amp; Full Year Fiscal 2025 Results</w:t>
      </w:r>
    </w:p>
    <w:p>
      <w:pPr>
        <w:spacing w:after="0" w:line="154" w:lineRule="exact"/>
        <w:rPr>
          <w:sz w:val="20"/>
          <w:szCs w:val="20"/>
          <w:color w:val="auto"/>
        </w:rPr>
      </w:pPr>
    </w:p>
    <w:p>
      <w:pPr>
        <w:jc w:val="center"/>
        <w:ind w:left="637" w:right="657"/>
        <w:spacing w:after="0" w:line="200" w:lineRule="auto"/>
        <w:rPr>
          <w:sz w:val="20"/>
          <w:szCs w:val="20"/>
          <w:color w:val="auto"/>
        </w:rPr>
      </w:pPr>
      <w:r>
        <w:rPr>
          <w:rFonts w:ascii="Times New Roman" w:cs="Times New Roman" w:eastAsia="Times New Roman" w:hAnsi="Times New Roman"/>
          <w:sz w:val="13"/>
          <w:szCs w:val="13"/>
          <w:i w:val="1"/>
          <w:iCs w:val="1"/>
          <w:color w:val="auto"/>
        </w:rPr>
        <w:t>Fiscal 2025 Revenue of $4.53 Billion, down 9.4% YoY as Reported and up 3.1% YoY in Pro Forma</w:t>
      </w: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3"/>
          <w:szCs w:val="13"/>
          <w:i w:val="1"/>
          <w:iCs w:val="1"/>
          <w:color w:val="auto"/>
        </w:rPr>
        <w:t xml:space="preserve"> Constant Currency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Successfully Achieved Accelerated Profitability Improvement Targets Strong Sales Momentum &amp; 12-Month Backlog of $4.19 Billion, up 3.2% YoY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Initiates Fiscal 2026 Outlook:</w:t>
      </w:r>
    </w:p>
    <w:p>
      <w:pPr>
        <w:spacing w:after="0" w:line="78" w:lineRule="exact"/>
        <w:rPr>
          <w:sz w:val="20"/>
          <w:szCs w:val="20"/>
          <w:color w:val="auto"/>
        </w:rPr>
      </w:pPr>
    </w:p>
    <w:p>
      <w:pPr>
        <w:jc w:val="center"/>
        <w:ind w:left="637" w:right="657"/>
        <w:spacing w:after="0" w:line="237" w:lineRule="auto"/>
        <w:rPr>
          <w:sz w:val="20"/>
          <w:szCs w:val="20"/>
          <w:color w:val="auto"/>
        </w:rPr>
      </w:pPr>
      <w:r>
        <w:rPr>
          <w:rFonts w:ascii="Times New Roman" w:cs="Times New Roman" w:eastAsia="Times New Roman" w:hAnsi="Times New Roman"/>
          <w:sz w:val="13"/>
          <w:szCs w:val="13"/>
          <w:i w:val="1"/>
          <w:iCs w:val="1"/>
          <w:color w:val="auto"/>
        </w:rPr>
        <w:t>Expects Fiscal 2026 Revenue Outlook of 1.7%-5.7% YoY as Reported and 1.0%-5.0% YoY in Constant Currency</w:t>
      </w: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3"/>
          <w:szCs w:val="13"/>
          <w:i w:val="1"/>
          <w:iCs w:val="1"/>
          <w:color w:val="auto"/>
        </w:rPr>
        <w:t xml:space="preserve"> Increasing GenAI Investment to Unlock &amp; Accelerate New Growth Opportunities Board Approves 8% Increase of Quarterly Cash Dividend</w:t>
      </w:r>
      <w:r>
        <w:rPr>
          <w:rFonts w:ascii="Times New Roman" w:cs="Times New Roman" w:eastAsia="Times New Roman" w:hAnsi="Times New Roman"/>
          <w:sz w:val="18"/>
          <w:szCs w:val="18"/>
          <w:i w:val="1"/>
          <w:iCs w:val="1"/>
          <w:color w:val="auto"/>
          <w:vertAlign w:val="superscript"/>
        </w:rPr>
        <w:t>(4)</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Full Year Fiscal 2025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ind w:left="1320" w:right="699" w:hanging="303"/>
        <w:spacing w:after="0" w:line="233"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$4,533 million, down 9.4% as reported due to the phase out of certain business activities, and up 3.1% in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constant currency</w:t>
      </w:r>
      <w:r>
        <w:rPr>
          <w:rFonts w:ascii="Times New Roman" w:cs="Times New Roman" w:eastAsia="Times New Roman" w:hAnsi="Times New Roman"/>
          <w:sz w:val="18"/>
          <w:szCs w:val="18"/>
          <w:color w:val="auto"/>
          <w:vertAlign w:val="superscript"/>
        </w:rPr>
        <w:t>(2)</w:t>
      </w: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managed services revenue of $2,996 million, equivalent to approximately 66% of total revenue</w:t>
      </w:r>
    </w:p>
    <w:p>
      <w:pPr>
        <w:spacing w:after="0" w:line="73" w:lineRule="exact"/>
        <w:rPr>
          <w:rFonts w:ascii="Times New Roman" w:cs="Times New Roman" w:eastAsia="Times New Roman" w:hAnsi="Times New Roman"/>
          <w:sz w:val="13"/>
          <w:szCs w:val="13"/>
          <w:color w:val="auto"/>
        </w:rPr>
      </w:pPr>
    </w:p>
    <w:p>
      <w:pPr>
        <w:ind w:left="1320" w:right="859" w:hanging="303"/>
        <w:spacing w:after="0" w:line="267"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$5.05, up 18.8% including a restructuring charge of 65 cents per share, without which GAAP diluted EPS would have been above the guidance range of 31.5%-33.5%</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$6.99, up 8.5% and at the midpoint of the 8.0%-9.0% guidance range</w:t>
      </w:r>
    </w:p>
    <w:p>
      <w:pPr>
        <w:spacing w:after="0" w:line="87" w:lineRule="exact"/>
        <w:rPr>
          <w:rFonts w:ascii="Times New Roman" w:cs="Times New Roman" w:eastAsia="Times New Roman" w:hAnsi="Times New Roman"/>
          <w:sz w:val="13"/>
          <w:szCs w:val="13"/>
          <w:color w:val="auto"/>
        </w:rPr>
      </w:pPr>
    </w:p>
    <w:p>
      <w:pPr>
        <w:ind w:left="1320" w:right="839" w:hanging="303"/>
        <w:spacing w:after="0" w:line="199" w:lineRule="auto"/>
        <w:tabs>
          <w:tab w:leader="none" w:pos="1320" w:val="left"/>
        </w:tabs>
        <w:numPr>
          <w:ilvl w:val="1"/>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of $645 million, comprised of cash flow from operations of $749 million, less $104 million in net capital expenditures and other; excluding $90 million of restructuring payments which were not included in the full year 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guidance of $710 million to $730 million, free cash flow would have been $735 million</w:t>
      </w:r>
    </w:p>
    <w:p>
      <w:pPr>
        <w:spacing w:after="0" w:line="158" w:lineRule="exact"/>
        <w:rPr>
          <w:rFonts w:ascii="Times New Roman" w:cs="Times New Roman" w:eastAsia="Times New Roman" w:hAnsi="Times New Roman"/>
          <w:sz w:val="13"/>
          <w:szCs w:val="13"/>
          <w:color w:val="auto"/>
        </w:rPr>
      </w:pPr>
    </w:p>
    <w:p>
      <w:pPr>
        <w:ind w:left="940" w:right="719" w:hanging="303"/>
        <w:spacing w:after="0" w:line="250" w:lineRule="auto"/>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comparison purposes, pro forma adjusts fourth quarter fiscal year 2024 revenue by approximately $150 million and the full fiscal 2024 revenue by approximately $600 million to reflect the end of certain low margin, non-core business activities; these activities substantially already ceased in the first quarter fiscal 2025 and are not included in the full year fiscal 2025 revenue outlook</w:t>
      </w: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on a constant currency basis assumes exchange rates in the current period were unchanged from the prior period</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total shareholder return assumes midpoint of fiscal year 2026 non-GAAP EPS growth outlook, plus dividend yield</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shareholder approval at January 2026 annual meeting</w:t>
      </w:r>
    </w:p>
    <w:p>
      <w:pPr>
        <w:spacing w:after="0" w:line="2"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refer to the Selected Financial Metrics tables below (figures may not sum because of rounding)</w:t>
      </w:r>
    </w:p>
    <w:p>
      <w:pPr>
        <w:sectPr>
          <w:pgSz w:w="11900" w:h="16838" w:orient="portrait"/>
          <w:cols w:equalWidth="0" w:num="1">
            <w:col w:w="9019"/>
          </w:cols>
          <w:pgMar w:left="1440" w:top="125" w:right="1440" w:bottom="1440" w:gutter="0" w:footer="0" w:header="0"/>
        </w:sectPr>
      </w:pPr>
    </w:p>
    <w:bookmarkStart w:id="5" w:name="page6"/>
    <w:bookmarkEnd w:id="5"/>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Repurchased $551 million of ordinary shares during the fiscal year</w:t>
      </w:r>
    </w:p>
    <w:p>
      <w:pPr>
        <w:spacing w:after="0" w:line="87" w:lineRule="exact"/>
        <w:rPr>
          <w:rFonts w:ascii="Times New Roman" w:cs="Times New Roman" w:eastAsia="Times New Roman" w:hAnsi="Times New Roman"/>
          <w:sz w:val="13"/>
          <w:szCs w:val="13"/>
          <w:color w:val="auto"/>
        </w:rPr>
      </w:pPr>
    </w:p>
    <w:p>
      <w:pPr>
        <w:ind w:left="1320" w:right="111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Twelve-month backlog of $4.19 billion up 3.2% as compared to last year’s fourth fiscal quarter, and up approximately $40 million sequentially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Fourth Quarter Fiscal 2025 Highlights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w:t>
      </w:r>
    </w:p>
    <w:p>
      <w:pPr>
        <w:spacing w:after="0" w:line="89" w:lineRule="exact"/>
        <w:rPr>
          <w:sz w:val="20"/>
          <w:szCs w:val="20"/>
          <w:color w:val="auto"/>
        </w:rPr>
      </w:pPr>
    </w:p>
    <w:p>
      <w:pPr>
        <w:ind w:left="1320" w:right="699" w:hanging="303"/>
        <w:spacing w:after="0" w:line="199"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$1,150 million, down 9.0% as reported due to the phase out of certain business activities, and up 2.8% in pro forma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revenue was above the midpoint of the $1,125-$1,165 million guidance range with no impact from foreign currency movements compared to our guidance assumptions</w:t>
      </w:r>
    </w:p>
    <w:p>
      <w:pPr>
        <w:spacing w:after="0" w:line="72" w:lineRule="exact"/>
        <w:rPr>
          <w:rFonts w:ascii="Times New Roman" w:cs="Times New Roman" w:eastAsia="Times New Roman" w:hAnsi="Times New Roman"/>
          <w:sz w:val="13"/>
          <w:szCs w:val="13"/>
          <w:color w:val="auto"/>
        </w:rPr>
      </w:pPr>
    </w:p>
    <w:p>
      <w:pPr>
        <w:ind w:left="1320" w:right="95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Managed services revenue of $748 million, equivalent to approximately 65% of total revenue and up 3.7% as compared to last year’s fourth quarter</w:t>
      </w:r>
    </w:p>
    <w:p>
      <w:pPr>
        <w:spacing w:after="0" w:line="55"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of $0.88, including a restructuring charge of 60 cents per share, without which GAAP diluted EPS would have been at the high-end of the $1.41-$1.49 guidance range</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EPS of $1.83, slightly above the midpoint of the guidance range of $1.79-$1.85</w:t>
      </w:r>
    </w:p>
    <w:p>
      <w:pPr>
        <w:spacing w:after="0" w:line="87" w:lineRule="exact"/>
        <w:rPr>
          <w:rFonts w:ascii="Times New Roman" w:cs="Times New Roman" w:eastAsia="Times New Roman" w:hAnsi="Times New Roman"/>
          <w:sz w:val="13"/>
          <w:szCs w:val="13"/>
          <w:color w:val="auto"/>
        </w:rPr>
      </w:pPr>
    </w:p>
    <w:p>
      <w:pPr>
        <w:jc w:val="both"/>
        <w:ind w:left="1320" w:right="659" w:hanging="303"/>
        <w:spacing w:after="0" w:line="25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operating income of $133 million; including a restructuring charge of $74 million; GAAP operating margin of 11.5%, up 260 basis points as compared to last year’s fourth fiscal quarter, reflecting the phase out of certain non-core business activities, and a continued focus on operational excellence; GAAP operating margin was down 620 basis points sequentially,</w:t>
      </w:r>
    </w:p>
    <w:p>
      <w:pPr>
        <w:spacing w:after="0" w:line="63" w:lineRule="exact"/>
        <w:rPr>
          <w:rFonts w:ascii="Times New Roman" w:cs="Times New Roman" w:eastAsia="Times New Roman" w:hAnsi="Times New Roman"/>
          <w:sz w:val="13"/>
          <w:szCs w:val="13"/>
          <w:color w:val="auto"/>
        </w:rPr>
      </w:pPr>
    </w:p>
    <w:p>
      <w:pPr>
        <w:ind w:left="1320" w:right="659" w:hanging="303"/>
        <w:spacing w:after="0" w:line="255"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income of $248 million; non-GAAP operating margin of 21.6%, up 290 basis points as compared to last year’s fourth fiscal quarter, reflecting the phase out of certain non-core business activities and a continued focus on operational excellence, and up 20 basis points sequentially</w:t>
      </w:r>
    </w:p>
    <w:p>
      <w:pPr>
        <w:spacing w:after="0" w:line="63" w:lineRule="exact"/>
        <w:rPr>
          <w:rFonts w:ascii="Times New Roman" w:cs="Times New Roman" w:eastAsia="Times New Roman" w:hAnsi="Times New Roman"/>
          <w:sz w:val="13"/>
          <w:szCs w:val="13"/>
          <w:color w:val="auto"/>
        </w:rPr>
      </w:pPr>
    </w:p>
    <w:p>
      <w:pPr>
        <w:ind w:left="1320" w:right="759" w:hanging="303"/>
        <w:spacing w:after="0" w:line="309" w:lineRule="auto"/>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of Directors (the “Board”) approved an 8% increase in the Company’s quarterly cash dividend payment from $0.527 per share to $0.569 per share, anticipated to be first paid in April 2026, subject to shareholder approval at the January 2026 annual meeting</w:t>
      </w:r>
    </w:p>
    <w:p>
      <w:pPr>
        <w:sectPr>
          <w:pgSz w:w="11900" w:h="16838" w:orient="portrait"/>
          <w:cols w:equalWidth="0" w:num="1">
            <w:col w:w="9019"/>
          </w:cols>
          <w:pgMar w:left="1440" w:top="231" w:right="1440" w:bottom="1440" w:gutter="0" w:footer="0" w:header="0"/>
        </w:sectPr>
      </w:pPr>
    </w:p>
    <w:bookmarkStart w:id="6" w:name="page7"/>
    <w:bookmarkEnd w:id="6"/>
    <w:p>
      <w:pPr>
        <w:ind w:left="640" w:right="77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JERSEY CITY, NJ – November 11, 2025 </w:t>
      </w:r>
      <w:r>
        <w:rPr>
          <w:rFonts w:ascii="Times New Roman" w:cs="Times New Roman" w:eastAsia="Times New Roman" w:hAnsi="Times New Roman"/>
          <w:sz w:val="13"/>
          <w:szCs w:val="13"/>
          <w:color w:val="auto"/>
        </w:rPr>
        <w:t>– Amdocs Limited (NASDAQ: DOX), a leading provider of software and services to communications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media companies, today reported operating results for the three months ended September 30, 2025.</w:t>
      </w:r>
    </w:p>
    <w:p>
      <w:pPr>
        <w:spacing w:after="0" w:line="121"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“Fiscal 2025 was another important year as we delivered financial results consistent with our expectations while serving our global telecommunications customers with cutting-edge cloud, digital and AI-driven solutions designed to meet their strategic imperatives. Cloud-related activities delivered double-digit growth, reaching over 30% of total revenue, and we achieved significantly better profitability while maintaining our commitment to R&amp;D. The year finished with very strong sales momentum. We secured Google Cloud migration awards at TELUS in Canada and Lumen Technologies in US and signed a digital transformation and IT operations agreement with Fidium, a new fiber customer in the US. Our international footprint expanded with modernization awards at British Telecom, or BT-EE in the UK, Altice SFR in France, Telia in Finland, PLDT in Philippines and Claro Brazil. Additionally, Telefónica Germany chose Amdocs to implement new GenAI use cases using the amAIz Sales Agent. This latest win extends our momentum following recent GenAI-related deals with Altice Optimum, e&amp; UAE, and Consumer Cellular, and further demonstrates Amdocs’ pivotal role in accelerating generative AI adoption in the telecom industry,” said Shuky Sheffer, president and chief executive officer of Amdocs Management Limited.</w:t>
      </w:r>
    </w:p>
    <w:p>
      <w:pPr>
        <w:spacing w:after="0" w:line="136"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“Profitability improved significantly in fiscal 2025, reflecting the phase-out of certain low-margin, non-core business activities a year ago, and internal efficiency gains driven by automation, AI and a focus on operational excellence. Managed services as a share of overall revenue reached a record high 66% this year, further strengthening our business resilience as we maintained high renewal rates and expanded our customer activities under long-term agreements. Notably, Amdocs announced today a multi-year strategic expansion of our long-standing managed services engagement with PLDT. This landmark agreement will focus on modernizing PLDT’s IT operations and streamlining business processes through AI and generative AI capabilities to empower next-generation customer experiences,” said Tamar Rapaport-Dagim, chief financial officer &amp; chief operating officer of Amdocs Management Limited.</w:t>
      </w:r>
    </w:p>
    <w:p>
      <w:pPr>
        <w:sectPr>
          <w:pgSz w:w="11900" w:h="16838" w:orient="portrait"/>
          <w:cols w:equalWidth="0" w:num="1">
            <w:col w:w="9019"/>
          </w:cols>
          <w:pgMar w:left="1440" w:top="229" w:right="1440" w:bottom="1440" w:gutter="0" w:footer="0" w:header="0"/>
        </w:sectPr>
      </w:pPr>
    </w:p>
    <w:bookmarkStart w:id="7" w:name="page8"/>
    <w:bookmarkEnd w:id="7"/>
    <w:p>
      <w:pPr>
        <w:ind w:left="640" w:right="699"/>
        <w:spacing w:after="0" w:line="22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Sheffer concluded, “With our unique tech-led and outcomes-based accountability model, Amdocs is strongly positioned to monetize a rich pipeline of opportunities across cloud, digital, network, and generative AI. That said, we are closely watching for any impacts of the uncertain global macroeconomic environment on us and our customers’ demand and spending behavior. As generative AI technology matures, we believe there is now the potential to unlock even greater opportunities to enhance telco customer experience, agility, and efficiency. To fully capture this potential, we are accelerating our generative AI investments to open new pathways for future growth across our entire customer base. Overall, we expect revenue growth in the range of 1.7% to 5.7% as reported and 1.0% to 5.0% in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in fiscal year 2026, positioning us to deliver high-single digit expected total shareholder returns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 xml:space="preserve"> as we balance our strategic long-term investments with the benefits of ongoing cost and efficiency gains across the business.”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(All comparisons are against the prior year period)</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21"/>
        </w:trPr>
        <w:tc>
          <w:tcPr>
            <w:tcW w:w="35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580" w:type="dxa"/>
            <w:vAlign w:val="bottom"/>
          </w:tcPr>
          <w:p>
            <w:pPr>
              <w:spacing w:after="0"/>
              <w:rPr>
                <w:sz w:val="6"/>
                <w:szCs w:val="6"/>
                <w:color w:val="auto"/>
              </w:rPr>
            </w:pPr>
          </w:p>
        </w:tc>
        <w:tc>
          <w:tcPr>
            <w:tcW w:w="1760" w:type="dxa"/>
            <w:vAlign w:val="bottom"/>
            <w:gridSpan w:val="5"/>
          </w:tcPr>
          <w:p>
            <w:pPr>
              <w:jc w:val="center"/>
              <w:ind w:right="280"/>
              <w:spacing w:after="0" w:line="77" w:lineRule="exact"/>
              <w:rPr>
                <w:sz w:val="20"/>
                <w:szCs w:val="20"/>
                <w:color w:val="auto"/>
              </w:rPr>
            </w:pPr>
            <w:r>
              <w:rPr>
                <w:rFonts w:ascii="Times New Roman" w:cs="Times New Roman" w:eastAsia="Times New Roman" w:hAnsi="Times New Roman"/>
                <w:sz w:val="8"/>
                <w:szCs w:val="8"/>
                <w:b w:val="1"/>
                <w:bCs w:val="1"/>
                <w:color w:val="auto"/>
              </w:rPr>
              <w:t>Three months ended</w:t>
            </w:r>
          </w:p>
        </w:tc>
        <w:tc>
          <w:tcPr>
            <w:tcW w:w="40" w:type="dxa"/>
            <w:vAlign w:val="bottom"/>
          </w:tcPr>
          <w:p>
            <w:pPr>
              <w:spacing w:after="0"/>
              <w:rPr>
                <w:sz w:val="6"/>
                <w:szCs w:val="6"/>
                <w:color w:val="auto"/>
              </w:rPr>
            </w:pPr>
          </w:p>
        </w:tc>
        <w:tc>
          <w:tcPr>
            <w:tcW w:w="1140" w:type="dxa"/>
            <w:vAlign w:val="bottom"/>
            <w:gridSpan w:val="3"/>
          </w:tcPr>
          <w:p>
            <w:pPr>
              <w:jc w:val="right"/>
              <w:ind w:right="44"/>
              <w:spacing w:after="0" w:line="77" w:lineRule="exact"/>
              <w:rPr>
                <w:sz w:val="20"/>
                <w:szCs w:val="20"/>
                <w:color w:val="auto"/>
              </w:rPr>
            </w:pPr>
            <w:r>
              <w:rPr>
                <w:rFonts w:ascii="Times New Roman" w:cs="Times New Roman" w:eastAsia="Times New Roman" w:hAnsi="Times New Roman"/>
                <w:sz w:val="8"/>
                <w:szCs w:val="8"/>
                <w:b w:val="1"/>
                <w:bCs w:val="1"/>
                <w:color w:val="auto"/>
              </w:rPr>
              <w:t>Twelve months ended</w:t>
            </w: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40" w:type="dxa"/>
            <w:vAlign w:val="bottom"/>
          </w:tcPr>
          <w:p>
            <w:pPr>
              <w:spacing w:after="0"/>
              <w:rPr>
                <w:sz w:val="10"/>
                <w:szCs w:val="10"/>
                <w:color w:val="auto"/>
              </w:rPr>
            </w:pPr>
          </w:p>
        </w:tc>
        <w:tc>
          <w:tcPr>
            <w:tcW w:w="1720" w:type="dxa"/>
            <w:vAlign w:val="bottom"/>
            <w:gridSpan w:val="4"/>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0" w:type="dxa"/>
            <w:vAlign w:val="bottom"/>
          </w:tcPr>
          <w:p>
            <w:pPr>
              <w:spacing w:after="0"/>
              <w:rPr>
                <w:sz w:val="1"/>
                <w:szCs w:val="1"/>
                <w:color w:val="auto"/>
              </w:rPr>
            </w:pPr>
          </w:p>
        </w:tc>
      </w:tr>
      <w:tr>
        <w:trPr>
          <w:trHeight w:val="77"/>
        </w:trPr>
        <w:tc>
          <w:tcPr>
            <w:tcW w:w="3580" w:type="dxa"/>
            <w:vAlign w:val="bottom"/>
          </w:tcPr>
          <w:p>
            <w:pPr>
              <w:spacing w:after="0"/>
              <w:rPr>
                <w:sz w:val="6"/>
                <w:szCs w:val="6"/>
                <w:color w:val="auto"/>
              </w:rPr>
            </w:pPr>
          </w:p>
        </w:tc>
        <w:tc>
          <w:tcPr>
            <w:tcW w:w="62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1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jc w:val="center"/>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top w:val="single" w:sz="8" w:color="auto"/>
            </w:tcBorders>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400" w:type="dxa"/>
            <w:vAlign w:val="bottom"/>
            <w:tcBorders>
              <w:top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b w:val="1"/>
                <w:bCs w:val="1"/>
                <w:color w:val="auto"/>
              </w:rPr>
              <w:t>Previous</w:t>
            </w: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Guidance</w:t>
            </w: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w w:val="92"/>
              </w:rPr>
              <w:t>Guidance</w:t>
            </w:r>
          </w:p>
        </w:tc>
        <w:tc>
          <w:tcPr>
            <w:tcW w:w="0" w:type="dxa"/>
            <w:vAlign w:val="bottom"/>
          </w:tcPr>
          <w:p>
            <w:pPr>
              <w:spacing w:after="0"/>
              <w:rPr>
                <w:sz w:val="1"/>
                <w:szCs w:val="1"/>
                <w:color w:val="auto"/>
              </w:rPr>
            </w:pPr>
          </w:p>
        </w:tc>
      </w:tr>
      <w:tr>
        <w:trPr>
          <w:trHeight w:val="141"/>
        </w:trPr>
        <w:tc>
          <w:tcPr>
            <w:tcW w:w="35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$1,150</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7"/>
              </w:rPr>
              <w:t>$1,125-$1,165</w:t>
            </w:r>
          </w:p>
        </w:tc>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89"/>
              </w:rPr>
              <w:t>$4,533</w:t>
            </w:r>
          </w:p>
        </w:tc>
        <w:tc>
          <w:tcPr>
            <w:tcW w:w="4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Revenue Growth, as reported</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3"/>
                <w:szCs w:val="13"/>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(9.4)%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(10.0)%-(9.0)%</w:t>
            </w:r>
          </w:p>
        </w:tc>
        <w:tc>
          <w:tcPr>
            <w:tcW w:w="0" w:type="dxa"/>
            <w:vAlign w:val="bottom"/>
          </w:tcPr>
          <w:p>
            <w:pPr>
              <w:spacing w:after="0"/>
              <w:rPr>
                <w:sz w:val="1"/>
                <w:szCs w:val="1"/>
                <w:color w:val="auto"/>
              </w:rPr>
            </w:pPr>
          </w:p>
        </w:tc>
      </w:tr>
      <w:tr>
        <w:trPr>
          <w:trHeight w:val="152"/>
        </w:trPr>
        <w:tc>
          <w:tcPr>
            <w:tcW w:w="35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Revenue Growth, Pro-forma</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constant currency</w:t>
            </w:r>
            <w:r>
              <w:rPr>
                <w:rFonts w:ascii="Times New Roman" w:cs="Times New Roman" w:eastAsia="Times New Roman" w:hAnsi="Times New Roman"/>
                <w:sz w:val="17"/>
                <w:szCs w:val="17"/>
                <w:color w:val="auto"/>
                <w:vertAlign w:val="superscript"/>
              </w:rPr>
              <w:t>(2)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2.4%-3.4%</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fourth fiscal quarter of 2025 was above the midpoint of Amdocs’ guidance</w:t>
      </w:r>
    </w:p>
    <w:p>
      <w:pPr>
        <w:spacing w:after="0" w:line="87" w:lineRule="exact"/>
        <w:rPr>
          <w:rFonts w:ascii="Times New Roman" w:cs="Times New Roman" w:eastAsia="Times New Roman" w:hAnsi="Times New Roman"/>
          <w:sz w:val="13"/>
          <w:szCs w:val="13"/>
          <w:color w:val="auto"/>
        </w:rPr>
      </w:pPr>
    </w:p>
    <w:p>
      <w:pPr>
        <w:jc w:val="both"/>
        <w:ind w:left="1320" w:right="759" w:hanging="303"/>
        <w:spacing w:after="0" w:line="255"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 the fourth fiscal quarter includes a positive impact from foreign currency movements of approximately $5 million relative to the fourth quarter of fiscal 2024 and a positive impact from foreign currency movements of approximately $3 million relative to the third quarter of fiscal 2025</w:t>
      </w:r>
    </w:p>
    <w:p>
      <w:pPr>
        <w:sectPr>
          <w:pgSz w:w="11900" w:h="16838" w:orient="portrait"/>
          <w:cols w:equalWidth="0" w:num="1">
            <w:col w:w="9019"/>
          </w:cols>
          <w:pgMar w:left="1440" w:top="231" w:right="1440" w:bottom="1440" w:gutter="0" w:footer="0" w:header="0"/>
        </w:sectPr>
      </w:pPr>
    </w:p>
    <w:bookmarkStart w:id="8" w:name="page9"/>
    <w:bookmarkEnd w:id="8"/>
    <w:p>
      <w:pPr>
        <w:ind w:left="1320" w:right="71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Revenue for the full year fiscal 2025 includes an unfavorable impact from foreign currency movements of approximately 0.2% year-over-year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Net Income and Earnings Per Share</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3620" w:type="dxa"/>
            <w:vAlign w:val="bottom"/>
            <w:gridSpan w:val="3"/>
          </w:tcPr>
          <w:p>
            <w:pPr>
              <w:ind w:left="2080"/>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 expect per share data</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81"/>
        </w:trPr>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gridSpan w:val="5"/>
          </w:tcPr>
          <w:p>
            <w:pPr>
              <w:jc w:val="center"/>
              <w:ind w:right="300"/>
              <w:spacing w:after="0" w:line="81" w:lineRule="exact"/>
              <w:rPr>
                <w:sz w:val="20"/>
                <w:szCs w:val="20"/>
                <w:color w:val="auto"/>
              </w:rPr>
            </w:pPr>
            <w:r>
              <w:rPr>
                <w:rFonts w:ascii="Times New Roman" w:cs="Times New Roman" w:eastAsia="Times New Roman" w:hAnsi="Times New Roman"/>
                <w:sz w:val="9"/>
                <w:szCs w:val="9"/>
                <w:b w:val="1"/>
                <w:bCs w:val="1"/>
                <w:color w:val="auto"/>
              </w:rPr>
              <w:t>Three months ended</w:t>
            </w:r>
          </w:p>
        </w:tc>
        <w:tc>
          <w:tcPr>
            <w:tcW w:w="60" w:type="dxa"/>
            <w:vAlign w:val="bottom"/>
          </w:tcPr>
          <w:p>
            <w:pPr>
              <w:spacing w:after="0"/>
              <w:rPr>
                <w:sz w:val="7"/>
                <w:szCs w:val="7"/>
                <w:color w:val="auto"/>
              </w:rPr>
            </w:pPr>
          </w:p>
        </w:tc>
        <w:tc>
          <w:tcPr>
            <w:tcW w:w="1140" w:type="dxa"/>
            <w:vAlign w:val="bottom"/>
            <w:gridSpan w:val="4"/>
          </w:tcPr>
          <w:p>
            <w:pPr>
              <w:jc w:val="right"/>
              <w:ind w:right="79"/>
              <w:spacing w:after="0" w:line="81" w:lineRule="exact"/>
              <w:rPr>
                <w:sz w:val="20"/>
                <w:szCs w:val="20"/>
                <w:color w:val="auto"/>
              </w:rPr>
            </w:pPr>
            <w:r>
              <w:rPr>
                <w:rFonts w:ascii="Times New Roman" w:cs="Times New Roman" w:eastAsia="Times New Roman" w:hAnsi="Times New Roman"/>
                <w:sz w:val="9"/>
                <w:szCs w:val="9"/>
                <w:b w:val="1"/>
                <w:bCs w:val="1"/>
                <w:color w:val="auto"/>
              </w:rPr>
              <w:t>Twelve months ended</w:t>
            </w:r>
          </w:p>
        </w:tc>
        <w:tc>
          <w:tcPr>
            <w:tcW w:w="40" w:type="dxa"/>
            <w:vAlign w:val="bottom"/>
          </w:tcPr>
          <w:p>
            <w:pPr>
              <w:spacing w:after="0"/>
              <w:rPr>
                <w:sz w:val="7"/>
                <w:szCs w:val="7"/>
                <w:color w:val="auto"/>
              </w:rPr>
            </w:pPr>
          </w:p>
        </w:tc>
      </w:tr>
      <w:tr>
        <w:trPr>
          <w:trHeight w:val="121"/>
        </w:trPr>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5"/>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0" w:type="dxa"/>
            <w:vAlign w:val="bottom"/>
          </w:tcPr>
          <w:p>
            <w:pPr>
              <w:spacing w:after="0"/>
              <w:rPr>
                <w:sz w:val="10"/>
                <w:szCs w:val="10"/>
                <w:color w:val="auto"/>
              </w:rPr>
            </w:pPr>
          </w:p>
        </w:tc>
        <w:tc>
          <w:tcPr>
            <w:tcW w:w="1180" w:type="dxa"/>
            <w:vAlign w:val="bottom"/>
            <w:gridSpan w:val="5"/>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900" w:type="dxa"/>
            <w:vAlign w:val="bottom"/>
            <w:tcBorders>
              <w:bottom w:val="single" w:sz="8" w:color="CCEEFF"/>
            </w:tcBorders>
          </w:tcPr>
          <w:p>
            <w:pPr>
              <w:spacing w:after="0"/>
              <w:rPr>
                <w:sz w:val="8"/>
                <w:szCs w:val="8"/>
                <w:color w:val="auto"/>
              </w:rPr>
            </w:pPr>
          </w:p>
        </w:tc>
        <w:tc>
          <w:tcPr>
            <w:tcW w:w="260" w:type="dxa"/>
            <w:vAlign w:val="bottom"/>
            <w:tcBorders>
              <w:bottom w:val="single" w:sz="8" w:color="CCEEFF"/>
            </w:tcBorders>
          </w:tcPr>
          <w:p>
            <w:pPr>
              <w:spacing w:after="0"/>
              <w:rPr>
                <w:sz w:val="8"/>
                <w:szCs w:val="8"/>
                <w:color w:val="auto"/>
              </w:rPr>
            </w:pPr>
          </w:p>
        </w:tc>
        <w:tc>
          <w:tcPr>
            <w:tcW w:w="246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82"/>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82"/>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8"/>
                <w:szCs w:val="8"/>
                <w:color w:val="auto"/>
              </w:rPr>
            </w:pPr>
          </w:p>
        </w:tc>
      </w:tr>
      <w:tr>
        <w:trPr>
          <w:trHeight w:val="112"/>
        </w:trPr>
        <w:tc>
          <w:tcPr>
            <w:tcW w:w="900" w:type="dxa"/>
            <w:vAlign w:val="bottom"/>
            <w:tcBorders>
              <w:bottom w:val="single" w:sz="8" w:color="auto"/>
            </w:tcBorders>
            <w:shd w:val="clear" w:color="auto" w:fill="CCEEFF"/>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GAAP Measures</w:t>
            </w:r>
          </w:p>
        </w:tc>
        <w:tc>
          <w:tcPr>
            <w:tcW w:w="2720" w:type="dxa"/>
            <w:vAlign w:val="bottom"/>
            <w:tcBorders>
              <w:bottom w:val="single" w:sz="8" w:color="CCEEFF"/>
            </w:tcBorders>
            <w:gridSpan w:val="2"/>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r>
      <w:tr>
        <w:trPr>
          <w:trHeight w:val="15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97,114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87,176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4"/>
              </w:rPr>
              <w:t>567,769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496,321</w:t>
            </w:r>
          </w:p>
        </w:tc>
      </w:tr>
      <w:tr>
        <w:trPr>
          <w:trHeight w:val="152"/>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96,327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86,441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4"/>
              </w:rPr>
              <w:t>564,704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493,197</w:t>
            </w:r>
          </w:p>
        </w:tc>
      </w:tr>
      <w:tr>
        <w:trPr>
          <w:trHeight w:val="15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0.88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0.76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5.05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4.25</w:t>
            </w:r>
          </w:p>
        </w:tc>
      </w:tr>
      <w:tr>
        <w:trPr>
          <w:trHeight w:val="123"/>
        </w:trPr>
        <w:tc>
          <w:tcPr>
            <w:tcW w:w="362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Non-GAAP Measures</w:t>
            </w: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28"/>
        </w:trPr>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52"/>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4"/>
              </w:rPr>
              <w:t>202,203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195,668</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4"/>
              </w:rPr>
              <w:t>784,267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750,928</w:t>
            </w:r>
          </w:p>
        </w:tc>
      </w:tr>
      <w:tr>
        <w:trPr>
          <w:trHeight w:val="152"/>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4"/>
              </w:rPr>
              <w:t>201,416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194,933</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4"/>
              </w:rPr>
              <w:t>781,202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747,804</w:t>
            </w:r>
          </w:p>
        </w:tc>
      </w:tr>
      <w:tr>
        <w:trPr>
          <w:trHeight w:val="165"/>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1.83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6.99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6.44</w:t>
            </w:r>
          </w:p>
        </w:tc>
      </w:tr>
    </w:tbl>
    <w:p>
      <w:pPr>
        <w:spacing w:after="0" w:line="145" w:lineRule="exact"/>
        <w:rPr>
          <w:sz w:val="20"/>
          <w:szCs w:val="20"/>
          <w:color w:val="auto"/>
        </w:rPr>
      </w:pPr>
    </w:p>
    <w:p>
      <w:pPr>
        <w:ind w:left="1320" w:right="799" w:hanging="303"/>
        <w:spacing w:after="0" w:line="251"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Capital Allocation</w:t>
      </w:r>
    </w:p>
    <w:p>
      <w:pPr>
        <w:spacing w:after="0" w:line="87" w:lineRule="exact"/>
        <w:rPr>
          <w:sz w:val="20"/>
          <w:szCs w:val="20"/>
          <w:color w:val="auto"/>
        </w:rPr>
      </w:pPr>
    </w:p>
    <w:p>
      <w:pPr>
        <w:ind w:left="1320" w:right="719" w:hanging="303"/>
        <w:spacing w:after="0" w:line="25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Quarterly Cash Dividend Program: </w:t>
      </w:r>
      <w:r>
        <w:rPr>
          <w:rFonts w:ascii="Times New Roman" w:cs="Times New Roman" w:eastAsia="Times New Roman" w:hAnsi="Times New Roman"/>
          <w:sz w:val="13"/>
          <w:szCs w:val="13"/>
          <w:color w:val="auto"/>
        </w:rPr>
        <w:t>On November 11, 2025, the Board approved the Company’s next quarterly cash dividend payment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$0.527 per share, and set December 31, 2025 as the record date for determining the shareholders entitled to receive the dividend, which will be payable on January 30, 2026</w:t>
      </w:r>
    </w:p>
    <w:p>
      <w:pPr>
        <w:spacing w:after="0" w:line="61" w:lineRule="exact"/>
        <w:rPr>
          <w:rFonts w:ascii="Times New Roman" w:cs="Times New Roman" w:eastAsia="Times New Roman" w:hAnsi="Times New Roman"/>
          <w:sz w:val="13"/>
          <w:szCs w:val="13"/>
          <w:color w:val="auto"/>
        </w:rPr>
      </w:pPr>
    </w:p>
    <w:p>
      <w:pPr>
        <w:jc w:val="both"/>
        <w:ind w:left="1320" w:right="679" w:hanging="303"/>
        <w:spacing w:after="0" w:line="309" w:lineRule="auto"/>
        <w:tabs>
          <w:tab w:leader="none" w:pos="13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also approved an 8% increase in the Company’s quarterly cash dividend payment to $0.569 per share, which is anticipated to be first paid in April 2026, provided that the increase is approved by shareholders at the January 2026 annual general meeting of shareholders</w:t>
      </w:r>
    </w:p>
    <w:p>
      <w:pPr>
        <w:sectPr>
          <w:pgSz w:w="11900" w:h="16838" w:orient="portrait"/>
          <w:cols w:equalWidth="0" w:num="1">
            <w:col w:w="9019"/>
          </w:cols>
          <w:pgMar w:left="1440" w:top="231" w:right="1440" w:bottom="1440" w:gutter="0" w:footer="0" w:header="0"/>
        </w:sectPr>
      </w:pPr>
    </w:p>
    <w:bookmarkStart w:id="9" w:name="page10"/>
    <w:bookmarkEnd w:id="9"/>
    <w:p>
      <w:pPr>
        <w:ind w:left="1320" w:hanging="303"/>
        <w:spacing w:after="0"/>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Share Repurchase Activity: </w:t>
      </w:r>
      <w:r>
        <w:rPr>
          <w:rFonts w:ascii="Times New Roman" w:cs="Times New Roman" w:eastAsia="Times New Roman" w:hAnsi="Times New Roman"/>
          <w:sz w:val="13"/>
          <w:szCs w:val="13"/>
          <w:color w:val="auto"/>
        </w:rPr>
        <w:t>Repurchased $136 million of ordinary shares during the fourth quarter of fiscal 2025</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Twelve-month Backlog</w:t>
      </w:r>
    </w:p>
    <w:p>
      <w:pPr>
        <w:spacing w:after="0" w:line="80" w:lineRule="exact"/>
        <w:rPr>
          <w:sz w:val="20"/>
          <w:szCs w:val="20"/>
          <w:color w:val="auto"/>
        </w:rPr>
      </w:pPr>
    </w:p>
    <w:p>
      <w:pPr>
        <w:jc w:val="both"/>
        <w:ind w:left="640" w:right="779"/>
        <w:spacing w:after="0" w:line="255" w:lineRule="auto"/>
        <w:rPr>
          <w:sz w:val="20"/>
          <w:szCs w:val="20"/>
          <w:color w:val="auto"/>
        </w:rPr>
      </w:pPr>
      <w:r>
        <w:rPr>
          <w:rFonts w:ascii="Times New Roman" w:cs="Times New Roman" w:eastAsia="Times New Roman" w:hAnsi="Times New Roman"/>
          <w:sz w:val="13"/>
          <w:szCs w:val="13"/>
          <w:color w:val="auto"/>
        </w:rPr>
        <w:t>Twelve-month backlog was $4.19 billion at the end of the fourth quarter of fiscal 2025, up approximately 3.2% as compared to last year’s fourth fiscal quarter. Twelve-month backlog includes anticipated revenue related to contracts, estimated revenue from managed services contracts, letters of intent, maintenance and estimated on-going support activities.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Fiscal 2026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 millions, except</w:t>
            </w:r>
          </w:p>
        </w:tc>
      </w:tr>
      <w:tr>
        <w:trPr>
          <w:trHeight w:val="121"/>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 share data</w:t>
            </w:r>
          </w:p>
        </w:tc>
      </w:tr>
      <w:tr>
        <w:trPr>
          <w:trHeight w:val="94"/>
        </w:trPr>
        <w:tc>
          <w:tcPr>
            <w:tcW w:w="442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43"/>
              <w:spacing w:after="0" w:line="94" w:lineRule="exact"/>
              <w:rPr>
                <w:sz w:val="20"/>
                <w:szCs w:val="20"/>
                <w:color w:val="auto"/>
              </w:rPr>
            </w:pPr>
            <w:r>
              <w:rPr>
                <w:rFonts w:ascii="Times New Roman" w:cs="Times New Roman" w:eastAsia="Times New Roman" w:hAnsi="Times New Roman"/>
                <w:sz w:val="10"/>
                <w:szCs w:val="10"/>
                <w:b w:val="1"/>
                <w:bCs w:val="1"/>
                <w:color w:val="auto"/>
              </w:rPr>
              <w:t>Q1 – 2026</w:t>
            </w:r>
          </w:p>
        </w:tc>
        <w:tc>
          <w:tcPr>
            <w:tcW w:w="20" w:type="dxa"/>
            <w:vAlign w:val="bottom"/>
            <w:tcBorders>
              <w:bottom w:val="single" w:sz="8" w:color="CCEEFF"/>
            </w:tcBorders>
          </w:tcPr>
          <w:p>
            <w:pPr>
              <w:spacing w:after="0"/>
              <w:rPr>
                <w:sz w:val="8"/>
                <w:szCs w:val="8"/>
                <w:color w:val="auto"/>
              </w:rPr>
            </w:pPr>
          </w:p>
        </w:tc>
      </w:tr>
      <w:tr>
        <w:trPr>
          <w:trHeight w:val="141"/>
        </w:trPr>
        <w:tc>
          <w:tcPr>
            <w:tcW w:w="44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80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8"/>
              </w:rPr>
              <w:t>$ 1,135-$1,175</w:t>
            </w:r>
          </w:p>
        </w:tc>
        <w:tc>
          <w:tcPr>
            <w:tcW w:w="20" w:type="dxa"/>
            <w:vAlign w:val="bottom"/>
            <w:shd w:val="clear" w:color="auto" w:fill="CCEEFF"/>
          </w:tcPr>
          <w:p>
            <w:pPr>
              <w:spacing w:after="0"/>
              <w:rPr>
                <w:sz w:val="12"/>
                <w:szCs w:val="12"/>
                <w:color w:val="auto"/>
              </w:rPr>
            </w:pPr>
          </w:p>
        </w:tc>
      </w:tr>
      <w:tr>
        <w:trPr>
          <w:trHeight w:val="152"/>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GAAP Diluted earnings per share</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1.36-$1.44</w:t>
            </w:r>
          </w:p>
        </w:tc>
      </w:tr>
      <w:tr>
        <w:trPr>
          <w:trHeight w:val="15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1.73-$1.79</w:t>
            </w:r>
          </w:p>
        </w:tc>
      </w:tr>
    </w:tbl>
    <w:p>
      <w:pPr>
        <w:spacing w:after="0" w:line="158" w:lineRule="exact"/>
        <w:rPr>
          <w:sz w:val="20"/>
          <w:szCs w:val="20"/>
          <w:color w:val="auto"/>
        </w:rPr>
      </w:pPr>
    </w:p>
    <w:p>
      <w:pPr>
        <w:ind w:left="1320" w:right="93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quarter revenue guidance assumes a negative $1 million sequential impact from foreign currency fluctuations as compared to the fourth quarter of fiscal 2025</w:t>
      </w:r>
    </w:p>
    <w:p>
      <w:pPr>
        <w:spacing w:after="0" w:line="55" w:lineRule="exact"/>
        <w:rPr>
          <w:rFonts w:ascii="Times New Roman" w:cs="Times New Roman" w:eastAsia="Times New Roman" w:hAnsi="Times New Roman"/>
          <w:sz w:val="13"/>
          <w:szCs w:val="13"/>
          <w:color w:val="auto"/>
        </w:rPr>
      </w:pPr>
    </w:p>
    <w:p>
      <w:pPr>
        <w:jc w:val="both"/>
        <w:ind w:left="1320" w:right="759" w:hanging="303"/>
        <w:spacing w:after="0" w:line="255"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First quarter non-GAAP diluted EPS guidance excludes primarily equity-based compensation expense of approximately $0.21-$0.23 per share, amortization of purchased intangible assets and other acquisition-related costs of approximately $0.11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ectPr>
          <w:pgSz w:w="11900" w:h="16838" w:orient="portrait"/>
          <w:cols w:equalWidth="0" w:num="1">
            <w:col w:w="9019"/>
          </w:cols>
          <w:pgMar w:left="1440" w:top="229"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Full Year Fiscal 2026 Outlook</w:t>
      </w:r>
    </w:p>
    <w:p>
      <w:pPr>
        <w:spacing w:after="0" w:line="200" w:lineRule="exact"/>
        <w:rPr>
          <w:sz w:val="20"/>
          <w:szCs w:val="20"/>
          <w:color w:val="auto"/>
        </w:rPr>
      </w:pPr>
    </w:p>
    <w:p>
      <w:pPr>
        <w:spacing w:after="0" w:line="29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color w:val="auto"/>
        </w:rPr>
        <w:t>Revenue growth,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-86360</wp:posOffset>
            </wp:positionV>
            <wp:extent cx="3333750" cy="102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3750" cy="102235"/>
                    </a:xfrm>
                    <a:prstGeom prst="rect">
                      <a:avLst/>
                    </a:prstGeom>
                    <a:noFill/>
                  </pic:spPr>
                </pic:pic>
              </a:graphicData>
            </a:graphic>
          </wp:anchor>
        </w:drawing>
      </w:r>
    </w:p>
    <w:p>
      <w:pPr>
        <w:jc w:val="right"/>
        <w:ind w:right="1780"/>
        <w:spacing w:after="0" w:line="205" w:lineRule="auto"/>
        <w:rPr>
          <w:sz w:val="20"/>
          <w:szCs w:val="20"/>
          <w:color w:val="auto"/>
        </w:rPr>
      </w:pPr>
      <w:r>
        <w:rPr>
          <w:rFonts w:ascii="Times New Roman" w:cs="Times New Roman" w:eastAsia="Times New Roman" w:hAnsi="Times New Roman"/>
          <w:sz w:val="13"/>
          <w:szCs w:val="13"/>
          <w:color w:val="auto"/>
        </w:rPr>
        <w:t>Revenue growth, constant currency</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0</wp:posOffset>
            </wp:positionV>
            <wp:extent cx="3333750" cy="96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33750" cy="9652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3"/>
          <w:szCs w:val="13"/>
          <w:color w:val="auto"/>
        </w:rPr>
        <w:t>GAAP diluted EPS growth</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color w:val="auto"/>
        </w:rPr>
        <w:t>Non-GAAP diluted EPS growth</w:t>
      </w:r>
    </w:p>
    <w:p>
      <w:pPr>
        <w:spacing w:after="0" w:line="200" w:lineRule="exact"/>
        <w:rPr>
          <w:sz w:val="20"/>
          <w:szCs w:val="20"/>
          <w:color w:val="auto"/>
        </w:rPr>
      </w:pPr>
    </w:p>
    <w:p>
      <w:pPr>
        <w:spacing w:after="0" w:line="2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-122555</wp:posOffset>
            </wp:positionV>
            <wp:extent cx="3333750" cy="102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33750" cy="102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9"/>
          <w:szCs w:val="9"/>
          <w:b w:val="1"/>
          <w:bCs w:val="1"/>
          <w:color w:val="auto"/>
        </w:rPr>
        <w:t>FY 2026, year-over-</w:t>
      </w:r>
    </w:p>
    <w:p>
      <w:pPr>
        <w:spacing w:after="0" w:line="11"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0"/>
          <w:szCs w:val="10"/>
          <w:b w:val="1"/>
          <w:bCs w:val="1"/>
          <w:color w:val="auto"/>
        </w:rPr>
        <w:t>year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54165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jc w:val="center"/>
        <w:ind w:right="1899"/>
        <w:spacing w:after="0"/>
        <w:rPr>
          <w:sz w:val="20"/>
          <w:szCs w:val="20"/>
          <w:color w:val="auto"/>
        </w:rPr>
      </w:pPr>
      <w:r>
        <w:rPr>
          <w:rFonts w:ascii="Times New Roman" w:cs="Times New Roman" w:eastAsia="Times New Roman" w:hAnsi="Times New Roman"/>
          <w:sz w:val="10"/>
          <w:szCs w:val="10"/>
          <w:b w:val="1"/>
          <w:bCs w:val="1"/>
          <w:color w:val="auto"/>
        </w:rPr>
        <w:t>Guidance</w:t>
      </w:r>
    </w:p>
    <w:p>
      <w:pPr>
        <w:spacing w:after="0" w:line="5"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3"/>
          <w:szCs w:val="13"/>
          <w:color w:val="auto"/>
        </w:rPr>
        <w:t>1.7%-5.7%</w:t>
      </w:r>
    </w:p>
    <w:p>
      <w:pPr>
        <w:spacing w:after="0" w:line="1"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3"/>
          <w:szCs w:val="13"/>
          <w:color w:val="auto"/>
        </w:rPr>
        <w:t>1.0%-5.0%</w:t>
      </w:r>
    </w:p>
    <w:p>
      <w:pPr>
        <w:spacing w:after="0" w:line="2"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3"/>
          <w:szCs w:val="13"/>
          <w:color w:val="auto"/>
        </w:rPr>
        <w:t>13.5%-20.5%</w:t>
      </w:r>
    </w:p>
    <w:p>
      <w:pPr>
        <w:spacing w:after="0" w:line="2"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3"/>
          <w:szCs w:val="13"/>
          <w:color w:val="auto"/>
        </w:rPr>
        <w:t>4.0%-8.0%</w:t>
      </w:r>
    </w:p>
    <w:p>
      <w:pPr>
        <w:spacing w:after="0" w:line="137" w:lineRule="exact"/>
        <w:rPr>
          <w:sz w:val="20"/>
          <w:szCs w:val="20"/>
          <w:color w:val="auto"/>
        </w:rPr>
      </w:pPr>
    </w:p>
    <w:p>
      <w:pPr>
        <w:jc w:val="center"/>
        <w:ind w:right="1899"/>
        <w:spacing w:after="0"/>
        <w:rPr>
          <w:sz w:val="20"/>
          <w:szCs w:val="20"/>
          <w:color w:val="auto"/>
        </w:rPr>
      </w:pPr>
      <w:r>
        <w:rPr>
          <w:rFonts w:ascii="Times New Roman" w:cs="Times New Roman" w:eastAsia="Times New Roman" w:hAnsi="Times New Roman"/>
          <w:sz w:val="10"/>
          <w:szCs w:val="10"/>
          <w:b w:val="1"/>
          <w:bCs w:val="1"/>
          <w:color w:val="auto"/>
        </w:rPr>
        <w:t>FY 2026, in</w:t>
      </w:r>
    </w:p>
    <w:p>
      <w:pPr>
        <w:jc w:val="center"/>
        <w:ind w:right="1899"/>
        <w:spacing w:after="0"/>
        <w:rPr>
          <w:sz w:val="20"/>
          <w:szCs w:val="20"/>
          <w:color w:val="auto"/>
        </w:rPr>
      </w:pPr>
      <w:r>
        <w:rPr>
          <w:rFonts w:ascii="Times New Roman" w:cs="Times New Roman" w:eastAsia="Times New Roman" w:hAnsi="Times New Roman"/>
          <w:sz w:val="10"/>
          <w:szCs w:val="10"/>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54165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jc w:val="center"/>
        <w:ind w:right="1899"/>
        <w:spacing w:after="0"/>
        <w:rPr>
          <w:sz w:val="20"/>
          <w:szCs w:val="20"/>
          <w:color w:val="auto"/>
        </w:rPr>
      </w:pPr>
      <w:r>
        <w:rPr>
          <w:rFonts w:ascii="Times New Roman" w:cs="Times New Roman" w:eastAsia="Times New Roman" w:hAnsi="Times New Roman"/>
          <w:sz w:val="10"/>
          <w:szCs w:val="10"/>
          <w:b w:val="1"/>
          <w:bCs w:val="1"/>
          <w:color w:val="auto"/>
        </w:rPr>
        <w:t>Guidance</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$710-$730</w:t>
      </w:r>
    </w:p>
    <w:p>
      <w:pPr>
        <w:spacing w:after="0" w:line="159" w:lineRule="exact"/>
        <w:rPr>
          <w:sz w:val="20"/>
          <w:szCs w:val="20"/>
          <w:color w:val="auto"/>
        </w:rPr>
      </w:pPr>
    </w:p>
    <w:p>
      <w:pPr>
        <w:sectPr>
          <w:pgSz w:w="11900" w:h="16838" w:orient="portrait"/>
          <w:cols w:equalWidth="0" w:num="2">
            <w:col w:w="5560" w:space="720"/>
            <w:col w:w="2739"/>
          </w:cols>
          <w:pgMar w:left="1440" w:top="229" w:right="1440" w:bottom="1440" w:gutter="0" w:footer="0" w:header="0"/>
        </w:sectPr>
      </w:pPr>
    </w:p>
    <w:p>
      <w:pPr>
        <w:ind w:left="1320" w:right="679" w:hanging="303"/>
        <w:spacing w:after="0" w:line="267"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2026 revenue guidance incorporates an expected positive impact from foreign currency fluctuations of approximately 0.7% year-over-year and includes some inorganic contribution</w:t>
      </w:r>
    </w:p>
    <w:p>
      <w:pPr>
        <w:spacing w:after="0" w:line="55" w:lineRule="exact"/>
        <w:rPr>
          <w:rFonts w:ascii="Times New Roman" w:cs="Times New Roman" w:eastAsia="Times New Roman" w:hAnsi="Times New Roman"/>
          <w:sz w:val="13"/>
          <w:szCs w:val="13"/>
          <w:color w:val="auto"/>
        </w:rPr>
      </w:pPr>
    </w:p>
    <w:p>
      <w:pPr>
        <w:ind w:left="1320" w:right="739" w:hanging="303"/>
        <w:spacing w:after="0" w:line="255"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diluted earnings per share growth excludes primarily equity-based compensation expense of approximately $0.90-$0.98 per share, amortization of purchased intangible assets and other acquisition-related costs of approximately $0.41 per share, changes in certain acquisitions related liabilities measured at fair value, and other, net of related tax effects</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GAAP diluted EPS guidance does not include the impact of future restructuring charges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margin is anticipated to be within a range of 21.3% to 21.9% for the full year fiscal 2026</w:t>
      </w:r>
    </w:p>
    <w:p>
      <w:pPr>
        <w:spacing w:after="0" w:line="87" w:lineRule="exact"/>
        <w:rPr>
          <w:rFonts w:ascii="Times New Roman" w:cs="Times New Roman" w:eastAsia="Times New Roman" w:hAnsi="Times New Roman"/>
          <w:sz w:val="13"/>
          <w:szCs w:val="13"/>
          <w:color w:val="auto"/>
        </w:rPr>
      </w:pPr>
    </w:p>
    <w:p>
      <w:pPr>
        <w:ind w:left="1320" w:right="819" w:hanging="303"/>
        <w:spacing w:after="0" w:line="309" w:lineRule="auto"/>
        <w:tabs>
          <w:tab w:leader="none" w:pos="1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operating margin is comprised of GAAP operating margin, excluding amortization of purchased intangible assets and other, equity-based compensation expense, restructuring charges, and changes in certain acquisitions related liabilities measured at fair value</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effective tax rate is anticipated to be within a range of 16% to 19% for the full year fiscal 2026</w:t>
      </w:r>
    </w:p>
    <w:p>
      <w:pPr>
        <w:spacing w:after="0" w:line="87" w:lineRule="exact"/>
        <w:rPr>
          <w:rFonts w:ascii="Times New Roman" w:cs="Times New Roman" w:eastAsia="Times New Roman" w:hAnsi="Times New Roman"/>
          <w:sz w:val="13"/>
          <w:szCs w:val="13"/>
          <w:color w:val="auto"/>
        </w:rPr>
      </w:pPr>
    </w:p>
    <w:p>
      <w:pPr>
        <w:ind w:left="1320" w:right="679" w:hanging="303"/>
        <w:spacing w:after="0" w:line="212" w:lineRule="auto"/>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year fiscal 2026 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of $710 million to $730 million; 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is comprised of cash flow from operations, less net capital expenditures, and excludes payments related to restructuring charges</w:t>
      </w:r>
    </w:p>
    <w:p>
      <w:pPr>
        <w:sectPr>
          <w:pgSz w:w="11900" w:h="16838" w:orient="portrait"/>
          <w:cols w:equalWidth="0" w:num="1">
            <w:col w:w="9019"/>
          </w:cols>
          <w:pgMar w:left="1440" w:top="229" w:right="1440" w:bottom="1440" w:gutter="0" w:footer="0" w:header="0"/>
          <w:type w:val="continuous"/>
        </w:sectPr>
      </w:pPr>
    </w:p>
    <w:bookmarkStart w:id="11" w:name="page12"/>
    <w:bookmarkEnd w:id="11"/>
    <w:p>
      <w:pPr>
        <w:ind w:left="640" w:right="69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forward-looking statements regarding our first fiscal quarter 2026 and full year fiscal 2026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 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which have created, and continue to create, a significant amount of uncertainty, or from current and potential customer consolidation or their other strategic corporate activities.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Earnings Webcast Presentation Details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 xml:space="preserve">Amdocs will host a conference call and earnings webcast presentation on November 11, 2025 at 5:00 p.m. Eastern Time to discuss the Company’s fourth quarter of fiscal 2025 results. To participate in the call, please register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0" w:lineRule="exact"/>
        <w:rPr>
          <w:sz w:val="20"/>
          <w:szCs w:val="20"/>
          <w:color w:val="auto"/>
        </w:rPr>
      </w:pPr>
    </w:p>
    <w:p>
      <w:pPr>
        <w:ind w:left="640" w:right="739"/>
        <w:spacing w:after="0" w:line="214" w:lineRule="auto"/>
        <w:rPr>
          <w:sz w:val="20"/>
          <w:szCs w:val="20"/>
          <w:color w:val="auto"/>
        </w:rPr>
      </w:pPr>
      <w:r>
        <w:rPr>
          <w:rFonts w:ascii="Times New Roman" w:cs="Times New Roman" w:eastAsia="Times New Roman" w:hAnsi="Times New Roman"/>
          <w:sz w:val="13"/>
          <w:szCs w:val="13"/>
          <w:color w:val="auto"/>
        </w:rPr>
        <w:t>This release includes non-GAAP diluted earnings per share and other non-GAAP financial measures, including 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revenue on a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74" w:lineRule="exact"/>
        <w:rPr>
          <w:sz w:val="20"/>
          <w:szCs w:val="20"/>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purchased intangible assets and other acquisition-related costs;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certain acquisition-related liabilities measured at fair value;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restructuring and unusual charges or benefits;</w:t>
      </w:r>
    </w:p>
    <w:p>
      <w:pPr>
        <w:sectPr>
          <w:pgSz w:w="11900" w:h="16838" w:orient="portrait"/>
          <w:cols w:equalWidth="0" w:num="1">
            <w:col w:w="9019"/>
          </w:cols>
          <w:pgMar w:left="1440" w:top="231" w:right="1440" w:bottom="1440" w:gutter="0" w:footer="0" w:header="0"/>
        </w:sectPr>
      </w:pPr>
    </w:p>
    <w:bookmarkStart w:id="12" w:name="page13"/>
    <w:bookmarkEnd w:id="12"/>
    <w:p>
      <w:pPr>
        <w:ind w:left="1320" w:hanging="303"/>
        <w:spacing w:after="0"/>
        <w:tabs>
          <w:tab w:leader="none" w:pos="1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equity-based compensation expense;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and</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effects related to the above.</w:t>
      </w:r>
    </w:p>
    <w:p>
      <w:pPr>
        <w:spacing w:after="0" w:line="154" w:lineRule="exact"/>
        <w:rPr>
          <w:sz w:val="20"/>
          <w:szCs w:val="20"/>
          <w:color w:val="auto"/>
        </w:rPr>
      </w:pPr>
    </w:p>
    <w:p>
      <w:pPr>
        <w:ind w:left="640" w:right="659"/>
        <w:spacing w:after="0" w:line="232" w:lineRule="auto"/>
        <w:rPr>
          <w:sz w:val="20"/>
          <w:szCs w:val="20"/>
          <w:color w:val="auto"/>
        </w:rPr>
      </w:pPr>
      <w:r>
        <w:rPr>
          <w:rFonts w:ascii="Times New Roman" w:cs="Times New Roman" w:eastAsia="Times New Roman" w:hAnsi="Times New Roman"/>
          <w:sz w:val="13"/>
          <w:szCs w:val="13"/>
          <w:color w:val="auto"/>
        </w:rPr>
        <w:t>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39" w:lineRule="exact"/>
        <w:rPr>
          <w:sz w:val="20"/>
          <w:szCs w:val="20"/>
          <w:color w:val="auto"/>
        </w:rPr>
      </w:pPr>
    </w:p>
    <w:p>
      <w:pPr>
        <w:ind w:left="640" w:right="659"/>
        <w:spacing w:after="0" w:line="222" w:lineRule="auto"/>
        <w:rPr>
          <w:sz w:val="20"/>
          <w:szCs w:val="20"/>
          <w:color w:val="auto"/>
        </w:rPr>
      </w:pPr>
      <w:r>
        <w:rPr>
          <w:rFonts w:ascii="Times New Roman" w:cs="Times New Roman" w:eastAsia="Times New Roman" w:hAnsi="Times New Roman"/>
          <w:sz w:val="13"/>
          <w:szCs w:val="13"/>
          <w:color w:val="auto"/>
        </w:rPr>
        <w:t>Amdocs believes that the presentation of non-GAAP diluted earnings per share and other financial measures, including free cash flow</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revenue on a constant currency</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39" w:lineRule="exact"/>
        <w:rPr>
          <w:sz w:val="20"/>
          <w:szCs w:val="20"/>
          <w:color w:val="auto"/>
        </w:rPr>
      </w:pPr>
    </w:p>
    <w:p>
      <w:pPr>
        <w:ind w:left="640" w:right="819"/>
        <w:spacing w:after="0" w:line="286" w:lineRule="auto"/>
        <w:rPr>
          <w:sz w:val="20"/>
          <w:szCs w:val="20"/>
          <w:color w:val="auto"/>
        </w:rPr>
      </w:pPr>
      <w:r>
        <w:rPr>
          <w:rFonts w:ascii="Times New Roman" w:cs="Times New Roman" w:eastAsia="Times New Roman" w:hAnsi="Times New Roman"/>
          <w:sz w:val="12"/>
          <w:szCs w:val="12"/>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w:t>
      </w:r>
    </w:p>
    <w:p>
      <w:pPr>
        <w:sectPr>
          <w:pgSz w:w="11900" w:h="16838" w:orient="portrait"/>
          <w:cols w:equalWidth="0" w:num="1">
            <w:col w:w="9019"/>
          </w:cols>
          <w:pgMar w:left="1440" w:top="231" w:right="1440" w:bottom="1440" w:gutter="0" w:footer="0" w:header="0"/>
        </w:sectPr>
      </w:pPr>
    </w:p>
    <w:bookmarkStart w:id="13" w:name="page14"/>
    <w:bookmarkEnd w:id="13"/>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3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Supporting Resources</w:t>
      </w:r>
    </w:p>
    <w:p>
      <w:pPr>
        <w:spacing w:after="0" w:line="89" w:lineRule="exact"/>
        <w:rPr>
          <w:sz w:val="20"/>
          <w:szCs w:val="20"/>
          <w:color w:val="auto"/>
        </w:rPr>
      </w:pPr>
    </w:p>
    <w:p>
      <w:pPr>
        <w:ind w:left="940" w:hanging="227"/>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Keep up with Amdocs news by visiting the Company’s </w:t>
      </w:r>
      <w:r>
        <w:rPr>
          <w:rFonts w:ascii="Times New Roman" w:cs="Times New Roman" w:eastAsia="Times New Roman" w:hAnsi="Times New Roman"/>
          <w:sz w:val="13"/>
          <w:szCs w:val="13"/>
          <w:u w:val="single" w:color="auto"/>
          <w:color w:val="auto"/>
        </w:rPr>
        <w:t>website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Subscribe to Amdocs’ </w:t>
      </w:r>
      <w:r>
        <w:rPr>
          <w:rFonts w:ascii="Times New Roman" w:cs="Times New Roman" w:eastAsia="Times New Roman" w:hAnsi="Times New Roman"/>
          <w:sz w:val="13"/>
          <w:szCs w:val="13"/>
          <w:u w:val="single" w:color="auto"/>
          <w:color w:val="auto"/>
        </w:rPr>
        <w:t>RSS Feed</w:t>
      </w:r>
      <w:r>
        <w:rPr>
          <w:rFonts w:ascii="Times New Roman" w:cs="Times New Roman" w:eastAsia="Times New Roman" w:hAnsi="Times New Roman"/>
          <w:sz w:val="13"/>
          <w:szCs w:val="13"/>
          <w:color w:val="auto"/>
        </w:rPr>
        <w:t xml:space="preserve"> and follow us on </w:t>
      </w:r>
      <w:r>
        <w:rPr>
          <w:rFonts w:ascii="Times New Roman" w:cs="Times New Roman" w:eastAsia="Times New Roman" w:hAnsi="Times New Roman"/>
          <w:sz w:val="13"/>
          <w:szCs w:val="13"/>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Facebook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YouTube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Amdocs</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Amdocs empowers the world’s leading communications and media companies to accelerate innovation and deliver exceptional customer experiences at scale. Our comprehensive portfolio of software products and services enable service providers to harness the transformative power of artificial intelligence, driving digital modernization, cloud adoption, intelligent network automation, and new revenue opportunities. With our talented people across the globe, we partner with our customers to turn advanced technology into measurable business outcomes, enriching lives and advancing a more connected society. Together, we help those who shape the future to make it amazing. Listed on the NASDAQ Global Select Market, Amdocs reported revenue of $4.53 billion in fiscal 2025.</w:t>
      </w:r>
    </w:p>
    <w:p>
      <w:pPr>
        <w:sectPr>
          <w:pgSz w:w="11900" w:h="16838" w:orient="portrait"/>
          <w:cols w:equalWidth="0" w:num="1">
            <w:col w:w="9019"/>
          </w:cols>
          <w:pgMar w:left="1440" w:top="231" w:right="1440" w:bottom="1440" w:gutter="0" w:footer="0" w:header="0"/>
        </w:sectPr>
      </w:pPr>
    </w:p>
    <w:bookmarkStart w:id="14" w:name="page15"/>
    <w:bookmarkEnd w:id="14"/>
    <w:p>
      <w:pPr>
        <w:ind w:left="640" w:right="6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2024, filed on December 17, 2024, and our Form 6-K furnished for the first quarter of fiscal 2025 on February 18, 2025, for the second quarter of fiscal 2025 on May 19, 2025, and for the third quarter of fiscal 2025 on August 18, 2025.</w:t>
      </w:r>
    </w:p>
    <w:p>
      <w:pPr>
        <w:sectPr>
          <w:pgSz w:w="11900" w:h="16838" w:orient="portrait"/>
          <w:cols w:equalWidth="0" w:num="1">
            <w:col w:w="9019"/>
          </w:cols>
          <w:pgMar w:left="1440" w:top="231"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Matthew Smith</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E-mail: dox_info@amdocs.com</w:t>
      </w:r>
    </w:p>
    <w:p>
      <w:pPr>
        <w:sectPr>
          <w:pgSz w:w="11900" w:h="16838" w:orient="portrait"/>
          <w:cols w:equalWidth="0" w:num="1">
            <w:col w:w="9019"/>
          </w:cols>
          <w:pgMar w:left="1440" w:top="229"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7"/>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 w:type="dxa"/>
            <w:vAlign w:val="bottom"/>
          </w:tcPr>
          <w:p>
            <w:pPr>
              <w:spacing w:after="0"/>
              <w:rPr>
                <w:sz w:val="10"/>
                <w:szCs w:val="10"/>
                <w:color w:val="auto"/>
              </w:rPr>
            </w:pPr>
          </w:p>
        </w:tc>
        <w:tc>
          <w:tcPr>
            <w:tcW w:w="1320" w:type="dxa"/>
            <w:vAlign w:val="bottom"/>
            <w:gridSpan w:val="6"/>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7"/>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10"/>
                <w:szCs w:val="10"/>
                <w:color w:val="auto"/>
              </w:rPr>
            </w:pPr>
          </w:p>
        </w:tc>
        <w:tc>
          <w:tcPr>
            <w:tcW w:w="1320" w:type="dxa"/>
            <w:vAlign w:val="bottom"/>
            <w:gridSpan w:val="6"/>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3"/>
          </w:tcPr>
          <w:p>
            <w:pPr>
              <w:jc w:val="right"/>
              <w:ind w:right="220"/>
              <w:spacing w:after="0" w:line="94"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7"/>
                <w:szCs w:val="7"/>
                <w:b w:val="1"/>
                <w:bCs w:val="1"/>
                <w:color w:val="auto"/>
              </w:rPr>
              <w:t>(a)</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tcPr>
          <w:p>
            <w:pPr>
              <w:jc w:val="right"/>
              <w:ind w:right="220"/>
              <w:spacing w:after="0" w:line="94" w:lineRule="exact"/>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7"/>
                <w:szCs w:val="7"/>
                <w:b w:val="1"/>
                <w:bCs w:val="1"/>
                <w:color w:val="auto"/>
              </w:rPr>
              <w:t>(a)</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8"/>
                <w:szCs w:val="8"/>
                <w:color w:val="auto"/>
              </w:rPr>
            </w:pPr>
          </w:p>
        </w:tc>
      </w:tr>
      <w:tr>
        <w:trPr>
          <w:trHeight w:val="141"/>
        </w:trPr>
        <w:tc>
          <w:tcPr>
            <w:tcW w:w="488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1,150,218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1,263,882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2"/>
              </w:rPr>
              <w:t>4,532,913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5,004,989</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719,878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824,888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2,811,333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3,249,598</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87,865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90,069</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340,845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360,798</w:t>
            </w: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121,807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138,705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506,108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572,845</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purchased intangible assets and other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14,287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14,333</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62,424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62,052</w:t>
            </w: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73,756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83,213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80,539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131,088</w:t>
            </w:r>
          </w:p>
        </w:tc>
      </w:tr>
      <w:tr>
        <w:trPr>
          <w:trHeight w:val="151"/>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1,017,593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1,151,208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3,801,249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4,376,381</w:t>
            </w:r>
          </w:p>
        </w:tc>
        <w:tc>
          <w:tcPr>
            <w:tcW w:w="80" w:type="dxa"/>
            <w:vAlign w:val="bottom"/>
          </w:tcPr>
          <w:p>
            <w:pPr>
              <w:spacing w:after="0"/>
              <w:rPr>
                <w:sz w:val="13"/>
                <w:szCs w:val="13"/>
                <w:color w:val="auto"/>
              </w:rPr>
            </w:pPr>
          </w:p>
        </w:tc>
      </w:tr>
      <w:tr>
        <w:trPr>
          <w:trHeight w:val="1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132,625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112,674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731,664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628,608</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(11,843)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(9,237)</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(38,422)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(37,537)</w:t>
            </w: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120,782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103,437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693,242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591,071</w:t>
            </w: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23,668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16,261</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94,750</w:t>
            </w: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97,114</w:t>
            </w:r>
          </w:p>
        </w:tc>
        <w:tc>
          <w:tcPr>
            <w:tcW w:w="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87,176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567,769</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496,321</w:t>
            </w:r>
          </w:p>
        </w:tc>
      </w:tr>
      <w:tr>
        <w:trPr>
          <w:trHeight w:val="161"/>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80" w:type="dxa"/>
            <w:vAlign w:val="bottom"/>
          </w:tcPr>
          <w:p>
            <w:pPr>
              <w:spacing w:after="0"/>
              <w:rPr>
                <w:sz w:val="14"/>
                <w:szCs w:val="14"/>
                <w:color w:val="auto"/>
              </w:rPr>
            </w:pPr>
          </w:p>
        </w:tc>
      </w:tr>
      <w:tr>
        <w:trPr>
          <w:trHeight w:val="16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Amdocs Limited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96,327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86,441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564,704</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493,197</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share attributable to Amdocs Limited</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tcPr>
          <w:p>
            <w:pPr>
              <w:spacing w:after="0"/>
              <w:rPr>
                <w:sz w:val="14"/>
                <w:szCs w:val="14"/>
                <w:color w:val="auto"/>
              </w:rPr>
            </w:pPr>
          </w:p>
        </w:tc>
      </w:tr>
      <w:tr>
        <w:trPr>
          <w:trHeight w:val="1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share attributable to Amdocs Limited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0.88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4.25</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Basic weighted average number of shares outstanding</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109,279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113,745</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111,147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115,489</w:t>
            </w:r>
          </w:p>
        </w:tc>
        <w:tc>
          <w:tcPr>
            <w:tcW w:w="80" w:type="dxa"/>
            <w:vAlign w:val="bottom"/>
          </w:tcPr>
          <w:p>
            <w:pPr>
              <w:spacing w:after="0"/>
              <w:rPr>
                <w:sz w:val="14"/>
                <w:szCs w:val="14"/>
                <w:color w:val="auto"/>
              </w:rPr>
            </w:pPr>
          </w:p>
        </w:tc>
      </w:tr>
      <w:tr>
        <w:trPr>
          <w:trHeight w:val="1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109,853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114,378</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111,746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116,145</w:t>
            </w:r>
          </w:p>
        </w:tc>
      </w:tr>
      <w:tr>
        <w:trPr>
          <w:trHeight w:val="170"/>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share</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0.527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0.479</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80" w:type="dxa"/>
            <w:vAlign w:val="bottom"/>
          </w:tcPr>
          <w:p>
            <w:pPr>
              <w:spacing w:after="0"/>
              <w:rPr>
                <w:sz w:val="14"/>
                <w:szCs w:val="14"/>
                <w:color w:val="auto"/>
              </w:rPr>
            </w:pPr>
          </w:p>
        </w:tc>
      </w:tr>
    </w:tbl>
    <w:p>
      <w:pPr>
        <w:sectPr>
          <w:pgSz w:w="11900" w:h="16838" w:orient="portrait"/>
          <w:cols w:equalWidth="0" w:num="1">
            <w:col w:w="9019"/>
          </w:cols>
          <w:pgMar w:left="1440" w:top="229"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Selected Financial Metrics</w:t>
      </w:r>
    </w:p>
    <w:p>
      <w:pPr>
        <w:jc w:val="center"/>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p>
      <w:pPr>
        <w:spacing w:after="0" w:line="13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8"/>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3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8"/>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r>
      <w:tr>
        <w:trPr>
          <w:trHeight w:val="94"/>
        </w:trPr>
        <w:tc>
          <w:tcPr>
            <w:tcW w:w="3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4"/>
          </w:tcPr>
          <w:p>
            <w:pPr>
              <w:jc w:val="right"/>
              <w:ind w:right="3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r>
              <w:rPr>
                <w:rFonts w:ascii="Times New Roman" w:cs="Times New Roman" w:eastAsia="Times New Roman" w:hAnsi="Times New Roman"/>
                <w:sz w:val="7"/>
                <w:szCs w:val="7"/>
                <w:b w:val="1"/>
                <w:bCs w:val="1"/>
                <w:color w:val="auto"/>
              </w:rPr>
              <w:t>(a)</w:t>
            </w: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right"/>
              <w:ind w:right="13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3"/>
          </w:tcPr>
          <w:p>
            <w:pPr>
              <w:jc w:val="right"/>
              <w:ind w:right="3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r>
              <w:rPr>
                <w:rFonts w:ascii="Times New Roman" w:cs="Times New Roman" w:eastAsia="Times New Roman" w:hAnsi="Times New Roman"/>
                <w:sz w:val="7"/>
                <w:szCs w:val="7"/>
                <w:b w:val="1"/>
                <w:bCs w:val="1"/>
                <w:color w:val="auto"/>
              </w:rPr>
              <w:t>(a)</w:t>
            </w: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31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7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3"/>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w w:val="92"/>
              </w:rPr>
              <w:t>$1,150,218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$1,263,882</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4"/>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w w:val="95"/>
              </w:rPr>
              <w:t>$4,532,913</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4"/>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5"/>
              </w:rPr>
              <w:t>$5,004,989</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operating income</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248,118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236,223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968,330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923,288</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income</w:t>
            </w: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202,203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195,668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784,267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750,928</w:t>
            </w:r>
          </w:p>
        </w:tc>
        <w:tc>
          <w:tcPr>
            <w:tcW w:w="40" w:type="dxa"/>
            <w:vAlign w:val="bottom"/>
            <w:shd w:val="clear" w:color="auto" w:fill="CCEEFF"/>
          </w:tcPr>
          <w:p>
            <w:pPr>
              <w:spacing w:after="0"/>
              <w:rPr>
                <w:sz w:val="13"/>
                <w:szCs w:val="13"/>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Non-GAAP net income attributable to Amdocs Limited</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201,416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194,933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781,202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747,804</w:t>
            </w: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diluted earnings per share</w:t>
            </w:r>
          </w:p>
        </w:tc>
        <w:tc>
          <w:tcPr>
            <w:tcW w:w="18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1.70</w:t>
            </w:r>
          </w:p>
        </w:tc>
        <w:tc>
          <w:tcPr>
            <w:tcW w:w="1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6.99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6.44</w:t>
            </w:r>
          </w:p>
        </w:tc>
      </w:tr>
      <w:tr>
        <w:trPr>
          <w:trHeight w:val="165"/>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 average number of shares outstanding</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109,853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114,378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111,746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116,145</w:t>
            </w:r>
          </w:p>
        </w:tc>
      </w:tr>
      <w:tr>
        <w:trPr>
          <w:trHeight w:val="425"/>
        </w:trPr>
        <w:tc>
          <w:tcPr>
            <w:tcW w:w="3120" w:type="dxa"/>
            <w:vAlign w:val="bottom"/>
          </w:tcPr>
          <w:p>
            <w:pPr>
              <w:spacing w:after="0"/>
              <w:rPr>
                <w:sz w:val="24"/>
                <w:szCs w:val="24"/>
                <w:color w:val="auto"/>
              </w:rPr>
            </w:pPr>
          </w:p>
        </w:tc>
        <w:tc>
          <w:tcPr>
            <w:tcW w:w="180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Free Cash Flows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20" w:type="dxa"/>
            <w:vAlign w:val="bottom"/>
          </w:tcPr>
          <w:p>
            <w:pPr>
              <w:spacing w:after="0"/>
              <w:rPr>
                <w:sz w:val="11"/>
                <w:szCs w:val="11"/>
                <w:color w:val="auto"/>
              </w:rPr>
            </w:pPr>
          </w:p>
        </w:tc>
        <w:tc>
          <w:tcPr>
            <w:tcW w:w="1800" w:type="dxa"/>
            <w:vAlign w:val="bottom"/>
            <w:gridSpan w:val="2"/>
          </w:tcPr>
          <w:p>
            <w:pPr>
              <w:jc w:val="center"/>
              <w:ind w:right="237"/>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47"/>
        </w:trPr>
        <w:tc>
          <w:tcPr>
            <w:tcW w:w="3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8"/>
          </w:tcPr>
          <w:p>
            <w:pPr>
              <w:ind w:left="1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Fiscal year ended</w:t>
            </w:r>
          </w:p>
        </w:tc>
      </w:tr>
      <w:tr>
        <w:trPr>
          <w:trHeight w:val="121"/>
        </w:trPr>
        <w:tc>
          <w:tcPr>
            <w:tcW w:w="3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8"/>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3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right"/>
              <w:ind w:right="57"/>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03"/>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9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1"/>
        </w:trPr>
        <w:tc>
          <w:tcPr>
            <w:tcW w:w="31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$229,840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$217,922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$ 749,096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724,428</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net (b)</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(31,212)</w:t>
            </w:r>
          </w:p>
        </w:tc>
        <w:tc>
          <w:tcPr>
            <w:tcW w:w="80" w:type="dxa"/>
            <w:vAlign w:val="bottom"/>
          </w:tcPr>
          <w:p>
            <w:pPr>
              <w:spacing w:after="0"/>
              <w:rPr>
                <w:sz w:val="13"/>
                <w:szCs w:val="13"/>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(25,812)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w w:val="98"/>
              </w:rPr>
              <w:t>(103,952)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4"/>
              </w:rPr>
              <w:t>(105,495)</w:t>
            </w:r>
          </w:p>
        </w:tc>
      </w:tr>
      <w:tr>
        <w:trPr>
          <w:trHeight w:val="15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$198,628</w:t>
            </w:r>
          </w:p>
        </w:tc>
        <w:tc>
          <w:tcPr>
            <w:tcW w:w="8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6"/>
              </w:rPr>
              <w:t>$ 192,110</w:t>
            </w: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$ 645,144</w:t>
            </w:r>
          </w:p>
        </w:tc>
        <w:tc>
          <w:tcPr>
            <w:tcW w:w="1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618,933</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00" w:lineRule="exact"/>
        <w:rPr>
          <w:sz w:val="20"/>
          <w:szCs w:val="20"/>
          <w:color w:val="auto"/>
        </w:rPr>
      </w:pPr>
    </w:p>
    <w:p>
      <w:pPr>
        <w:ind w:left="940" w:right="799" w:hanging="303"/>
        <w:spacing w:after="0" w:line="253" w:lineRule="auto"/>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December 31, 2024, we phased out several low-margin, non-core business activities, which were included in the prior periods numbers.</w:t>
      </w:r>
    </w:p>
    <w:p>
      <w:pPr>
        <w:spacing w:after="0" w:line="1" w:lineRule="exact"/>
        <w:rPr>
          <w:rFonts w:ascii="Times New Roman" w:cs="Times New Roman" w:eastAsia="Times New Roman" w:hAnsi="Times New Roman"/>
          <w:sz w:val="13"/>
          <w:szCs w:val="13"/>
          <w:color w:val="auto"/>
        </w:rPr>
      </w:pPr>
    </w:p>
    <w:p>
      <w:pPr>
        <w:ind w:left="940" w:right="799" w:hanging="303"/>
        <w:spacing w:after="0" w:line="246" w:lineRule="auto"/>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under “Purchase of property and equipment, net”, include immaterial proceeds from sale of property and equipment for all periods presented.</w:t>
      </w:r>
    </w:p>
    <w:p>
      <w:pPr>
        <w:sectPr>
          <w:pgSz w:w="11900" w:h="16838" w:orient="portrait"/>
          <w:cols w:equalWidth="0" w:num="1">
            <w:col w:w="9019"/>
          </w:cols>
          <w:pgMar w:left="1440" w:top="229"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2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1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2025</w:t>
            </w:r>
            <w:r>
              <w:rPr>
                <w:rFonts w:ascii="Times New Roman" w:cs="Times New Roman" w:eastAsia="Times New Roman" w:hAnsi="Times New Roman"/>
                <w:sz w:val="7"/>
                <w:szCs w:val="7"/>
                <w:b w:val="1"/>
                <w:bCs w:val="1"/>
                <w:color w:val="auto"/>
              </w:rPr>
              <w:t>(a)</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gridSpan w:val="4"/>
          </w:tcPr>
          <w:p>
            <w:pPr>
              <w:jc w:val="center"/>
              <w:ind w:right="12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4"/>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acquisitions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4"/>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180" w:type="dxa"/>
            <w:vAlign w:val="bottom"/>
          </w:tcPr>
          <w:p>
            <w:pPr>
              <w:spacing w:after="0"/>
              <w:rPr>
                <w:sz w:val="9"/>
                <w:szCs w:val="9"/>
                <w:color w:val="auto"/>
              </w:rPr>
            </w:pPr>
          </w:p>
        </w:tc>
        <w:tc>
          <w:tcPr>
            <w:tcW w:w="5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89"/>
              </w:rPr>
              <w:t>Equity based</w:t>
            </w:r>
          </w:p>
        </w:tc>
        <w:tc>
          <w:tcPr>
            <w:tcW w:w="160" w:type="dxa"/>
            <w:vAlign w:val="bottom"/>
          </w:tcPr>
          <w:p>
            <w:pPr>
              <w:spacing w:after="0"/>
              <w:rPr>
                <w:sz w:val="9"/>
                <w:szCs w:val="9"/>
                <w:color w:val="auto"/>
              </w:rPr>
            </w:pPr>
          </w:p>
        </w:tc>
        <w:tc>
          <w:tcPr>
            <w:tcW w:w="640" w:type="dxa"/>
            <w:vAlign w:val="bottom"/>
            <w:gridSpan w:val="4"/>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intangible</w:t>
            </w:r>
          </w:p>
        </w:tc>
        <w:tc>
          <w:tcPr>
            <w:tcW w:w="18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4"/>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80" w:type="dxa"/>
            <w:vAlign w:val="bottom"/>
          </w:tcPr>
          <w:p>
            <w:pPr>
              <w:spacing w:after="0"/>
              <w:rPr>
                <w:sz w:val="9"/>
                <w:szCs w:val="9"/>
                <w:color w:val="auto"/>
              </w:rPr>
            </w:pPr>
          </w:p>
        </w:tc>
        <w:tc>
          <w:tcPr>
            <w:tcW w:w="68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Tax</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8"/>
              </w:rPr>
              <w:t>GAAP</w:t>
            </w:r>
          </w:p>
        </w:tc>
        <w:tc>
          <w:tcPr>
            <w:tcW w:w="80" w:type="dxa"/>
            <w:vAlign w:val="bottom"/>
          </w:tcPr>
          <w:p>
            <w:pPr>
              <w:spacing w:after="0"/>
              <w:rPr>
                <w:sz w:val="9"/>
                <w:szCs w:val="9"/>
                <w:color w:val="auto"/>
              </w:rPr>
            </w:pPr>
          </w:p>
        </w:tc>
        <w:tc>
          <w:tcPr>
            <w:tcW w:w="580" w:type="dxa"/>
            <w:vAlign w:val="bottom"/>
            <w:gridSpan w:val="3"/>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rPr>
              <w:t>assets and</w:t>
            </w:r>
          </w:p>
        </w:tc>
        <w:tc>
          <w:tcPr>
            <w:tcW w:w="180" w:type="dxa"/>
            <w:vAlign w:val="bottom"/>
          </w:tcPr>
          <w:p>
            <w:pPr>
              <w:spacing w:after="0"/>
              <w:rPr>
                <w:sz w:val="9"/>
                <w:szCs w:val="9"/>
                <w:color w:val="auto"/>
              </w:rPr>
            </w:pPr>
          </w:p>
        </w:tc>
        <w:tc>
          <w:tcPr>
            <w:tcW w:w="58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w w:val="95"/>
              </w:rPr>
              <w:t>compensation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at fair</w:t>
            </w:r>
          </w:p>
        </w:tc>
        <w:tc>
          <w:tcPr>
            <w:tcW w:w="80" w:type="dxa"/>
            <w:vAlign w:val="bottom"/>
          </w:tcPr>
          <w:p>
            <w:pPr>
              <w:spacing w:after="0"/>
              <w:rPr>
                <w:sz w:val="9"/>
                <w:szCs w:val="9"/>
                <w:color w:val="auto"/>
              </w:rPr>
            </w:pPr>
          </w:p>
        </w:tc>
        <w:tc>
          <w:tcPr>
            <w:tcW w:w="6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80" w:type="dxa"/>
            <w:vAlign w:val="bottom"/>
          </w:tcPr>
          <w:p>
            <w:pPr>
              <w:spacing w:after="0"/>
              <w:rPr>
                <w:sz w:val="10"/>
                <w:szCs w:val="10"/>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12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9"/>
              </w:rPr>
              <w:t>719,878</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(13,062)</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(360)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2"/>
              </w:rPr>
              <w:t>$ 706,456</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87,865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85,265</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9"/>
              </w:rPr>
              <w:t>121,807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(11,068)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110,379</w:t>
            </w:r>
          </w:p>
        </w:tc>
        <w:tc>
          <w:tcPr>
            <w:tcW w:w="0" w:type="dxa"/>
            <w:vAlign w:val="bottom"/>
          </w:tcPr>
          <w:p>
            <w:pPr>
              <w:spacing w:after="0"/>
              <w:rPr>
                <w:sz w:val="1"/>
                <w:szCs w:val="1"/>
                <w:color w:val="auto"/>
              </w:rPr>
            </w:pPr>
          </w:p>
        </w:tc>
      </w:tr>
      <w:tr>
        <w:trPr>
          <w:trHeight w:val="139"/>
        </w:trPr>
        <w:tc>
          <w:tcPr>
            <w:tcW w:w="2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14,287</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w w:val="94"/>
              </w:rPr>
              <w:t>(14,287)</w:t>
            </w:r>
          </w:p>
        </w:tc>
        <w:tc>
          <w:tcPr>
            <w:tcW w:w="18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73,756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(73,756)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1,017,593</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w w:val="94"/>
              </w:rPr>
              <w:t>(14,287)</w:t>
            </w: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(26,730)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(73,756)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902,100</w:t>
            </w:r>
          </w:p>
        </w:tc>
        <w:tc>
          <w:tcPr>
            <w:tcW w:w="0" w:type="dxa"/>
            <w:vAlign w:val="bottom"/>
          </w:tcPr>
          <w:p>
            <w:pPr>
              <w:spacing w:after="0"/>
              <w:rPr>
                <w:sz w:val="1"/>
                <w:szCs w:val="1"/>
                <w:color w:val="auto"/>
              </w:rPr>
            </w:pPr>
          </w:p>
        </w:tc>
      </w:tr>
      <w:tr>
        <w:trPr>
          <w:trHeight w:val="151"/>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132,625</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3"/>
                <w:szCs w:val="13"/>
                <w:color w:val="auto"/>
                <w:w w:val="94"/>
              </w:rPr>
              <w:t>14,287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26,730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73,756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248,118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(11,843)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88"/>
              </w:rPr>
              <w:t>1,545</w:t>
            </w: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(10,298)</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23,668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35,617</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97,114</w:t>
            </w: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w w:val="94"/>
              </w:rPr>
              <w:t>14,287</w:t>
            </w: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26,730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73,756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88"/>
              </w:rPr>
              <w:t>1,545</w:t>
            </w: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(11,949)</w:t>
            </w: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202,203</w:t>
            </w:r>
          </w:p>
        </w:tc>
        <w:tc>
          <w:tcPr>
            <w:tcW w:w="0" w:type="dxa"/>
            <w:vAlign w:val="bottom"/>
          </w:tcPr>
          <w:p>
            <w:pPr>
              <w:spacing w:after="0"/>
              <w:rPr>
                <w:sz w:val="1"/>
                <w:szCs w:val="1"/>
                <w:color w:val="auto"/>
              </w:rPr>
            </w:pPr>
          </w:p>
        </w:tc>
      </w:tr>
      <w:tr>
        <w:trPr>
          <w:trHeight w:val="138"/>
        </w:trPr>
        <w:tc>
          <w:tcPr>
            <w:tcW w:w="21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787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787</w:t>
            </w:r>
          </w:p>
        </w:tc>
        <w:tc>
          <w:tcPr>
            <w:tcW w:w="0" w:type="dxa"/>
            <w:vAlign w:val="bottom"/>
          </w:tcPr>
          <w:p>
            <w:pPr>
              <w:spacing w:after="0"/>
              <w:rPr>
                <w:sz w:val="1"/>
                <w:szCs w:val="1"/>
                <w:color w:val="auto"/>
              </w:rPr>
            </w:pPr>
          </w:p>
        </w:tc>
      </w:tr>
      <w:tr>
        <w:trPr>
          <w:trHeight w:val="138"/>
        </w:trPr>
        <w:tc>
          <w:tcPr>
            <w:tcW w:w="21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96,327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3"/>
                <w:szCs w:val="13"/>
                <w:color w:val="auto"/>
                <w:w w:val="94"/>
              </w:rPr>
              <w:t>14,287</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26,730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720</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73,756</w:t>
            </w:r>
          </w:p>
        </w:tc>
        <w:tc>
          <w:tcPr>
            <w:tcW w:w="5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1,545</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(11,949)</w:t>
            </w: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2"/>
              </w:rPr>
              <w:t>$ 201,416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16"/>
          </w:tcPr>
          <w:p>
            <w:pPr>
              <w:ind w:left="20"/>
              <w:spacing w:after="0"/>
              <w:rPr>
                <w:sz w:val="20"/>
                <w:szCs w:val="20"/>
                <w:color w:val="auto"/>
              </w:rPr>
            </w:pPr>
            <w:r>
              <w:rPr>
                <w:rFonts w:ascii="Times New Roman" w:cs="Times New Roman" w:eastAsia="Times New Roman" w:hAnsi="Times New Roman"/>
                <w:sz w:val="10"/>
                <w:szCs w:val="10"/>
                <w:b w:val="1"/>
                <w:bCs w:val="1"/>
                <w:color w:val="auto"/>
              </w:rPr>
              <w:t>Three Months Ended September 30, 2024</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4"/>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Amortization</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of purchased</w:t>
            </w: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800" w:type="dxa"/>
            <w:vAlign w:val="bottom"/>
            <w:gridSpan w:val="5"/>
            <w:vMerge w:val="continue"/>
          </w:tcPr>
          <w:p>
            <w:pPr>
              <w:spacing w:after="0"/>
              <w:rPr>
                <w:sz w:val="9"/>
                <w:szCs w:val="9"/>
                <w:color w:val="auto"/>
              </w:rPr>
            </w:pPr>
          </w:p>
        </w:tc>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83"/>
              </w:rPr>
              <w:t>Tax</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GAAP</w:t>
            </w:r>
          </w:p>
        </w:tc>
        <w:tc>
          <w:tcPr>
            <w:tcW w:w="760" w:type="dxa"/>
            <w:vAlign w:val="bottom"/>
            <w:gridSpan w:val="4"/>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800" w:type="dxa"/>
            <w:vAlign w:val="bottom"/>
            <w:gridSpan w:val="5"/>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76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88"/>
              </w:rPr>
              <w:t>Non-GAAP</w:t>
            </w: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800" w:type="dxa"/>
            <w:vAlign w:val="bottom"/>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1"/>
              </w:rPr>
              <w:t>charges</w:t>
            </w:r>
          </w:p>
        </w:tc>
        <w:tc>
          <w:tcPr>
            <w:tcW w:w="40" w:type="dxa"/>
            <w:vAlign w:val="bottom"/>
          </w:tcPr>
          <w:p>
            <w:pPr>
              <w:spacing w:after="0"/>
              <w:rPr>
                <w:sz w:val="10"/>
                <w:szCs w:val="10"/>
                <w:color w:val="auto"/>
              </w:rPr>
            </w:pPr>
          </w:p>
        </w:tc>
        <w:tc>
          <w:tcPr>
            <w:tcW w:w="4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77"/>
              </w:rPr>
              <w:t>effect</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12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824,888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  (13,283)</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3"/>
                <w:szCs w:val="13"/>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w w:val="81"/>
              </w:rPr>
              <w:t>— </w:t>
            </w:r>
          </w:p>
        </w:tc>
        <w:tc>
          <w:tcPr>
            <w:tcW w:w="1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811,605</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90,069</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(2,355)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87,714</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138,705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(10,365)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128,340</w:t>
            </w:r>
          </w:p>
        </w:tc>
        <w:tc>
          <w:tcPr>
            <w:tcW w:w="0" w:type="dxa"/>
            <w:vAlign w:val="bottom"/>
          </w:tcPr>
          <w:p>
            <w:pPr>
              <w:spacing w:after="0"/>
              <w:rPr>
                <w:sz w:val="1"/>
                <w:szCs w:val="1"/>
                <w:color w:val="auto"/>
              </w:rPr>
            </w:pPr>
          </w:p>
        </w:tc>
      </w:tr>
      <w:tr>
        <w:trPr>
          <w:trHeight w:val="139"/>
        </w:trPr>
        <w:tc>
          <w:tcPr>
            <w:tcW w:w="2880" w:type="dxa"/>
            <w:vAlign w:val="bottom"/>
            <w:tcBorders>
              <w:right w:val="single" w:sz="8" w:color="CCEEFF"/>
            </w:tcBorders>
            <w:gridSpan w:val="4"/>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 assets and</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14,333</w:t>
            </w: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(14,333)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(83,213)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1,151,208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(14,333)</w:t>
            </w:r>
          </w:p>
        </w:tc>
        <w:tc>
          <w:tcPr>
            <w:tcW w:w="4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(26,003)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(83,213)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2"/>
              </w:rPr>
              <w:t>1,027,659</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112,674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14,333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26,003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83,213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236,223</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(9,237)</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2,549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(6,688)</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17,606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87,176</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14,333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26,003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83,213</w:t>
            </w:r>
          </w:p>
        </w:tc>
        <w:tc>
          <w:tcPr>
            <w:tcW w:w="80" w:type="dxa"/>
            <w:vAlign w:val="bottom"/>
            <w:shd w:val="clear" w:color="auto" w:fill="CCEEFF"/>
          </w:tcPr>
          <w:p>
            <w:pPr>
              <w:spacing w:after="0"/>
              <w:rPr>
                <w:sz w:val="13"/>
                <w:szCs w:val="13"/>
                <w:color w:val="auto"/>
              </w:rPr>
            </w:pPr>
          </w:p>
        </w:tc>
        <w:tc>
          <w:tcPr>
            <w:tcW w:w="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2,549</w:t>
            </w:r>
          </w:p>
        </w:tc>
        <w:tc>
          <w:tcPr>
            <w:tcW w:w="6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(17,606)</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195,668</w:t>
            </w:r>
          </w:p>
        </w:tc>
        <w:tc>
          <w:tcPr>
            <w:tcW w:w="0" w:type="dxa"/>
            <w:vAlign w:val="bottom"/>
          </w:tcPr>
          <w:p>
            <w:pPr>
              <w:spacing w:after="0"/>
              <w:rPr>
                <w:sz w:val="1"/>
                <w:szCs w:val="1"/>
                <w:color w:val="auto"/>
              </w:rPr>
            </w:pPr>
          </w:p>
        </w:tc>
      </w:tr>
      <w:tr>
        <w:trPr>
          <w:trHeight w:val="152"/>
        </w:trPr>
        <w:tc>
          <w:tcPr>
            <w:tcW w:w="28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Net income attributable to Amdocs Limited</w:t>
            </w: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86,441</w:t>
            </w: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14,333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26,003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83,213</w:t>
            </w:r>
          </w:p>
        </w:tc>
        <w:tc>
          <w:tcPr>
            <w:tcW w:w="80" w:type="dxa"/>
            <w:vAlign w:val="bottom"/>
            <w:shd w:val="clear" w:color="auto" w:fill="CCEEFF"/>
          </w:tcPr>
          <w:p>
            <w:pPr>
              <w:spacing w:after="0"/>
              <w:rPr>
                <w:sz w:val="13"/>
                <w:szCs w:val="13"/>
                <w:color w:val="auto"/>
              </w:rPr>
            </w:pPr>
          </w:p>
        </w:tc>
        <w:tc>
          <w:tcPr>
            <w:tcW w:w="4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2,549</w:t>
            </w:r>
          </w:p>
        </w:tc>
        <w:tc>
          <w:tcPr>
            <w:tcW w:w="6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(17,606)</w:t>
            </w: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194,933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Reconciliation of Selected Financial Metrics from GAAP to Non-GAAP</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Fiscal year ended September 30, 2025</w:t>
            </w:r>
            <w:r>
              <w:rPr>
                <w:rFonts w:ascii="Times New Roman" w:cs="Times New Roman" w:eastAsia="Times New Roman" w:hAnsi="Times New Roman"/>
                <w:sz w:val="7"/>
                <w:szCs w:val="7"/>
                <w:b w:val="1"/>
                <w:bCs w:val="1"/>
                <w:color w:val="auto"/>
              </w:rPr>
              <w:t>(a)</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3"/>
          </w:tcPr>
          <w:p>
            <w:pPr>
              <w:jc w:val="center"/>
              <w:ind w:right="22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acquisitions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60" w:type="dxa"/>
            <w:vAlign w:val="bottom"/>
          </w:tcPr>
          <w:p>
            <w:pPr>
              <w:spacing w:after="0"/>
              <w:rPr>
                <w:sz w:val="9"/>
                <w:szCs w:val="9"/>
                <w:color w:val="auto"/>
              </w:rPr>
            </w:pPr>
          </w:p>
        </w:tc>
        <w:tc>
          <w:tcPr>
            <w:tcW w:w="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80" w:type="dxa"/>
            <w:vAlign w:val="bottom"/>
          </w:tcPr>
          <w:p>
            <w:pPr>
              <w:spacing w:after="0"/>
              <w:rPr>
                <w:sz w:val="9"/>
                <w:szCs w:val="9"/>
                <w:color w:val="auto"/>
              </w:rPr>
            </w:pPr>
          </w:p>
        </w:tc>
        <w:tc>
          <w:tcPr>
            <w:tcW w:w="7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GAAP</w:t>
            </w:r>
          </w:p>
        </w:tc>
        <w:tc>
          <w:tcPr>
            <w:tcW w:w="140" w:type="dxa"/>
            <w:vAlign w:val="bottom"/>
          </w:tcPr>
          <w:p>
            <w:pPr>
              <w:spacing w:after="0"/>
              <w:rPr>
                <w:sz w:val="9"/>
                <w:szCs w:val="9"/>
                <w:color w:val="auto"/>
              </w:rPr>
            </w:pPr>
          </w:p>
        </w:tc>
        <w:tc>
          <w:tcPr>
            <w:tcW w:w="6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60" w:type="dxa"/>
            <w:vAlign w:val="bottom"/>
          </w:tcPr>
          <w:p>
            <w:pPr>
              <w:spacing w:after="0"/>
              <w:rPr>
                <w:sz w:val="9"/>
                <w:szCs w:val="9"/>
                <w:color w:val="auto"/>
              </w:rPr>
            </w:pPr>
          </w:p>
        </w:tc>
        <w:tc>
          <w:tcPr>
            <w:tcW w:w="7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800" w:type="dxa"/>
            <w:vAlign w:val="bottom"/>
            <w:gridSpan w:val="3"/>
            <w:vMerge w:val="continue"/>
          </w:tcPr>
          <w:p>
            <w:pPr>
              <w:spacing w:after="0"/>
              <w:rPr>
                <w:sz w:val="9"/>
                <w:szCs w:val="9"/>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0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8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6"/>
              </w:rPr>
              <w:t>2,811,333</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(51,320)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(1,081)</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$2,758,932</w:t>
            </w: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340,845</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331,242</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506,108</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(43,941)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12,242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474,409</w:t>
            </w: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62,424</w:t>
            </w: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(62,424)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80,539</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(80,539)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3,801,249</w:t>
            </w: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(62,424)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(104,864)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(80,539)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3,564,583</w:t>
            </w:r>
          </w:p>
        </w:tc>
        <w:tc>
          <w:tcPr>
            <w:tcW w:w="0" w:type="dxa"/>
            <w:vAlign w:val="bottom"/>
          </w:tcPr>
          <w:p>
            <w:pPr>
              <w:spacing w:after="0"/>
              <w:rPr>
                <w:sz w:val="1"/>
                <w:szCs w:val="1"/>
                <w:color w:val="auto"/>
              </w:rPr>
            </w:pPr>
          </w:p>
        </w:tc>
      </w:tr>
      <w:tr>
        <w:trPr>
          <w:trHeight w:val="151"/>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731,664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104,864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(11,161)</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80,539</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968,330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(38,422)</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7,524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(30,898)</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125,473</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27,692</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153,165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567,769</w:t>
            </w: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62,424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104,864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8"/>
              </w:rPr>
              <w:t>(11,161)</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80,539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7,524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(27,692)</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784,267</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3,065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3,065</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564,704</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62,424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104,864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8"/>
              </w:rPr>
              <w:t>(11,161)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80,539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7,524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(27,692)</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781,202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Fiscal year ended September 30, 2024</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3"/>
          </w:tcPr>
          <w:p>
            <w:pPr>
              <w:jc w:val="center"/>
              <w:ind w:right="220"/>
              <w:spacing w:after="0" w:line="77" w:lineRule="exact"/>
              <w:rPr>
                <w:sz w:val="20"/>
                <w:szCs w:val="20"/>
                <w:color w:val="auto"/>
              </w:rPr>
            </w:pPr>
            <w:r>
              <w:rPr>
                <w:rFonts w:ascii="Times New Roman" w:cs="Times New Roman" w:eastAsia="Times New Roman" w:hAnsi="Times New Roman"/>
                <w:sz w:val="8"/>
                <w:szCs w:val="8"/>
                <w:b w:val="1"/>
                <w:bCs w:val="1"/>
                <w:color w:val="auto"/>
              </w:rPr>
              <w:t>Changes in</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certain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acquisitions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related</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of purchased</w:t>
            </w:r>
          </w:p>
        </w:tc>
        <w:tc>
          <w:tcPr>
            <w:tcW w:w="60" w:type="dxa"/>
            <w:vAlign w:val="bottom"/>
          </w:tcPr>
          <w:p>
            <w:pPr>
              <w:spacing w:after="0"/>
              <w:rPr>
                <w:sz w:val="9"/>
                <w:szCs w:val="9"/>
                <w:color w:val="auto"/>
              </w:rPr>
            </w:pPr>
          </w:p>
        </w:tc>
        <w:tc>
          <w:tcPr>
            <w:tcW w:w="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Equity based</w:t>
            </w:r>
          </w:p>
        </w:tc>
        <w:tc>
          <w:tcPr>
            <w:tcW w:w="80" w:type="dxa"/>
            <w:vAlign w:val="bottom"/>
          </w:tcPr>
          <w:p>
            <w:pPr>
              <w:spacing w:after="0"/>
              <w:rPr>
                <w:sz w:val="9"/>
                <w:szCs w:val="9"/>
                <w:color w:val="auto"/>
              </w:rPr>
            </w:pPr>
          </w:p>
        </w:tc>
        <w:tc>
          <w:tcPr>
            <w:tcW w:w="7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7"/>
              </w:rPr>
              <w:t>liabilities</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intangible</w:t>
            </w:r>
          </w:p>
        </w:tc>
        <w:tc>
          <w:tcPr>
            <w:tcW w:w="6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measured</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Restructuring</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GAAP</w:t>
            </w:r>
          </w:p>
        </w:tc>
        <w:tc>
          <w:tcPr>
            <w:tcW w:w="140" w:type="dxa"/>
            <w:vAlign w:val="bottom"/>
          </w:tcPr>
          <w:p>
            <w:pPr>
              <w:spacing w:after="0"/>
              <w:rPr>
                <w:sz w:val="9"/>
                <w:szCs w:val="9"/>
                <w:color w:val="auto"/>
              </w:rPr>
            </w:pPr>
          </w:p>
        </w:tc>
        <w:tc>
          <w:tcPr>
            <w:tcW w:w="6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7"/>
              </w:rPr>
              <w:t>assets and</w:t>
            </w:r>
          </w:p>
        </w:tc>
        <w:tc>
          <w:tcPr>
            <w:tcW w:w="60" w:type="dxa"/>
            <w:vAlign w:val="bottom"/>
          </w:tcPr>
          <w:p>
            <w:pPr>
              <w:spacing w:after="0"/>
              <w:rPr>
                <w:sz w:val="9"/>
                <w:szCs w:val="9"/>
                <w:color w:val="auto"/>
              </w:rPr>
            </w:pPr>
          </w:p>
        </w:tc>
        <w:tc>
          <w:tcPr>
            <w:tcW w:w="720" w:type="dxa"/>
            <w:vAlign w:val="bottom"/>
            <w:gridSpan w:val="3"/>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at fair</w:t>
            </w:r>
          </w:p>
        </w:tc>
        <w:tc>
          <w:tcPr>
            <w:tcW w:w="800" w:type="dxa"/>
            <w:vAlign w:val="bottom"/>
            <w:gridSpan w:val="3"/>
            <w:vMerge w:val="continue"/>
          </w:tcPr>
          <w:p>
            <w:pPr>
              <w:spacing w:after="0"/>
              <w:rPr>
                <w:sz w:val="9"/>
                <w:szCs w:val="9"/>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2"/>
              </w:rPr>
              <w:t>Non-GAAP</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value</w:t>
            </w:r>
          </w:p>
        </w:tc>
        <w:tc>
          <w:tcPr>
            <w:tcW w:w="10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charges</w:t>
            </w:r>
          </w:p>
        </w:tc>
        <w:tc>
          <w:tcPr>
            <w:tcW w:w="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effect</w:t>
            </w: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98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6"/>
              </w:rPr>
              <w:t>3,249,598</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(53,409)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$3,199,189</w:t>
            </w: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360,798</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352,154</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572,845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(42,487)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530,358</w:t>
            </w: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Amortization of purchased intangible</w:t>
            </w: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assets and other</w:t>
            </w:r>
          </w:p>
        </w:tc>
        <w:tc>
          <w:tcPr>
            <w:tcW w:w="18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62,052</w:t>
            </w: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charges</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131,088</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(131,088)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4,376,381</w:t>
            </w: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(62,052)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(104,540)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(131,088)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6"/>
              </w:rPr>
              <w:t>4,081,701</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Operating income</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628,608</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62,052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104,540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131,088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923,288</w:t>
            </w:r>
          </w:p>
        </w:tc>
        <w:tc>
          <w:tcPr>
            <w:tcW w:w="0" w:type="dxa"/>
            <w:vAlign w:val="bottom"/>
          </w:tcPr>
          <w:p>
            <w:pPr>
              <w:spacing w:after="0"/>
              <w:rPr>
                <w:sz w:val="1"/>
                <w:szCs w:val="1"/>
                <w:color w:val="auto"/>
              </w:rPr>
            </w:pPr>
          </w:p>
        </w:tc>
      </w:tr>
      <w:tr>
        <w:trPr>
          <w:trHeight w:val="152"/>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and other expense, net</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(37,537)</w:t>
            </w:r>
          </w:p>
        </w:tc>
        <w:tc>
          <w:tcPr>
            <w:tcW w:w="1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8,087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(29,450)</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Income taxes</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94,750</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48,160</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142,910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496,321</w:t>
            </w: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62,052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104,540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131,088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8,087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(48,160)</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750,928</w:t>
            </w:r>
          </w:p>
        </w:tc>
        <w:tc>
          <w:tcPr>
            <w:tcW w:w="0" w:type="dxa"/>
            <w:vAlign w:val="bottom"/>
          </w:tcPr>
          <w:p>
            <w:pPr>
              <w:spacing w:after="0"/>
              <w:rPr>
                <w:sz w:val="1"/>
                <w:szCs w:val="1"/>
                <w:color w:val="auto"/>
              </w:rPr>
            </w:pPr>
          </w:p>
        </w:tc>
      </w:tr>
      <w:tr>
        <w:trPr>
          <w:trHeight w:val="138"/>
        </w:trPr>
        <w:tc>
          <w:tcPr>
            <w:tcW w:w="19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w:t>
            </w: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3,124</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3,124</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income attributable to Amdocs</w:t>
            </w: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Limited</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493,197</w:t>
            </w: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62,052</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104,540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131,088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8,087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89"/>
              </w:rPr>
              <w:t>(48,160)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747,804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5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50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0"/>
                <w:szCs w:val="10"/>
                <w:color w:val="auto"/>
              </w:rPr>
            </w:pPr>
          </w:p>
        </w:tc>
      </w:tr>
      <w:tr>
        <w:trPr>
          <w:trHeight w:val="132"/>
        </w:trPr>
        <w:tc>
          <w:tcPr>
            <w:tcW w:w="45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324,999</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346,085</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interest-bearing investments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168,242</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 including unbilled</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935,751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1,028,357</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331,387</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228,498</w:t>
            </w:r>
          </w:p>
        </w:tc>
        <w:tc>
          <w:tcPr>
            <w:tcW w:w="40" w:type="dxa"/>
            <w:vAlign w:val="bottom"/>
          </w:tcPr>
          <w:p>
            <w:pPr>
              <w:spacing w:after="0"/>
              <w:rPr>
                <w:sz w:val="13"/>
                <w:szCs w:val="13"/>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1,592,137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1,771,182</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768,557</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755,601</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182,088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149,254</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other intangible assets, net</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3,046,962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3,005,637</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7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660,086</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704,468</w:t>
            </w:r>
          </w:p>
        </w:tc>
        <w:tc>
          <w:tcPr>
            <w:tcW w:w="40" w:type="dxa"/>
            <w:vAlign w:val="bottom"/>
            <w:shd w:val="clear" w:color="auto" w:fill="CCEEFF"/>
          </w:tcPr>
          <w:p>
            <w:pPr>
              <w:spacing w:after="0"/>
              <w:rPr>
                <w:sz w:val="13"/>
                <w:szCs w:val="13"/>
                <w:color w:val="auto"/>
              </w:rPr>
            </w:pPr>
          </w:p>
        </w:tc>
      </w:tr>
      <w:tr>
        <w:trPr>
          <w:trHeight w:val="159"/>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7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6,249,830</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40" w:type="dxa"/>
            <w:vAlign w:val="bottom"/>
          </w:tcPr>
          <w:p>
            <w:pPr>
              <w:spacing w:after="0"/>
              <w:rPr>
                <w:sz w:val="13"/>
                <w:szCs w:val="13"/>
                <w:color w:val="auto"/>
              </w:rPr>
            </w:pPr>
          </w:p>
        </w:tc>
      </w:tr>
      <w:tr>
        <w:trPr>
          <w:trHeight w:val="16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accruals and other</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1,201,206</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1,315,679</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38,725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39,983</w:t>
            </w: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118,861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115,247</w:t>
            </w:r>
          </w:p>
        </w:tc>
      </w:tr>
      <w:tr>
        <w:trPr>
          <w:trHeight w:val="151"/>
        </w:trPr>
        <w:tc>
          <w:tcPr>
            <w:tcW w:w="45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1,358,792</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1,470,909</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140,776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103,462</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net of unamortized debt issuance costs</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646,901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646,291</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632,681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666,303</w:t>
            </w:r>
          </w:p>
        </w:tc>
        <w:tc>
          <w:tcPr>
            <w:tcW w:w="40" w:type="dxa"/>
            <w:vAlign w:val="bottom"/>
            <w:shd w:val="clear" w:color="auto" w:fill="CCEEFF"/>
          </w:tcPr>
          <w:p>
            <w:pPr>
              <w:spacing w:after="0"/>
              <w:rPr>
                <w:sz w:val="13"/>
                <w:szCs w:val="13"/>
                <w:color w:val="auto"/>
              </w:rPr>
            </w:pPr>
          </w:p>
        </w:tc>
      </w:tr>
      <w:tr>
        <w:trPr>
          <w:trHeight w:val="152"/>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Amdocs Limited Shareholders’ equity</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3,429,453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3,456,976</w:t>
            </w:r>
          </w:p>
        </w:tc>
        <w:tc>
          <w:tcPr>
            <w:tcW w:w="40" w:type="dxa"/>
            <w:vAlign w:val="bottom"/>
          </w:tcPr>
          <w:p>
            <w:pPr>
              <w:spacing w:after="0"/>
              <w:rPr>
                <w:sz w:val="13"/>
                <w:szCs w:val="13"/>
                <w:color w:val="auto"/>
              </w:rPr>
            </w:pPr>
          </w:p>
        </w:tc>
      </w:tr>
      <w:tr>
        <w:trPr>
          <w:trHeight w:val="15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42,201</w:t>
            </w:r>
          </w:p>
        </w:tc>
      </w:tr>
      <w:tr>
        <w:trPr>
          <w:trHeight w:val="151"/>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Total equity</w:t>
            </w:r>
          </w:p>
        </w:tc>
        <w:tc>
          <w:tcPr>
            <w:tcW w:w="17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3,470,680</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3,499,177</w:t>
            </w:r>
          </w:p>
        </w:tc>
        <w:tc>
          <w:tcPr>
            <w:tcW w:w="40" w:type="dxa"/>
            <w:vAlign w:val="bottom"/>
          </w:tcPr>
          <w:p>
            <w:pPr>
              <w:spacing w:after="0"/>
              <w:rPr>
                <w:sz w:val="13"/>
                <w:szCs w:val="13"/>
                <w:color w:val="auto"/>
              </w:rPr>
            </w:pPr>
          </w:p>
        </w:tc>
      </w:tr>
      <w:tr>
        <w:trPr>
          <w:trHeight w:val="151"/>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1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6,249,830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6,386,142</w:t>
            </w:r>
          </w:p>
        </w:tc>
        <w:tc>
          <w:tcPr>
            <w:tcW w:w="40" w:type="dxa"/>
            <w:vAlign w:val="bottom"/>
            <w:shd w:val="clear" w:color="auto" w:fill="CCEEFF"/>
          </w:tcPr>
          <w:p>
            <w:pPr>
              <w:spacing w:after="0"/>
              <w:rPr>
                <w:sz w:val="13"/>
                <w:szCs w:val="13"/>
                <w:color w:val="auto"/>
              </w:rPr>
            </w:pPr>
          </w:p>
        </w:tc>
      </w:tr>
      <w:tr>
        <w:trPr>
          <w:trHeight w:val="28"/>
        </w:trPr>
        <w:tc>
          <w:tcPr>
            <w:tcW w:w="4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5300" w:type="dxa"/>
            <w:vAlign w:val="bottom"/>
          </w:tcPr>
          <w:p>
            <w:pPr>
              <w:spacing w:after="0"/>
              <w:rPr>
                <w:sz w:val="10"/>
                <w:szCs w:val="10"/>
                <w:color w:val="auto"/>
              </w:rPr>
            </w:pPr>
          </w:p>
        </w:tc>
        <w:tc>
          <w:tcPr>
            <w:tcW w:w="1600" w:type="dxa"/>
            <w:vAlign w:val="bottom"/>
            <w:gridSpan w:val="2"/>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Pr>
          <w:p>
            <w:pPr>
              <w:spacing w:after="0"/>
              <w:rPr>
                <w:sz w:val="10"/>
                <w:szCs w:val="10"/>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r>
      <w:tr>
        <w:trPr>
          <w:trHeight w:val="132"/>
        </w:trPr>
        <w:tc>
          <w:tcPr>
            <w:tcW w:w="530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 from Operating Activities:</w:t>
            </w:r>
          </w:p>
        </w:tc>
        <w:tc>
          <w:tcPr>
            <w:tcW w:w="10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$ 567,769</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w w:val="96"/>
              </w:rPr>
              <w:t>$ 496,321</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net income to net cash provided by operating activities:</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amortization and impairment</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195,435</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195,234</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issuance cost</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608</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596</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104,864</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104,540</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20,291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(45,673)</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Loss from short-term interest-bearing investments</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3,487</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5,576</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changes in operating assets and liabilities, net of amounts acquired:</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79,606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(104,413)</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(55,061)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(8,478)</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(15,445)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(2,250)</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assets and liabilities, net</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3,221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(6,485)</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accrued expenses and accrued personnel</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(77,041)</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216,324</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8,172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(60,332)</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payable, net</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(15,109)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(47,241)</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(71,701)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(19,291)</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0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749,096</w:t>
            </w:r>
          </w:p>
        </w:tc>
        <w:tc>
          <w:tcPr>
            <w:tcW w:w="2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724,428</w:t>
            </w:r>
          </w:p>
        </w:tc>
        <w:tc>
          <w:tcPr>
            <w:tcW w:w="80" w:type="dxa"/>
            <w:vAlign w:val="bottom"/>
          </w:tcPr>
          <w:p>
            <w:pPr>
              <w:spacing w:after="0"/>
              <w:rPr>
                <w:sz w:val="13"/>
                <w:szCs w:val="13"/>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 from Investing Activities:</w:t>
            </w:r>
          </w:p>
        </w:tc>
        <w:tc>
          <w:tcPr>
            <w:tcW w:w="10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net(b)</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(103,952)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(105,495)</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short-term interest-bearing investments</w:t>
            </w:r>
          </w:p>
        </w:tc>
        <w:tc>
          <w:tcPr>
            <w:tcW w:w="1840" w:type="dxa"/>
            <w:vAlign w:val="bottom"/>
            <w:gridSpan w:val="3"/>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rPr>
              <w:t>169,993</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68,659</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short-term interest-bearing investments</w:t>
            </w:r>
          </w:p>
        </w:tc>
        <w:tc>
          <w:tcPr>
            <w:tcW w:w="1080" w:type="dxa"/>
            <w:vAlign w:val="bottom"/>
          </w:tcPr>
          <w:p>
            <w:pPr>
              <w:spacing w:after="0"/>
              <w:rPr>
                <w:sz w:val="13"/>
                <w:szCs w:val="13"/>
                <w:color w:val="auto"/>
              </w:rPr>
            </w:pPr>
          </w:p>
        </w:tc>
        <w:tc>
          <w:tcPr>
            <w:tcW w:w="760" w:type="dxa"/>
            <w:vAlign w:val="bottom"/>
            <w:gridSpan w:val="2"/>
          </w:tcPr>
          <w:p>
            <w:pPr>
              <w:jc w:val="right"/>
              <w:ind w:right="218"/>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(9,061)</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paid for business and intangible assets acquisitions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(86,317)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(86,824)</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from equity investments and other</w:t>
            </w:r>
          </w:p>
        </w:tc>
        <w:tc>
          <w:tcPr>
            <w:tcW w:w="108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18,215</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5,315</w:t>
            </w:r>
          </w:p>
        </w:tc>
      </w:tr>
      <w:tr>
        <w:trPr>
          <w:trHeight w:val="20"/>
        </w:trPr>
        <w:tc>
          <w:tcPr>
            <w:tcW w:w="5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0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(2,061)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(127,406)</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 from Financing Activities:</w:t>
            </w:r>
          </w:p>
        </w:tc>
        <w:tc>
          <w:tcPr>
            <w:tcW w:w="10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of shares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(551,340)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(563,121)</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employee stock option exercises</w:t>
            </w:r>
          </w:p>
        </w:tc>
        <w:tc>
          <w:tcPr>
            <w:tcW w:w="184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rPr>
              <w:t>21,294</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26,949</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Payments of dividends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(224,394)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(211,967)</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1840" w:type="dxa"/>
            <w:vAlign w:val="bottom"/>
            <w:gridSpan w:val="3"/>
          </w:tcPr>
          <w:p>
            <w:pPr>
              <w:jc w:val="right"/>
              <w:ind w:right="158"/>
              <w:spacing w:after="0"/>
              <w:rPr>
                <w:sz w:val="20"/>
                <w:szCs w:val="20"/>
                <w:color w:val="auto"/>
              </w:rPr>
            </w:pPr>
            <w:r>
              <w:rPr>
                <w:rFonts w:ascii="Times New Roman" w:cs="Times New Roman" w:eastAsia="Times New Roman" w:hAnsi="Times New Roman"/>
                <w:sz w:val="13"/>
                <w:szCs w:val="13"/>
                <w:color w:val="auto"/>
              </w:rPr>
              <w:t>(4,039)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(4,096)</w:t>
            </w:r>
          </w:p>
        </w:tc>
      </w:tr>
      <w:tr>
        <w:trPr>
          <w:trHeight w:val="152"/>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contingent consideration and deferred payment of business acquisitions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(9,642)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(18,782)</w:t>
            </w:r>
          </w:p>
        </w:tc>
      </w:tr>
      <w:tr>
        <w:trPr>
          <w:trHeight w:val="151"/>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08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(768,121</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(771,017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1840" w:type="dxa"/>
            <w:vAlign w:val="bottom"/>
            <w:gridSpan w:val="3"/>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(21,086)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(173,995)</w:t>
            </w:r>
          </w:p>
        </w:tc>
      </w:tr>
      <w:tr>
        <w:trPr>
          <w:trHeight w:val="152"/>
        </w:trPr>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1080" w:type="dxa"/>
            <w:vAlign w:val="bottom"/>
          </w:tcPr>
          <w:p>
            <w:pPr>
              <w:spacing w:after="0"/>
              <w:rPr>
                <w:sz w:val="13"/>
                <w:szCs w:val="13"/>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rPr>
              <w:t>346,085</w:t>
            </w:r>
          </w:p>
        </w:tc>
        <w:tc>
          <w:tcPr>
            <w:tcW w:w="6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520,080</w:t>
            </w:r>
          </w:p>
        </w:tc>
      </w:tr>
      <w:tr>
        <w:trPr>
          <w:trHeight w:val="20"/>
        </w:trPr>
        <w:tc>
          <w:tcPr>
            <w:tcW w:w="5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10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3"/>
                <w:szCs w:val="13"/>
                <w:color w:val="auto"/>
                <w:w w:val="96"/>
              </w:rPr>
              <w:t>$ 324,999</w:t>
            </w:r>
          </w:p>
        </w:tc>
        <w:tc>
          <w:tcPr>
            <w:tcW w:w="6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6"/>
              </w:rPr>
              <w:t>$ 346,085</w:t>
            </w:r>
          </w:p>
        </w:tc>
      </w:tr>
      <w:tr>
        <w:trPr>
          <w:trHeight w:val="28"/>
        </w:trPr>
        <w:tc>
          <w:tcPr>
            <w:tcW w:w="5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Supplementary Information</w:t>
      </w:r>
    </w:p>
    <w:p>
      <w:pPr>
        <w:jc w:val="center"/>
        <w:spacing w:after="0"/>
        <w:rPr>
          <w:sz w:val="20"/>
          <w:szCs w:val="20"/>
          <w:color w:val="auto"/>
        </w:rPr>
      </w:pPr>
      <w:r>
        <w:rPr>
          <w:rFonts w:ascii="Times New Roman" w:cs="Times New Roman" w:eastAsia="Times New Roman" w:hAnsi="Times New Roman"/>
          <w:sz w:val="10"/>
          <w:szCs w:val="10"/>
          <w:b w:val="1"/>
          <w:bCs w:val="1"/>
          <w:color w:val="auto"/>
        </w:rPr>
        <w:t>(In millions)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21"/>
        </w:trPr>
        <w:tc>
          <w:tcPr>
            <w:tcW w:w="4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7"/>
                <w:szCs w:val="7"/>
                <w:b w:val="1"/>
                <w:bCs w:val="1"/>
                <w:color w:val="auto"/>
              </w:rPr>
              <w:t>(a)</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7"/>
                <w:szCs w:val="7"/>
                <w:b w:val="1"/>
                <w:bCs w:val="1"/>
                <w:color w:val="auto"/>
              </w:rPr>
              <w:t>(a)</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 xml:space="preserve">2025 </w:t>
            </w:r>
            <w:r>
              <w:rPr>
                <w:rFonts w:ascii="Times New Roman" w:cs="Times New Roman" w:eastAsia="Times New Roman" w:hAnsi="Times New Roman"/>
                <w:sz w:val="7"/>
                <w:szCs w:val="7"/>
                <w:b w:val="1"/>
                <w:bCs w:val="1"/>
                <w:color w:val="auto"/>
              </w:rPr>
              <w:t>(a)</w:t>
            </w: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xml:space="preserve">2024 </w:t>
            </w:r>
            <w:r>
              <w:rPr>
                <w:rFonts w:ascii="Times New Roman" w:cs="Times New Roman" w:eastAsia="Times New Roman" w:hAnsi="Times New Roman"/>
                <w:sz w:val="7"/>
                <w:szCs w:val="7"/>
                <w:b w:val="1"/>
                <w:bCs w:val="1"/>
                <w:color w:val="auto"/>
              </w:rPr>
              <w:t>(a)</w:t>
            </w:r>
          </w:p>
        </w:tc>
        <w:tc>
          <w:tcPr>
            <w:tcW w:w="120" w:type="dxa"/>
            <w:vAlign w:val="bottom"/>
          </w:tcPr>
          <w:p>
            <w:pPr>
              <w:spacing w:after="0"/>
              <w:rPr>
                <w:sz w:val="10"/>
                <w:szCs w:val="10"/>
                <w:color w:val="auto"/>
              </w:rPr>
            </w:pP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10"/>
                <w:szCs w:val="10"/>
                <w:color w:val="auto"/>
              </w:rPr>
            </w:pPr>
          </w:p>
        </w:tc>
      </w:tr>
      <w:tr>
        <w:trPr>
          <w:trHeight w:val="141"/>
        </w:trPr>
        <w:tc>
          <w:tcPr>
            <w:tcW w:w="42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North America</w:t>
            </w:r>
          </w:p>
        </w:tc>
        <w:tc>
          <w:tcPr>
            <w:tcW w:w="1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762.4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745.4</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ind w:left="100"/>
              <w:spacing w:after="0" w:line="141" w:lineRule="exact"/>
              <w:rPr>
                <w:sz w:val="20"/>
                <w:szCs w:val="20"/>
                <w:color w:val="auto"/>
              </w:rPr>
            </w:pPr>
            <w:r>
              <w:rPr>
                <w:rFonts w:ascii="Times New Roman" w:cs="Times New Roman" w:eastAsia="Times New Roman" w:hAnsi="Times New Roman"/>
                <w:sz w:val="13"/>
                <w:szCs w:val="13"/>
                <w:color w:val="auto"/>
                <w:w w:val="88"/>
              </w:rPr>
              <w:t>738.3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737.4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835.8</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189.4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180.7</w:t>
            </w:r>
          </w:p>
        </w:tc>
        <w:tc>
          <w:tcPr>
            <w:tcW w:w="1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155.2</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40" w:type="dxa"/>
            <w:vAlign w:val="bottom"/>
          </w:tcPr>
          <w:p>
            <w:pPr>
              <w:spacing w:after="0"/>
              <w:rPr>
                <w:sz w:val="13"/>
                <w:szCs w:val="13"/>
                <w:color w:val="auto"/>
              </w:rPr>
            </w:pPr>
          </w:p>
        </w:tc>
      </w:tr>
      <w:tr>
        <w:trPr>
          <w:trHeight w:val="15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 of the World</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209.6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209.2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217.4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40" w:type="dxa"/>
            <w:vAlign w:val="bottom"/>
            <w:shd w:val="clear" w:color="auto" w:fill="CCEEFF"/>
          </w:tcPr>
          <w:p>
            <w:pPr>
              <w:spacing w:after="0"/>
              <w:rPr>
                <w:sz w:val="13"/>
                <w:szCs w:val="13"/>
                <w:color w:val="auto"/>
              </w:rPr>
            </w:pPr>
          </w:p>
        </w:tc>
      </w:tr>
      <w:tr>
        <w:trPr>
          <w:trHeight w:val="159"/>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1,150.2</w:t>
            </w:r>
          </w:p>
        </w:tc>
        <w:tc>
          <w:tcPr>
            <w:tcW w:w="1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1,144.4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1,128.2</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1,110.1</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1,263.9</w:t>
            </w:r>
          </w:p>
        </w:tc>
        <w:tc>
          <w:tcPr>
            <w:tcW w:w="40" w:type="dxa"/>
            <w:vAlign w:val="bottom"/>
          </w:tcPr>
          <w:p>
            <w:pPr>
              <w:spacing w:after="0"/>
              <w:rPr>
                <w:sz w:val="13"/>
                <w:szCs w:val="13"/>
                <w:color w:val="auto"/>
              </w:rPr>
            </w:pPr>
          </w:p>
        </w:tc>
      </w:tr>
      <w:tr>
        <w:trPr>
          <w:trHeight w:val="265"/>
        </w:trPr>
        <w:tc>
          <w:tcPr>
            <w:tcW w:w="42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0"/>
                <w:szCs w:val="10"/>
                <w:color w:val="auto"/>
              </w:rPr>
            </w:pPr>
          </w:p>
        </w:tc>
      </w:tr>
      <w:tr>
        <w:trPr>
          <w:trHeight w:val="141"/>
        </w:trPr>
        <w:tc>
          <w:tcPr>
            <w:tcW w:w="42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Managed Services Revenue</w:t>
            </w: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748.3</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771.5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ind w:left="100"/>
              <w:spacing w:after="0" w:line="141" w:lineRule="exact"/>
              <w:rPr>
                <w:sz w:val="20"/>
                <w:szCs w:val="20"/>
                <w:color w:val="auto"/>
              </w:rPr>
            </w:pPr>
            <w:r>
              <w:rPr>
                <w:rFonts w:ascii="Times New Roman" w:cs="Times New Roman" w:eastAsia="Times New Roman" w:hAnsi="Times New Roman"/>
                <w:sz w:val="13"/>
                <w:szCs w:val="13"/>
                <w:color w:val="auto"/>
                <w:w w:val="88"/>
              </w:rPr>
              <w:t>747.1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728.9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721.4</w:t>
            </w:r>
          </w:p>
        </w:tc>
        <w:tc>
          <w:tcPr>
            <w:tcW w:w="40" w:type="dxa"/>
            <w:vAlign w:val="bottom"/>
            <w:shd w:val="clear" w:color="auto" w:fill="CCEEFF"/>
          </w:tcPr>
          <w:p>
            <w:pPr>
              <w:spacing w:after="0"/>
              <w:rPr>
                <w:sz w:val="12"/>
                <w:szCs w:val="12"/>
                <w:color w:val="auto"/>
              </w:rPr>
            </w:pPr>
          </w:p>
        </w:tc>
      </w:tr>
      <w:tr>
        <w:trPr>
          <w:trHeight w:val="255"/>
        </w:trPr>
        <w:tc>
          <w:tcPr>
            <w:tcW w:w="4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77"/>
        </w:trPr>
        <w:tc>
          <w:tcPr>
            <w:tcW w:w="4260" w:type="dxa"/>
            <w:vAlign w:val="bottom"/>
          </w:tcPr>
          <w:p>
            <w:pPr>
              <w:spacing w:after="0"/>
              <w:rPr>
                <w:sz w:val="6"/>
                <w:szCs w:val="6"/>
                <w:color w:val="auto"/>
              </w:rPr>
            </w:pP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180" w:type="dxa"/>
            <w:vAlign w:val="bottom"/>
          </w:tcPr>
          <w:p>
            <w:pPr>
              <w:spacing w:after="0"/>
              <w:rPr>
                <w:sz w:val="6"/>
                <w:szCs w:val="6"/>
                <w:color w:val="auto"/>
              </w:rPr>
            </w:pPr>
          </w:p>
        </w:tc>
        <w:tc>
          <w:tcPr>
            <w:tcW w:w="460" w:type="dxa"/>
            <w:vAlign w:val="bottom"/>
            <w:gridSpan w:val="3"/>
          </w:tcPr>
          <w:p>
            <w:pPr>
              <w:jc w:val="center"/>
              <w:ind w:right="20"/>
              <w:spacing w:after="0" w:line="77" w:lineRule="exact"/>
              <w:rPr>
                <w:sz w:val="20"/>
                <w:szCs w:val="20"/>
                <w:color w:val="auto"/>
              </w:rPr>
            </w:pPr>
            <w:r>
              <w:rPr>
                <w:rFonts w:ascii="Times New Roman" w:cs="Times New Roman" w:eastAsia="Times New Roman" w:hAnsi="Times New Roman"/>
                <w:sz w:val="8"/>
                <w:szCs w:val="8"/>
                <w:b w:val="1"/>
                <w:bCs w:val="1"/>
                <w:color w:val="auto"/>
              </w:rPr>
              <w:t>June 30,</w:t>
            </w:r>
          </w:p>
        </w:tc>
        <w:tc>
          <w:tcPr>
            <w:tcW w:w="160" w:type="dxa"/>
            <w:vAlign w:val="bottom"/>
          </w:tcPr>
          <w:p>
            <w:pPr>
              <w:spacing w:after="0"/>
              <w:rPr>
                <w:sz w:val="6"/>
                <w:szCs w:val="6"/>
                <w:color w:val="auto"/>
              </w:rPr>
            </w:pPr>
          </w:p>
        </w:tc>
        <w:tc>
          <w:tcPr>
            <w:tcW w:w="620" w:type="dxa"/>
            <w:vAlign w:val="bottom"/>
            <w:gridSpan w:val="3"/>
          </w:tcPr>
          <w:p>
            <w:pPr>
              <w:jc w:val="center"/>
              <w:ind w:right="180"/>
              <w:spacing w:after="0" w:line="77" w:lineRule="exact"/>
              <w:rPr>
                <w:sz w:val="20"/>
                <w:szCs w:val="20"/>
                <w:color w:val="auto"/>
              </w:rPr>
            </w:pPr>
            <w:r>
              <w:rPr>
                <w:rFonts w:ascii="Times New Roman" w:cs="Times New Roman" w:eastAsia="Times New Roman" w:hAnsi="Times New Roman"/>
                <w:sz w:val="8"/>
                <w:szCs w:val="8"/>
                <w:b w:val="1"/>
                <w:bCs w:val="1"/>
                <w:color w:val="auto"/>
              </w:rPr>
              <w:t>March 31,</w:t>
            </w:r>
          </w:p>
        </w:tc>
        <w:tc>
          <w:tcPr>
            <w:tcW w:w="78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620" w:type="dxa"/>
            <w:vAlign w:val="bottom"/>
            <w:gridSpan w:val="2"/>
          </w:tcPr>
          <w:p>
            <w:pPr>
              <w:spacing w:after="0" w:line="77" w:lineRule="exact"/>
              <w:rPr>
                <w:sz w:val="20"/>
                <w:szCs w:val="20"/>
                <w:color w:val="auto"/>
              </w:rPr>
            </w:pPr>
            <w:r>
              <w:rPr>
                <w:rFonts w:ascii="Times New Roman" w:cs="Times New Roman" w:eastAsia="Times New Roman" w:hAnsi="Times New Roman"/>
                <w:sz w:val="8"/>
                <w:szCs w:val="8"/>
                <w:b w:val="1"/>
                <w:bCs w:val="1"/>
                <w:color w:val="auto"/>
              </w:rPr>
              <w:t>September 30,</w:t>
            </w:r>
          </w:p>
        </w:tc>
        <w:tc>
          <w:tcPr>
            <w:tcW w:w="40" w:type="dxa"/>
            <w:vAlign w:val="bottom"/>
          </w:tcPr>
          <w:p>
            <w:pPr>
              <w:spacing w:after="0"/>
              <w:rPr>
                <w:sz w:val="6"/>
                <w:szCs w:val="6"/>
                <w:color w:val="auto"/>
              </w:rPr>
            </w:pPr>
          </w:p>
        </w:tc>
      </w:tr>
      <w:tr>
        <w:trPr>
          <w:trHeight w:val="121"/>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2024</w:t>
            </w:r>
            <w:r>
              <w:rPr>
                <w:rFonts w:ascii="Times New Roman" w:cs="Times New Roman" w:eastAsia="Times New Roman" w:hAnsi="Times New Roman"/>
                <w:sz w:val="7"/>
                <w:szCs w:val="7"/>
                <w:b w:val="1"/>
                <w:bCs w:val="1"/>
                <w:color w:val="auto"/>
              </w:rPr>
              <w:t>(c)</w:t>
            </w:r>
          </w:p>
        </w:tc>
      </w:tr>
      <w:tr>
        <w:trPr>
          <w:trHeight w:val="141"/>
        </w:trPr>
        <w:tc>
          <w:tcPr>
            <w:tcW w:w="42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12-Month Backlog</w:t>
            </w: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4,190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4,150</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ind w:left="100"/>
              <w:spacing w:after="0" w:line="141" w:lineRule="exact"/>
              <w:rPr>
                <w:sz w:val="20"/>
                <w:szCs w:val="20"/>
                <w:color w:val="auto"/>
              </w:rPr>
            </w:pPr>
            <w:r>
              <w:rPr>
                <w:rFonts w:ascii="Times New Roman" w:cs="Times New Roman" w:eastAsia="Times New Roman" w:hAnsi="Times New Roman"/>
                <w:sz w:val="13"/>
                <w:szCs w:val="13"/>
                <w:color w:val="auto"/>
                <w:w w:val="88"/>
              </w:rPr>
              <w:t>4,170</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4,140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4,060</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167" w:lineRule="exact"/>
        <w:rPr>
          <w:sz w:val="20"/>
          <w:szCs w:val="20"/>
          <w:color w:val="auto"/>
        </w:rPr>
      </w:pPr>
    </w:p>
    <w:p>
      <w:pPr>
        <w:ind w:left="940" w:hanging="303"/>
        <w:spacing w:after="0"/>
        <w:tabs>
          <w:tab w:leader="none" w:pos="9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Excluding the phase out of certain business activities in the fourth fiscal quarter of 2024 only.</w:t>
      </w:r>
    </w:p>
    <w:p>
      <w:pPr>
        <w:spacing w:after="0" w:line="360" w:lineRule="exact"/>
        <w:rPr>
          <w:rFonts w:ascii="Times New Roman" w:cs="Times New Roman" w:eastAsia="Times New Roman" w:hAnsi="Times New Roman"/>
          <w:sz w:val="13"/>
          <w:szCs w:val="13"/>
          <w:color w:val="auto"/>
        </w:rPr>
      </w:pPr>
    </w:p>
    <w:p>
      <w:pPr>
        <w:ind w:left="4480" w:hanging="102"/>
        <w:spacing w:after="0"/>
        <w:tabs>
          <w:tab w:leader="none" w:pos="4480" w:val="left"/>
        </w:tabs>
        <w:numPr>
          <w:ilvl w:val="1"/>
          <w:numId w:val="1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-193040</wp:posOffset>
            </wp:positionV>
            <wp:extent cx="491045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10455" cy="1206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2025-11-12T07:27:39Z</dcterms:created>
  <dcterms:modified xsi:type="dcterms:W3CDTF">2025-11-12T07:27:39Z</dcterms:modified>
</cp:coreProperties>
</file>