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ind w:left="4020"/>
        <w:spacing w:after="0"/>
        <w:rPr>
          <w:sz w:val="20"/>
          <w:szCs w:val="20"/>
          <w:color w:val="auto"/>
        </w:rPr>
      </w:pPr>
      <w:r>
        <w:rPr>
          <w:rFonts w:ascii="Courier New" w:cs="Courier New" w:eastAsia="Courier New" w:hAnsi="Courier New"/>
          <w:sz w:val="15"/>
          <w:szCs w:val="15"/>
          <w:color w:val="auto"/>
        </w:rPr>
        <w:t>As Filed Pursuant to Rule 424(b)(1)</w:t>
      </w:r>
    </w:p>
    <w:p>
      <w:pPr>
        <w:spacing w:after="0" w:line="2" w:lineRule="exact"/>
        <w:rPr>
          <w:sz w:val="24"/>
          <w:szCs w:val="24"/>
          <w:color w:val="auto"/>
        </w:rPr>
      </w:pPr>
    </w:p>
    <w:p>
      <w:pPr>
        <w:ind w:left="4020"/>
        <w:spacing w:after="0"/>
        <w:rPr>
          <w:sz w:val="20"/>
          <w:szCs w:val="20"/>
          <w:color w:val="auto"/>
        </w:rPr>
      </w:pPr>
      <w:r>
        <w:rPr>
          <w:rFonts w:ascii="Courier New" w:cs="Courier New" w:eastAsia="Courier New" w:hAnsi="Courier New"/>
          <w:sz w:val="15"/>
          <w:szCs w:val="15"/>
          <w:color w:val="auto"/>
        </w:rPr>
        <w:t>Registration No. 333-75151</w:t>
      </w:r>
    </w:p>
    <w:p>
      <w:pPr>
        <w:spacing w:after="0" w:line="346"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20,000,000 Shares</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Amdocs is offering 2,000,000 ordinary shares to be sold in the offering. The selling shareholders identified in this prospectus are offering an additional 18,000,000 ordinary shares.</w:t>
      </w:r>
    </w:p>
    <w:p>
      <w:pPr>
        <w:spacing w:after="0" w:line="176" w:lineRule="exact"/>
        <w:rPr>
          <w:sz w:val="24"/>
          <w:szCs w:val="24"/>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offering described in this prospectus, the Amdocs Automatic Common Exchange Security Trust (the "TRACES Trust") shareholder named in this prospectus is offering up to 10,000,000 ordinary shares (or up to 11,500,000 ordinary shares if the underwriters' over-allotment option is exercised in full) that may be delivered by the TRACES Trust to holders of Automatic Common Exchange Securities of the TRACES Trust upon exchange of such securities on the Exchange Date as defined in the prospectus attached to the TRACES Trust prospectus (the "Trust Prospectus"). The Automatic Common Exchange Securities are being sold by the TRACES Trust in an offering described in the Trust Prospectus. The respective closings of the offerings of the ordinary shares and the Automatic Common Exchange Securities are not dependent upon one another.</w:t>
      </w:r>
    </w:p>
    <w:p>
      <w:pPr>
        <w:spacing w:after="0" w:line="180" w:lineRule="exact"/>
        <w:rPr>
          <w:sz w:val="24"/>
          <w:szCs w:val="24"/>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Amdocs will not receive any proceeds from the sale of the ordinary shares by the selling shareholders or the sale of the Automatic Common Exchange Securities by the TRACES Trust.</w:t>
      </w:r>
    </w:p>
    <w:p>
      <w:pPr>
        <w:spacing w:after="0" w:line="176" w:lineRule="exact"/>
        <w:rPr>
          <w:sz w:val="24"/>
          <w:szCs w:val="24"/>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our ordinary shares on June 7, 1999 was $22.4375 per share.</w:t>
      </w:r>
    </w:p>
    <w:p>
      <w:pPr>
        <w:spacing w:after="0" w:line="176" w:lineRule="exact"/>
        <w:rPr>
          <w:sz w:val="24"/>
          <w:szCs w:val="24"/>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9 to read about factors you should consider before buying our ordinary shares.</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9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1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Per Share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1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22.4375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$448,750,000</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Underwriting discount.......................................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0.84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$ 16,800,000</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Amdocs........................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21.5975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$ 43,195,000</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the selling shareholders......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21.5975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$388,755,000</w:t>
            </w:r>
          </w:p>
        </w:tc>
      </w:tr>
      <w:tr>
        <w:trPr>
          <w:trHeight w:val="516"/>
        </w:trPr>
        <w:tc>
          <w:tcPr>
            <w:tcW w:w="67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underwriters may, under certain circumstances, purchase up to an</w:t>
            </w:r>
          </w:p>
        </w:tc>
        <w:tc>
          <w:tcPr>
            <w:tcW w:w="1080" w:type="dxa"/>
            <w:vAlign w:val="bottom"/>
          </w:tcPr>
          <w:p>
            <w:pPr>
              <w:spacing w:after="0"/>
              <w:rPr>
                <w:sz w:val="24"/>
                <w:szCs w:val="24"/>
                <w:color w:val="auto"/>
              </w:rPr>
            </w:pPr>
          </w:p>
        </w:tc>
      </w:tr>
      <w:tr>
        <w:trPr>
          <w:trHeight w:val="172"/>
        </w:trPr>
        <w:tc>
          <w:tcPr>
            <w:tcW w:w="6700" w:type="dxa"/>
            <w:vAlign w:val="bottom"/>
            <w:gridSpan w:val="4"/>
          </w:tcPr>
          <w:p>
            <w:pPr>
              <w:spacing w:after="0"/>
              <w:rPr>
                <w:sz w:val="20"/>
                <w:szCs w:val="20"/>
                <w:color w:val="auto"/>
              </w:rPr>
            </w:pPr>
            <w:r>
              <w:rPr>
                <w:rFonts w:ascii="Courier New" w:cs="Courier New" w:eastAsia="Courier New" w:hAnsi="Courier New"/>
                <w:sz w:val="15"/>
                <w:szCs w:val="15"/>
                <w:color w:val="auto"/>
                <w:w w:val="98"/>
              </w:rPr>
              <w:t>additional 3,000,000 shares from Amdocs and the selling shareholders at the</w:t>
            </w:r>
          </w:p>
        </w:tc>
        <w:tc>
          <w:tcPr>
            <w:tcW w:w="108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 less the underwriting discount.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1460" w:type="dxa"/>
            <w:vAlign w:val="bottom"/>
          </w:tcPr>
          <w:p>
            <w:pPr>
              <w:spacing w:after="0"/>
              <w:rPr>
                <w:sz w:val="14"/>
                <w:szCs w:val="14"/>
                <w:color w:val="auto"/>
              </w:rPr>
            </w:pPr>
          </w:p>
        </w:tc>
        <w:tc>
          <w:tcPr>
            <w:tcW w:w="39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6" w:lineRule="exact"/>
        <w:rPr>
          <w:sz w:val="24"/>
          <w:szCs w:val="24"/>
          <w:color w:val="auto"/>
        </w:rPr>
      </w:pPr>
    </w:p>
    <w:p>
      <w:pPr>
        <w:ind w:right="3159" w:firstLine="447"/>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 New York on June 11, 1999.</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BANCBOSTON ROBERTSON STEPHENS</w:t>
      </w:r>
    </w:p>
    <w:p>
      <w:pPr>
        <w:spacing w:after="0" w:line="2" w:lineRule="exact"/>
        <w:rPr>
          <w:sz w:val="24"/>
          <w:szCs w:val="24"/>
          <w:color w:val="auto"/>
        </w:rPr>
      </w:pPr>
    </w:p>
    <w:p>
      <w:pPr>
        <w:ind w:left="3740"/>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4"/>
          <w:szCs w:val="24"/>
          <w:color w:val="auto"/>
        </w:rPr>
      </w:pPr>
    </w:p>
    <w:p>
      <w:pPr>
        <w:ind w:left="464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4"/>
          <w:szCs w:val="24"/>
          <w:color w:val="auto"/>
        </w:rPr>
      </w:pPr>
    </w:p>
    <w:p>
      <w:pPr>
        <w:ind w:left="5540"/>
        <w:spacing w:after="0"/>
        <w:rPr>
          <w:sz w:val="20"/>
          <w:szCs w:val="20"/>
          <w:color w:val="auto"/>
        </w:rPr>
      </w:pPr>
      <w:r>
        <w:rPr>
          <w:rFonts w:ascii="Courier New" w:cs="Courier New" w:eastAsia="Courier New" w:hAnsi="Courier New"/>
          <w:sz w:val="15"/>
          <w:szCs w:val="15"/>
          <w:color w:val="auto"/>
        </w:rPr>
        <w:t>SG COWEN</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Prospectus dated June 7, 1999.</w:t>
      </w:r>
    </w:p>
    <w:p>
      <w:pPr>
        <w:sectPr>
          <w:pgSz w:w="11900" w:h="16838" w:orient="portrait"/>
          <w:cols w:equalWidth="0" w:num="1">
            <w:col w:w="10219"/>
          </w:cols>
          <w:pgMar w:left="240" w:top="231" w:right="1440" w:bottom="1440" w:gutter="0" w:footer="0" w:header="0"/>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jc w:val="both"/>
        <w:ind w:left="448" w:right="3079" w:hanging="448"/>
        <w:spacing w:after="0" w:line="241"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10227"/>
          </w:cols>
          <w:pgMar w:left="232"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April 30, 1999.</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and Telstra Corporation Ltd.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three-tier client-server architecture that provides the flexibility and scalability needed by major companies in the highly competitive, rapidly changing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$199.6 million or 71.5% of our revenue for the six months ended March 31, 1999 and $251.8 million or 62.4% of our revenue for the year ended September 30, 1998. Directory sales and publishing systems and related services and other activities accounted for $79.7 million or 28.5% of our revenue for the six months ended March 31, 1999 and $151.9 million or 37.6% of our revenue for the year ended September 30, 1998.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March 31, 1999, we had approximately 4,150 full-time equivalent employees, of which approximately 3,600 were software and information technology specialists engaged in research, development, maintenance and support activities. Our Israeli subsidiary employs over 2,600 software and information technology specialists and operates our largest development facility. In the United States, our main sales and development center is located in St. Louis, Missouri. The executive offices of our principal subsidiary in the United States are located at 1610 Des Peres Road, St. Louis, Missouri 63131, and the telephone number at that location is (314) 821-3242.</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offered by Amdocs.............................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offered by the selling shareholders...........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to be outstanding after the offering..........</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repay a portion of our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bank debt and for general corporate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principally working capital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See "Use of Proceeds".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4748" w:space="180"/>
            <w:col w:w="5299"/>
          </w:cols>
          <w:pgMar w:left="232" w:top="289" w:right="1440" w:bottom="1440"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89" w:right="1440" w:bottom="1440" w:gutter="0" w:footer="0" w:header="0"/>
          <w:type w:val="continuous"/>
        </w:sectPr>
      </w:pPr>
    </w:p>
    <w:p>
      <w:pPr>
        <w:spacing w:after="0" w:line="12"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June 7, 1999. Does not include</w:t>
      </w:r>
    </w:p>
    <w:p>
      <w:pPr>
        <w:spacing w:after="0" w:line="3" w:lineRule="exact"/>
        <w:rPr>
          <w:rFonts w:ascii="Courier New" w:cs="Courier New" w:eastAsia="Courier New" w:hAnsi="Courier New"/>
          <w:sz w:val="15"/>
          <w:szCs w:val="15"/>
          <w:color w:val="auto"/>
        </w:rPr>
      </w:pPr>
    </w:p>
    <w:p>
      <w:pPr>
        <w:ind w:left="348" w:right="3079" w:firstLine="10"/>
        <w:spacing w:after="0" w:line="242" w:lineRule="auto"/>
        <w:tabs>
          <w:tab w:leader="none" w:pos="70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4,231,000 ordinary shares reserved for issuance upon the exercise of stock options that have been granted through March 31, 1999 under our stock option plan and (ii) approximately 2,369,000 ordinary shares to be reserved for future issuance of stock options under our stock option plan.</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addition to the offering described in this prospectus, the TRACES Trust shareholder named in this prospectus is offering up to 10,000,000 ordinary shares (or up to 11,500,000 ordinary shares if the underwriters' over-allotment option is exercised in full) that may in certain circumstances be delivered by the TRACES Trust to holders of its Automatic Common Exchange Securities upon exchange of those securities on the Exchange Date.</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672"/>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176" w:lineRule="exact"/>
        <w:rPr>
          <w:sz w:val="20"/>
          <w:szCs w:val="20"/>
          <w:color w:val="auto"/>
        </w:rPr>
      </w:pPr>
    </w:p>
    <w:p>
      <w:pPr>
        <w:ind w:left="8" w:right="368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dollars. The summary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summary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184" w:lineRule="exact"/>
        <w:rPr>
          <w:sz w:val="20"/>
          <w:szCs w:val="20"/>
          <w:color w:val="auto"/>
        </w:rPr>
      </w:pPr>
    </w:p>
    <w:p>
      <w:pPr>
        <w:ind w:left="8" w:right="386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4"/>
                <w:szCs w:val="14"/>
                <w:color w:val="auto"/>
              </w:rPr>
            </w:pP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$312,747</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$239,966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(net of current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12,675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66,968</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760" w:hanging="348"/>
        <w:spacing w:after="0" w:line="242"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940"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ectPr>
          <w:pgSz w:w="11900" w:h="16838" w:orient="portrait"/>
          <w:cols w:equalWidth="0" w:num="1">
            <w:col w:w="10828"/>
          </w:cols>
          <w:pgMar w:left="232" w:top="289" w:right="839"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828"/>
          </w:cols>
          <w:pgMar w:left="232" w:top="289" w:right="839"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348" w:right="333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$22.4375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adversely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such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6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22.0% of our outstanding ordinary shares. A significant decrease in the sale of products and services to SBC or its subsidiaries may materially adversely affect our results of operations and financial condition.</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16.6% of our total revenue in the first six months of fiscal 1999 and 20.8%, 34.5% and 38.0% of revenue in fiscal 1998, 1997 and 1996, respectively. The absolute amount of revenue attributable to SBC and such subsidiaries amounted to $46.2 million in the first six months of fiscal 1999 and $84.4 million, $99.9 million and $80.5 million in fiscal 1998, 1997 and 1996, respectively.</w:t>
      </w:r>
    </w:p>
    <w:p>
      <w:pPr>
        <w:spacing w:after="0" w:line="17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OUR BUSINESS IS HIGHLY DEPENDENT ON A LIMITED NUMBER OF SIGNIFICANT CUSTOMERS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23.5% of revenue in the first six months of fiscal 1999 and 27.1%, 33.2% and 42.7% of revenue in fiscal 1998, 1997 and 1996,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NEW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new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attract new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3,600 software and information technology specialists, of which over 2,600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which progress may vary significantly from project to project,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 Europe, Australia, and Latin America. Our strategy is to continue to broaden our North American and European customer base and to expand into new international markets, the most significant of which are located in Latin America and the Asia-Pacific region.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This could result in a system failure or miscalculation causing disruptions of operations, including, among other things, total failure of mass systems that depend on computers such as electricity, telephone networks and banking systems.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$2.0 million at March 31, 1999, representing the estimated costs to modify our software products to address year 2000 issues under existing agreements for previously sold products. See "Management's Discussion and Analysis of Financial Condition and Results of Operation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$1.9 million at March 31,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ordinary voting shares are currently owned as follows:</w:t>
      </w:r>
    </w:p>
    <w:p>
      <w:pPr>
        <w:spacing w:after="0" w:line="176" w:lineRule="exact"/>
        <w:rPr>
          <w:sz w:val="20"/>
          <w:szCs w:val="20"/>
          <w:color w:val="auto"/>
        </w:rPr>
      </w:pPr>
    </w:p>
    <w:p>
      <w:pPr>
        <w:ind w:left="620" w:right="325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 by Welsh, Carson, Anderson &amp; Stowe, or WCAS, a private investment firm, and its affiliates,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 by SBCI, and</w:t>
      </w:r>
    </w:p>
    <w:p>
      <w:pPr>
        <w:spacing w:after="0" w:line="175"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27.4% by Amdocs International Limited, or AIL, a private company beneficially owned by Morris S. Kahn.</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SBCI also owns ordinary nonvoting shares, which together with its ordinary voting shares represent 22.0% of the ordinary shares outstanding. In addition, WCAS and certain entities in which members of our management have a beneficial interest have granted irrevocable proxies with respect to a portion of the ordinary shares held by them to a company beneficially owned by Morris S. Kahn. Giving effect to such proxies, the company beneficially owned by Morris S. Kahn and AIL together have the right to vote 45.2% of our ordinary voting shares, WCAS and its affiliates have the right to vote 20.1% of our ordinary voting shares and SBCI has the right to vote 8.6% of our ordinary voting shares.</w:t>
      </w:r>
    </w:p>
    <w:p>
      <w:pPr>
        <w:spacing w:after="0" w:line="16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WCAS. If the targets are met in full, the WCAS Investors will hold 28.1% of our ordinary voting shares and AIL will hold 31.0% of our ordinary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8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For example, since our initial public offering in June 1998 through June 7, 1999 the closing price of our ordinary shares ranged from a high of $28.88 per share to a low of $8.38 per share. Many factors could cause the market price of our ordinary shares to rise and fall. Some of these factors are:</w:t>
      </w:r>
    </w:p>
    <w:p>
      <w:pPr>
        <w:spacing w:after="0" w:line="163" w:lineRule="exact"/>
        <w:rPr>
          <w:sz w:val="20"/>
          <w:szCs w:val="20"/>
          <w:color w:val="auto"/>
        </w:rPr>
      </w:pPr>
    </w:p>
    <w:p>
      <w:pPr>
        <w:ind w:left="3480" w:right="5479" w:hanging="3041"/>
        <w:spacing w:after="0" w:line="483" w:lineRule="auto"/>
        <w:tabs>
          <w:tab w:leader="none" w:pos="61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 16</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stockholders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196,800,024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net proceeds to us from our sale of the 2,000,000 ordinary shares in the offering will be approximately $41.2 million, after deducting the underwriting discount and the estimated offering expenses payable by 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use a portion of the proceeds received by us to repay up to $30.0 million principal amount of outstanding loans under our revolving credit facility. The debt to be repaid matures in June 1999 and bears interest at a rate of approximately 5.5% per annum. We expect that any proceeds not used to repay this debt will be used for general corporate purposes, including working capital and capital expenditures. We may also use a portion of the net proceeds, currently intended for general corporate purposes, to acquire or invest in businesses, technologies, products or services that are complementary to our business. We do not currently have any commitments or agreements with respect to any such acquisitions or investments. Pending any of these uses, we intend to invest the net proceeds from this offering in short-term, interest-bearing, investment grade securities.</w:t>
      </w:r>
    </w:p>
    <w:p>
      <w:pPr>
        <w:spacing w:after="0" w:line="180"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 or the sale of the Automatic Common Exchange Securities by the TRACES Trust.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June 7, 1999, the high and low reported closing prices for the ordinary shares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 (through June 7,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spacing w:after="0"/>
              <w:rPr>
                <w:sz w:val="14"/>
                <w:szCs w:val="14"/>
                <w:color w:val="auto"/>
              </w:rPr>
            </w:pP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June 7, 1999, the last reported closing price of the ordinary shares on the New York Stock Exchange was $22.4375 and ordinary shares were held by approximately 139 recordholders. Based on a review of the addresses of such holders, 90 recordholders, holding approximately 62.6% of the outstanding ordinary shares, were residents of the United States.</w:t>
      </w:r>
    </w:p>
    <w:p>
      <w:pPr>
        <w:spacing w:after="0" w:line="175"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176" w:lineRule="exact"/>
        <w:rPr>
          <w:sz w:val="20"/>
          <w:szCs w:val="20"/>
          <w:color w:val="auto"/>
        </w:rPr>
      </w:pPr>
    </w:p>
    <w:p>
      <w:pPr>
        <w:ind w:left="8" w:right="404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U.S. GAAP and presented in dollars. The selected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selected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184"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4"/>
                <w:szCs w:val="14"/>
                <w:color w:val="auto"/>
              </w:rPr>
            </w:pP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50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$312,747</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obligations (net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current portion)......</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12,675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66,968</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120"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ectPr>
          <w:pgSz w:w="11900" w:h="16838" w:orient="portrait"/>
          <w:cols w:equalWidth="0" w:num="1">
            <w:col w:w="11188"/>
          </w:cols>
          <w:pgMar w:left="232" w:top="289" w:right="479"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188"/>
          </w:cols>
          <w:pgMar w:left="232" w:top="289" w:right="479" w:bottom="1440" w:gutter="0" w:footer="0" w:header="0"/>
          <w:type w:val="continuous"/>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left="348" w:right="3339"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pacing w:after="0" w:line="176"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$22.4375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first six months of fiscal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first six months of fiscal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six month to six month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policies, our annual and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76" w:lineRule="exact"/>
        <w:rPr>
          <w:sz w:val="20"/>
          <w:szCs w:val="20"/>
          <w:color w:val="auto"/>
        </w:rPr>
      </w:pPr>
    </w:p>
    <w:p>
      <w:pPr>
        <w:ind w:left="620" w:right="307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$199.6 million for the six months ended March 31, 1999, representing 71.5%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159" w:hanging="181"/>
        <w:spacing w:after="0" w:line="241"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$79.7 million for the six months ended March 31, 1999 accounting for 28.5%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 both for CC&amp;B Systems and Directory Systems.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six months ended March 31,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SIX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31,</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six months ended March 31, 1999 was $279.3 million, an increase of $98.7 million, or 54.7%, compared to the six months ended March 31, 1998, primarily due to additional CC&amp;B Systems sales to European customers. License revenue increased from $18.4 million in the first six months of fiscal 1998 to $32.3 million in the first six months of fiscal 1999, an increase of 75.5%, and service revenue increased 52.3% by $84.8 million in the first six months of fiscal 1999, from $162.1 million in the first six months of fiscal 1998 to $246.9 million in the first six months of fiscal 1999. Total CC&amp;B Systems revenue for the six months ended March 31, 1999 was $199.6 million, an increase of $98.6 million, or 97.6%, compared to the prior year's first six months. Revenue attributable to Directory Systems was $79.7 million for the six months ended March 31, 1999, an increase of $0.1 million, or 0.1%, from the first six months of fiscal 1998.</w:t>
      </w:r>
    </w:p>
    <w:p>
      <w:pPr>
        <w:spacing w:after="0" w:line="181"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the six months ended March 31, 1999, revenue from customers in North America, Europe and the rest of the world accounted for 44%, 36% and 20%, respectively, compared to 58%, 20%, and 22% respectively, in the six months ended March 31, 1998.</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six months ended March 31, 1999 was $2.7 million, a decrease of $3.2 million, or 54.1%, from cost of license for the six months ended March 31,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first six months of fiscal 1999 was $160.2 million, an increase of $55.4 million, or 52.9%, compared to the cost of service of $104.8 million for the first six months of fiscal 1998. As a percentage of revenue, cost of service decreased to 57.4% in the six months ended March 31, 1999 from 58.0% in the first six months of fiscal 1998. The absolute increase in cost of service is consistent with the increase in revenue for the first six months of fiscal 1999, as these costs are predominately compensation related and reflect increased employment levels required to support the growth in revenue.</w:t>
      </w:r>
    </w:p>
    <w:p>
      <w:pPr>
        <w:spacing w:after="0" w:line="178"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six months ended March 31, 1999, research and development expense was $17.5 million, or 6.3% of revenue, compared with $11.0 million, or 6.1% of revenue, in the six months ended March 31, 1998. The increase in research and development expense represents ongoing expenditures for both CC&amp;B Systems and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43.6% to $33.1 million, or 11.8% of revenue, in the six months ended March 31, 1999 from $23.0 million, or 12.8%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six months ended March 31, 1999 was $65.8 million, as compared with $36.0 million in the first six months of fiscal 1998, an increase of 82.9%. As a percentage of revenue, operating income was 23.5% in the first six months of fiscal 1999 as compared to 19.9% in the first six months of fiscal 1998, primarily due to an increase in license revenue and a decrease in cost of license. In addition, selling, general and administrative expense increased at a lesser rate than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was substantially repaid from the proceeds of our initial public offering. In the first six months of fiscal 1999, other expense, net was $4.0 million, a decrease of $7.8 million from the first six months of fiscal 1998.</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six months ended March 31, 1999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 million on income before taxes of $61.8 million. In the prior year's first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half, income taxes were $12.1 million on income before taxes of $24.1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$43.3 million in the first six months of fiscal 1999 compared to $12.1 for the first six months of fiscal 1998. The increase was primarily the result of an increase in operating income and a decrease in interest expense, which also resulted in an increase in earnings per share from $.09 in the first six months of fiscal 1998 to $0.22 in the first six months of fiscal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 revenue is attributable to sales to new customers as well as sales of additional products and services to existing customers.</w:t>
      </w:r>
    </w:p>
    <w:p>
      <w:pPr>
        <w:spacing w:after="0" w:line="179"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 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of $63.9 million, or 62.3%, from the prior year. Revenue attributable to Directory Systems was $123.8 million for fiscal 1997, an increase of $14.5 million, or 13.3%, from fiscal 1996.</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 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the United States, the United Kingdom and Israel, and recorded a loss in Guernsey, a jurisdiction in which we are tax-exempt.</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primarily financed our operations through cash generated from operations and borrowings from banks and other lenders. Cash and cash equivalents totaled $26.9 million at March 31, 1999 compared to $25.4 million at September 30, 1998. Net cash provided by operating activities amounted to $38.3 million and $11.8 million for the first half of fiscal 1999 and 1998, respectively.</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repay our outstanding loans and to finance the development of our business.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had short term lines of credit totaling $152.0 million from various banks or bank groups, of which $75.9 million was outstanding. As of that date, we had also utilized approximately $8.2 million of our revolving credit facility to support outstanding letters of credit. We intend to use a portion of the net proceeds from our sale of ordinary shares in the offering to repay a portion of amounts outstanding under our revolving credit facility. See "Use of Proceeds".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March 31, 1999, we had negative working capital of $48.3 million as compared to negative working capital of $84.3 million at September 30, 1998. We do not believe this will have a negative impact on our liquidity as this temporary situation is primarily a result of a three-year revolving credit facility which we intend to repay with part of the proceeds we receive in the offering and with cash flows from operations. We believe that cash generated from operations and our current lines of credit will provide sufficient resources to meet our needs in the near future.</w:t>
      </w:r>
    </w:p>
    <w:p>
      <w:pPr>
        <w:spacing w:after="0" w:line="177"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At March 31, 1999, we had long-term obligations outstanding of $16.9 million in connection with vehicle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March 31,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 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anticipate completing the majority of the testing, implementation of changes and necessary refinements by mid-1999 but to continue extensive testing through calendar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whom we deal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w:t>
      </w: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contains embedded software and our own software products. We are in the process of implementing action plans for the remediation of high 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have accrued approximately $2.0 million representing the estimated remaining costs to modify previously sold customized software products. We do not anticipate capitalizing any of these costs as they relate to warranties related to products developed for customers.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European Monetary Union currency, or the euro, will be phased in over the three-year period commencing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March 31, 1999, we have accrued approximately $1.9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first half of the fiscal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are in dollars or linked to the dollar and therefore the dollar is our functional currency. Approximately 60% of our operating expenses are paid in dollars or are linked to dollars. Other significant currencies in which we receive revenue or pay expenses are Australian dollars, the euro, British pounds, Canadian dollars and Israeli shekels. Historically, the effect of fluctuations in currency exchange rates has had a minimal impact on our operations. As we expand our operations outside of the United States, our exposure to</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fluctuations in currency exchange rates could increase. In managing our foreign exchange risk, we enter from time to time into various foreign exchange contracts. As of March 31, 1999, we had hedged most of our significant exposures in currencies other than the dollar.</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at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AT SEPTEMBER 30,</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FV</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AFTER</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OF 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$100,000.</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September 30, 1998, we had approximately $91.6 million outstanding on our revolving line of credit and short-term credit agreements and $12.2 million recorded as long-term lease obligations. The potential loss to us over one year that would result from a hypothetical,</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instantaneous, and unfavorable change of 100 basis points in the interest rates of all applicable financial assets and liabilities on September 30, 1998 would be approximately $1.0 million. The above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See Note 8 to our consolidated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ARCHITEL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2, 1999, we entered into a combination agreement with Architel Systems Corporation, a Canadian corporation, by which we would acquire Architel in a stock transaction valued at approximately $400 million at the time of the agreement. On April 8, 1999, Architel announced that it had restructured its relationship with its largest customer, and expected revenue and earnings for future periods to be substantially less than originally anticipated. As a result of these developments, on April 22, 1999, we terminated the combination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Business Support Systems, or BSS, consist of families of customized software products and services designed to meet the mission-critical needs of specific telecommunications market sectors. We provide primarily CC&amp;B Systems for wireline (local, long distance, international, data, Internet and Voice Over Internet Protocol, or VOIP) and wireless (cellular, personal communications services, or PCS, and paging) network operators and service providers, as well as for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are oriented to supporting a single-service approach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three-tier,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61"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338" w:lineRule="exact"/>
        <w:rPr>
          <w:rFonts w:ascii="Courier New" w:cs="Courier New" w:eastAsia="Courier New" w:hAnsi="Courier New"/>
          <w:sz w:val="14"/>
          <w:szCs w:val="14"/>
          <w:color w:val="auto"/>
        </w:rPr>
      </w:pPr>
    </w:p>
    <w:p>
      <w:pPr>
        <w:ind w:left="620" w:right="3079" w:hanging="181"/>
        <w:spacing w:after="0" w:line="260"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w:t>
      </w:r>
    </w:p>
    <w:p>
      <w:pPr>
        <w:spacing w:after="0" w:line="2" w:lineRule="exact"/>
        <w:rPr>
          <w:sz w:val="20"/>
          <w:szCs w:val="20"/>
          <w:color w:val="auto"/>
        </w:rPr>
      </w:pPr>
    </w:p>
    <w:p>
      <w:pPr>
        <w:ind w:left="620" w:right="3079"/>
        <w:spacing w:after="0" w:line="260" w:lineRule="auto"/>
        <w:rPr>
          <w:sz w:val="20"/>
          <w:szCs w:val="20"/>
          <w:color w:val="auto"/>
        </w:rPr>
      </w:pPr>
      <w:r>
        <w:rPr>
          <w:rFonts w:ascii="Courier New" w:cs="Courier New" w:eastAsia="Courier New" w:hAnsi="Courier New"/>
          <w:sz w:val="14"/>
          <w:szCs w:val="14"/>
          <w:color w:val="auto"/>
        </w:rPr>
        <w:t>customer's specific business requirements. We believe that this approach minimizes risks and increases efficiencies by drawing on field-proven BSS</w:t>
      </w:r>
    </w:p>
    <w:p>
      <w:pPr>
        <w:ind w:left="3480"/>
        <w:spacing w:after="0" w:line="238" w:lineRule="auto"/>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techniques, intelligent agents over the Internet, object-oriented design and programming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wireless (cellular, PCS and paging), wireline (local, long distance, international,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Channels -- manages the financial relationship between a wireless carrier and its authorized dealers, including commission calculation, chargebacks and residual compensation.</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wireless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"ADS(NG)/Family of Products," our main products in the Directory Systems area, provides comprehensive support for yellow page and white page directory sales and publishing operations, as well as for Internet directories and catalogs, including fully integrated electronic commerce capabilities. The directory line of products comprises a series of modules, including:</w:t>
      </w:r>
    </w:p>
    <w:p>
      <w:pPr>
        <w:spacing w:after="0" w:line="163" w:lineRule="exact"/>
        <w:rPr>
          <w:sz w:val="20"/>
          <w:szCs w:val="20"/>
          <w:color w:val="auto"/>
        </w:rPr>
      </w:pPr>
    </w:p>
    <w:p>
      <w:pPr>
        <w:ind w:left="620" w:right="307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6" w:lineRule="exact"/>
        <w:rPr>
          <w:sz w:val="20"/>
          <w:szCs w:val="20"/>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Telstra Corporation Ltd. (Australia)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16.6% of our revenue in the first six months of fiscal 1999 and for 20.8%, 34.5% and 38.0% of our revenue in fiscal 1998, 1997 and 1996, respectively. Our next largest customer is BellSouth, which accounted for 9.6% of our revenue in the first six months of fiscal 1999 and for 15.8%, 4.5% and 1.5% of our revenue in fiscal 1998, 1997 and 1996, respectively. Our third largest customer is Telstra, which accounted for 7.0% of our revenue in the first half of fiscal 1999 and for 8.2%, 13.0% and 16.0% of our revenue in fiscal 1998, 1997 and 1996, respectively.</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23.5% of total revenue for the first six months of fiscal 1999 and 27.1%, 33.2% and 42.7% of revenue in fiscal 1998, 1997 and 1996, respectively.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SIX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19.6%</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systems make it very difficult to copy such information or to subject such information to unauthorized use.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March 31, 1999, we employed on a full-time basis approximately 3,600 software and information technology specialists, engaged in research, development, maintenance and support activities, and approximately 550 managers and administrative professionals. We employ over 2,600 software and information technology specialists in Israel, with the remaining 1,000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$17.5 million, $25.6 million, $17.4 million and $14.7 million on research and development activities in the first six months of fiscal 1999 and in fiscal 1998, 1997 and 1996, respectively, or 6.3%, 6.3%, 6.0% and 6.9%, respectively, of total revenue in those periods. For fiscal 1999, we expect to spend approximately $40.0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numerous facilities in Israel, aggregating approximately 565,000 square feet, pursuant to leases expiring on various dates between December 1999 and December 2008, and have various options to extend the terms of such leases. Approximately 69,000 square feet of such facilities are owned by related companies which lease such facilities to us. In Israel, we currently pay total yearly rental fees of approximately $10.5 million which are linked, in most cases, to the U.S. dollar.</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our Israeli subsidiary entered into a ten-year lease for 297,000 square feet in Ra'anana, Israel. In June 1998, the Israeli subsidiary relocated its main offices and most of its operations to this location. The annual rent for the Ra'anana facility is approximately $5.4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 In November 1998, the Israeli subsidiary rented an additional 25,000 square feet in Ra'anana. In December 1998, the Israeli subsidiary entered into a ten-year lease for an additional 55,000 square feet commencing in July 2000. The annual rent will be approximately $1.0 million.</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August 1998, we entered into a seven-year lease (commencing December 1998) for 90,600 square feet in Chesterfield, Missouri. We intend to relocate our development center and all of our administrative personnel, now principally centered around St. Louis, Missouri, to Chesterfield. The annual rent for the facility will be approximately $2.4 million. In July 1999, we intend to terminate part of our St. Louis lease under which we pay approximately $130,000 annually in rent. We also hold a number of other leases in the United States, with an aggregate annual rent of approximately $75,000.</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lease 37,670 square feet for our development facility in Cyprus at an annual rent of approximately $500,000.</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lease additional office space in the United Kingdom, Australia, Germany, Japan, Korea and Brazil.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and Amdocs (UK) Limited (the United Kingdom).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May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W. Andrews..........................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James W. Andrews is General Manager of Amdocs (UK) Limited, with responsibility for supervising financial reporting and control, insurance, administration and human resources. Mr. Andrews joined Amdocs in 1991 and has served in a number of financial management positions, including Financial Controller. Prior to joining Amdocs, Mr. Andrews was the Accounting Supervisor at Arch Mineral Corporation. He also served at Arthur Andersen &amp; Co. as a certified public accountant. Mr. Andrews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Prior to that, he worked at Lazard Freres &amp; Co. L.L.C., starting in 1987, serving first as a Vice President and then as a Managing Director, where he led its technology and telecommunications group. He is also a director of SpectraSite, a leading tower management company.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first six months of fiscal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March 31, 1999 we granted options to purchase approximately 4,190,000 ordinary shares to our officers and employees, and options to purchase 41,000 ordinary shares to our non-employee directors and consultants, pursuant to a stock option and incentive plan adopted in January 1998, or the Amdocs Plan. The weighted average exercise price of those options is $6.03.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180"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 The Trust is one of the selling shareholders in the offering. See "Principal and Selling Shareholders".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AGREEMENTS. 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62,340,224 to 47,142,184 and increase the relative ownership of AIL, SBCI and the other investors with no change in the aggregate number of ordinary shares outstanding. If the conditions of the call option agreement are satisfied in full, AIL and SBCI each have the right to acquire 6,154,138 ordinary shares and the other investors have the right to acquire 2,889,764 ordinary shares.</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six months of fiscal 1999 and fiscal 1998, 1997 and 1996, SBC and those subsidiaries accounted for approximately 16.6%,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75"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 certain miscellaneous support services to us in Israel.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PRINCIPAL AND SELLING SHAREHOLDERS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issuance and sale of ordinary shares pursuant to this prospectus) as of June 7, 1999 of (i) any person known by us to be the beneficial owner of more than 10% of the outstanding ordinary shares, (ii) all of our directors and executive officers as a group and (iii) the selling shareholders.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6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SHARES BENEFICIALLY OWNED</w:t>
            </w:r>
          </w:p>
        </w:tc>
        <w:tc>
          <w:tcPr>
            <w:tcW w:w="1160" w:type="dxa"/>
            <w:vAlign w:val="bottom"/>
          </w:tcPr>
          <w:p>
            <w:pPr>
              <w:spacing w:after="0"/>
              <w:rPr>
                <w:sz w:val="14"/>
                <w:szCs w:val="14"/>
                <w:color w:val="auto"/>
              </w:rPr>
            </w:pPr>
          </w:p>
        </w:tc>
        <w:tc>
          <w:tcPr>
            <w:tcW w:w="25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SHARED BENEFICIALLY OWNED</w:t>
            </w:r>
          </w:p>
        </w:tc>
      </w:tr>
      <w:tr>
        <w:trPr>
          <w:trHeight w:val="172"/>
        </w:trPr>
        <w:tc>
          <w:tcPr>
            <w:tcW w:w="3300" w:type="dxa"/>
            <w:vAlign w:val="bottom"/>
          </w:tcPr>
          <w:p>
            <w:pPr>
              <w:spacing w:after="0"/>
              <w:rPr>
                <w:sz w:val="14"/>
                <w:szCs w:val="1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PRIOR TO THE OFFERING</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25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AFTER THE OFFERING</w:t>
            </w:r>
          </w:p>
        </w:tc>
      </w:tr>
      <w:tr>
        <w:trPr>
          <w:trHeight w:val="172"/>
        </w:trPr>
        <w:tc>
          <w:tcPr>
            <w:tcW w:w="3300" w:type="dxa"/>
            <w:vAlign w:val="bottom"/>
          </w:tcPr>
          <w:p>
            <w:pPr>
              <w:spacing w:after="0"/>
              <w:rPr>
                <w:sz w:val="14"/>
                <w:szCs w:val="14"/>
                <w:color w:val="auto"/>
              </w:rPr>
            </w:pPr>
          </w:p>
        </w:tc>
        <w:tc>
          <w:tcPr>
            <w:tcW w:w="26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BEING</w:t>
            </w:r>
          </w:p>
        </w:tc>
        <w:tc>
          <w:tcPr>
            <w:tcW w:w="2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NUMBER(1)</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PERCENT(2)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OFFERED</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NUMBER(1)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PERCENT(3)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Welsh, Carson, Anderson &amp;</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Stowe(4)(6).......................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57,372,796</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2,856,000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54,516,796</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27.4%</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320 Park Avenue, Suite 2500</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10022</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SBC International, Inc.(5)..........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43,285,450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4,347,750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38,937,700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19.6%</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SBC Foundation(5)...................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1,449,250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1,449,250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Amdocs International</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Limited(6)(7)(8)(9)(10)...........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45,963,500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8,347,000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37,616,500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Suite 5, Tower Hill House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Le Bordage, St. Peter Port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Guernsey GY1 3QT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Toes Corporation Limited(11)........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5,720,000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1,000,000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4,720,000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Lord Coutanche House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66-68 Esplanade, St. Helier</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Jersey JE4 5PS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as a group (18</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persons)(4)(5)(12)................</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163,375,858</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15,550,750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147,825,108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74.4%</w:t>
            </w:r>
          </w:p>
        </w:tc>
      </w:tr>
    </w:tbl>
    <w:p>
      <w:pPr>
        <w:spacing w:after="0" w:line="346"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448" w:right="3079" w:hanging="359"/>
        <w:spacing w:after="0" w:line="242" w:lineRule="auto"/>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175" w:lineRule="exact"/>
        <w:rPr>
          <w:rFonts w:ascii="Courier New" w:cs="Courier New" w:eastAsia="Courier New" w:hAnsi="Courier New"/>
          <w:sz w:val="15"/>
          <w:szCs w:val="15"/>
          <w:color w:val="auto"/>
        </w:rPr>
      </w:pPr>
    </w:p>
    <w:p>
      <w:pPr>
        <w:ind w:left="448" w:right="3259" w:hanging="359"/>
        <w:spacing w:after="0"/>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168,014,574 ordinary voting shares and 28,785,450 ordinary nonvoting shares outstanding on June 7, 1999.</w:t>
      </w:r>
    </w:p>
    <w:p>
      <w:pPr>
        <w:spacing w:after="0" w:line="176" w:lineRule="exact"/>
        <w:rPr>
          <w:rFonts w:ascii="Courier New" w:cs="Courier New" w:eastAsia="Courier New" w:hAnsi="Courier New"/>
          <w:sz w:val="15"/>
          <w:szCs w:val="15"/>
          <w:color w:val="auto"/>
        </w:rPr>
      </w:pPr>
    </w:p>
    <w:p>
      <w:pPr>
        <w:ind w:left="448" w:right="3159" w:hanging="359"/>
        <w:spacing w:after="0" w:line="267" w:lineRule="auto"/>
        <w:tabs>
          <w:tab w:leader="none" w:pos="44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shown are based on 174,362,324 ordinary voting shares and 24,437,700 ordinary nonvoting shares to be outstanding after the offering, including the 2,000,000 ordinary shares offered by us hereunder.</w:t>
      </w:r>
    </w:p>
    <w:p>
      <w:pPr>
        <w:spacing w:after="0" w:line="158" w:lineRule="exact"/>
        <w:rPr>
          <w:rFonts w:ascii="Courier New" w:cs="Courier New" w:eastAsia="Courier New" w:hAnsi="Courier New"/>
          <w:sz w:val="14"/>
          <w:szCs w:val="14"/>
          <w:color w:val="auto"/>
        </w:rPr>
      </w:pPr>
    </w:p>
    <w:p>
      <w:pPr>
        <w:ind w:left="448" w:right="3079" w:hanging="359"/>
        <w:spacing w:after="0" w:line="261" w:lineRule="auto"/>
        <w:tabs>
          <w:tab w:leader="none" w:pos="44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36,761,712 ordinary voting shares held by Welsh, Carson, Anderson &amp; Stowe VII, L.P., 10,542,844 ordinary voting shares held by Welsh, Carson, Anderson &amp; Stowe VI, L.P., 7,354,932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89"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left="448" w:right="3259" w:hanging="359"/>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NYSE. The number of shares shown as beneficially owned by SBCI is comprised of 14,500,000 ordinary voting shares and 28,785,450 ordinary nonvoting shares before the offering and 14,500,000 ordinary voting shares and 24,437,700 ordinary nonvoting shares after the offering. SBCI is the only shareholder of Amdocs that holds ordinary nonvoting shares. The 4,347,750 ordinary nonvoting shares being sold by SBCI in the offering will automatically convert into ordinary shares. SBC Foundation is a private, not-for-profit corporation funded by SBC and its affiliates.</w:t>
      </w:r>
    </w:p>
    <w:p>
      <w:pPr>
        <w:spacing w:after="0" w:line="178" w:lineRule="exact"/>
        <w:rPr>
          <w:rFonts w:ascii="Courier New" w:cs="Courier New" w:eastAsia="Courier New" w:hAnsi="Courier New"/>
          <w:sz w:val="15"/>
          <w:szCs w:val="15"/>
          <w:color w:val="auto"/>
        </w:rPr>
      </w:pPr>
    </w:p>
    <w:p>
      <w:pPr>
        <w:ind w:left="448" w:right="3079" w:hanging="359"/>
        <w:spacing w:after="0" w:line="261" w:lineRule="auto"/>
        <w:tabs>
          <w:tab w:leader="none" w:pos="4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It is contemplated that several entities in which some members of management have beneficial interests will grant irrevocable proxies with respect to an additional 4,726,571 ordinary voting shares to the same principal shareholder of AIL. After giving effect to those proxies and the issuance and sale of ordinary shares in this offering, AIL and its principal shareholder will together have the right to vote 41.5% of our ordinary voting shares (or 35.7%, assuming the delivery of the 10,000,000 ordinary shares which may be required to be delivered to the TRACES Trust upon the exchange of Automatic Common Exchange Securities on the Exchange Date), and WCAS will have the right to vote 17.8% of such shares. The Exchange Date will occur no earlier than June 11, 2002.</w:t>
      </w:r>
    </w:p>
    <w:p>
      <w:pPr>
        <w:spacing w:after="0" w:line="334" w:lineRule="exact"/>
        <w:rPr>
          <w:rFonts w:ascii="Courier New" w:cs="Courier New" w:eastAsia="Courier New" w:hAnsi="Courier New"/>
          <w:sz w:val="14"/>
          <w:szCs w:val="14"/>
          <w:color w:val="auto"/>
        </w:rPr>
      </w:pPr>
    </w:p>
    <w:p>
      <w:pPr>
        <w:ind w:left="448" w:right="3079" w:hanging="359"/>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may be required to be delivered to the TRACES Trust upon the exchange of Automatic Common Exchange Securities, See "TRACES Shareholders".</w:t>
      </w:r>
    </w:p>
    <w:p>
      <w:pPr>
        <w:spacing w:after="0" w:line="174" w:lineRule="exact"/>
        <w:rPr>
          <w:rFonts w:ascii="Courier New" w:cs="Courier New" w:eastAsia="Courier New" w:hAnsi="Courier New"/>
          <w:sz w:val="15"/>
          <w:szCs w:val="15"/>
          <w:color w:val="auto"/>
        </w:rPr>
      </w:pPr>
    </w:p>
    <w:p>
      <w:pPr>
        <w:ind w:left="448" w:right="3339" w:hanging="359"/>
        <w:spacing w:after="0" w:line="241"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18.7% non-voting interest in AIL is held by an entity whose beneficial interests are held by some of our key executive officers (including a former executive officer).</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our key executive officers are expected to receive approximately</w:t>
      </w:r>
    </w:p>
    <w:p>
      <w:pPr>
        <w:spacing w:after="0" w:line="3"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14.5% of the proceeds of the sales by AIL (including proceeds in respect of the ordinary shares deliverable to the TRACES Trust pursuant to the Purchase Contract, see "TRACES Shareholders"). Those executive officers will indirectly sell through AIL (including ordinary shares deliverable to the TRACES Trust pursuant to the Purchase Contract) approximately 14.5% of their indirect economic interest in Amdocs.</w:t>
      </w:r>
    </w:p>
    <w:p>
      <w:pPr>
        <w:spacing w:after="0" w:line="176" w:lineRule="exact"/>
        <w:rPr>
          <w:rFonts w:ascii="Courier New" w:cs="Courier New" w:eastAsia="Courier New" w:hAnsi="Courier New"/>
          <w:sz w:val="15"/>
          <w:szCs w:val="15"/>
          <w:color w:val="auto"/>
        </w:rPr>
      </w:pPr>
    </w:p>
    <w:p>
      <w:pPr>
        <w:ind w:left="448" w:right="3439" w:hanging="448"/>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offering, all of our executive officers will continue to hold, directly and indirectly, economic interests in approximately 35.7% of our outstanding ordinary shares (of which approximately 27.4% are held beneficially by WCAS).</w:t>
      </w:r>
    </w:p>
    <w:p>
      <w:pPr>
        <w:spacing w:after="0" w:line="174"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Toes Corporation Limited is owned by an irrevocable secular trust established in September 1997 for the benefit of a group of our employees, primarily software and information technology specialists. Walbrook Trustees (Jersey) Limited is the trustee for the Trust and has sole voting and dispositive power with respect to the ordinary shares of Amdocs owned by Toes Corporation Limited. Walbrook Trustees (Jersey) Limited disclaims beneficial ownership of these shares. The beneficiaries include three executive officers of our operating subsidiaries. See</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 Employee Trust Agreement".</w:t>
      </w:r>
    </w:p>
    <w:p>
      <w:pPr>
        <w:spacing w:after="0" w:line="175"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289" w:right="1440" w:bottom="1440" w:gutter="0" w:footer="0" w:header="0"/>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TRACES SHAREHOLDERS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a forward purchase contract, or the Purchase Contract, between the TRACES Trust and the shareholder listed below, or the TRACES Shareholder, a specified number of ordinary shares may be required to be delivered to the TRACES Trust by the TRACES Shareholder upon the exchange of Automatic Common Exchange Securities. The following table sets forth certain information for the TRACES Shareholder with respect to (1) the TRACES Shareholder's beneficial ownership of ordinary shares as of June 7, 1999 and the percentage of total voting power represented thereby and (2) the maximum number of ordinary shares of the TRACES Shareholder that may be delivered to the TRACES Trust pursuant to the Purchase Contract (without taking into account the underwriters' over-allotment option in respect of the Automatic Common Exchange Securities). The TRACES Shareholder's beneficial ownership of ordinary shares will not change as a result of the offering of the Automatic Common Exchange Securities unless, until and to the extent that the TRACES Shareholder delivers ordinary shares to the TRACES Trust pursuant to the Purchase Contract.</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MAXIMUM NUMBER</w:t>
            </w:r>
          </w:p>
        </w:tc>
      </w:tr>
      <w:tr>
        <w:trPr>
          <w:trHeight w:val="172"/>
        </w:trPr>
        <w:tc>
          <w:tcPr>
            <w:tcW w:w="4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OF ORDINARY SHARES</w:t>
            </w:r>
          </w:p>
        </w:tc>
      </w:tr>
      <w:tr>
        <w:trPr>
          <w:trHeight w:val="172"/>
        </w:trPr>
        <w:tc>
          <w:tcPr>
            <w:tcW w:w="4200" w:type="dxa"/>
            <w:vAlign w:val="bottom"/>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SHARES</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PERCENTAGE</w:t>
            </w:r>
          </w:p>
        </w:tc>
        <w:tc>
          <w:tcPr>
            <w:tcW w:w="2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DELIVERABLE TO TRACES</w:t>
            </w:r>
          </w:p>
        </w:tc>
      </w:tr>
      <w:tr>
        <w:trPr>
          <w:trHeight w:val="172"/>
        </w:trPr>
        <w:tc>
          <w:tcPr>
            <w:tcW w:w="4200" w:type="dxa"/>
            <w:vAlign w:val="bottom"/>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BENEFICIALLY OWNED</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OF TOTAL</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TRUST PURSUANT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DELIVERING SHAREHOLDER</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AFTER THE OFFERING</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VOTING POWER</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TO PURCHASE CONTRACT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Amdocs International Limited(1)(2)(3)(4)(5)...</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37,616,500</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21.6%</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10,000,000</w:t>
            </w:r>
          </w:p>
        </w:tc>
      </w:tr>
      <w:tr>
        <w:trPr>
          <w:trHeight w:val="516"/>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4" w:lineRule="exact"/>
        <w:rPr>
          <w:sz w:val="20"/>
          <w:szCs w:val="20"/>
          <w:color w:val="auto"/>
        </w:rPr>
      </w:pPr>
    </w:p>
    <w:p>
      <w:pPr>
        <w:ind w:left="348" w:right="307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AIL may be required to deliver an additional 1,500,000 ordinary shares if the underwriters' over-allotment option is exercised in respect of the Automatic Common Exchange Securities. Pursuant to the Purchase Contract, the ordinary shares deliverable thereunder will be delivered to the TRACES Trust on the Exchange Date under the Purchase Contract. The Exchange Date will occur no earlier than June 11, 2002. Under the Purchase Contract, the ordinary shares owned by AIL are not mandatorily deliverable to the TRACES Trust. After delivery of the ordinary shares to the TRACES Trust (assuming the delivery of the maximum number of shares that may be delivered by AIL under the Purchase Contract and without taking into account the underwriters' over-allotment option in respect of the Automatic Common Exchange Securities and the sale of the ordinary shares by AIL in the offering), AIL will beneficially own 27,616,500 ordinary shares representing 15.8% of the outstanding voting power of the ordinary shares.</w:t>
      </w:r>
    </w:p>
    <w:p>
      <w:pPr>
        <w:spacing w:after="0" w:line="181"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It is contemplated that several entities in which some members of management have beneficial interests will grant irrevocable proxies with respect to an additional 4,726,571 ordinary voting shares to the same principal shareholder of AIL. After giving effect to those proxies and the issuance and sale of ordinary shares in the offering, AIL and its principal shareholder will together have the right to vote 41.5% of our ordinary voting shares (or 35.7%, assuming the delivery of the 10,000,000 ordinary shares that may be required to be delivered to the TRACES Trust upon the exchange of Automatic Common Exchange Securities on the Exchange Date) and WCAS will have the right to vote 17.8% of those shares.</w:t>
      </w:r>
    </w:p>
    <w:p>
      <w:pPr>
        <w:spacing w:after="0" w:line="186" w:lineRule="exact"/>
        <w:rPr>
          <w:rFonts w:ascii="Courier New" w:cs="Courier New" w:eastAsia="Courier New" w:hAnsi="Courier New"/>
          <w:sz w:val="15"/>
          <w:szCs w:val="15"/>
          <w:color w:val="auto"/>
        </w:rPr>
      </w:pPr>
    </w:p>
    <w:p>
      <w:pPr>
        <w:ind w:left="348" w:right="3439" w:hanging="348"/>
        <w:spacing w:after="0" w:line="241"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18.7% non-voting interest in AIL is held by an entity whose beneficial interests are held by some of our key executive officers (including a former executive officer).</w:t>
      </w:r>
    </w:p>
    <w:p>
      <w:pPr>
        <w:spacing w:after="0" w:line="176"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of our key executive officers are expected to receive approximately 14.5% of the proceeds of the sales by AIL (including proceeds from the ordinary shares to be sold in the offering). Those executive officers will indirectly sell through AIL (including the shares to be sold in the offering) approximately 14.5% of their indirect economic interest in Amdocs.</w:t>
      </w:r>
    </w:p>
    <w:p>
      <w:pPr>
        <w:spacing w:after="0" w:line="163" w:lineRule="exact"/>
        <w:rPr>
          <w:rFonts w:ascii="Courier New" w:cs="Courier New" w:eastAsia="Courier New" w:hAnsi="Courier New"/>
          <w:sz w:val="14"/>
          <w:szCs w:val="14"/>
          <w:color w:val="auto"/>
        </w:rPr>
      </w:pPr>
    </w:p>
    <w:p>
      <w:pPr>
        <w:ind w:left="348" w:right="315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offering and the delivery of 10,000,000 ordinary shares deliverable to the TRACES Trust pursuant to the Purchase Contract, all of our executive officers will continue to hold, directly and indirectly, economic interests in approximately 35.0% of our outstanding ordinary shares (of which approximately 27.4% are held beneficially by WCAS).</w:t>
      </w:r>
    </w:p>
    <w:p>
      <w:pPr>
        <w:sectPr>
          <w:pgSz w:w="11900" w:h="16838" w:orient="portrait"/>
          <w:cols w:equalWidth="0" w:num="1">
            <w:col w:w="10227"/>
          </w:cols>
          <w:pgMar w:left="232" w:top="289" w:right="1440" w:bottom="85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7"/>
          </w:cols>
          <w:pgMar w:left="232" w:top="289" w:right="1440" w:bottom="85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 Accordingly, the ordinary nonvoting shares being sold by SBCI in this offering will automatically convert into ordinary shares.</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unless the transfer is restricted or prohibited by another instrument. Each shareholder of record is entitled to receive at least fourteen days' prior notice of an ordinary 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and Selling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in the offering have been registered upon the exercise of one of these demand registration rights. Following the offering described in this prospectus, these holders will have the right, on one more occasion, to require us to register the shares held by them for sale to the public in an underwritten public offering. In addition, if we propose to register any of our ordinary shares under the Securities Act, these holders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180 days after the effective date of the registration statement for the offering, without the prior written consent of the underwriters.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completion of the offering, we will have 174,362,324 ordinary shares and 24,437,700 non-voting ordinary shares issued and outstanding. Of these shares, the 20,000,000 ordinary shares sold in the offering plus any shares issued upon exercise of the underwriters' overallotment options will be freely tradeable without restriction. We, substantially all of our principal shareholders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and ordinary shares issuable upon the exercise of options granted or to be granted under the Amdocs Plan. These shareholders will, upon the consummation of the offering, own an aggregate 147,748,552 shares or 74.3% of the then outstanding ordinary shares and non-voting ordinary shares.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18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on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One of the selling shareholders has also entered into the Purchase Contract with the TRACES Trust under which it may deliver up to 11,500,000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11, 2002.</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519"/>
        <w:spacing w:after="0"/>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76" w:lineRule="exact"/>
        <w:rPr>
          <w:sz w:val="20"/>
          <w:szCs w:val="20"/>
          <w:color w:val="auto"/>
        </w:rPr>
      </w:pPr>
    </w:p>
    <w:p>
      <w:pPr>
        <w:jc w:val="both"/>
        <w:ind w:right="3339"/>
        <w:spacing w:after="0" w:line="267" w:lineRule="auto"/>
        <w:rPr>
          <w:sz w:val="20"/>
          <w:szCs w:val="20"/>
          <w:color w:val="auto"/>
        </w:rPr>
      </w:pPr>
      <w:r>
        <w:rPr>
          <w:rFonts w:ascii="Courier New" w:cs="Courier New" w:eastAsia="Courier New" w:hAnsi="Courier New"/>
          <w:sz w:val="14"/>
          <w:szCs w:val="14"/>
          <w:color w:val="auto"/>
        </w:rPr>
        <w:t>cases for non-UK income taxes paid. Our United Kingdom subsidiary pays tax on dividends received from its subsidiaries, with a credit for underlying non-UK taxes paid by such subsidiaries and withholding taxes paid on such dividends.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recently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0" w:hanging="359"/>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0" w:right="3339" w:hanging="439"/>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528" w:right="3339" w:hanging="528"/>
        <w:spacing w:after="0"/>
        <w:tabs>
          <w:tab w:leader="none" w:pos="52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176"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89"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6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financial statements of Amdocs Limited as of September 30, 1998 and 1997 and for the three year period ended September 30, 1998 audited by Ernst &amp; Young LLP have been included in reliance on their report given on their authority as experts in accounting and auditing.</w:t>
      </w:r>
    </w:p>
    <w:p>
      <w:pPr>
        <w:spacing w:after="0" w:line="173"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1610 Des Peres Road</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St. Louis, Missouri 63131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821-3242</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F-1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Financial Condition and Results of Operations"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65</w:t>
            </w:r>
          </w:p>
        </w:tc>
        <w:tc>
          <w:tcPr>
            <w:tcW w:w="460" w:type="dxa"/>
            <w:vAlign w:val="bottom"/>
          </w:tcPr>
          <w:p>
            <w:pPr>
              <w:spacing w:after="0"/>
              <w:rPr>
                <w:sz w:val="14"/>
                <w:szCs w:val="14"/>
                <w:color w:val="auto"/>
              </w:rPr>
            </w:pPr>
          </w:p>
        </w:tc>
      </w:tr>
      <w:tr>
        <w:trPr>
          <w:trHeight w:val="688"/>
        </w:trPr>
        <w:tc>
          <w:tcPr>
            <w:tcW w:w="5440" w:type="dxa"/>
            <w:vAlign w:val="bottom"/>
          </w:tcPr>
          <w:p>
            <w:pPr>
              <w:ind w:left="2320"/>
              <w:spacing w:after="0"/>
              <w:rPr>
                <w:sz w:val="20"/>
                <w:szCs w:val="20"/>
                <w:color w:val="auto"/>
              </w:rPr>
            </w:pPr>
            <w:r>
              <w:rPr>
                <w:rFonts w:ascii="Courier New" w:cs="Courier New" w:eastAsia="Courier New" w:hAnsi="Courier New"/>
                <w:sz w:val="15"/>
                <w:szCs w:val="15"/>
                <w:color w:val="auto"/>
              </w:rPr>
              <w:t>AMDOCS LIMITED</w:t>
            </w:r>
          </w:p>
        </w:tc>
        <w:tc>
          <w:tcPr>
            <w:tcW w:w="460" w:type="dxa"/>
            <w:vAlign w:val="bottom"/>
          </w:tcPr>
          <w:p>
            <w:pPr>
              <w:spacing w:after="0"/>
              <w:rPr>
                <w:sz w:val="24"/>
                <w:szCs w:val="24"/>
                <w:color w:val="auto"/>
              </w:rPr>
            </w:pPr>
          </w:p>
        </w:tc>
      </w:tr>
      <w:tr>
        <w:trPr>
          <w:trHeight w:val="172"/>
        </w:trPr>
        <w:tc>
          <w:tcPr>
            <w:tcW w:w="5440" w:type="dxa"/>
            <w:vAlign w:val="bottom"/>
          </w:tcPr>
          <w:p>
            <w:pPr>
              <w:ind w:left="160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(in U.S. dollars, unless otherwise stated)</w:t>
            </w:r>
          </w:p>
        </w:tc>
        <w:tc>
          <w:tcPr>
            <w:tcW w:w="46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September 30, 1998 and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March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six months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 of Changes in Shareholder's Equity</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six months ended March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six months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488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w w:val="99"/>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Unearned revenue</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Preferred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gridSpan w:val="2"/>
          </w:tcPr>
          <w:p>
            <w:pPr>
              <w:ind w:left="440"/>
              <w:spacing w:after="0"/>
              <w:rPr>
                <w:sz w:val="20"/>
                <w:szCs w:val="20"/>
                <w:color w:val="auto"/>
              </w:rPr>
            </w:pPr>
            <w:r>
              <w:rPr>
                <w:rFonts w:ascii="Courier New" w:cs="Courier New" w:eastAsia="Courier New" w:hAnsi="Courier New"/>
                <w:sz w:val="6"/>
                <w:szCs w:val="6"/>
                <w:color w:val="auto"/>
                <w:w w:val="71"/>
              </w:rPr>
              <w:t>outstanding............................................</w:t>
            </w: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w w:val="97"/>
              </w:rPr>
              <w:t>Ordinary Shares --</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Authorized 550,000 shares; pound sterling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0.01 par value; 196,800 and 124,708 outstanding,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respectively (1998</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-- 30,235 Non Voting Ordinary Shares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Accumulated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4" w:lineRule="exact"/>
        <w:rPr>
          <w:rFonts w:ascii="Courier New" w:cs="Courier New" w:eastAsia="Courier New" w:hAnsi="Courier New"/>
          <w:sz w:val="15"/>
          <w:szCs w:val="15"/>
          <w:color w:val="auto"/>
        </w:rPr>
      </w:pPr>
    </w:p>
    <w:p>
      <w:pPr>
        <w:ind w:left="18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4" w:name="page85"/>
    <w:bookmarkEnd w:id="84"/>
    <w:p>
      <w:pPr>
        <w:ind w:left="268"/>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left="8"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Telstra Corporation Ltd................................</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60" w:type="dxa"/>
            <w:vAlign w:val="bottom"/>
          </w:tcPr>
          <w:p>
            <w:pPr>
              <w:jc w:val="right"/>
              <w:ind w:right="230"/>
              <w:spacing w:after="0"/>
              <w:rPr>
                <w:sz w:val="20"/>
                <w:szCs w:val="20"/>
                <w:color w:val="auto"/>
              </w:rPr>
            </w:pPr>
            <w:r>
              <w:rPr>
                <w:rFonts w:ascii="Courier New" w:cs="Courier New" w:eastAsia="Courier New" w:hAnsi="Courier New"/>
                <w:sz w:val="15"/>
                <w:szCs w:val="15"/>
                <w:color w:val="auto"/>
                <w:w w:val="98"/>
              </w:rPr>
              <w:t>AMDOCS LIMITED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(CONTINUED)</w:t>
            </w:r>
          </w:p>
        </w:tc>
        <w:tc>
          <w:tcPr>
            <w:tcW w:w="800" w:type="dxa"/>
            <w:vAlign w:val="bottom"/>
          </w:tcPr>
          <w:p>
            <w:pPr>
              <w:spacing w:after="0"/>
              <w:rPr>
                <w:sz w:val="24"/>
                <w:szCs w:val="24"/>
                <w:color w:val="auto"/>
              </w:rPr>
            </w:pPr>
          </w:p>
        </w:tc>
      </w:tr>
      <w:tr>
        <w:trPr>
          <w:trHeight w:val="344"/>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 17  SELECTED QUARTERLY FINANCIAL DATA (UNAUDITED)</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QUARTER ENDED</w:t>
            </w: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SEPT 30,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$116,704</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$106,497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22,821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11,598</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Diluted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$ 87,987</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$ 77,089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$62,489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(10,586)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13,363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(18,307)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Diluted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9"/>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3"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September 30, 1999. At September 30, 1998 the maximum length of time over which the Company is hedging its exposure to the variability of future cash flows is 4 years.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26,894</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$7,124.........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121,283</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10,144</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12,050</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186,456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63,533</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22,161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75,908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61,070</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18,039</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234,786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shares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issued 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196,800 shares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447,772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income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(6,559)</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(418,816)</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25,771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88" w:name="page89"/>
    <w:bookmarkEnd w:id="88"/>
    <w:p>
      <w:pPr>
        <w:ind w:left="268"/>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$ 32,348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$ 18,419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246,907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162,147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279,255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180,566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160,195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104,750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17,519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33,062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23,024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213,469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144,596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65,786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expense,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11,837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61,833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24,133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12,067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six months ended March 31, 1999 and 1998,</w:t>
      </w:r>
    </w:p>
    <w:p>
      <w:pPr>
        <w:spacing w:after="0" w:line="4" w:lineRule="exact"/>
        <w:rPr>
          <w:sz w:val="20"/>
          <w:szCs w:val="20"/>
          <w:color w:val="auto"/>
        </w:rPr>
      </w:pPr>
    </w:p>
    <w:p>
      <w:pPr>
        <w:ind w:left="348" w:right="3159"/>
        <w:spacing w:after="0" w:line="267" w:lineRule="auto"/>
        <w:rPr>
          <w:sz w:val="20"/>
          <w:szCs w:val="20"/>
          <w:color w:val="auto"/>
        </w:rPr>
      </w:pPr>
      <w:r>
        <w:rPr>
          <w:rFonts w:ascii="Courier New" w:cs="Courier New" w:eastAsia="Courier New" w:hAnsi="Courier New"/>
          <w:sz w:val="14"/>
          <w:szCs w:val="14"/>
          <w:color w:val="auto"/>
        </w:rPr>
        <w:t>respectively: license revenue -- $278 and $210; service revenue -- $45,949 and $42,832; cost of service -- $(1,057) and $(1,265); selling, general and administrative -- $(232) and $(189); interest expense -- $(0) and $(3,048).</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25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250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5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(DEFICIT)</w:t>
            </w:r>
          </w:p>
        </w:tc>
      </w:tr>
      <w:tr>
        <w:trPr>
          <w:trHeight w:val="172"/>
        </w:trPr>
        <w:tc>
          <w:tcPr>
            <w:tcW w:w="25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$(21,889)</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43,283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Unrealized income on</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derivative instruments,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 of $737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1,720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Stock options granted, net</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2,629</w:t>
            </w:r>
          </w:p>
        </w:tc>
      </w:tr>
      <w:tr>
        <w:trPr>
          <w:trHeight w:val="172"/>
        </w:trPr>
        <w:tc>
          <w:tcPr>
            <w:tcW w:w="2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March 31, 1999..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$447,772</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$(6,559)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$(418,816)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$ 25,771</w:t>
            </w:r>
          </w:p>
        </w:tc>
      </w:tr>
      <w:tr>
        <w:trPr>
          <w:trHeight w:val="172"/>
        </w:trPr>
        <w:tc>
          <w:tcPr>
            <w:tcW w:w="2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460"/>
          </w:cols>
          <w:pgMar w:left="240" w:top="289" w:right="1199"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MARCH 31,</w:t>
            </w: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43,283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8,343</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5,425</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394</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4,799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(41,469)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(40,478)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(4,220)</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31,830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(6,508)</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2,457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(11,820)</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38,336</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11,767</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1,006</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(20,401)</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(9,581)</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(19,395)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(9,037)</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96,448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(179,274)</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(163,249)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163,617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171,081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(17,436)</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(44,740)</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1,505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25,389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26,894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11,722</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20,953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3,012</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3,972</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$6,472 and $1,133 were incurred during the six months ended March 31, 1999 and 1998, respectively, when the Company entered into lease agreements for vehicles.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91" w:name="page92"/>
    <w:bookmarkEnd w:id="91"/>
    <w:p>
      <w:pPr>
        <w:ind w:left="268"/>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MARCH 31, 1999</w:t>
      </w:r>
    </w:p>
    <w:p>
      <w:pPr>
        <w:spacing w:after="0" w:line="174"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180"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$1,200 of internally developed software costs in the six-month period ended March 31, 1999.</w:t>
      </w:r>
    </w:p>
    <w:p>
      <w:pPr>
        <w:spacing w:after="0" w:line="162"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income on derivative instruments, net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F-28</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93</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The provision for income taxes for the six month periods ended March 31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$13,751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$12,067</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079" w:hanging="188"/>
        <w:spacing w:after="0" w:line="242" w:lineRule="auto"/>
        <w:tabs>
          <w:tab w:leader="none" w:pos="18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w w:val="71"/>
              </w:rPr>
              <w:t>Net income................................................</w:t>
            </w: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196,800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127,858</w:t>
            </w:r>
          </w:p>
        </w:tc>
      </w:tr>
      <w:tr>
        <w:trPr>
          <w:trHeight w:val="172"/>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stock options granted....................</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average shares and assumed conversions....................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199,263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128,333</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72"/>
              </w:rPr>
              <w:t>Basic earnings per share....................................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72"/>
              </w:rPr>
              <w:t>Diluted earnings per share..................................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TRANSACTION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March 2, 1999, the Company entered into a combination agreement with Architel Systems Corporation, a Canadian corporation, by which the Company would acquire Architel in a stock transaction valued at approximately $400,000 at the time of the agreement. On April 8, 1999, Architel announced that it had restructured its relationship with its largest customer, and expected revenue and earnings for the future periods to be substantially less than originally anticipated. As a result of these developments, on April 22, 1999, the Company terminated the combination agreement.</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7"/>
          </w:cols>
          <w:pgMar w:left="232"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the selling shareholders and the underwriters for the offering, or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BancBoston Robertson Stephens Inc., BT Alex. Brown Incorporated, Lehman Brothers Inc. and SG Cowen Securities Corporation are the representatives of the Underwriters.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Underwriters</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Shares</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Goldman, Sachs &amp; Co.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5,400,000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 of America Securities LLC..............................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BancBoston Robertson Stephens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BT Alex. Brown Incorporated.................................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4,060,000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Lehman Brothers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3,160,000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SG Cowen Securities Corporation.............................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CIBC World Markets Corp.....................................</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A.G. Edwards &amp; Sons,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EVEREN Securities,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Edward D. Jones &amp; Co., L.P.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Morgan Stanley &amp; Co. Incorporated...........................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Prudential Securities Incorporated..........................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Volpe Brown Whelan &amp; Company, LLC...........................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Wasserstein Perella Securities,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Advest,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William Blair &amp; Company, L.L.C.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J.C. Bradford &amp; Co.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Doft &amp; Co., Inc.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Legg Mason Wood Walker, Incorporated........................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McDonald Investments Inc., A KeyCorp Company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3,000,000 shares from Amdocs and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Amdocs and the selling shareholders, respectively. Such</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19"/>
          </w:cols>
          <w:pgMar w:left="24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spacing w:after="0" w:line="176" w:lineRule="exact"/>
        <w:rPr>
          <w:sz w:val="20"/>
          <w:szCs w:val="20"/>
          <w:color w:val="auto"/>
        </w:rPr>
      </w:pPr>
    </w:p>
    <w:p>
      <w:pPr>
        <w:ind w:right="4139"/>
        <w:spacing w:after="0"/>
        <w:rPr>
          <w:sz w:val="20"/>
          <w:szCs w:val="20"/>
          <w:color w:val="auto"/>
        </w:rPr>
      </w:pPr>
      <w:r>
        <w:rPr>
          <w:rFonts w:ascii="Courier New" w:cs="Courier New" w:eastAsia="Courier New" w:hAnsi="Courier New"/>
          <w:sz w:val="15"/>
          <w:szCs w:val="15"/>
          <w:color w:val="auto"/>
        </w:rPr>
        <w:t>amounts are shown assuming both no exercise and full exercise of the Underwriters' option to purchase additional shares.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Paid</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by Amdocs</w:t>
            </w:r>
          </w:p>
        </w:tc>
        <w:tc>
          <w:tcPr>
            <w:tcW w:w="4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26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0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Exercise</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Full Exercise</w:t>
            </w:r>
          </w:p>
        </w:tc>
      </w:tr>
      <w:tr>
        <w:trPr>
          <w:trHeight w:val="172"/>
        </w:trPr>
        <w:tc>
          <w:tcPr>
            <w:tcW w:w="50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c>
          <w:tcPr>
            <w:tcW w:w="102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0.84</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$ 1,680,000</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$ 2,520,000</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Paid by</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the Selling</w:t>
            </w:r>
          </w:p>
        </w:tc>
        <w:tc>
          <w:tcPr>
            <w:tcW w:w="4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Shareholders</w:t>
            </w:r>
          </w:p>
        </w:tc>
        <w:tc>
          <w:tcPr>
            <w:tcW w:w="4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26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0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Exercise</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Full Exercise</w:t>
            </w:r>
          </w:p>
        </w:tc>
      </w:tr>
      <w:tr>
        <w:trPr>
          <w:trHeight w:val="172"/>
        </w:trPr>
        <w:tc>
          <w:tcPr>
            <w:tcW w:w="50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c>
          <w:tcPr>
            <w:tcW w:w="102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0.84</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$15,120,000</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$16,800,000</w:t>
            </w:r>
          </w:p>
        </w:tc>
      </w:tr>
    </w:tbl>
    <w:p>
      <w:pPr>
        <w:spacing w:after="0" w:line="348"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price to public set forth on the cover of this prospectus and will be eligible for trading on the New York Stock Exchange. Any shares sold by the Underwriters to securities dealers may be sold at a discount of up to $0.50 per share from the initial price to public. Any such securities dealers may resell any shares purchased from the Underwriters to certain other brokers or dealers at a discount of up to $0.10 per share from the initial price to public. If all the shares are not sold at the initial price to public the representatives may change the offering price and the other selling terms.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and the selling shareholders have agreed with the Underwriters not to dispose of or hedge any of their ordinary shares or securities convertible into or exchangeable for ordinary shares during the period from the date of this prospectus continuing through the date 90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or otherwise.</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shareholders, excluding underwriting discounts and commissions. The expenses of the offering are estimated to be approximately $2.0 million.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shareholders have agreed to indemnify the several Underwriters against certain liabilities, including liabilities under the Securities Act.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Up to 10,000,000 additional ordinary shares (or up to 11,500,000 shares if the applicable over-allotment option is exercised in full) may be delivered by the TRACES Trust to holders of the Automatic Common Exchange Securities upon exchange of the Automatic Common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96</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Exchange Securities on the Exchange Date (as defined in the Trust Prospectus). In lieu of delivery of such shares, the TRACES Trust shareholder may elect to pay cash or deliver other securities on the Exchange Date for each ordinary share then deliverable in the amounts and under the procedures described in the Trust Prospectus. The Automatic Common Exchange Securities are being offered through an underwriter or underwriters in the manner described in the Trust Prospectus. The respective closings of the offerings of the ordinary shares and the Automatic Common Exchange Securities are not dependent upon one another.</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U-3</w:t>
      </w:r>
    </w:p>
    <w:p>
      <w:pPr>
        <w:sectPr>
          <w:pgSz w:w="11900" w:h="16838" w:orient="portrait"/>
          <w:cols w:equalWidth="0" w:num="1">
            <w:col w:w="10219"/>
          </w:cols>
          <w:pgMar w:left="240" w:top="289"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8" w:right="3339" w:hanging="8"/>
        <w:spacing w:after="0" w:line="242" w:lineRule="auto"/>
        <w:tabs>
          <w:tab w:leader="none" w:pos="1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89" w:right="1440" w:bottom="1440" w:gutter="0" w:footer="0" w:header="0"/>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left="188" w:hanging="188"/>
        <w:spacing w:after="0"/>
        <w:tabs>
          <w:tab w:leader="none" w:pos="1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 dealer, salesperson or other person is authorized to give any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information or to represent anything not contained in this prospectus. You must</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not rely on any unauthorized information or representations. This prospectus is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 offer to sell only the shares offered hereby, but only under circumstances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in jurisdictions where it is lawful to do so. The information contained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prospectus is current only as of its date.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Enforcement of Civil 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Principal and Selling Shareholders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TRACES Shareholders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You Can Find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More Information</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20,000,000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BANCBOSTON ROBERTSON</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STEPHENS</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SG COWEN</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74" w:lineRule="exact"/>
        <w:rPr>
          <w:sz w:val="20"/>
          <w:szCs w:val="20"/>
          <w:color w:val="auto"/>
        </w:rPr>
      </w:pPr>
    </w:p>
    <w:p>
      <w:pPr>
        <w:ind w:left="188" w:hanging="188"/>
        <w:spacing w:after="0"/>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7"/>
      </w:cols>
      <w:pgMar w:left="232"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lvl w:ilvl="1">
      <w:lvlJc w:val="left"/>
      <w:lvlText w:val="(%2)"/>
      <w:numFmt w:val="lowerRoman"/>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lvl w:ilvl="1">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5"/>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amp;"/>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1)"/>
      <w:numFmt w:val="lowerRoman"/>
      <w:start w:val="3"/>
    </w:lvl>
  </w:abstractNum>
  <w:abstractNum w:abstractNumId="39">
    <w:nsid w:val="7644A45C"/>
    <w:multiLevelType w:val="hybridMultilevel"/>
    <w:lvl w:ilvl="0">
      <w:lvlJc w:val="left"/>
      <w:lvlText w:val="(%1)"/>
      <w:numFmt w:val="decimal"/>
      <w:start w:val="2"/>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2"/>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decimal"/>
      <w:start w:val="4"/>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5"/>
    </w:lvl>
  </w:abstractNum>
  <w:abstractNum w:abstractNumId="52">
    <w:nsid w:val="4F4EF005"/>
    <w:multiLevelType w:val="hybridMultilevel"/>
    <w:lvl w:ilvl="0">
      <w:lvlJc w:val="left"/>
      <w:lvlText w:val="%1."/>
      <w:numFmt w:val="decimal"/>
      <w:start w:val="6"/>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2019-12-14T21:22:05Z</dcterms:created>
  <dcterms:modified xsi:type="dcterms:W3CDTF">2019-12-14T21:22:05Z</dcterms:modified>
</cp:coreProperties>
</file>