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 Saint Louis, Missouri 63141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8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Results.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2024 Annual General Meeting of Shareholders of Amdocs Limited (the “Company”) held on February 2, 2024, the proposals listed below were submitted to a vote of the Company’s shareholders. The proposals are described in the Company’s proxy statement for the 2024 Annual General Meeting of Shareholders.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1 – The election of ten nominees to the Company’s Board of Directors each for a term of one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10 nominees named in the proxy statement were elected to serve as directors until the Company’s 2025 Annual General Meeting of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 to the vote on each director standing for election is provided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Nominee</w:t>
            </w:r>
          </w:p>
        </w:tc>
        <w:tc>
          <w:tcPr>
            <w:tcW w:w="1840" w:type="dxa"/>
            <w:vAlign w:val="bottom"/>
            <w:vMerge w:val="restart"/>
          </w:tcPr>
          <w:p>
            <w:pPr>
              <w:spacing w:after="0"/>
              <w:rPr>
                <w:sz w:val="13"/>
                <w:szCs w:val="13"/>
                <w:color w:val="auto"/>
              </w:rPr>
            </w:pPr>
          </w:p>
        </w:tc>
        <w:tc>
          <w:tcPr>
            <w:tcW w:w="240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860" w:type="dxa"/>
            <w:vAlign w:val="bottom"/>
          </w:tcPr>
          <w:p>
            <w:pPr>
              <w:spacing w:after="0"/>
              <w:rPr>
                <w:sz w:val="13"/>
                <w:szCs w:val="13"/>
                <w:color w:val="auto"/>
              </w:rPr>
            </w:pPr>
          </w:p>
        </w:tc>
        <w:tc>
          <w:tcPr>
            <w:tcW w:w="224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1260" w:type="dxa"/>
            <w:vAlign w:val="bottom"/>
          </w:tcPr>
          <w:p>
            <w:pPr>
              <w:spacing w:after="0"/>
              <w:rPr>
                <w:sz w:val="13"/>
                <w:szCs w:val="13"/>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54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240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224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Abstaining</w:t>
            </w:r>
          </w:p>
        </w:tc>
        <w:tc>
          <w:tcPr>
            <w:tcW w:w="19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Eli Gelman</w:t>
            </w:r>
          </w:p>
        </w:tc>
        <w:tc>
          <w:tcPr>
            <w:tcW w:w="1000" w:type="dxa"/>
            <w:vAlign w:val="bottom"/>
            <w:vMerge w:val="continue"/>
          </w:tcPr>
          <w:p>
            <w:pPr>
              <w:spacing w:after="0"/>
              <w:rPr>
                <w:sz w:val="16"/>
                <w:szCs w:val="16"/>
                <w:color w:val="auto"/>
              </w:rPr>
            </w:pPr>
          </w:p>
        </w:tc>
        <w:tc>
          <w:tcPr>
            <w:tcW w:w="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74"/>
              </w:rPr>
              <w:t>95,166,269</w:t>
            </w:r>
          </w:p>
        </w:tc>
        <w:tc>
          <w:tcPr>
            <w:tcW w:w="8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8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w w:val="70"/>
              </w:rPr>
              <w:t>3,557,216</w:t>
            </w:r>
          </w:p>
        </w:tc>
        <w:tc>
          <w:tcPr>
            <w:tcW w:w="1760" w:type="dxa"/>
            <w:vAlign w:val="bottom"/>
            <w:vMerge w:val="continue"/>
          </w:tcPr>
          <w:p>
            <w:pPr>
              <w:spacing w:after="0"/>
              <w:rPr>
                <w:sz w:val="16"/>
                <w:szCs w:val="16"/>
                <w:color w:val="auto"/>
              </w:rPr>
            </w:pPr>
          </w:p>
        </w:tc>
        <w:tc>
          <w:tcPr>
            <w:tcW w:w="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88,779</w:t>
            </w:r>
          </w:p>
        </w:tc>
        <w:tc>
          <w:tcPr>
            <w:tcW w:w="1260" w:type="dxa"/>
            <w:vAlign w:val="bottom"/>
            <w:vMerge w:val="continue"/>
          </w:tcPr>
          <w:p>
            <w:pPr>
              <w:spacing w:after="0"/>
              <w:rPr>
                <w:sz w:val="16"/>
                <w:szCs w:val="16"/>
                <w:color w:val="auto"/>
              </w:rPr>
            </w:pPr>
          </w:p>
        </w:tc>
        <w:tc>
          <w:tcPr>
            <w:tcW w:w="6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 Minicucci</w:t>
            </w:r>
          </w:p>
        </w:tc>
        <w:tc>
          <w:tcPr>
            <w:tcW w:w="24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76,066,808</w:t>
            </w:r>
          </w:p>
        </w:tc>
        <w:tc>
          <w:tcPr>
            <w:tcW w:w="31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8"/>
              </w:rPr>
              <w:t>22,654,631</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90,825</w:t>
            </w:r>
          </w:p>
        </w:tc>
        <w:tc>
          <w:tcPr>
            <w:tcW w:w="126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 Gardner</w:t>
            </w:r>
          </w:p>
        </w:tc>
        <w:tc>
          <w:tcPr>
            <w:tcW w:w="24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94,276,837</w:t>
            </w:r>
          </w:p>
        </w:tc>
        <w:tc>
          <w:tcPr>
            <w:tcW w:w="31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4,446,139</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89,288</w:t>
            </w:r>
          </w:p>
        </w:tc>
        <w:tc>
          <w:tcPr>
            <w:tcW w:w="126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T.C. LeFave</w:t>
            </w:r>
          </w:p>
        </w:tc>
        <w:tc>
          <w:tcPr>
            <w:tcW w:w="24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91,213,804</w:t>
            </w:r>
          </w:p>
        </w:tc>
        <w:tc>
          <w:tcPr>
            <w:tcW w:w="31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7,508,175</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90,285</w:t>
            </w:r>
          </w:p>
        </w:tc>
        <w:tc>
          <w:tcPr>
            <w:tcW w:w="126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Rafael de la Vega</w:t>
            </w:r>
          </w:p>
        </w:tc>
        <w:tc>
          <w:tcPr>
            <w:tcW w:w="24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97,511,275</w:t>
            </w:r>
          </w:p>
        </w:tc>
        <w:tc>
          <w:tcPr>
            <w:tcW w:w="31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1,213,181</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87,808</w:t>
            </w:r>
          </w:p>
        </w:tc>
        <w:tc>
          <w:tcPr>
            <w:tcW w:w="126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MacDonald</w:t>
            </w:r>
          </w:p>
        </w:tc>
        <w:tc>
          <w:tcPr>
            <w:tcW w:w="24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92,119,780</w:t>
            </w:r>
          </w:p>
        </w:tc>
        <w:tc>
          <w:tcPr>
            <w:tcW w:w="31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6,601,264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91,220</w:t>
            </w:r>
          </w:p>
        </w:tc>
        <w:tc>
          <w:tcPr>
            <w:tcW w:w="126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Yvette Kanouff</w:t>
            </w:r>
          </w:p>
        </w:tc>
        <w:tc>
          <w:tcPr>
            <w:tcW w:w="24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98,264,534</w:t>
            </w:r>
          </w:p>
        </w:tc>
        <w:tc>
          <w:tcPr>
            <w:tcW w:w="31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413,190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134,540</w:t>
            </w:r>
          </w:p>
        </w:tc>
        <w:tc>
          <w:tcPr>
            <w:tcW w:w="126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Ruth Davis</w:t>
            </w:r>
          </w:p>
        </w:tc>
        <w:tc>
          <w:tcPr>
            <w:tcW w:w="24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98,657,719</w:t>
            </w:r>
          </w:p>
        </w:tc>
        <w:tc>
          <w:tcPr>
            <w:tcW w:w="31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66,020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88,525</w:t>
            </w:r>
          </w:p>
        </w:tc>
        <w:tc>
          <w:tcPr>
            <w:tcW w:w="126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Amos Genish</w:t>
            </w:r>
          </w:p>
        </w:tc>
        <w:tc>
          <w:tcPr>
            <w:tcW w:w="24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98,656,363</w:t>
            </w:r>
          </w:p>
        </w:tc>
        <w:tc>
          <w:tcPr>
            <w:tcW w:w="31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65,630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90,271</w:t>
            </w:r>
          </w:p>
        </w:tc>
        <w:tc>
          <w:tcPr>
            <w:tcW w:w="126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Shuky Sheffer</w:t>
            </w:r>
          </w:p>
        </w:tc>
        <w:tc>
          <w:tcPr>
            <w:tcW w:w="24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97,549,859</w:t>
            </w:r>
          </w:p>
        </w:tc>
        <w:tc>
          <w:tcPr>
            <w:tcW w:w="31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1,172,839</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89,566</w:t>
            </w:r>
          </w:p>
        </w:tc>
        <w:tc>
          <w:tcPr>
            <w:tcW w:w="126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2 – The approval of the amendment to the Amdocs Limited 1998 Stock Option and Incentive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amendment to the Amdocs Limited 1998 Stock Option and Incentive Plan. The voting results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3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96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90,971,910</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7,742,134</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rPr>
              <w:t>98,220</w:t>
            </w:r>
          </w:p>
        </w:tc>
        <w:tc>
          <w:tcPr>
            <w:tcW w:w="160" w:type="dxa"/>
            <w:vAlign w:val="bottom"/>
          </w:tcPr>
          <w:p>
            <w:pPr>
              <w:spacing w:after="0"/>
              <w:rPr>
                <w:sz w:val="19"/>
                <w:szCs w:val="19"/>
                <w:color w:val="auto"/>
              </w:rPr>
            </w:pPr>
          </w:p>
        </w:tc>
        <w:tc>
          <w:tcPr>
            <w:tcW w:w="232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8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3 – The approval of an increase in the dividend rate under the Company’s quarterly cash dividend program from $0.435 per share to $0.479 per share.</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shareholders approved an increase in the dividend rate under the Company’s quarterly cash dividend program from $0.435 per share to $0.479 per share. The voting results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3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96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98,719,128</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rPr>
              <w:t>81,106</w:t>
            </w:r>
          </w:p>
        </w:tc>
        <w:tc>
          <w:tcPr>
            <w:tcW w:w="160" w:type="dxa"/>
            <w:vAlign w:val="bottom"/>
          </w:tcPr>
          <w:p>
            <w:pPr>
              <w:spacing w:after="0"/>
              <w:rPr>
                <w:sz w:val="19"/>
                <w:szCs w:val="19"/>
                <w:color w:val="auto"/>
              </w:rPr>
            </w:pPr>
          </w:p>
        </w:tc>
        <w:tc>
          <w:tcPr>
            <w:tcW w:w="232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4 – The approval of the Company’s Consolidated Financial Statements for the fiscal year ended September 30, 2023.</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shareholders approved the Company’s Consolidated Financial Statements for the fiscal year ended September 30, 2023. The voting results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3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96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98,051,458</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286,025</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474,781</w:t>
            </w:r>
          </w:p>
        </w:tc>
        <w:tc>
          <w:tcPr>
            <w:tcW w:w="160" w:type="dxa"/>
            <w:vAlign w:val="bottom"/>
          </w:tcPr>
          <w:p>
            <w:pPr>
              <w:spacing w:after="0"/>
              <w:rPr>
                <w:sz w:val="19"/>
                <w:szCs w:val="19"/>
                <w:color w:val="auto"/>
              </w:rPr>
            </w:pPr>
          </w:p>
        </w:tc>
        <w:tc>
          <w:tcPr>
            <w:tcW w:w="232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— </w:t>
            </w:r>
          </w:p>
        </w:tc>
      </w:tr>
    </w:tbl>
    <w:p>
      <w:pPr>
        <w:sectPr>
          <w:pgSz w:w="11900" w:h="16838" w:orient="portrait"/>
          <w:cols w:equalWidth="0" w:num="1">
            <w:col w:w="11020"/>
          </w:cols>
          <w:pgMar w:left="440" w:top="266" w:right="439" w:bottom="1440" w:gutter="0" w:footer="0" w:header="0"/>
        </w:sectPr>
      </w:pPr>
    </w:p>
    <w:bookmarkStart w:id="2" w:name="page3"/>
    <w:bookmarkEnd w:id="2"/>
    <w:p>
      <w:pPr>
        <w:ind w:right="2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5 – The ratification and approval of the appointment of Ernst &amp; Young LLP as the Company’s independent registered public accounting firm for the fiscal year ending September 30, 2024, and until the next annual general meeting, and authorization of the Audit Committee of the Board of Directors to fix the remuneration of such independent registered public accounting firm in accordance with the nature and extent of its services.</w:t>
      </w:r>
    </w:p>
    <w:p>
      <w:pPr>
        <w:spacing w:after="0" w:line="17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shareholders ratified and approved the appointment of Ernst &amp; Young LLP as the Company’s independent registered public accounting firm for the fiscal year ending September 30, 2024,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3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96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94,363,249</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4,365,496</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rPr>
              <w:t>83,519</w:t>
            </w:r>
          </w:p>
        </w:tc>
        <w:tc>
          <w:tcPr>
            <w:tcW w:w="160" w:type="dxa"/>
            <w:vAlign w:val="bottom"/>
          </w:tcPr>
          <w:p>
            <w:pPr>
              <w:spacing w:after="0"/>
              <w:rPr>
                <w:sz w:val="19"/>
                <w:szCs w:val="19"/>
                <w:color w:val="auto"/>
              </w:rPr>
            </w:pPr>
          </w:p>
        </w:tc>
        <w:tc>
          <w:tcPr>
            <w:tcW w:w="232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— </w:t>
            </w:r>
          </w:p>
        </w:tc>
      </w:tr>
    </w:tbl>
    <w:p>
      <w:pPr>
        <w:sectPr>
          <w:pgSz w:w="11900" w:h="16838" w:orient="portrait"/>
          <w:cols w:equalWidth="0" w:num="1">
            <w:col w:w="11020"/>
          </w:cols>
          <w:pgMar w:left="440" w:top="268"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2024</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2024-02-05T05:09:57Z</dcterms:created>
  <dcterms:modified xsi:type="dcterms:W3CDTF">2024-02-05T05:09:57Z</dcterms:modified>
</cp:coreProperties>
</file>