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7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9"/>
        <w:spacing w:after="0"/>
        <w:rPr>
          <w:sz w:val="20"/>
          <w:szCs w:val="20"/>
          <w:color w:val="auto"/>
        </w:rPr>
      </w:pPr>
      <w:r>
        <w:rPr>
          <w:rFonts w:ascii="Courier New" w:cs="Courier New" w:eastAsia="Courier New" w:hAnsi="Courier New"/>
          <w:sz w:val="15"/>
          <w:szCs w:val="15"/>
          <w:color w:val="auto"/>
        </w:rPr>
        <w:t>WASHINGTON, D.C. 20549</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REPORT OF FOREIGN PRIVATE ISSUER</w:t>
      </w:r>
    </w:p>
    <w:p>
      <w:pPr>
        <w:jc w:val="center"/>
        <w:ind w:right="3179"/>
        <w:spacing w:after="0"/>
        <w:rPr>
          <w:sz w:val="20"/>
          <w:szCs w:val="20"/>
          <w:color w:val="auto"/>
        </w:rPr>
      </w:pPr>
      <w:r>
        <w:rPr>
          <w:rFonts w:ascii="Courier New" w:cs="Courier New" w:eastAsia="Courier New" w:hAnsi="Courier New"/>
          <w:sz w:val="15"/>
          <w:szCs w:val="15"/>
          <w:color w:val="auto"/>
        </w:rPr>
        <w:t>PURSUANT TO RULE 13A-16 OR 15D-16 OF</w:t>
      </w:r>
    </w:p>
    <w:p>
      <w:pPr>
        <w:jc w:val="center"/>
        <w:ind w:right="309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8"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For the Quarter Ended March 31, 2002</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Suite 5, Tower Hill House Le Bordage</w:t>
      </w:r>
    </w:p>
    <w:p>
      <w:pPr>
        <w:jc w:val="center"/>
        <w:ind w:right="3099"/>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Amdocs, Inc.</w:t>
      </w:r>
    </w:p>
    <w:p>
      <w:pPr>
        <w:jc w:val="center"/>
        <w:ind w:right="3099"/>
        <w:spacing w:after="0"/>
        <w:rPr>
          <w:sz w:val="20"/>
          <w:szCs w:val="20"/>
          <w:color w:val="auto"/>
        </w:rPr>
      </w:pPr>
      <w:r>
        <w:rPr>
          <w:rFonts w:ascii="Courier New" w:cs="Courier New" w:eastAsia="Courier New" w:hAnsi="Courier New"/>
          <w:sz w:val="15"/>
          <w:szCs w:val="15"/>
          <w:color w:val="auto"/>
        </w:rPr>
        <w:t>1390 Timberlake Manor Parkway, Chesterfield, Missouri 63017</w:t>
      </w:r>
    </w:p>
    <w:p>
      <w:pPr>
        <w:spacing w:after="0" w:line="169"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75"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Indicate by check mark whether the registrant files or will file annual reports under cover of Form 20-F or Form 40-F</w:t>
      </w:r>
    </w:p>
    <w:p>
      <w:pPr>
        <w:spacing w:after="0" w:line="170" w:lineRule="exact"/>
        <w:rPr>
          <w:sz w:val="24"/>
          <w:szCs w:val="24"/>
          <w:color w:val="auto"/>
        </w:rPr>
      </w:pPr>
    </w:p>
    <w:p>
      <w:pPr>
        <w:ind w:left="1320"/>
        <w:spacing w:after="0"/>
        <w:tabs>
          <w:tab w:leader="none" w:pos="2360" w:val="left"/>
          <w:tab w:leader="none" w:pos="4280" w:val="left"/>
          <w:tab w:leader="none" w:pos="5260" w:val="left"/>
        </w:tabs>
        <w:rPr>
          <w:sz w:val="20"/>
          <w:szCs w:val="20"/>
          <w:color w:val="auto"/>
        </w:rPr>
      </w:pPr>
      <w:r>
        <w:rPr>
          <w:rFonts w:ascii="Courier New" w:cs="Courier New" w:eastAsia="Courier New" w:hAnsi="Courier New"/>
          <w:sz w:val="15"/>
          <w:szCs w:val="15"/>
          <w:color w:val="auto"/>
        </w:rPr>
        <w:t>Form 20-F</w:t>
      </w:r>
      <w:r>
        <w:rPr>
          <w:sz w:val="20"/>
          <w:szCs w:val="20"/>
          <w:color w:val="auto"/>
        </w:rPr>
        <w:tab/>
      </w: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FORM 40-F</w:t>
        <w:tab/>
        <w:t>____</w:t>
      </w:r>
    </w:p>
    <w:p>
      <w:pPr>
        <w:spacing w:after="0" w:line="175" w:lineRule="exact"/>
        <w:rPr>
          <w:sz w:val="24"/>
          <w:szCs w:val="24"/>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57" w:lineRule="exact"/>
        <w:rPr>
          <w:sz w:val="24"/>
          <w:szCs w:val="24"/>
          <w:color w:val="auto"/>
        </w:rPr>
      </w:pPr>
    </w:p>
    <w:p>
      <w:pPr>
        <w:ind w:left="1480"/>
        <w:spacing w:after="0"/>
        <w:tabs>
          <w:tab w:leader="none" w:pos="4560" w:val="left"/>
          <w:tab w:leader="none" w:pos="5180" w:val="left"/>
        </w:tabs>
        <w:rPr>
          <w:sz w:val="20"/>
          <w:szCs w:val="20"/>
          <w:color w:val="auto"/>
        </w:rPr>
      </w:pPr>
      <w:r>
        <w:rPr>
          <w:rFonts w:ascii="Courier New" w:cs="Courier New" w:eastAsia="Courier New" w:hAnsi="Courier New"/>
          <w:sz w:val="15"/>
          <w:szCs w:val="15"/>
          <w:color w:val="auto"/>
        </w:rPr>
        <w:t>YES ___</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3"/>
          <w:szCs w:val="13"/>
          <w:color w:val="auto"/>
        </w:rPr>
        <w:t>X</w:t>
      </w:r>
    </w:p>
    <w:p>
      <w:pPr>
        <w:sectPr>
          <w:pgSz w:w="11900" w:h="16838" w:orient="portrait"/>
          <w:cols w:equalWidth="0" w:num="1">
            <w:col w:w="10219"/>
          </w:cols>
          <w:pgMar w:left="240" w:top="396" w:right="1440" w:bottom="1440" w:gutter="0" w:footer="0" w:header="0"/>
        </w:sectPr>
      </w:pPr>
    </w:p>
    <w:bookmarkStart w:id="1" w:name="page2"/>
    <w:bookmarkEnd w:id="1"/>
    <w:p>
      <w:pPr>
        <w:jc w:val="center"/>
        <w:ind w:right="319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FORM 6-K</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REPORT OF FOREIGN PRIVATE ISSUER</w:t>
      </w:r>
    </w:p>
    <w:p>
      <w:pPr>
        <w:spacing w:after="0" w:line="169"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FOR THE QUARTER ENDED MARCH 31, 2002</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p>
      <w:pPr>
        <w:ind w:left="1140"/>
        <w:spacing w:after="0"/>
        <w:tabs>
          <w:tab w:leader="none" w:pos="19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Unaudited Consolidated Financial Statements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Balance Sheets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 of Changes in Shareholders'</w:t>
      </w:r>
    </w:p>
    <w:p>
      <w:pPr>
        <w:ind w:left="2280"/>
        <w:spacing w:after="0"/>
        <w:rPr>
          <w:sz w:val="20"/>
          <w:szCs w:val="20"/>
          <w:color w:val="auto"/>
        </w:rPr>
      </w:pPr>
      <w:r>
        <w:rPr>
          <w:rFonts w:ascii="Courier New" w:cs="Courier New" w:eastAsia="Courier New" w:hAnsi="Courier New"/>
          <w:sz w:val="15"/>
          <w:szCs w:val="15"/>
          <w:color w:val="auto"/>
        </w:rPr>
        <w:t>Equity</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5" w:lineRule="exact"/>
        <w:rPr>
          <w:sz w:val="20"/>
          <w:szCs w:val="20"/>
          <w:color w:val="auto"/>
        </w:rPr>
      </w:pPr>
    </w:p>
    <w:p>
      <w:pPr>
        <w:ind w:left="1140" w:right="3359" w:firstLine="1146"/>
        <w:spacing w:after="0" w:line="471" w:lineRule="auto"/>
        <w:rPr>
          <w:sz w:val="20"/>
          <w:szCs w:val="20"/>
          <w:color w:val="auto"/>
        </w:rPr>
      </w:pPr>
      <w:r>
        <w:rPr>
          <w:rFonts w:ascii="Courier New" w:cs="Courier New" w:eastAsia="Courier New" w:hAnsi="Courier New"/>
          <w:sz w:val="15"/>
          <w:szCs w:val="15"/>
          <w:color w:val="auto"/>
        </w:rPr>
        <w:t>Notes to Unaudited Consolidated Financial Statements Item 2. Operating and Financial Review and Prospects</w:t>
      </w:r>
    </w:p>
    <w:p>
      <w:pPr>
        <w:spacing w:after="0" w:line="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9" w:lineRule="exact"/>
        <w:rPr>
          <w:sz w:val="20"/>
          <w:szCs w:val="20"/>
          <w:color w:val="auto"/>
        </w:rPr>
      </w:pPr>
    </w:p>
    <w:p>
      <w:pPr>
        <w:ind w:left="1140"/>
        <w:spacing w:after="0"/>
        <w:tabs>
          <w:tab w:leader="none" w:pos="19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SIGNATURES</w:t>
      </w:r>
    </w:p>
    <w:p>
      <w:pPr>
        <w:spacing w:after="0" w:line="169"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EXHIBIT INDEX</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2" w:right="1440" w:bottom="1440" w:gutter="0" w:footer="0" w:header="0"/>
        </w:sectPr>
      </w:pPr>
    </w:p>
    <w:bookmarkStart w:id="2" w:name="page3"/>
    <w:bookmarkEnd w:id="2"/>
    <w:p>
      <w:pPr>
        <w:ind w:left="290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ind w:left="1660"/>
        <w:spacing w:after="0"/>
        <w:rPr>
          <w:sz w:val="20"/>
          <w:szCs w:val="20"/>
          <w:color w:val="auto"/>
        </w:rPr>
      </w:pPr>
      <w:r>
        <w:rPr>
          <w:rFonts w:ascii="Courier New" w:cs="Courier New" w:eastAsia="Courier New" w:hAnsi="Courier New"/>
          <w:sz w:val="15"/>
          <w:szCs w:val="15"/>
          <w:color w:val="auto"/>
        </w:rPr>
        <w:t>(in U.S. dollars, unless otherwise stated)</w:t>
      </w:r>
    </w:p>
    <w:tbl>
      <w:tblPr>
        <w:tblLayout w:type="fixed"/>
        <w:tblInd w:w="0" w:type="dxa"/>
        <w:tblCellMar>
          <w:top w:w="0" w:type="dxa"/>
          <w:left w:w="0" w:type="dxa"/>
          <w:bottom w:w="0" w:type="dxa"/>
          <w:right w:w="0" w:type="dxa"/>
        </w:tblCellMar>
      </w:tblPr>
      <w:tr>
        <w:trPr>
          <w:trHeight w:val="169"/>
        </w:trPr>
        <w:tc>
          <w:tcPr>
            <w:tcW w:w="8680" w:type="dxa"/>
            <w:vAlign w:val="bottom"/>
          </w:tcPr>
          <w:p>
            <w:pPr>
              <w:ind w:left="1920"/>
              <w:spacing w:after="0"/>
              <w:rPr>
                <w:sz w:val="20"/>
                <w:szCs w:val="20"/>
                <w:color w:val="auto"/>
              </w:rPr>
            </w:pPr>
            <w:r>
              <w:rPr>
                <w:rFonts w:ascii="Courier New" w:cs="Courier New" w:eastAsia="Courier New" w:hAnsi="Courier New"/>
                <w:sz w:val="15"/>
                <w:szCs w:val="15"/>
                <w:color w:val="auto"/>
              </w:rPr>
              <w:t>(in thousands, except per share data)</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8"/>
        </w:trPr>
        <w:tc>
          <w:tcPr>
            <w:tcW w:w="8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8680" w:type="dxa"/>
            <w:vAlign w:val="bottom"/>
          </w:tcPr>
          <w:p>
            <w:pPr>
              <w:spacing w:after="0"/>
              <w:rPr>
                <w:sz w:val="14"/>
                <w:szCs w:val="14"/>
                <w:color w:val="auto"/>
              </w:rPr>
            </w:pPr>
          </w:p>
        </w:tc>
        <w:tc>
          <w:tcPr>
            <w:tcW w:w="284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8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MARCH 31,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SEPTEMBER 30,</w:t>
            </w:r>
          </w:p>
        </w:tc>
      </w:tr>
      <w:tr>
        <w:trPr>
          <w:trHeight w:val="170"/>
        </w:trPr>
        <w:tc>
          <w:tcPr>
            <w:tcW w:w="8680" w:type="dxa"/>
            <w:vAlign w:val="bottom"/>
          </w:tcPr>
          <w:p>
            <w:pPr>
              <w:spacing w:after="0"/>
              <w:rPr>
                <w:sz w:val="14"/>
                <w:szCs w:val="14"/>
                <w:color w:val="auto"/>
              </w:rPr>
            </w:pPr>
          </w:p>
        </w:tc>
        <w:tc>
          <w:tcPr>
            <w:tcW w:w="2840" w:type="dxa"/>
            <w:vAlign w:val="bottom"/>
            <w:gridSpan w:val="4"/>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8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2002</w:t>
            </w:r>
          </w:p>
        </w:tc>
        <w:tc>
          <w:tcPr>
            <w:tcW w:w="220" w:type="dxa"/>
            <w:vAlign w:val="bottom"/>
          </w:tcPr>
          <w:p>
            <w:pPr>
              <w:spacing w:after="0"/>
              <w:rPr>
                <w:sz w:val="14"/>
                <w:szCs w:val="14"/>
                <w:color w:val="auto"/>
              </w:rPr>
            </w:pPr>
          </w:p>
        </w:tc>
        <w:tc>
          <w:tcPr>
            <w:tcW w:w="90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8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480,981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872,998</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Short-term interest-bearing investments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559,959</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237,069</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$26,762 and $23,272, less</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8680" w:type="dxa"/>
            <w:vAlign w:val="bottom"/>
          </w:tcPr>
          <w:p>
            <w:pPr>
              <w:ind w:left="520"/>
              <w:spacing w:after="0"/>
              <w:rPr>
                <w:sz w:val="20"/>
                <w:szCs w:val="20"/>
                <w:color w:val="auto"/>
              </w:rPr>
            </w:pPr>
            <w:r>
              <w:rPr>
                <w:rFonts w:ascii="Courier New" w:cs="Courier New" w:eastAsia="Courier New" w:hAnsi="Courier New"/>
                <w:sz w:val="15"/>
                <w:szCs w:val="15"/>
                <w:color w:val="auto"/>
              </w:rPr>
              <w:t>allowances of $14,248 and $3,219, respectively (*)</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406,588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54,868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 (*)</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54,968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1,557,364</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1,571,879</w:t>
            </w:r>
          </w:p>
        </w:tc>
      </w:tr>
      <w:tr>
        <w:trPr>
          <w:trHeight w:val="339"/>
        </w:trPr>
        <w:tc>
          <w:tcPr>
            <w:tcW w:w="868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380" w:type="dxa"/>
            <w:vAlign w:val="bottom"/>
          </w:tcPr>
          <w:p>
            <w:pPr>
              <w:spacing w:after="0"/>
              <w:rPr>
                <w:sz w:val="24"/>
                <w:szCs w:val="2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171,496</w:t>
            </w:r>
          </w:p>
        </w:tc>
        <w:tc>
          <w:tcPr>
            <w:tcW w:w="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25,603</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19,722</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874,200</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97,213</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70,953</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assets</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$ 2,725,876</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$ 2,624,436</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86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9"/>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254,726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166,527</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Accrued personnel costs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86,162</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103,990</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136,140</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10,286</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payable</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104,635</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591,949</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511,976</w:t>
            </w:r>
          </w:p>
        </w:tc>
      </w:tr>
      <w:tr>
        <w:trPr>
          <w:trHeight w:val="339"/>
        </w:trPr>
        <w:tc>
          <w:tcPr>
            <w:tcW w:w="8680" w:type="dxa"/>
            <w:vAlign w:val="bottom"/>
          </w:tcPr>
          <w:p>
            <w:pPr>
              <w:spacing w:after="0"/>
              <w:rPr>
                <w:sz w:val="20"/>
                <w:szCs w:val="20"/>
                <w:color w:val="auto"/>
              </w:rPr>
            </w:pPr>
            <w:r>
              <w:rPr>
                <w:rFonts w:ascii="Courier New" w:cs="Courier New" w:eastAsia="Courier New" w:hAnsi="Courier New"/>
                <w:sz w:val="15"/>
                <w:szCs w:val="15"/>
                <w:color w:val="auto"/>
              </w:rPr>
              <w:t>Convertible notes and long-term portion of capital lease obligations</w:t>
            </w:r>
          </w:p>
        </w:tc>
        <w:tc>
          <w:tcPr>
            <w:tcW w:w="380" w:type="dxa"/>
            <w:vAlign w:val="bottom"/>
          </w:tcPr>
          <w:p>
            <w:pPr>
              <w:spacing w:after="0"/>
              <w:rPr>
                <w:sz w:val="24"/>
                <w:szCs w:val="2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521,351</w:t>
            </w:r>
          </w:p>
        </w:tc>
        <w:tc>
          <w:tcPr>
            <w:tcW w:w="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524,779</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9,377</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7,410</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Other noncurrent liabilities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77,605</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68,180</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1,200,282</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1,112,345</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Preferred Shares - Authorized 25,000 shares; L0.01 par value; 0 shares issued</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8680" w:type="dxa"/>
            <w:vAlign w:val="bottom"/>
          </w:tcPr>
          <w:p>
            <w:pPr>
              <w:ind w:left="520"/>
              <w:spacing w:after="0"/>
              <w:rPr>
                <w:sz w:val="20"/>
                <w:szCs w:val="20"/>
                <w:color w:val="auto"/>
              </w:rPr>
            </w:pPr>
            <w:r>
              <w:rPr>
                <w:rFonts w:ascii="Courier New" w:cs="Courier New" w:eastAsia="Courier New" w:hAnsi="Courier New"/>
                <w:sz w:val="15"/>
                <w:szCs w:val="15"/>
                <w:color w:val="auto"/>
              </w:rPr>
              <w:t>and outstanding</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Ordinary Shares - Authorized 550,000 shares; L0.01 par value; 223,130 and 222,628 issued and</w:t>
            </w:r>
          </w:p>
        </w:tc>
        <w:tc>
          <w:tcPr>
            <w:tcW w:w="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0"/>
        </w:trPr>
        <w:tc>
          <w:tcPr>
            <w:tcW w:w="8680" w:type="dxa"/>
            <w:vAlign w:val="bottom"/>
          </w:tcPr>
          <w:p>
            <w:pPr>
              <w:ind w:left="520"/>
              <w:spacing w:after="0"/>
              <w:rPr>
                <w:sz w:val="20"/>
                <w:szCs w:val="20"/>
                <w:color w:val="auto"/>
              </w:rPr>
            </w:pPr>
            <w:r>
              <w:rPr>
                <w:rFonts w:ascii="Courier New" w:cs="Courier New" w:eastAsia="Courier New" w:hAnsi="Courier New"/>
                <w:sz w:val="15"/>
                <w:szCs w:val="15"/>
                <w:color w:val="auto"/>
              </w:rPr>
              <w:t>222,530 and 222,628 outstanding, respectively</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3,569</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3,560</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1,811,361</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1,806,290</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Treasury stock</w:t>
            </w:r>
          </w:p>
        </w:tc>
        <w:tc>
          <w:tcPr>
            <w:tcW w:w="38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(15,408)</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Accumulated other comprehensive loss</w:t>
            </w:r>
          </w:p>
        </w:tc>
        <w:tc>
          <w:tcPr>
            <w:tcW w:w="38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(13,511)</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(6,382)</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Unearned compensation</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r>
      <w:tr>
        <w:trPr>
          <w:trHeight w:val="170"/>
        </w:trPr>
        <w:tc>
          <w:tcPr>
            <w:tcW w:w="8680" w:type="dxa"/>
            <w:vAlign w:val="bottom"/>
          </w:tcPr>
          <w:p>
            <w:pPr>
              <w:ind w:left="260"/>
              <w:spacing w:after="0"/>
              <w:rPr>
                <w:sz w:val="20"/>
                <w:szCs w:val="20"/>
                <w:color w:val="auto"/>
              </w:rPr>
            </w:pPr>
            <w:r>
              <w:rPr>
                <w:rFonts w:ascii="Courier New" w:cs="Courier New" w:eastAsia="Courier New" w:hAnsi="Courier New"/>
                <w:sz w:val="15"/>
                <w:szCs w:val="15"/>
                <w:color w:val="auto"/>
              </w:rPr>
              <w:t>Accumulated deficit</w:t>
            </w:r>
          </w:p>
        </w:tc>
        <w:tc>
          <w:tcPr>
            <w:tcW w:w="380" w:type="dxa"/>
            <w:vAlign w:val="bottom"/>
          </w:tcPr>
          <w:p>
            <w:pPr>
              <w:spacing w:after="0"/>
              <w:rPr>
                <w:sz w:val="14"/>
                <w:szCs w:val="14"/>
                <w:color w:val="auto"/>
              </w:rPr>
            </w:pPr>
          </w:p>
        </w:tc>
        <w:tc>
          <w:tcPr>
            <w:tcW w:w="13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(260,417)</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(291,192)</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shareholders' equity</w:t>
            </w:r>
          </w:p>
        </w:tc>
        <w:tc>
          <w:tcPr>
            <w:tcW w:w="380" w:type="dxa"/>
            <w:vAlign w:val="bottom"/>
          </w:tcPr>
          <w:p>
            <w:pPr>
              <w:spacing w:after="0"/>
              <w:rPr>
                <w:sz w:val="14"/>
                <w:szCs w:val="14"/>
                <w:color w:val="auto"/>
              </w:rPr>
            </w:pP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1,525,594</w:t>
            </w:r>
          </w:p>
        </w:tc>
        <w:tc>
          <w:tcPr>
            <w:tcW w:w="220" w:type="dxa"/>
            <w:vAlign w:val="bottom"/>
          </w:tcPr>
          <w:p>
            <w:pPr>
              <w:spacing w:after="0"/>
              <w:rPr>
                <w:sz w:val="14"/>
                <w:szCs w:val="14"/>
                <w:color w:val="auto"/>
              </w:rPr>
            </w:pP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1,512,091</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8680" w:type="dxa"/>
            <w:vAlign w:val="bottom"/>
          </w:tcPr>
          <w:p>
            <w:pPr>
              <w:ind w:left="10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$ 2,725,876</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$ 2,624,436</w:t>
            </w:r>
          </w:p>
        </w:tc>
      </w:tr>
      <w:tr>
        <w:trPr>
          <w:trHeight w:val="170"/>
        </w:trPr>
        <w:tc>
          <w:tcPr>
            <w:tcW w:w="868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520"/>
          </w:cols>
          <w:pgMar w:left="240" w:top="452" w:right="139" w:bottom="1440" w:gutter="0" w:footer="0" w:header="0"/>
        </w:sectPr>
      </w:pPr>
    </w:p>
    <w:bookmarkStart w:id="3" w:name="page4"/>
    <w:bookmarkEnd w:id="3"/>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INCOME (UNAUDITED)</w:t>
      </w: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6"/>
              </w:rPr>
              <w:t>THREE MONTHS ENDED</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SIX MONTHS</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880" w:type="dxa"/>
            <w:vAlign w:val="bottom"/>
          </w:tcPr>
          <w:p>
            <w:pPr>
              <w:spacing w:after="0"/>
              <w:rPr>
                <w:sz w:val="14"/>
                <w:szCs w:val="14"/>
                <w:color w:val="auto"/>
              </w:rPr>
            </w:pPr>
          </w:p>
        </w:tc>
        <w:tc>
          <w:tcPr>
            <w:tcW w:w="23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2002</w:t>
            </w:r>
          </w:p>
        </w:tc>
        <w:tc>
          <w:tcPr>
            <w:tcW w:w="12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License (*)</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$ 45,528</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$ 43,290</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$ 87,818</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$ 81,366</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Service (*)</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409,741</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328,999</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790,092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633,090</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455,269</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372,289</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877,910</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714,456</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1,295</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2,413</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2,953</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 (*)</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249,204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206,154</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479,807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397,942</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30,902</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25,152</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59,459</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48,731</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 (*)</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61,023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48,168</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114,802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91,618</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purchased intangible</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61,894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54,164</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118,676</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108,324</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 and</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nonrecurring charge</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30,711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404,456</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334,933</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805,868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649,568</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50,813</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37,356</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72,042</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64,888</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2,383</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5,096</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5,710</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10,658</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53,196</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42,452</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77,752</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75,546</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26,755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27,039</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46,977</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47,557</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$ 26,441</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$ 15,413</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$ 30,775</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$ 27,989</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0.14</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222,995</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221,884</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222,844</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221,546</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225,488</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227,213</w:t>
            </w:r>
          </w:p>
        </w:tc>
        <w:tc>
          <w:tcPr>
            <w:tcW w:w="3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225,275</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226,994</w:t>
            </w:r>
          </w:p>
        </w:tc>
      </w:tr>
      <w:tr>
        <w:trPr>
          <w:trHeight w:val="170"/>
        </w:trPr>
        <w:tc>
          <w:tcPr>
            <w:tcW w:w="48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See Note 2.</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2" w:right="1440" w:bottom="1440" w:gutter="0" w:footer="0" w:header="0"/>
        </w:sectPr>
      </w:pPr>
    </w:p>
    <w:bookmarkStart w:id="4" w:name="page5"/>
    <w:bookmarkEnd w:id="4"/>
    <w:p>
      <w:pPr>
        <w:jc w:val="center"/>
        <w:ind w:right="344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360"/>
        <w:spacing w:after="0"/>
        <w:rPr>
          <w:sz w:val="20"/>
          <w:szCs w:val="20"/>
          <w:color w:val="auto"/>
        </w:rPr>
      </w:pPr>
      <w:r>
        <w:rPr>
          <w:rFonts w:ascii="Courier New" w:cs="Courier New" w:eastAsia="Courier New" w:hAnsi="Courier New"/>
          <w:sz w:val="15"/>
          <w:szCs w:val="15"/>
          <w:color w:val="auto"/>
        </w:rPr>
        <w:t>CONSOLIDATED STATEMENT OF CHANGES IN SHAREHOLDERS' EQUITY (UNAUDITED)</w:t>
      </w:r>
    </w:p>
    <w:p>
      <w:pPr>
        <w:jc w:val="center"/>
        <w:ind w:right="344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Ordinary Shares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Additional</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spacing w:after="0"/>
              <w:rPr>
                <w:sz w:val="14"/>
                <w:szCs w:val="14"/>
                <w:color w:val="auto"/>
              </w:rPr>
            </w:pPr>
          </w:p>
        </w:tc>
        <w:tc>
          <w:tcPr>
            <w:tcW w:w="16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Paid-in</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Treasury</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Unearned</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r>
      <w:tr>
        <w:trPr>
          <w:trHeight w:val="170"/>
        </w:trPr>
        <w:tc>
          <w:tcPr>
            <w:tcW w:w="30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w:t>
            </w:r>
          </w:p>
        </w:tc>
        <w:tc>
          <w:tcPr>
            <w:tcW w:w="18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Loss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Compensation</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Deficit</w:t>
            </w:r>
          </w:p>
        </w:tc>
      </w:tr>
      <w:tr>
        <w:trPr>
          <w:trHeight w:val="170"/>
        </w:trPr>
        <w:tc>
          <w:tcPr>
            <w:tcW w:w="30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222,628</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$1,806,290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(6,382)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$(185)</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$(291,192)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30,775</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Increase in unrealized loss on</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foreign currency hedging</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contracts, net of $1,371 tax</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benefit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(4,332)</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Increase in unrealized loss on</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cash equivalents and</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short-term interest-bearing</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investments, net of $1,148</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tax benefit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(2,797)</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Employee stock options exercised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502</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4,620</w:t>
            </w:r>
          </w:p>
        </w:tc>
        <w:tc>
          <w:tcPr>
            <w:tcW w:w="1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Tax benefit of stock options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Expense related to vesting of</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stock options</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(15,408)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AS OF MARCH 31, 2002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222,530</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$1,811,361</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$(15,408)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$(13,511)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$(260,417)</w:t>
            </w:r>
          </w:p>
        </w:tc>
      </w:tr>
      <w:tr>
        <w:trPr>
          <w:trHeight w:val="170"/>
        </w:trPr>
        <w:tc>
          <w:tcPr>
            <w:tcW w:w="3080" w:type="dxa"/>
            <w:vAlign w:val="bottom"/>
          </w:tcPr>
          <w:p>
            <w:pPr>
              <w:spacing w:after="0"/>
              <w:rPr>
                <w:sz w:val="14"/>
                <w:szCs w:val="14"/>
                <w:color w:val="auto"/>
              </w:rPr>
            </w:pP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30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r>
      <w:tr>
        <w:trPr>
          <w:trHeight w:val="170"/>
        </w:trPr>
        <w:tc>
          <w:tcPr>
            <w:tcW w:w="308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Equity</w:t>
            </w:r>
          </w:p>
        </w:tc>
      </w:tr>
      <w:tr>
        <w:trPr>
          <w:trHeight w:val="170"/>
        </w:trPr>
        <w:tc>
          <w:tcPr>
            <w:tcW w:w="30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AS OF SEPTEMBER 30, 2001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$ 1,512,091</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2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30,775</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Increase in unrealized loss on</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foreign currency hedging</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contracts, net of $1,371 tax</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benefit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(4,332)</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Increase in unrealized loss on</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cash equivalents and</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short-term interest-bearing</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investments, net of $1,148</w:t>
            </w:r>
          </w:p>
        </w:tc>
        <w:tc>
          <w:tcPr>
            <w:tcW w:w="1220" w:type="dxa"/>
            <w:vAlign w:val="bottom"/>
          </w:tcPr>
          <w:p>
            <w:pPr>
              <w:spacing w:after="0"/>
              <w:rPr>
                <w:sz w:val="14"/>
                <w:szCs w:val="14"/>
                <w:color w:val="auto"/>
              </w:rPr>
            </w:pPr>
          </w:p>
        </w:tc>
      </w:tr>
      <w:tr>
        <w:trPr>
          <w:trHeight w:val="170"/>
        </w:trPr>
        <w:tc>
          <w:tcPr>
            <w:tcW w:w="3080" w:type="dxa"/>
            <w:vAlign w:val="bottom"/>
          </w:tcPr>
          <w:p>
            <w:pPr>
              <w:ind w:left="520"/>
              <w:spacing w:after="0"/>
              <w:rPr>
                <w:sz w:val="20"/>
                <w:szCs w:val="20"/>
                <w:color w:val="auto"/>
              </w:rPr>
            </w:pPr>
            <w:r>
              <w:rPr>
                <w:rFonts w:ascii="Courier New" w:cs="Courier New" w:eastAsia="Courier New" w:hAnsi="Courier New"/>
                <w:sz w:val="15"/>
                <w:szCs w:val="15"/>
                <w:color w:val="auto"/>
              </w:rPr>
              <w:t>tax benefit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(2,797)</w:t>
            </w:r>
          </w:p>
        </w:tc>
      </w:tr>
      <w:tr>
        <w:trPr>
          <w:trHeight w:val="170"/>
        </w:trPr>
        <w:tc>
          <w:tcPr>
            <w:tcW w:w="30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Comprehensive income</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23,646</w:t>
            </w:r>
          </w:p>
        </w:tc>
      </w:tr>
      <w:tr>
        <w:trPr>
          <w:trHeight w:val="170"/>
        </w:trPr>
        <w:tc>
          <w:tcPr>
            <w:tcW w:w="30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Employee stock options exercised</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4,629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Tax benefit of stock options</w:t>
            </w:r>
          </w:p>
        </w:tc>
        <w:tc>
          <w:tcPr>
            <w:tcW w:w="122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exercised</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Expense related to vesting of</w:t>
            </w:r>
          </w:p>
        </w:tc>
        <w:tc>
          <w:tcPr>
            <w:tcW w:w="122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stock options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(15,408)</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1220" w:type="dxa"/>
            <w:vAlign w:val="bottom"/>
          </w:tcPr>
          <w:p>
            <w:pPr>
              <w:spacing w:after="0"/>
              <w:rPr>
                <w:sz w:val="14"/>
                <w:szCs w:val="14"/>
                <w:color w:val="auto"/>
              </w:rPr>
            </w:pPr>
          </w:p>
        </w:tc>
      </w:tr>
      <w:tr>
        <w:trPr>
          <w:trHeight w:val="170"/>
        </w:trPr>
        <w:tc>
          <w:tcPr>
            <w:tcW w:w="3080" w:type="dxa"/>
            <w:vAlign w:val="bottom"/>
          </w:tcPr>
          <w:p>
            <w:pPr>
              <w:ind w:left="260"/>
              <w:spacing w:after="0"/>
              <w:rPr>
                <w:sz w:val="20"/>
                <w:szCs w:val="20"/>
                <w:color w:val="auto"/>
              </w:rPr>
            </w:pPr>
            <w:r>
              <w:rPr>
                <w:rFonts w:ascii="Courier New" w:cs="Courier New" w:eastAsia="Courier New" w:hAnsi="Courier New"/>
                <w:sz w:val="15"/>
                <w:szCs w:val="15"/>
                <w:color w:val="auto"/>
              </w:rPr>
              <w:t>compensation</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30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BALANCE AS OF MARCH 31, 2002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$ 1,525,594</w:t>
            </w:r>
          </w:p>
        </w:tc>
      </w:tr>
      <w:tr>
        <w:trPr>
          <w:trHeight w:val="170"/>
        </w:trPr>
        <w:tc>
          <w:tcPr>
            <w:tcW w:w="308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20"/>
        <w:spacing w:after="0" w:line="237" w:lineRule="auto"/>
        <w:rPr>
          <w:sz w:val="20"/>
          <w:szCs w:val="20"/>
          <w:color w:val="auto"/>
        </w:rPr>
      </w:pPr>
      <w:r>
        <w:rPr>
          <w:rFonts w:ascii="Courier New" w:cs="Courier New" w:eastAsia="Courier New" w:hAnsi="Courier New"/>
          <w:sz w:val="15"/>
          <w:szCs w:val="15"/>
          <w:color w:val="auto"/>
        </w:rPr>
        <w:t>As of March 31, 2002 and September 30, 2001, accumulated other comprehensive loss is comprised of unrealized loss on foreign currency hedging contracts, net of tax, of $12,234 and $7,902, respectively, and unrealized loss (gain) on cash equivalents and short-term interest-bearing investments, net of tax, of $1,277 and $(1,520), respectively.</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480"/>
          </w:cols>
          <w:pgMar w:left="240" w:top="452" w:right="1179" w:bottom="1074" w:gutter="0" w:footer="0" w:header="0"/>
        </w:sectPr>
      </w:pPr>
    </w:p>
    <w:bookmarkStart w:id="5" w:name="page6"/>
    <w:bookmarkEnd w:id="5"/>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CONSOLIDATED STATEMENTS OF CASH FLOWS (UNAUDITED)</w:t>
      </w:r>
    </w:p>
    <w:tbl>
      <w:tblPr>
        <w:tblLayout w:type="fixed"/>
        <w:tblInd w:w="0" w:type="dxa"/>
        <w:tblCellMar>
          <w:top w:w="0" w:type="dxa"/>
          <w:left w:w="0" w:type="dxa"/>
          <w:bottom w:w="0" w:type="dxa"/>
          <w:right w:w="0" w:type="dxa"/>
        </w:tblCellMar>
      </w:tblPr>
      <w:tr>
        <w:trPr>
          <w:trHeight w:val="170"/>
        </w:trPr>
        <w:tc>
          <w:tcPr>
            <w:tcW w:w="668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68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70"/>
        </w:trPr>
        <w:tc>
          <w:tcPr>
            <w:tcW w:w="668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30,775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27,989</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w w:val="99"/>
              </w:rPr>
              <w:t>Reconciliation of net income to net cash provided by operating activities: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158,302</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137,844</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17,400</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Loss on sale of equipment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195</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1,161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Tax benefit of stock options exercised</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389</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5,297</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Unrealized loss on other comprehensive loss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(9,648)</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(8,820)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 net of amounts</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jc w:val="right"/>
              <w:ind w:right="5647"/>
              <w:spacing w:after="0"/>
              <w:rPr>
                <w:sz w:val="20"/>
                <w:szCs w:val="20"/>
                <w:color w:val="auto"/>
              </w:rPr>
            </w:pPr>
            <w:r>
              <w:rPr>
                <w:rFonts w:ascii="Courier New" w:cs="Courier New" w:eastAsia="Courier New" w:hAnsi="Courier New"/>
                <w:sz w:val="15"/>
                <w:szCs w:val="15"/>
                <w:color w:val="auto"/>
              </w:rPr>
              <w:t>acquired: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3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5,518</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(49,799)</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(5,714)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(10,166)</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(4,254)</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(1,832)</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51,060</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1,418</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(34,703)</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13,267</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(7,195)</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7,753</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4,758</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4,426</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208,044</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124,912</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9"/>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 improvements</w:t>
            </w:r>
          </w:p>
        </w:tc>
        <w:tc>
          <w:tcPr>
            <w:tcW w:w="3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861</w:t>
            </w:r>
          </w:p>
        </w:tc>
        <w:tc>
          <w:tcPr>
            <w:tcW w:w="3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1,674</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leasehold improvements and</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680" w:type="dxa"/>
            <w:vAlign w:val="bottom"/>
          </w:tcPr>
          <w:p>
            <w:pPr>
              <w:jc w:val="right"/>
              <w:ind w:right="564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(26,581)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(42,216)</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Purchase of short-term interest-bearing investments, net</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(322,890)</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(120,220)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Investment in noncurrent assets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(24,006)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(3,725)</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paid for acquisition</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(210,900)</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(583,516)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(164,487)</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Proceeds from employee stock options exercised</w:t>
            </w:r>
          </w:p>
        </w:tc>
        <w:tc>
          <w:tcPr>
            <w:tcW w:w="3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4,629</w:t>
            </w:r>
          </w:p>
        </w:tc>
        <w:tc>
          <w:tcPr>
            <w:tcW w:w="30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10,380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Repurchase of shares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(15,408)</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Payments under short-term finance arrangements</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Principal payments on capital lease obligations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(5,766)</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(5,270)</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cash used in financing activities</w:t>
            </w:r>
          </w:p>
        </w:tc>
        <w:tc>
          <w:tcPr>
            <w:tcW w:w="36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(16,545)</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(14,890)</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3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(392,017)</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(54,465)</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872,998</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402,300</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$ 480,981</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$ 347,835</w:t>
            </w:r>
          </w:p>
        </w:tc>
      </w:tr>
      <w:tr>
        <w:trPr>
          <w:trHeight w:val="170"/>
        </w:trPr>
        <w:tc>
          <w:tcPr>
            <w:tcW w:w="6680" w:type="dxa"/>
            <w:vAlign w:val="bottom"/>
          </w:tcPr>
          <w:p>
            <w:pPr>
              <w:spacing w:after="0"/>
              <w:rPr>
                <w:sz w:val="14"/>
                <w:szCs w:val="14"/>
                <w:color w:val="auto"/>
              </w:rPr>
            </w:pPr>
          </w:p>
        </w:tc>
        <w:tc>
          <w:tcPr>
            <w:tcW w:w="13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68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68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9"/>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Income taxes, net of refunds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53,428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35,209</w:t>
            </w:r>
          </w:p>
        </w:tc>
      </w:tr>
      <w:tr>
        <w:trPr>
          <w:trHeight w:val="170"/>
        </w:trPr>
        <w:tc>
          <w:tcPr>
            <w:tcW w:w="668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36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5,707</w:t>
            </w:r>
          </w:p>
        </w:tc>
        <w:tc>
          <w:tcPr>
            <w:tcW w:w="30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1,458</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Capital lease obligations of $2,224 and $6,730 were incurred during the six months ended March 31, 2002 and 2001, respectively, as a result of the Company (as defined below) entering into lease agreements for the purchase of fixed assets.</w:t>
      </w:r>
    </w:p>
    <w:p>
      <w:pPr>
        <w:spacing w:after="0" w:line="17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See accompanying notes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2" w:right="1440"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69" w:lineRule="exact"/>
        <w:rPr>
          <w:sz w:val="20"/>
          <w:szCs w:val="20"/>
          <w:color w:val="auto"/>
        </w:rPr>
      </w:pPr>
    </w:p>
    <w:p>
      <w:pPr>
        <w:ind w:left="790" w:hanging="790"/>
        <w:spacing w:after="0"/>
        <w:tabs>
          <w:tab w:leader="none" w:pos="79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5" w:lineRule="exact"/>
        <w:rPr>
          <w:sz w:val="20"/>
          <w:szCs w:val="20"/>
          <w:color w:val="auto"/>
        </w:rPr>
      </w:pPr>
    </w:p>
    <w:p>
      <w:pPr>
        <w:ind w:left="790" w:right="3259" w:firstLine="793"/>
        <w:spacing w:after="0" w:line="257" w:lineRule="auto"/>
        <w:rPr>
          <w:sz w:val="20"/>
          <w:szCs w:val="20"/>
          <w:color w:val="auto"/>
        </w:rPr>
      </w:pPr>
      <w:r>
        <w:rPr>
          <w:rFonts w:ascii="Courier New" w:cs="Courier New" w:eastAsia="Courier New" w:hAnsi="Courier New"/>
          <w:sz w:val="14"/>
          <w:szCs w:val="14"/>
          <w:color w:val="auto"/>
        </w:rPr>
        <w:t>Amdocs Limited ("Amdocs" or the "Company") is a leading provider of software products and services to the communications industry. The Company and its subsidiaries operate in one business segment, the provision of business support systems and related services. Focused on the communications industry, the Company designs, develops, markets, supports and operates information system solutions primarily to leading communications companies throughout the world.</w:t>
      </w:r>
    </w:p>
    <w:p>
      <w:pPr>
        <w:spacing w:after="0" w:line="167" w:lineRule="exact"/>
        <w:rPr>
          <w:sz w:val="20"/>
          <w:szCs w:val="20"/>
          <w:color w:val="auto"/>
        </w:rPr>
      </w:pPr>
    </w:p>
    <w:p>
      <w:pPr>
        <w:ind w:left="790" w:right="3179" w:firstLine="793"/>
        <w:spacing w:after="0" w:line="258" w:lineRule="auto"/>
        <w:rPr>
          <w:sz w:val="20"/>
          <w:szCs w:val="20"/>
          <w:color w:val="auto"/>
        </w:rPr>
      </w:pPr>
      <w:r>
        <w:rPr>
          <w:rFonts w:ascii="Courier New" w:cs="Courier New" w:eastAsia="Courier New" w:hAnsi="Courier New"/>
          <w:sz w:val="14"/>
          <w:szCs w:val="14"/>
          <w:color w:val="auto"/>
        </w:rPr>
        <w:t>The unaudited consolidated financial statements of the Company have been prepared in accordance with accounting principles generally accepted in the United States ("GAAP"). In the opinion of management, all adjustments considered necessary for a fair presentation of the unaudited interim consolidated financial statements have been included herein and are of a normal recurring nature.</w:t>
      </w:r>
    </w:p>
    <w:p>
      <w:pPr>
        <w:spacing w:after="0" w:line="164" w:lineRule="exact"/>
        <w:rPr>
          <w:sz w:val="20"/>
          <w:szCs w:val="20"/>
          <w:color w:val="auto"/>
        </w:rPr>
      </w:pPr>
    </w:p>
    <w:p>
      <w:pPr>
        <w:ind w:left="790" w:right="3179" w:firstLine="793"/>
        <w:spacing w:after="0" w:line="258" w:lineRule="auto"/>
        <w:rPr>
          <w:sz w:val="20"/>
          <w:szCs w:val="20"/>
          <w:color w:val="auto"/>
        </w:rPr>
      </w:pPr>
      <w:r>
        <w:rPr>
          <w:rFonts w:ascii="Courier New" w:cs="Courier New" w:eastAsia="Courier New" w:hAnsi="Courier New"/>
          <w:sz w:val="14"/>
          <w:szCs w:val="14"/>
          <w:color w:val="auto"/>
        </w:rPr>
        <w:t>The preparation of financial statements during interim periods requires management to make numerous estimates and assumptions that impact the reported amounts of assets, liabilities, revenue and expenses. Estimates and assumptions are reviewed periodically and the effect of revisions is reflected in the results of operations of the interim periods in which changes are determined to be necessary.</w:t>
      </w:r>
    </w:p>
    <w:p>
      <w:pPr>
        <w:spacing w:after="0" w:line="164" w:lineRule="exact"/>
        <w:rPr>
          <w:sz w:val="20"/>
          <w:szCs w:val="20"/>
          <w:color w:val="auto"/>
        </w:rPr>
      </w:pPr>
    </w:p>
    <w:p>
      <w:pPr>
        <w:ind w:left="790" w:right="3179" w:firstLine="793"/>
        <w:spacing w:after="0" w:line="238" w:lineRule="auto"/>
        <w:rPr>
          <w:sz w:val="20"/>
          <w:szCs w:val="20"/>
          <w:color w:val="auto"/>
        </w:rPr>
      </w:pPr>
      <w:r>
        <w:rPr>
          <w:rFonts w:ascii="Courier New" w:cs="Courier New" w:eastAsia="Courier New" w:hAnsi="Courier New"/>
          <w:sz w:val="15"/>
          <w:szCs w:val="15"/>
          <w:color w:val="auto"/>
        </w:rPr>
        <w:t>The results of operations for the interim periods presented herein are not necessarily indicative of the results to be expected for the full year. These statements do not include all information and footnotes necessary for a complete presentation of financial position, results of operations and cash flows in conformity with GAAP. These statements should be read in conjunction with the Company's consolidated financial statements for the fiscal year ended September 30, 2001 set forth in the Company's Annual Report on Form 20-F filed with the Securities and Exchange Commission.</w:t>
      </w:r>
    </w:p>
    <w:p>
      <w:pPr>
        <w:spacing w:after="0" w:line="173" w:lineRule="exact"/>
        <w:rPr>
          <w:sz w:val="20"/>
          <w:szCs w:val="20"/>
          <w:color w:val="auto"/>
        </w:rPr>
      </w:pPr>
    </w:p>
    <w:p>
      <w:pPr>
        <w:ind w:left="790" w:hanging="790"/>
        <w:spacing w:after="0"/>
        <w:tabs>
          <w:tab w:leader="none" w:pos="79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5" w:lineRule="exact"/>
        <w:rPr>
          <w:sz w:val="20"/>
          <w:szCs w:val="20"/>
          <w:color w:val="auto"/>
        </w:rPr>
      </w:pPr>
    </w:p>
    <w:p>
      <w:pPr>
        <w:ind w:left="790" w:right="3699" w:firstLine="793"/>
        <w:spacing w:after="0" w:line="235" w:lineRule="auto"/>
        <w:rPr>
          <w:sz w:val="20"/>
          <w:szCs w:val="20"/>
          <w:color w:val="auto"/>
        </w:rPr>
      </w:pPr>
      <w:r>
        <w:rPr>
          <w:rFonts w:ascii="Courier New" w:cs="Courier New" w:eastAsia="Courier New" w:hAnsi="Courier New"/>
          <w:sz w:val="15"/>
          <w:szCs w:val="15"/>
          <w:color w:val="auto"/>
        </w:rPr>
        <w:t>The following related party balances are included in the balance sheets: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560" w:type="dxa"/>
            <w:vAlign w:val="bottom"/>
          </w:tcPr>
          <w:p>
            <w:pPr>
              <w:spacing w:after="0"/>
              <w:rPr>
                <w:sz w:val="14"/>
                <w:szCs w:val="14"/>
                <w:color w:val="auto"/>
              </w:rPr>
            </w:pPr>
          </w:p>
        </w:tc>
        <w:tc>
          <w:tcPr>
            <w:tcW w:w="1140" w:type="dxa"/>
            <w:vAlign w:val="bottom"/>
          </w:tcPr>
          <w:p>
            <w:pPr>
              <w:ind w:left="920"/>
              <w:spacing w:after="0"/>
              <w:rPr>
                <w:sz w:val="20"/>
                <w:szCs w:val="20"/>
                <w:color w:val="auto"/>
              </w:rPr>
            </w:pPr>
            <w:r>
              <w:rPr>
                <w:rFonts w:ascii="Courier New" w:cs="Courier New" w:eastAsia="Courier New" w:hAnsi="Courier New"/>
                <w:sz w:val="15"/>
                <w:szCs w:val="15"/>
                <w:color w:val="auto"/>
              </w:rPr>
              <w:t>AS</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r>
      <w:tr>
        <w:trPr>
          <w:trHeight w:val="170"/>
        </w:trPr>
        <w:tc>
          <w:tcPr>
            <w:tcW w:w="6560" w:type="dxa"/>
            <w:vAlign w:val="bottom"/>
          </w:tcPr>
          <w:p>
            <w:pPr>
              <w:spacing w:after="0"/>
              <w:rPr>
                <w:sz w:val="14"/>
                <w:szCs w:val="14"/>
                <w:color w:val="auto"/>
              </w:rPr>
            </w:pPr>
          </w:p>
        </w:tc>
        <w:tc>
          <w:tcPr>
            <w:tcW w:w="23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MARCH 31,</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SEPTEMBER 30,</w:t>
            </w:r>
          </w:p>
        </w:tc>
      </w:tr>
      <w:tr>
        <w:trPr>
          <w:trHeight w:val="170"/>
        </w:trPr>
        <w:tc>
          <w:tcPr>
            <w:tcW w:w="65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6560" w:type="dxa"/>
            <w:vAlign w:val="bottom"/>
          </w:tcPr>
          <w:p>
            <w:pPr>
              <w:spacing w:after="0"/>
              <w:rPr>
                <w:sz w:val="14"/>
                <w:szCs w:val="14"/>
                <w:color w:val="auto"/>
              </w:rPr>
            </w:pP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65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6560" w:type="dxa"/>
            <w:vAlign w:val="bottom"/>
          </w:tcPr>
          <w:p>
            <w:pPr>
              <w:spacing w:after="0"/>
              <w:rPr>
                <w:sz w:val="20"/>
                <w:szCs w:val="20"/>
                <w:color w:val="auto"/>
              </w:rPr>
            </w:pPr>
            <w:r>
              <w:rPr>
                <w:rFonts w:ascii="Courier New" w:cs="Courier New" w:eastAsia="Courier New" w:hAnsi="Courier New"/>
                <w:sz w:val="15"/>
                <w:szCs w:val="15"/>
                <w:color w:val="auto"/>
              </w:rPr>
              <w:t>Accounts receivable, including unbilled of $823 and $4,479, respectively</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6560" w:type="dxa"/>
            <w:vAlign w:val="bottom"/>
          </w:tcPr>
          <w:p>
            <w:pPr>
              <w:spacing w:after="0"/>
              <w:rPr>
                <w:sz w:val="14"/>
                <w:szCs w:val="14"/>
                <w:color w:val="auto"/>
              </w:rPr>
            </w:pP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$ 74,213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$104,096</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Prepaid expenses and other current assets (1)</w:t>
            </w:r>
          </w:p>
        </w:tc>
        <w:tc>
          <w:tcPr>
            <w:tcW w:w="1140" w:type="dxa"/>
            <w:vAlign w:val="bottom"/>
          </w:tcPr>
          <w:p>
            <w:pPr>
              <w:ind w:left="660"/>
              <w:spacing w:after="0"/>
              <w:rPr>
                <w:sz w:val="20"/>
                <w:szCs w:val="20"/>
                <w:color w:val="auto"/>
              </w:rPr>
            </w:pPr>
            <w:r>
              <w:rPr>
                <w:rFonts w:ascii="Courier New" w:cs="Courier New" w:eastAsia="Courier New" w:hAnsi="Courier New"/>
                <w:sz w:val="15"/>
                <w:szCs w:val="15"/>
                <w:color w:val="auto"/>
              </w:rPr>
              <w:t>380</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6560" w:type="dxa"/>
            <w:vAlign w:val="bottom"/>
          </w:tcPr>
          <w:p>
            <w:pPr>
              <w:spacing w:after="0"/>
              <w:rPr>
                <w:sz w:val="20"/>
                <w:szCs w:val="20"/>
                <w:color w:val="auto"/>
              </w:rPr>
            </w:pPr>
            <w:r>
              <w:rPr>
                <w:rFonts w:ascii="Courier New" w:cs="Courier New" w:eastAsia="Courier New" w:hAnsi="Courier New"/>
                <w:sz w:val="15"/>
                <w:szCs w:val="15"/>
                <w:color w:val="auto"/>
              </w:rPr>
              <w:t>Other noncurrent assets (2)</w:t>
            </w:r>
          </w:p>
        </w:tc>
        <w:tc>
          <w:tcPr>
            <w:tcW w:w="1140" w:type="dxa"/>
            <w:vAlign w:val="bottom"/>
          </w:tcPr>
          <w:p>
            <w:pPr>
              <w:ind w:left="400"/>
              <w:spacing w:after="0"/>
              <w:rPr>
                <w:sz w:val="20"/>
                <w:szCs w:val="20"/>
                <w:color w:val="auto"/>
              </w:rPr>
            </w:pPr>
            <w:r>
              <w:rPr>
                <w:rFonts w:ascii="Courier New" w:cs="Courier New" w:eastAsia="Courier New" w:hAnsi="Courier New"/>
                <w:sz w:val="15"/>
                <w:szCs w:val="15"/>
                <w:color w:val="auto"/>
              </w:rPr>
              <w:t>34,097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10,091</w:t>
            </w:r>
          </w:p>
        </w:tc>
      </w:tr>
    </w:tbl>
    <w:p>
      <w:pPr>
        <w:spacing w:after="0" w:line="344" w:lineRule="exact"/>
        <w:rPr>
          <w:sz w:val="20"/>
          <w:szCs w:val="20"/>
          <w:color w:val="auto"/>
        </w:rPr>
      </w:pPr>
    </w:p>
    <w:p>
      <w:pPr>
        <w:jc w:val="both"/>
        <w:ind w:left="1150" w:right="3359" w:hanging="356"/>
        <w:spacing w:after="0" w:line="237" w:lineRule="auto"/>
        <w:tabs>
          <w:tab w:leader="none" w:pos="11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interest receivable accrued on convertible debentures issued to the Company by Certen Inc. ("Certen"), a company formed by Bell Canada and the Company in January 2001.</w:t>
      </w:r>
    </w:p>
    <w:p>
      <w:pPr>
        <w:spacing w:after="0" w:line="174" w:lineRule="exact"/>
        <w:rPr>
          <w:rFonts w:ascii="Courier New" w:cs="Courier New" w:eastAsia="Courier New" w:hAnsi="Courier New"/>
          <w:sz w:val="15"/>
          <w:szCs w:val="15"/>
          <w:color w:val="auto"/>
        </w:rPr>
      </w:pPr>
    </w:p>
    <w:p>
      <w:pPr>
        <w:ind w:left="1150" w:right="3359" w:hanging="356"/>
        <w:spacing w:after="0" w:line="238" w:lineRule="auto"/>
        <w:tabs>
          <w:tab w:leader="none" w:pos="11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an investment in Certen in equity and the convertible debentures. The investment in Certen is accounted for under the cost method, based on the Company's 10% ownership of Certen. The total financial commitment of the Company to Certen is approximately $50,000 in aggregate equity and convertible debentures.</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452" w:right="1440" w:bottom="1440" w:gutter="0" w:footer="0" w:header="0"/>
        </w:sectPr>
      </w:pPr>
    </w:p>
    <w:bookmarkStart w:id="7" w:name="page8"/>
    <w:bookmarkEnd w:id="7"/>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790" w:right="3179" w:firstLine="793"/>
        <w:spacing w:after="0" w:line="237"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including Certen. The following related party revenue is included in the statements of income for the following periods:</w:t>
      </w:r>
    </w:p>
    <w:p>
      <w:pPr>
        <w:spacing w:after="0" w:line="200" w:lineRule="exact"/>
        <w:rPr>
          <w:sz w:val="20"/>
          <w:szCs w:val="20"/>
          <w:color w:val="auto"/>
        </w:rPr>
      </w:pPr>
    </w:p>
    <w:p>
      <w:pPr>
        <w:spacing w:after="0" w:line="312" w:lineRule="exact"/>
        <w:rPr>
          <w:sz w:val="20"/>
          <w:szCs w:val="20"/>
          <w:color w:val="auto"/>
        </w:rPr>
      </w:pPr>
    </w:p>
    <w:tbl>
      <w:tblPr>
        <w:tblLayout w:type="fixed"/>
        <w:tblInd w:w="71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THREE MONTHS</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w w:val="99"/>
              </w:rPr>
              <w:t>SIX MONTHS</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1360" w:type="dxa"/>
            <w:vAlign w:val="bottom"/>
          </w:tcPr>
          <w:p>
            <w:pPr>
              <w:spacing w:after="0"/>
              <w:rPr>
                <w:sz w:val="14"/>
                <w:szCs w:val="14"/>
                <w:color w:val="auto"/>
              </w:rPr>
            </w:pPr>
          </w:p>
        </w:tc>
        <w:tc>
          <w:tcPr>
            <w:tcW w:w="2120" w:type="dxa"/>
            <w:vAlign w:val="bottom"/>
            <w:gridSpan w:val="2"/>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20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1360" w:type="dxa"/>
            <w:vAlign w:val="bottom"/>
          </w:tcPr>
          <w:p>
            <w:pPr>
              <w:spacing w:after="0"/>
              <w:rPr>
                <w:sz w:val="14"/>
                <w:szCs w:val="14"/>
                <w:color w:val="auto"/>
              </w:rPr>
            </w:pPr>
          </w:p>
        </w:tc>
        <w:tc>
          <w:tcPr>
            <w:tcW w:w="21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2001</w:t>
            </w:r>
          </w:p>
        </w:tc>
        <w:tc>
          <w:tcPr>
            <w:tcW w:w="132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136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13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License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$ 7,744</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$ 9,728</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$ 10,674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$ 13,311</w:t>
            </w:r>
          </w:p>
        </w:tc>
      </w:tr>
      <w:tr>
        <w:trPr>
          <w:trHeight w:val="170"/>
        </w:trPr>
        <w:tc>
          <w:tcPr>
            <w:tcW w:w="1360" w:type="dxa"/>
            <w:vAlign w:val="bottom"/>
          </w:tcPr>
          <w:p>
            <w:pPr>
              <w:ind w:left="520"/>
              <w:spacing w:after="0"/>
              <w:rPr>
                <w:sz w:val="20"/>
                <w:szCs w:val="20"/>
                <w:color w:val="auto"/>
              </w:rPr>
            </w:pPr>
            <w:r>
              <w:rPr>
                <w:rFonts w:ascii="Courier New" w:cs="Courier New" w:eastAsia="Courier New" w:hAnsi="Courier New"/>
                <w:sz w:val="15"/>
                <w:szCs w:val="15"/>
                <w:color w:val="auto"/>
              </w:rPr>
              <w:t>Service</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77,458</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67,111</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173,122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109,778</w:t>
            </w:r>
          </w:p>
        </w:tc>
      </w:tr>
    </w:tbl>
    <w:p>
      <w:pPr>
        <w:spacing w:after="0" w:line="344" w:lineRule="exact"/>
        <w:rPr>
          <w:sz w:val="20"/>
          <w:szCs w:val="20"/>
          <w:color w:val="auto"/>
        </w:rPr>
      </w:pPr>
    </w:p>
    <w:p>
      <w:pPr>
        <w:ind w:left="790" w:right="3699" w:firstLine="793"/>
        <w:spacing w:after="0" w:line="235" w:lineRule="auto"/>
        <w:rPr>
          <w:sz w:val="20"/>
          <w:szCs w:val="20"/>
          <w:color w:val="auto"/>
        </w:rPr>
      </w:pPr>
      <w:r>
        <w:rPr>
          <w:rFonts w:ascii="Courier New" w:cs="Courier New" w:eastAsia="Courier New" w:hAnsi="Courier New"/>
          <w:sz w:val="15"/>
          <w:szCs w:val="15"/>
          <w:color w:val="auto"/>
        </w:rPr>
        <w:t>The following related party expenses are included in the statements of income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THREE MONTHS ENDED</w:t>
            </w:r>
          </w:p>
        </w:tc>
        <w:tc>
          <w:tcPr>
            <w:tcW w:w="1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920" w:type="dxa"/>
            <w:vAlign w:val="bottom"/>
          </w:tcPr>
          <w:p>
            <w:pPr>
              <w:spacing w:after="0"/>
              <w:rPr>
                <w:sz w:val="14"/>
                <w:szCs w:val="14"/>
                <w:color w:val="auto"/>
              </w:rPr>
            </w:pPr>
          </w:p>
        </w:tc>
        <w:tc>
          <w:tcPr>
            <w:tcW w:w="18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MARCH 31,</w:t>
            </w:r>
          </w:p>
        </w:tc>
        <w:tc>
          <w:tcPr>
            <w:tcW w:w="18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920" w:type="dxa"/>
            <w:vAlign w:val="bottom"/>
          </w:tcPr>
          <w:p>
            <w:pPr>
              <w:spacing w:after="0"/>
              <w:rPr>
                <w:sz w:val="14"/>
                <w:szCs w:val="14"/>
                <w:color w:val="auto"/>
              </w:rPr>
            </w:pPr>
          </w:p>
        </w:tc>
        <w:tc>
          <w:tcPr>
            <w:tcW w:w="18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92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expenses (1):</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Cost of service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$751</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$695</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$1,212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$1,289</w:t>
            </w:r>
          </w:p>
        </w:tc>
      </w:tr>
      <w:tr>
        <w:trPr>
          <w:trHeight w:val="170"/>
        </w:trPr>
        <w:tc>
          <w:tcPr>
            <w:tcW w:w="3920" w:type="dxa"/>
            <w:vAlign w:val="bottom"/>
          </w:tcPr>
          <w:p>
            <w:pPr>
              <w:ind w:left="700"/>
              <w:spacing w:after="0"/>
              <w:rPr>
                <w:sz w:val="20"/>
                <w:szCs w:val="20"/>
                <w:color w:val="auto"/>
              </w:rPr>
            </w:pPr>
            <w:r>
              <w:rPr>
                <w:rFonts w:ascii="Courier New" w:cs="Courier New" w:eastAsia="Courier New" w:hAnsi="Courier New"/>
                <w:sz w:val="15"/>
                <w:szCs w:val="15"/>
                <w:color w:val="auto"/>
              </w:rPr>
              <w:t>Selling, general and administrative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260</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431</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 (2):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368</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590" w:right="3179" w:hanging="796"/>
        <w:spacing w:after="0" w:line="237" w:lineRule="auto"/>
        <w:tabs>
          <w:tab w:leader="none" w:pos="15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leases office space on a month-to-month basis and purchases other miscellaneous support services from affiliates of a certain shareholder.</w:t>
      </w:r>
    </w:p>
    <w:p>
      <w:pPr>
        <w:spacing w:after="0" w:line="174" w:lineRule="exact"/>
        <w:rPr>
          <w:rFonts w:ascii="Courier New" w:cs="Courier New" w:eastAsia="Courier New" w:hAnsi="Courier New"/>
          <w:sz w:val="15"/>
          <w:szCs w:val="15"/>
          <w:color w:val="auto"/>
        </w:rPr>
      </w:pPr>
    </w:p>
    <w:p>
      <w:pPr>
        <w:ind w:left="1590" w:right="3699" w:hanging="796"/>
        <w:spacing w:after="0" w:line="235" w:lineRule="auto"/>
        <w:tabs>
          <w:tab w:leader="none" w:pos="159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interest and exchange rate differences on the convertible debentures.</w:t>
      </w:r>
    </w:p>
    <w:p>
      <w:pPr>
        <w:spacing w:after="0" w:line="170"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5" w:lineRule="exact"/>
        <w:rPr>
          <w:sz w:val="20"/>
          <w:szCs w:val="20"/>
          <w:color w:val="auto"/>
        </w:rPr>
      </w:pPr>
    </w:p>
    <w:p>
      <w:pPr>
        <w:ind w:left="790" w:right="3259" w:firstLine="793"/>
        <w:spacing w:after="0" w:line="237" w:lineRule="auto"/>
        <w:rPr>
          <w:sz w:val="20"/>
          <w:szCs w:val="20"/>
          <w:color w:val="auto"/>
        </w:rPr>
      </w:pPr>
      <w:r>
        <w:rPr>
          <w:rFonts w:ascii="Courier New" w:cs="Courier New" w:eastAsia="Courier New" w:hAnsi="Courier New"/>
          <w:sz w:val="15"/>
          <w:szCs w:val="15"/>
          <w:color w:val="auto"/>
        </w:rPr>
        <w:t>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8" w:lineRule="exact"/>
        <w:rPr>
          <w:sz w:val="20"/>
          <w:szCs w:val="20"/>
          <w:color w:val="auto"/>
        </w:rPr>
      </w:pPr>
    </w:p>
    <w:p>
      <w:pPr>
        <w:ind w:left="790" w:right="3539"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following periods:</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2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21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4440" w:type="dxa"/>
            <w:vAlign w:val="bottom"/>
          </w:tcPr>
          <w:p>
            <w:pPr>
              <w:spacing w:after="0"/>
              <w:rPr>
                <w:sz w:val="14"/>
                <w:szCs w:val="14"/>
                <w:color w:val="auto"/>
              </w:rPr>
            </w:pPr>
          </w:p>
        </w:tc>
        <w:tc>
          <w:tcPr>
            <w:tcW w:w="246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MARCH 31,</w:t>
            </w:r>
          </w:p>
        </w:tc>
        <w:tc>
          <w:tcPr>
            <w:tcW w:w="21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440" w:type="dxa"/>
            <w:vAlign w:val="bottom"/>
          </w:tcPr>
          <w:p>
            <w:pPr>
              <w:spacing w:after="0"/>
              <w:rPr>
                <w:sz w:val="14"/>
                <w:szCs w:val="14"/>
                <w:color w:val="auto"/>
              </w:rPr>
            </w:pPr>
          </w:p>
        </w:tc>
        <w:tc>
          <w:tcPr>
            <w:tcW w:w="2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14"/>
                <w:szCs w:val="14"/>
                <w:color w:val="auto"/>
              </w:rPr>
            </w:pP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$ 26,441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$ 15,413</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$ 30,775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$27,989</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Other comprehensive income (loss):</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Unrealized loss on foreign currency hedging</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40" w:type="dxa"/>
            <w:vAlign w:val="bottom"/>
          </w:tcPr>
          <w:p>
            <w:pPr>
              <w:ind w:left="440"/>
              <w:spacing w:after="0"/>
              <w:rPr>
                <w:sz w:val="20"/>
                <w:szCs w:val="20"/>
                <w:color w:val="auto"/>
              </w:rPr>
            </w:pPr>
            <w:r>
              <w:rPr>
                <w:rFonts w:ascii="Courier New" w:cs="Courier New" w:eastAsia="Courier New" w:hAnsi="Courier New"/>
                <w:sz w:val="15"/>
                <w:szCs w:val="15"/>
                <w:color w:val="auto"/>
              </w:rPr>
              <w:t>contracts, net of tax</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(5,467)</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(6,727)</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(4,332)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(6, 686)</w:t>
            </w:r>
          </w:p>
        </w:tc>
      </w:tr>
      <w:tr>
        <w:trPr>
          <w:trHeight w:val="17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Unrealized income (loss) on short-term</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4440" w:type="dxa"/>
            <w:vAlign w:val="bottom"/>
          </w:tcPr>
          <w:p>
            <w:pPr>
              <w:ind w:left="520"/>
              <w:spacing w:after="0"/>
              <w:rPr>
                <w:sz w:val="20"/>
                <w:szCs w:val="20"/>
                <w:color w:val="auto"/>
              </w:rPr>
            </w:pPr>
            <w:r>
              <w:rPr>
                <w:rFonts w:ascii="Courier New" w:cs="Courier New" w:eastAsia="Courier New" w:hAnsi="Courier New"/>
                <w:sz w:val="15"/>
                <w:szCs w:val="15"/>
                <w:color w:val="auto"/>
              </w:rPr>
              <w:t>interest-bearing investments, net of tax</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(2,586)</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355</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w:t>
            </w:r>
          </w:p>
        </w:tc>
      </w:tr>
      <w:tr>
        <w:trPr>
          <w:trHeight w:val="170"/>
        </w:trPr>
        <w:tc>
          <w:tcPr>
            <w:tcW w:w="4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$ 18,388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9,041</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$ 23,646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$21,818</w:t>
            </w:r>
          </w:p>
        </w:tc>
      </w:tr>
      <w:tr>
        <w:trPr>
          <w:trHeight w:val="170"/>
        </w:trPr>
        <w:tc>
          <w:tcPr>
            <w:tcW w:w="4440" w:type="dxa"/>
            <w:vAlign w:val="bottom"/>
          </w:tcPr>
          <w:p>
            <w:pPr>
              <w:spacing w:after="0"/>
              <w:rPr>
                <w:sz w:val="14"/>
                <w:szCs w:val="14"/>
                <w:color w:val="auto"/>
              </w:rPr>
            </w:pP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4440" w:type="dxa"/>
            <w:vAlign w:val="bottom"/>
          </w:tcPr>
          <w:p>
            <w:pPr>
              <w:ind w:left="3420"/>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29"/>
          </w:cols>
          <w:pgMar w:left="230" w:top="452" w:right="1440" w:bottom="1440"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5" w:lineRule="exact"/>
        <w:rPr>
          <w:sz w:val="20"/>
          <w:szCs w:val="20"/>
          <w:color w:val="auto"/>
        </w:rPr>
      </w:pPr>
    </w:p>
    <w:p>
      <w:pPr>
        <w:ind w:left="790" w:right="3699" w:firstLine="793"/>
        <w:spacing w:after="0" w:line="235" w:lineRule="auto"/>
        <w:rPr>
          <w:sz w:val="20"/>
          <w:szCs w:val="20"/>
          <w:color w:val="auto"/>
        </w:rPr>
      </w:pPr>
      <w:r>
        <w:rPr>
          <w:rFonts w:ascii="Courier New" w:cs="Courier New" w:eastAsia="Courier New" w:hAnsi="Courier New"/>
          <w:sz w:val="15"/>
          <w:szCs w:val="15"/>
          <w:color w:val="auto"/>
        </w:rPr>
        <w:t>The provision for income taxes for the following periods consisted of:</w:t>
      </w:r>
    </w:p>
    <w:p>
      <w:pPr>
        <w:spacing w:after="0" w:line="200" w:lineRule="exact"/>
        <w:rPr>
          <w:sz w:val="20"/>
          <w:szCs w:val="20"/>
          <w:color w:val="auto"/>
        </w:rPr>
      </w:pPr>
    </w:p>
    <w:p>
      <w:pPr>
        <w:spacing w:after="0" w:line="309" w:lineRule="exact"/>
        <w:rPr>
          <w:sz w:val="20"/>
          <w:szCs w:val="20"/>
          <w:color w:val="auto"/>
        </w:rPr>
      </w:pPr>
    </w:p>
    <w:tbl>
      <w:tblPr>
        <w:tblLayout w:type="fixed"/>
        <w:tblInd w:w="105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21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THREE MONTHS ENDED</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SIX MONTHS</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940" w:type="dxa"/>
            <w:vAlign w:val="bottom"/>
          </w:tcPr>
          <w:p>
            <w:pPr>
              <w:spacing w:after="0"/>
              <w:rPr>
                <w:sz w:val="14"/>
                <w:szCs w:val="14"/>
                <w:color w:val="auto"/>
              </w:rPr>
            </w:pPr>
          </w:p>
        </w:tc>
        <w:tc>
          <w:tcPr>
            <w:tcW w:w="21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MARCH 31,</w:t>
            </w:r>
          </w:p>
        </w:tc>
        <w:tc>
          <w:tcPr>
            <w:tcW w:w="20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940" w:type="dxa"/>
            <w:vAlign w:val="bottom"/>
          </w:tcPr>
          <w:p>
            <w:pPr>
              <w:spacing w:after="0"/>
              <w:rPr>
                <w:sz w:val="14"/>
                <w:szCs w:val="14"/>
                <w:color w:val="auto"/>
              </w:rPr>
            </w:pPr>
          </w:p>
        </w:tc>
        <w:tc>
          <w:tcPr>
            <w:tcW w:w="21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40" w:type="dxa"/>
            <w:vAlign w:val="bottom"/>
          </w:tcPr>
          <w:p>
            <w:pPr>
              <w:spacing w:after="0"/>
              <w:rPr>
                <w:sz w:val="14"/>
                <w:szCs w:val="14"/>
                <w:color w:val="auto"/>
              </w:rPr>
            </w:pPr>
          </w:p>
        </w:tc>
        <w:tc>
          <w:tcPr>
            <w:tcW w:w="12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2002</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9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9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$20,327</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$22,604</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$45,816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$ 50,134</w:t>
            </w:r>
          </w:p>
        </w:tc>
      </w:tr>
      <w:tr>
        <w:trPr>
          <w:trHeight w:val="170"/>
        </w:trPr>
        <w:tc>
          <w:tcPr>
            <w:tcW w:w="9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6,428</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4,435</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(2,577)</w:t>
            </w:r>
          </w:p>
        </w:tc>
      </w:tr>
      <w:tr>
        <w:trPr>
          <w:trHeight w:val="170"/>
        </w:trPr>
        <w:tc>
          <w:tcPr>
            <w:tcW w:w="9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9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$26,755</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$27,039</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$46,977</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$ 47,557</w:t>
            </w:r>
          </w:p>
        </w:tc>
      </w:tr>
      <w:tr>
        <w:trPr>
          <w:trHeight w:val="170"/>
        </w:trPr>
        <w:tc>
          <w:tcPr>
            <w:tcW w:w="94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699" w:firstLine="793"/>
        <w:spacing w:after="0" w:line="237" w:lineRule="auto"/>
        <w:rPr>
          <w:sz w:val="20"/>
          <w:szCs w:val="20"/>
          <w:color w:val="auto"/>
        </w:rPr>
      </w:pPr>
      <w:r>
        <w:rPr>
          <w:rFonts w:ascii="Courier New" w:cs="Courier New" w:eastAsia="Courier New" w:hAnsi="Courier New"/>
          <w:sz w:val="15"/>
          <w:szCs w:val="15"/>
          <w:color w:val="auto"/>
        </w:rPr>
        <w:t>The effective income tax rate from continuing operations varied from the statutory Guernsey tax rate as follows for the following periods: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80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SIX MONTHS</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r>
      <w:tr>
        <w:trPr>
          <w:trHeight w:val="170"/>
        </w:trPr>
        <w:tc>
          <w:tcPr>
            <w:tcW w:w="4800" w:type="dxa"/>
            <w:vAlign w:val="bottom"/>
          </w:tcPr>
          <w:p>
            <w:pPr>
              <w:spacing w:after="0"/>
              <w:rPr>
                <w:sz w:val="14"/>
                <w:szCs w:val="14"/>
                <w:color w:val="auto"/>
              </w:rPr>
            </w:pPr>
          </w:p>
        </w:tc>
        <w:tc>
          <w:tcPr>
            <w:tcW w:w="18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1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800" w:type="dxa"/>
            <w:vAlign w:val="bottom"/>
          </w:tcPr>
          <w:p>
            <w:pPr>
              <w:spacing w:after="0"/>
              <w:rPr>
                <w:sz w:val="14"/>
                <w:szCs w:val="14"/>
                <w:color w:val="auto"/>
              </w:rPr>
            </w:pPr>
          </w:p>
        </w:tc>
        <w:tc>
          <w:tcPr>
            <w:tcW w:w="18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39"/>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tax rate before effect of acquisitions-related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costs and nonrecurring charge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28</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Effect of acquisitions-related costs</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Income tax rate before in-process research and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development and nonrecurring charge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50</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In-process research and development and nonrecurring</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0"/>
        </w:trPr>
        <w:tc>
          <w:tcPr>
            <w:tcW w:w="4800" w:type="dxa"/>
            <w:vAlign w:val="bottom"/>
          </w:tcPr>
          <w:p>
            <w:pPr>
              <w:ind w:left="160"/>
              <w:spacing w:after="0"/>
              <w:rPr>
                <w:sz w:val="20"/>
                <w:szCs w:val="20"/>
                <w:color w:val="auto"/>
              </w:rPr>
            </w:pPr>
            <w:r>
              <w:rPr>
                <w:rFonts w:ascii="Courier New" w:cs="Courier New" w:eastAsia="Courier New" w:hAnsi="Courier New"/>
                <w:sz w:val="15"/>
                <w:szCs w:val="15"/>
                <w:color w:val="auto"/>
              </w:rPr>
              <w:t>charge</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r>
        <w:trPr>
          <w:trHeight w:val="170"/>
        </w:trPr>
        <w:tc>
          <w:tcPr>
            <w:tcW w:w="480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64%</w:t>
            </w:r>
          </w:p>
        </w:tc>
        <w:tc>
          <w:tcPr>
            <w:tcW w:w="10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w:t>
            </w:r>
          </w:p>
        </w:tc>
      </w:tr>
      <w:tr>
        <w:trPr>
          <w:trHeight w:val="170"/>
        </w:trPr>
        <w:tc>
          <w:tcPr>
            <w:tcW w:w="4800" w:type="dxa"/>
            <w:vAlign w:val="bottom"/>
          </w:tcPr>
          <w:p>
            <w:pPr>
              <w:spacing w:after="0"/>
              <w:rPr>
                <w:sz w:val="14"/>
                <w:szCs w:val="14"/>
                <w:color w:val="auto"/>
              </w:rPr>
            </w:pP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179" w:firstLine="793"/>
        <w:spacing w:after="0" w:line="256" w:lineRule="auto"/>
        <w:rPr>
          <w:sz w:val="20"/>
          <w:szCs w:val="20"/>
          <w:color w:val="auto"/>
        </w:rPr>
      </w:pPr>
      <w:r>
        <w:rPr>
          <w:rFonts w:ascii="Courier New" w:cs="Courier New" w:eastAsia="Courier New" w:hAnsi="Courier New"/>
          <w:sz w:val="14"/>
          <w:szCs w:val="14"/>
          <w:color w:val="auto"/>
        </w:rPr>
        <w:t>As a Guernsey corporation with tax-exempt status, the Company's overall effective tax rate is attributable solely to foreign taxes. In connection with acquisitions, the Company incurred non-cash charges related to the amortization of purchased intangible assets, in-process research and development and a nonrecurring charge resulting from the closing of one of the Company's facilities. See Note 7 below. Since a significant portion of such costs and charges are not deductible for tax purposes, the effective tax rate is adversely affected during periods in which such charges are recorded. For the three months ended March 31, 2002, the Company's blended effective tax rate from operations was 50%, and for the three months ended March 31, 2001 it was 64%. For the six months ended March 31, 2002, the Company's blended effective tax rate was 60%, and for the six months ended March 31, 2001 it was 63%. For the six months ended March 31, 2002 the Company's blended effective tax rate from operations, calculated based on income before income taxes, excluding the impact of one-time charges for in-process research and development and the nonrecurring charge, was 50%. Excluding the impact of these items and acquisitions-related costs, the Company's overall effective tax rate was approximately 28% and 30% for the three months and six months ended March 31, 2002 and 2001, respectively.</w:t>
      </w:r>
    </w:p>
    <w:p>
      <w:pPr>
        <w:spacing w:after="0" w:line="200" w:lineRule="exact"/>
        <w:rPr>
          <w:sz w:val="20"/>
          <w:szCs w:val="20"/>
          <w:color w:val="auto"/>
        </w:rPr>
      </w:pPr>
    </w:p>
    <w:p>
      <w:pPr>
        <w:spacing w:after="0" w:line="31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452" w:right="1440" w:bottom="1440" w:gutter="0" w:footer="0" w:header="0"/>
        </w:sectPr>
      </w:pPr>
    </w:p>
    <w:bookmarkStart w:id="9" w:name="page10"/>
    <w:bookmarkEnd w:id="9"/>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38"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790" w:right="3439" w:firstLine="793"/>
        <w:spacing w:after="0" w:line="235" w:lineRule="auto"/>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6"/>
              </w:rPr>
              <w:t>THREE MONTHS ENDED</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SIX MONTHS</w:t>
            </w:r>
          </w:p>
        </w:tc>
        <w:tc>
          <w:tcPr>
            <w:tcW w:w="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jc w:val="right"/>
              <w:ind w:right="687"/>
              <w:spacing w:after="0"/>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17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360" w:type="dxa"/>
            <w:vAlign w:val="bottom"/>
          </w:tcPr>
          <w:p>
            <w:pPr>
              <w:spacing w:after="0"/>
              <w:rPr>
                <w:sz w:val="14"/>
                <w:szCs w:val="14"/>
                <w:color w:val="auto"/>
              </w:rPr>
            </w:pPr>
          </w:p>
        </w:tc>
        <w:tc>
          <w:tcPr>
            <w:tcW w:w="220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rPr>
              <w:t>2002</w:t>
            </w:r>
          </w:p>
        </w:tc>
        <w:tc>
          <w:tcPr>
            <w:tcW w:w="14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$ 26,441</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$ 15,413</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$ 30,775</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$ 27,989</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basic earnings per share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weighted average number of shares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outstanding (*)</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222,995</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221,884</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222,844</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221,546</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Effect of dilutive stock options granted</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2,493</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5,329</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2,431</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5,448</w:t>
            </w:r>
          </w:p>
        </w:tc>
      </w:tr>
      <w:tr>
        <w:trPr>
          <w:trHeight w:val="170"/>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adjusted weighted average shares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assumed conversions (*)</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225,488</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227,213</w:t>
            </w:r>
          </w:p>
        </w:tc>
        <w:tc>
          <w:tcPr>
            <w:tcW w:w="300" w:type="dxa"/>
            <w:vAlign w:val="bottom"/>
          </w:tcPr>
          <w:p>
            <w:pPr>
              <w:spacing w:after="0"/>
              <w:rPr>
                <w:sz w:val="14"/>
                <w:szCs w:val="1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225,275</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226,994</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Basic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436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0.14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0"/>
        </w:trPr>
        <w:tc>
          <w:tcPr>
            <w:tcW w:w="4360" w:type="dxa"/>
            <w:vAlign w:val="bottom"/>
          </w:tcPr>
          <w:p>
            <w:pPr>
              <w:spacing w:after="0"/>
              <w:rPr>
                <w:sz w:val="14"/>
                <w:szCs w:val="14"/>
                <w:color w:val="auto"/>
              </w:rPr>
            </w:pPr>
          </w:p>
        </w:tc>
        <w:tc>
          <w:tcPr>
            <w:tcW w:w="10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1590" w:right="3179" w:hanging="796"/>
        <w:spacing w:after="0" w:line="238" w:lineRule="auto"/>
        <w:tabs>
          <w:tab w:leader="none" w:pos="15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weighted average number of shares outstanding includes exchangeable shares held by shareholders of Amdocs Canada, Inc. (formerly Solect Technology Group Inc. ("Solect")) pursuant to the Company's acquisition of Solect in April 2000, which are exchangeable for the Company's Ordinary Shares on a one-for-one basis.</w:t>
      </w:r>
    </w:p>
    <w:p>
      <w:pPr>
        <w:spacing w:after="0" w:line="176" w:lineRule="exact"/>
        <w:rPr>
          <w:sz w:val="20"/>
          <w:szCs w:val="20"/>
          <w:color w:val="auto"/>
        </w:rPr>
      </w:pPr>
    </w:p>
    <w:p>
      <w:pPr>
        <w:ind w:left="790" w:right="3179" w:firstLine="793"/>
        <w:spacing w:after="0" w:line="238" w:lineRule="auto"/>
        <w:rPr>
          <w:sz w:val="20"/>
          <w:szCs w:val="20"/>
          <w:color w:val="auto"/>
        </w:rPr>
      </w:pPr>
      <w:r>
        <w:rPr>
          <w:rFonts w:ascii="Courier New" w:cs="Courier New" w:eastAsia="Courier New" w:hAnsi="Courier New"/>
          <w:sz w:val="15"/>
          <w:szCs w:val="15"/>
          <w:color w:val="auto"/>
        </w:rPr>
        <w:t>The effect of the 2% Convertible Notes due June 1, 2008 issued by the Company in May, 2001 (the "Notes") on diluted earnings per share was anti-dilutive for the three months and six months ended March 31, 2002, and therefore was not included in the calculation above. The weighted average effect of the repurchase of Ordinary Shares by the Company is included in the calculation of basic earnings per share. See Note 8 below.</w:t>
      </w:r>
    </w:p>
    <w:p>
      <w:pPr>
        <w:spacing w:after="0" w:line="171" w:lineRule="exact"/>
        <w:rPr>
          <w:sz w:val="20"/>
          <w:szCs w:val="20"/>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left="790" w:right="3179" w:firstLine="793"/>
        <w:spacing w:after="0" w:line="238" w:lineRule="auto"/>
        <w:rPr>
          <w:sz w:val="20"/>
          <w:szCs w:val="20"/>
          <w:color w:val="auto"/>
        </w:rPr>
      </w:pPr>
      <w:r>
        <w:rPr>
          <w:rFonts w:ascii="Courier New" w:cs="Courier New" w:eastAsia="Courier New" w:hAnsi="Courier New"/>
          <w:sz w:val="15"/>
          <w:szCs w:val="15"/>
          <w:color w:val="auto"/>
        </w:rPr>
        <w:t>On November 28, 2001, the Company completed its acquisition from Nortel Networks Corporation of substantially all of the assets of its Clarify business ("Clarify"), a leading provider of Customer Relationship Management ("CRM") software to communications companies and other enterprise sectors. This acquisition positions the Company as a leading provider of CRM to the communications industry and reinforces its leadership in delivering a comprehensive portfolio of business software applications.</w:t>
      </w:r>
    </w:p>
    <w:p>
      <w:pPr>
        <w:spacing w:after="0" w:line="178" w:lineRule="exact"/>
        <w:rPr>
          <w:sz w:val="20"/>
          <w:szCs w:val="20"/>
          <w:color w:val="auto"/>
        </w:rPr>
      </w:pPr>
    </w:p>
    <w:p>
      <w:pPr>
        <w:ind w:left="790" w:right="3179" w:firstLine="793"/>
        <w:spacing w:after="0" w:line="257" w:lineRule="auto"/>
        <w:rPr>
          <w:sz w:val="20"/>
          <w:szCs w:val="20"/>
          <w:color w:val="auto"/>
        </w:rPr>
      </w:pPr>
      <w:r>
        <w:rPr>
          <w:rFonts w:ascii="Courier New" w:cs="Courier New" w:eastAsia="Courier New" w:hAnsi="Courier New"/>
          <w:sz w:val="14"/>
          <w:szCs w:val="14"/>
          <w:color w:val="auto"/>
        </w:rPr>
        <w:t>The aggregate purchase price for Clarify was $203,750 in cash. The purchase price is subject to final price adjustments that may result in a reduction. In addition, transaction costs were $7,150. The acquisition was accounted for as a business combination using the purchase method of accounting, as required by Statements of Financial Accounting Standards ("SFAS") No. 141, "Business Combinations" ("SFAS 141"). The fair market value of Clarify's assets and liabilities is included in the Company's balance sheet and the results of Clarify's operations are included in the Company's consolidated statements of income, as of the closing date of the acquisition.</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452" w:right="1440" w:bottom="1440" w:gutter="0" w:footer="0" w:header="0"/>
        </w:sectPr>
      </w:pPr>
    </w:p>
    <w:bookmarkStart w:id="10" w:name="page11"/>
    <w:bookmarkEnd w:id="10"/>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4" w:lineRule="exact"/>
        <w:rPr>
          <w:sz w:val="20"/>
          <w:szCs w:val="20"/>
          <w:color w:val="auto"/>
        </w:rPr>
      </w:pPr>
    </w:p>
    <w:p>
      <w:pPr>
        <w:ind w:left="790" w:right="3179" w:firstLine="793"/>
        <w:spacing w:after="0" w:line="238" w:lineRule="auto"/>
        <w:rPr>
          <w:sz w:val="20"/>
          <w:szCs w:val="20"/>
          <w:color w:val="auto"/>
        </w:rPr>
      </w:pPr>
      <w:r>
        <w:rPr>
          <w:rFonts w:ascii="Courier New" w:cs="Courier New" w:eastAsia="Courier New" w:hAnsi="Courier New"/>
          <w:sz w:val="15"/>
          <w:szCs w:val="15"/>
          <w:color w:val="auto"/>
        </w:rPr>
        <w:t>The Company obtained a valuation of the intangible assets acquired in the Clarify transaction. The value of acquired technology includes both existing technology and in-process research and development. The valuation of these technologies was made by applying the income forecast method, which considers the present value of cash flows by product lines. Of the $65,600 of acquired identifiable intangible assets, $17,400 was assigned to in-process research and development and was written off as of the closing date of the acquisition, in accordance with FASB Interpretation No. 4, "Applicability of FASB Statement No. 2 to Business Combinations Accounted for by the Purchase Method". This write-off is included in "in-process research and development and nonrecurring charge". The fair value assigned to core technology is $13,400 and is being amortized over two years commencing on November 28, 2001. The fair value assigned to customer arrangements is $34,800 and is being amortized over three years commencing on November 28, 2001.</w:t>
      </w:r>
    </w:p>
    <w:p>
      <w:pPr>
        <w:spacing w:after="0" w:line="186" w:lineRule="exact"/>
        <w:rPr>
          <w:sz w:val="20"/>
          <w:szCs w:val="20"/>
          <w:color w:val="auto"/>
        </w:rPr>
      </w:pPr>
    </w:p>
    <w:p>
      <w:pPr>
        <w:ind w:left="790" w:right="3179" w:firstLine="793"/>
        <w:spacing w:after="0" w:line="238"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or goodwill, is $161,242. The amount assigned to goodwill is subject to certain price adjustments and contingencies. The goodwill is accounted for under SFAS No. 142, "Goodwill and Other Intangible Assets" ("SFAS 142"). In accordance with SFAS 142, goodwill from acquisitions after July 1, 2001 is no longer amortized and is subject to impairment tests. Under the transition provisions of SFAS 142, goodwill for acquisitions prior to July 1, 2001 will continue to be amortized only through final l adoption of the standard, which will occur on October 1, 2002. As a result, goodwill associated with the acquisition of Clarify is not amortized while goodwill associated with other acquisitions by the Company will be amortized only for the remainder of this fiscal year.</w:t>
      </w:r>
    </w:p>
    <w:p>
      <w:pPr>
        <w:spacing w:after="0" w:line="183" w:lineRule="exact"/>
        <w:rPr>
          <w:sz w:val="20"/>
          <w:szCs w:val="20"/>
          <w:color w:val="auto"/>
        </w:rPr>
      </w:pPr>
    </w:p>
    <w:p>
      <w:pPr>
        <w:ind w:left="790" w:right="3259" w:firstLine="793"/>
        <w:spacing w:after="0" w:line="237" w:lineRule="auto"/>
        <w:rPr>
          <w:sz w:val="20"/>
          <w:szCs w:val="20"/>
          <w:color w:val="auto"/>
        </w:rPr>
      </w:pPr>
      <w:r>
        <w:rPr>
          <w:rFonts w:ascii="Courier New" w:cs="Courier New" w:eastAsia="Courier New" w:hAnsi="Courier New"/>
          <w:sz w:val="15"/>
          <w:szCs w:val="15"/>
          <w:color w:val="auto"/>
        </w:rPr>
        <w:t>Set forth below is the unaudited pro forma revenue, operating income, net income (loss) and earnings (loss) per share as if Clarify had been acquired as of the beginning of the respective periods, excluding the write-off of purchased in-process research and development:</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4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THREE MONTHS ENDED</w:t>
            </w:r>
          </w:p>
        </w:tc>
        <w:tc>
          <w:tcPr>
            <w:tcW w:w="22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3120" w:type="dxa"/>
            <w:vAlign w:val="bottom"/>
          </w:tcPr>
          <w:p>
            <w:pPr>
              <w:spacing w:after="0"/>
              <w:rPr>
                <w:sz w:val="14"/>
                <w:szCs w:val="14"/>
                <w:color w:val="auto"/>
              </w:rPr>
            </w:pPr>
          </w:p>
        </w:tc>
        <w:tc>
          <w:tcPr>
            <w:tcW w:w="246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MARCH 31,</w:t>
            </w:r>
          </w:p>
        </w:tc>
        <w:tc>
          <w:tcPr>
            <w:tcW w:w="22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120" w:type="dxa"/>
            <w:vAlign w:val="bottom"/>
          </w:tcPr>
          <w:p>
            <w:pPr>
              <w:spacing w:after="0"/>
              <w:rPr>
                <w:sz w:val="14"/>
                <w:szCs w:val="14"/>
                <w:color w:val="auto"/>
              </w:rPr>
            </w:pPr>
          </w:p>
        </w:tc>
        <w:tc>
          <w:tcPr>
            <w:tcW w:w="24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12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2001</w:t>
            </w:r>
          </w:p>
        </w:tc>
        <w:tc>
          <w:tcPr>
            <w:tcW w:w="11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120" w:type="dxa"/>
            <w:vAlign w:val="bottom"/>
          </w:tcPr>
          <w:p>
            <w:pPr>
              <w:spacing w:after="0"/>
              <w:rPr>
                <w:sz w:val="14"/>
                <w:szCs w:val="1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1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$455,269</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$ 429,489</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$897,910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$ 854,074</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50,813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4,569</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77,843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15,641</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26,441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(10,464)</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38,116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(14,599)</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(0.05)</w:t>
            </w:r>
          </w:p>
        </w:tc>
        <w:tc>
          <w:tcPr>
            <w:tcW w:w="11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(0.07)</w:t>
            </w:r>
          </w:p>
        </w:tc>
      </w:tr>
    </w:tbl>
    <w:p>
      <w:pPr>
        <w:spacing w:after="0" w:line="344" w:lineRule="exact"/>
        <w:rPr>
          <w:sz w:val="20"/>
          <w:szCs w:val="20"/>
          <w:color w:val="auto"/>
        </w:rPr>
      </w:pPr>
    </w:p>
    <w:p>
      <w:pPr>
        <w:ind w:left="530" w:right="3439" w:firstLine="529"/>
        <w:spacing w:after="0" w:line="237" w:lineRule="auto"/>
        <w:rPr>
          <w:sz w:val="20"/>
          <w:szCs w:val="20"/>
          <w:color w:val="auto"/>
        </w:rPr>
      </w:pPr>
      <w:r>
        <w:rPr>
          <w:rFonts w:ascii="Courier New" w:cs="Courier New" w:eastAsia="Courier New" w:hAnsi="Courier New"/>
          <w:sz w:val="15"/>
          <w:szCs w:val="15"/>
          <w:color w:val="auto"/>
        </w:rPr>
        <w:t>As a result of SFAS 142, goodwill associated with acquisitions completed after July 1, 2001 is not amortized and, accordingly, the pro forma information above reflects no amortization of goodwill related to Clarify.</w:t>
      </w:r>
    </w:p>
    <w:p>
      <w:pPr>
        <w:spacing w:after="0" w:line="171" w:lineRule="exact"/>
        <w:rPr>
          <w:sz w:val="20"/>
          <w:szCs w:val="20"/>
          <w:color w:val="auto"/>
        </w:rPr>
      </w:pPr>
    </w:p>
    <w:p>
      <w:pPr>
        <w:ind w:left="530" w:hanging="530"/>
        <w:spacing w:after="0"/>
        <w:tabs>
          <w:tab w:leader="none" w:pos="53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OPERATIONAL EFFICIENCY</w:t>
      </w:r>
    </w:p>
    <w:p>
      <w:pPr>
        <w:spacing w:after="0" w:line="175" w:lineRule="exact"/>
        <w:rPr>
          <w:sz w:val="20"/>
          <w:szCs w:val="20"/>
          <w:color w:val="auto"/>
        </w:rPr>
      </w:pPr>
    </w:p>
    <w:p>
      <w:pPr>
        <w:ind w:left="530" w:right="3179" w:firstLine="529"/>
        <w:spacing w:after="0" w:line="238" w:lineRule="auto"/>
        <w:rPr>
          <w:sz w:val="20"/>
          <w:szCs w:val="20"/>
          <w:color w:val="auto"/>
        </w:rPr>
      </w:pPr>
      <w:r>
        <w:rPr>
          <w:rFonts w:ascii="Courier New" w:cs="Courier New" w:eastAsia="Courier New" w:hAnsi="Courier New"/>
          <w:sz w:val="15"/>
          <w:szCs w:val="15"/>
          <w:color w:val="auto"/>
        </w:rPr>
        <w:t>As part of a plan to achieve increased operational efficiency and to more closely monitor and reduce costs, the Company consolidated its Stamford, Connecticut data center into its Champaign, Illinois facility, and is closing the Stamford facility. As a direct result of this closure, the Company incurred a nonrecurring charge of $13,311 in the first quarter of fiscal 2002, primarily for the write-off of leasehold improvements and rent obligations, with the remainder for severance payments. This nonrecurring charge is included in "in-process research and development and nonrecurring charge". In addition, as part of its ongoing efforts to reduce costs, the Company has decreased its overall commitments for employee compensation.</w:t>
      </w:r>
    </w:p>
    <w:p>
      <w:pPr>
        <w:spacing w:after="0" w:line="175" w:lineRule="exact"/>
        <w:rPr>
          <w:sz w:val="20"/>
          <w:szCs w:val="20"/>
          <w:color w:val="auto"/>
        </w:rPr>
      </w:pPr>
    </w:p>
    <w:p>
      <w:pPr>
        <w:ind w:left="10"/>
        <w:spacing w:after="0"/>
        <w:tabs>
          <w:tab w:leader="none" w:pos="509"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SHARE REPURCHASE PROGRAM</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452" w:right="1440" w:bottom="1440" w:gutter="0" w:footer="0" w:header="0"/>
        </w:sectPr>
      </w:pPr>
    </w:p>
    <w:bookmarkStart w:id="11" w:name="page12"/>
    <w:bookmarkEnd w:id="11"/>
    <w:p>
      <w:pPr>
        <w:jc w:val="center"/>
        <w:ind w:right="317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344" w:lineRule="exact"/>
        <w:rPr>
          <w:sz w:val="20"/>
          <w:szCs w:val="20"/>
          <w:color w:val="auto"/>
        </w:rPr>
      </w:pPr>
    </w:p>
    <w:p>
      <w:pPr>
        <w:ind w:left="790" w:right="3179" w:firstLine="793"/>
        <w:spacing w:after="0" w:line="257" w:lineRule="auto"/>
        <w:rPr>
          <w:sz w:val="20"/>
          <w:szCs w:val="20"/>
          <w:color w:val="auto"/>
        </w:rPr>
      </w:pPr>
      <w:r>
        <w:rPr>
          <w:rFonts w:ascii="Courier New" w:cs="Courier New" w:eastAsia="Courier New" w:hAnsi="Courier New"/>
          <w:sz w:val="14"/>
          <w:szCs w:val="14"/>
          <w:color w:val="auto"/>
        </w:rPr>
        <w:t>On November 6, 2001, the Company announced that its board of directors had approved a share repurchase program authorizing the repurchase of up to 11,000 Ordinary Shares, or approximately 5% of the Company's outstanding Ordinary Shares as of that date. Under the program, from time to time over the twelve-month period commencing November 6, 2001, shares may be repurchased on the open market, in privately negotiated transactions or otherwise, in accordance with any applicable laws, and at prices per share as the Company deems appropriate. During the six and three month periods ended March 31, 2002, the Company repurchased 600 Ordinary Shares at an average market price of $25.63 per share. The Company funded these and intends to fund any future repurchases with available funds. See Note 9 below.</w:t>
      </w:r>
    </w:p>
    <w:p>
      <w:pPr>
        <w:spacing w:after="0" w:line="160" w:lineRule="exact"/>
        <w:rPr>
          <w:sz w:val="20"/>
          <w:szCs w:val="20"/>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5" w:lineRule="exact"/>
        <w:rPr>
          <w:sz w:val="20"/>
          <w:szCs w:val="20"/>
          <w:color w:val="auto"/>
        </w:rPr>
      </w:pPr>
    </w:p>
    <w:p>
      <w:pPr>
        <w:ind w:left="790" w:right="3179" w:firstLine="793"/>
        <w:spacing w:after="0" w:line="257" w:lineRule="auto"/>
        <w:rPr>
          <w:sz w:val="20"/>
          <w:szCs w:val="20"/>
          <w:color w:val="auto"/>
        </w:rPr>
      </w:pPr>
      <w:r>
        <w:rPr>
          <w:rFonts w:ascii="Courier New" w:cs="Courier New" w:eastAsia="Courier New" w:hAnsi="Courier New"/>
          <w:sz w:val="14"/>
          <w:szCs w:val="14"/>
          <w:color w:val="auto"/>
        </w:rPr>
        <w:t>On April 23, 2002, the Company announced that its board of directors has expanded the existing stock repurchase plan to authorize the purchase of up to 20,000 shares, or approximately 9% of the Company's outstanding Ordinary Shares. This represents an increase from the 11,000 shares originally authorized when the plan was instituted in November 2001. These purchases may be made on the open market, or in privately negotiated transactions, at times and prices considered appropriate by the Company, which intends to fund the repurchases with available funds. From April 1, 2002 and through the period ended May 9, 2002, the Company repurchased an additional 3,132.5 Ordinary Shares at an average market price of $20.13 per share.</w:t>
      </w:r>
    </w:p>
    <w:p>
      <w:pPr>
        <w:spacing w:after="0" w:line="33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452" w:right="1440" w:bottom="1440" w:gutter="0" w:footer="0" w:header="0"/>
        </w:sectPr>
      </w:pPr>
    </w:p>
    <w:bookmarkStart w:id="12" w:name="page13"/>
    <w:bookmarkEnd w:id="12"/>
    <w:p>
      <w:pPr>
        <w:spacing w:after="0"/>
        <w:tabs>
          <w:tab w:leader="none" w:pos="7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OPERATING AND FINANCIAL REVIEW AND PROSPECTS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 LOOKING STATEMENTS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Some of the information in this section contains forward looking statements (within the meaning of the Private Securities Litigation Reform Act of 1995) that involve substantial risks and uncertainties. You can identify these statements by forward looking words such as "expect", "anticipate", "believe", "seek", "estimate", "project", "forecast", "continue", "potential" and similar words. Statements that we make in this section that are not statements of historical fact also may be forward looking statements. Forward looking statements are not guarantees of future performance, and involve risks, uncertainties and assumptions that may cause our actual results to differ materially from the expectations we describe in our forward looking statements. There may be events in the future that we are not accurately able to predict, or over which we have no control. You should not place undue reliance on forward looking statements. We do not promise to notify you if we learn that our assumptions or projections are wrong for any reason. We disclaim any obligation to update our forward looking statements.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right="3539" w:firstLine="793"/>
        <w:spacing w:after="0" w:line="235" w:lineRule="auto"/>
        <w:rPr>
          <w:sz w:val="20"/>
          <w:szCs w:val="20"/>
          <w:color w:val="auto"/>
        </w:rPr>
      </w:pPr>
      <w:r>
        <w:rPr>
          <w:rFonts w:ascii="Courier New" w:cs="Courier New" w:eastAsia="Courier New" w:hAnsi="Courier New"/>
          <w:sz w:val="15"/>
          <w:szCs w:val="15"/>
          <w:color w:val="auto"/>
        </w:rPr>
        <w:t>In this section, we discuss the general financial condition and the results of operations for Amdocs and its subsidiaries including:</w:t>
      </w:r>
    </w:p>
    <w:p>
      <w:pPr>
        <w:spacing w:after="0" w:line="170" w:lineRule="exact"/>
        <w:rPr>
          <w:sz w:val="20"/>
          <w:szCs w:val="20"/>
          <w:color w:val="auto"/>
        </w:rPr>
      </w:pPr>
    </w:p>
    <w:p>
      <w:pPr>
        <w:ind w:left="960" w:hanging="176"/>
        <w:spacing w:after="0"/>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4" w:lineRule="exact"/>
        <w:rPr>
          <w:rFonts w:ascii="Courier New" w:cs="Courier New" w:eastAsia="Courier New" w:hAnsi="Courier New"/>
          <w:sz w:val="15"/>
          <w:szCs w:val="15"/>
          <w:color w:val="auto"/>
        </w:rPr>
      </w:pPr>
    </w:p>
    <w:p>
      <w:pPr>
        <w:ind w:left="960" w:right="3439" w:hanging="176"/>
        <w:spacing w:after="0" w:line="235"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six months and three months ended March 31, 2002 and 2001,</w:t>
      </w:r>
    </w:p>
    <w:p>
      <w:pPr>
        <w:spacing w:after="0" w:line="170"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4" w:lineRule="exact"/>
        <w:rPr>
          <w:rFonts w:ascii="Courier New" w:cs="Courier New" w:eastAsia="Courier New" w:hAnsi="Courier New"/>
          <w:sz w:val="15"/>
          <w:szCs w:val="15"/>
          <w:color w:val="auto"/>
        </w:rPr>
      </w:pPr>
    </w:p>
    <w:p>
      <w:pPr>
        <w:ind w:left="960" w:right="3359" w:hanging="176"/>
        <w:spacing w:after="0" w:line="235"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six months and three months ended March 31, 2002 and 2001, and</w:t>
      </w:r>
    </w:p>
    <w:p>
      <w:pPr>
        <w:spacing w:after="0" w:line="175" w:lineRule="exact"/>
        <w:rPr>
          <w:rFonts w:ascii="Courier New" w:cs="Courier New" w:eastAsia="Courier New" w:hAnsi="Courier New"/>
          <w:sz w:val="15"/>
          <w:szCs w:val="15"/>
          <w:color w:val="auto"/>
        </w:rPr>
      </w:pPr>
    </w:p>
    <w:p>
      <w:pPr>
        <w:ind w:left="960" w:right="3439" w:hanging="176"/>
        <w:spacing w:after="0" w:line="235" w:lineRule="auto"/>
        <w:tabs>
          <w:tab w:leader="none" w:pos="9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 and possible acquisitions.</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this section, we also analyze and explain for the relevant periods the changes in the specific line items in our consolidated statements of income. This section should be read in conjunction with our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BUSINESS AND TREND INFORMATION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market focus is the communications industry and we are a leading provider of software products and services to that sector. Our Business Support Systems ("BSS") consist primarily of Customer Care and Billing, CRM and Order Management Systems (collectively, "CC&amp;B Systems"). Our products are designed to meet the mission-critical needs of leading communications service providers, supporting a wide range of communications services, including wireline, wireless, broadband, electronic and mobile commerce and Internet Protocol ("IP") services. We also support companies that offer multiple service packages, commonly referred to as convergent services. In addition, we provide a full range of Directory Sales and Publishing Systems ("Directory Systems") to publishers of both traditional printed yellow page and white page directories and electronic Internet directories. Due to the complexity of BSS projects and the expertise required for system support, we also provide extensive customization, implementation, system integration, ongoing support, system enhancement, maintenance and outsourcing services.</w:t>
      </w:r>
    </w:p>
    <w:p>
      <w:pPr>
        <w:spacing w:after="0" w:line="3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2" w:right="1440" w:bottom="1440" w:gutter="0" w:footer="0" w:header="0"/>
        </w:sectPr>
      </w:pPr>
    </w:p>
    <w:bookmarkStart w:id="13" w:name="page14"/>
    <w:bookmarkEnd w:id="13"/>
    <w:p>
      <w:pPr>
        <w:ind w:right="3619" w:firstLine="793"/>
        <w:spacing w:after="0" w:line="237" w:lineRule="auto"/>
        <w:rPr>
          <w:sz w:val="20"/>
          <w:szCs w:val="20"/>
          <w:color w:val="auto"/>
        </w:rPr>
      </w:pPr>
      <w:r>
        <w:rPr>
          <w:rFonts w:ascii="Courier New" w:cs="Courier New" w:eastAsia="Courier New" w:hAnsi="Courier New"/>
          <w:sz w:val="15"/>
          <w:szCs w:val="15"/>
          <w:color w:val="auto"/>
        </w:rPr>
        <w:t>As part of our strategy, we may pursue additional acquisitions and other initiatives in order to offer new products or services or otherwise enhance our market position or strategic strengths. See discussion below - "Acquisition".</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5" w:lineRule="exact"/>
        <w:rPr>
          <w:sz w:val="20"/>
          <w:szCs w:val="20"/>
          <w:color w:val="auto"/>
        </w:rPr>
      </w:pPr>
    </w:p>
    <w:p>
      <w:pPr>
        <w:ind w:left="960" w:right="3619" w:hanging="176"/>
        <w:spacing w:after="0" w:line="237"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sale of our products and related services, including license fees and customization, implementation and integration services, and</w:t>
      </w:r>
    </w:p>
    <w:p>
      <w:pPr>
        <w:spacing w:after="0" w:line="174" w:lineRule="exact"/>
        <w:rPr>
          <w:rFonts w:ascii="Courier New" w:cs="Courier New" w:eastAsia="Courier New" w:hAnsi="Courier New"/>
          <w:sz w:val="15"/>
          <w:szCs w:val="15"/>
          <w:color w:val="auto"/>
        </w:rPr>
      </w:pPr>
    </w:p>
    <w:p>
      <w:pPr>
        <w:ind w:left="960" w:right="3179" w:hanging="176"/>
        <w:spacing w:after="0" w:line="237" w:lineRule="auto"/>
        <w:tabs>
          <w:tab w:leader="none" w:pos="9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support, maintenance, outsourcing and other related services provided to our customers and, to a lesser degree, from incremental license fees resulting from increases in the number of a customer's subscribers.</w:t>
      </w:r>
    </w:p>
    <w:p>
      <w:pPr>
        <w:spacing w:after="0" w:line="176"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We usually sell our software as part of an overall solution offered to a customer, in which significant customization and modification to our software generally is required. As a result, revenue generally is recognized over the course of these long-term projects. Initial license revenue is recognized as work is performed, using the percentage of completion method of accounting. Subsequent license fee revenue is recognized upon completion of the specified conditions in each contract. Service revenue that involves significant ongoing obligations, including fees for customization, implementation and modification, is also recognized as work is performed, under the percentage of completion method of accounting. Revenue from software solutions that do not require significant customization and modification is recognized upon delivery. In outsourcing contracts, revenue from the operation and maintenance of customers' billing systems is recognized in the period in which the bills are produced. Revenue from ongoing support services is recognized as work is performed. Revenue from third-party hardware and software sales is recognized upon delivery. Maintenance revenue is recognized ratably over the term of the maintenance agreement. As a result of a substantial portion of our revenue being subject to the percentage of completion accounting method, the size and timing of customer projects and our progress in completing such projects may significantly affect our annual and quarterly operating results.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business is subject to the effects of general global economic conditions and, in particular, market conditions in the communications industry. These conditions have reduced the high growth that the communications industry had experienced over the past several years. As a result, the market value, financial results and prospects, and capital spending levels of many communications companies have declined or degraded.</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sales cycle is significantly longer than in earlier periods of high growth in the communications industry. It currently ranges from between six and twelve months for the majority of our new sales. We believe that current market conditions, including our lengthened sales cycle and the persistence of the downturn in the communications industry, will inhibit our growth. Although we currently anticipate that revenue for the two remaining quarters of fiscal 2002 will be greater than revenue levels achieved in the corresponding quarters in fiscal 2001, we expect revenue levels in both of the remaining quarters of fiscal 2002 to be less than the level achieved in the second quarter of this fiscal year.</w:t>
      </w:r>
    </w:p>
    <w:p>
      <w:pPr>
        <w:spacing w:after="0" w:line="180"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License and service fees from the sale of CC&amp;B Systems amounted to $785.3 million and $634.5 million in the six months ended March 31, 2002 and 2001, respectively, representing 89.4% and 88.8%, respectively, of our revenue for such periods. License and service fees from the sale of CC&amp;B Systems amounted to $404.7 million and $327.9 million in the three months ended March 31, 2002 and 2001, respectively, representing 88.9% and 88.1%, respectively, of our revenue for such periods.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8" w:right="1440" w:bottom="1440" w:gutter="0" w:footer="0" w:header="0"/>
        </w:sectPr>
      </w:pPr>
    </w:p>
    <w:bookmarkStart w:id="14" w:name="page15"/>
    <w:bookmarkEnd w:id="14"/>
    <w:p>
      <w:pPr>
        <w:ind w:right="3259" w:firstLine="793"/>
        <w:spacing w:after="0" w:line="237" w:lineRule="auto"/>
        <w:rPr>
          <w:sz w:val="20"/>
          <w:szCs w:val="20"/>
          <w:color w:val="auto"/>
        </w:rPr>
      </w:pPr>
      <w:r>
        <w:rPr>
          <w:rFonts w:ascii="Courier New" w:cs="Courier New" w:eastAsia="Courier New" w:hAnsi="Courier New"/>
          <w:sz w:val="15"/>
          <w:szCs w:val="15"/>
          <w:color w:val="auto"/>
        </w:rPr>
        <w:t>We believe that we are a leading global provider of CC&amp;B Systems. We provide a broad set of CC&amp;B Systems, with proven functionality and scalability, accompanied by a comprehensive range of support services.</w:t>
      </w:r>
    </w:p>
    <w:p>
      <w:pPr>
        <w:spacing w:after="0" w:line="175"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We believe that the demand for our CC&amp;B Systems will increase in the long term due to, among other key factors:</w:t>
      </w:r>
    </w:p>
    <w:p>
      <w:pPr>
        <w:spacing w:after="0" w:line="170" w:lineRule="exact"/>
        <w:rPr>
          <w:sz w:val="20"/>
          <w:szCs w:val="20"/>
          <w:color w:val="auto"/>
        </w:rPr>
      </w:pPr>
    </w:p>
    <w:p>
      <w:pPr>
        <w:ind w:left="960" w:hanging="176"/>
        <w:spacing w:after="0"/>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growth and deregulation of the communications market,</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penetration and expansion of communications services,</w:t>
      </w:r>
    </w:p>
    <w:p>
      <w:pPr>
        <w:spacing w:after="0" w:line="174" w:lineRule="exact"/>
        <w:rPr>
          <w:rFonts w:ascii="Courier New" w:cs="Courier New" w:eastAsia="Courier New" w:hAnsi="Courier New"/>
          <w:sz w:val="15"/>
          <w:szCs w:val="15"/>
          <w:color w:val="auto"/>
        </w:rPr>
      </w:pPr>
    </w:p>
    <w:p>
      <w:pPr>
        <w:ind w:left="960" w:right="3799" w:hanging="176"/>
        <w:spacing w:after="0" w:line="235" w:lineRule="auto"/>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proliferation of new communications products and services, especially IP and data services,</w:t>
      </w:r>
    </w:p>
    <w:p>
      <w:pPr>
        <w:spacing w:after="0" w:line="175" w:lineRule="exact"/>
        <w:rPr>
          <w:rFonts w:ascii="Courier New" w:cs="Courier New" w:eastAsia="Courier New" w:hAnsi="Courier New"/>
          <w:sz w:val="15"/>
          <w:szCs w:val="15"/>
          <w:color w:val="auto"/>
        </w:rPr>
      </w:pPr>
    </w:p>
    <w:p>
      <w:pPr>
        <w:ind w:left="960" w:right="3359" w:hanging="176"/>
        <w:spacing w:after="0" w:line="237" w:lineRule="auto"/>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changes, such as the introduction of wireless Internet services via GPRS (General Packet Radio Services) and UMTS (Universal Mobile Telecommunications System) technology,</w:t>
      </w:r>
    </w:p>
    <w:p>
      <w:pPr>
        <w:spacing w:after="0" w:line="169"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intensifying competition among communications carriers, and</w:t>
      </w:r>
    </w:p>
    <w:p>
      <w:pPr>
        <w:spacing w:after="0" w:line="174" w:lineRule="exact"/>
        <w:rPr>
          <w:rFonts w:ascii="Courier New" w:cs="Courier New" w:eastAsia="Courier New" w:hAnsi="Courier New"/>
          <w:sz w:val="15"/>
          <w:szCs w:val="15"/>
          <w:color w:val="auto"/>
        </w:rPr>
      </w:pPr>
    </w:p>
    <w:p>
      <w:pPr>
        <w:ind w:left="960" w:hanging="176"/>
        <w:spacing w:after="0"/>
        <w:tabs>
          <w:tab w:leader="none" w:pos="9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shift from in-house management to vendor solutions and outsourcing.</w:t>
      </w:r>
    </w:p>
    <w:p>
      <w:pPr>
        <w:spacing w:after="0" w:line="180"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We also believe that a key driver of demand is the continuing trend for communications service providers to offer to their subscribers multiple service packages, commonly referred to as convergent services (combinations of voice, broadband, electronic and mobile commerce and IP services). In addition, we believe that another driver of demand is the ability of our CC&amp;B solutions to improve productivity and reduce costs of communications providers.</w:t>
      </w:r>
    </w:p>
    <w:p>
      <w:pPr>
        <w:spacing w:after="0" w:line="164"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License and service fee revenue from the sale of Directory Systems totaled $92.6 million and $79.9 million in the six months ended March 31, 2002 and 2001, respectively, accounting for 10.6% and 11.2%, respectively, of our revenue for such periods. License and service fee revenue from the sale of Directory Systems totaled $50.5 million and $44.4 million in the three months ended March 31, 2002 and 2001, respectively, accounting for 11.1% and 11.9%, respectively, of our revenue for such periods.</w:t>
      </w:r>
    </w:p>
    <w:p>
      <w:pPr>
        <w:spacing w:after="0" w:line="177"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believe that we are a leading provider of Directory Systems in most of the markets that we serve and we expect that the demand for our Directory Systems will remain relatively stable in future periods.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PATENTS AND LICENSES</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either in conjunction with a customer project or as part of our internal product development programs. We also expend additional amounts on applied research and software development activities to keep abreast of new technologies in the communications and IP markets. Research and development expenditures amounted to $59.5 million and $48.7 million in the six months ended March 31, 2002 and 2001, respectively, representing 6.8% of our revenue in these periods. Research and development expenditures amounted to $30.9 million and $25.2 million in the three months ended March 31, 2002 and 2001, respectively, representing 6.8% of our revenue in these periods. We believe that our research and development efforts are a key element of our strategy and are essential to our BSS offerings. We intend to continue devoting resources to research and development as required to maintain and further strengthen our market position.</w:t>
      </w:r>
    </w:p>
    <w:p>
      <w:pPr>
        <w:spacing w:after="0" w:line="165" w:lineRule="exact"/>
        <w:rPr>
          <w:sz w:val="20"/>
          <w:szCs w:val="20"/>
          <w:color w:val="auto"/>
        </w:rPr>
      </w:pPr>
    </w:p>
    <w:p>
      <w:pPr>
        <w:ind w:right="3259" w:firstLine="793"/>
        <w:spacing w:after="0" w:line="257" w:lineRule="auto"/>
        <w:rPr>
          <w:sz w:val="20"/>
          <w:szCs w:val="20"/>
          <w:color w:val="auto"/>
        </w:rPr>
      </w:pPr>
      <w:r>
        <w:rPr>
          <w:rFonts w:ascii="Courier New" w:cs="Courier New" w:eastAsia="Courier New" w:hAnsi="Courier New"/>
          <w:sz w:val="14"/>
          <w:szCs w:val="14"/>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8" w:right="1440" w:bottom="1440" w:gutter="0" w:footer="0" w:header="0"/>
        </w:sectPr>
      </w:pPr>
    </w:p>
    <w:bookmarkStart w:id="15" w:name="page16"/>
    <w:bookmarkEnd w:id="15"/>
    <w:p>
      <w:pPr>
        <w:jc w:val="both"/>
        <w:ind w:right="3539"/>
        <w:spacing w:after="0" w:line="237" w:lineRule="auto"/>
        <w:rPr>
          <w:sz w:val="20"/>
          <w:szCs w:val="20"/>
          <w:color w:val="auto"/>
        </w:rPr>
      </w:pPr>
      <w:r>
        <w:rPr>
          <w:rFonts w:ascii="Courier New" w:cs="Courier New" w:eastAsia="Courier New" w:hAnsi="Courier New"/>
          <w:sz w:val="15"/>
          <w:szCs w:val="15"/>
          <w:color w:val="auto"/>
        </w:rPr>
        <w:t>sophistication and complexity of our BSS offerings make it very difficult to copy such information or to subject such information to unauthorized use. We maintain sole ownership of our software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November 28, 2001, we completed our acquisition from Nortel Networks Corporation of substantially all of the assets of Clarify, a leading provider of CRM software to communications companies and other enterprise sectors. This acquisition positions us as a leading provider of CRM to the communications industry and reinforces our leadership in delivering a comprehensive portfolio of business software applications.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aggregate purchase price for Clarify was $203.8 million in cash. The purchase price is subject to final price adjustments that may result in a reduction. In addition, transaction costs were $7.2 million. The acquisition was accounted for as a business combination using the purchase method of accounting, as required by SFAS 141. The fair market value of Clarify's assets and liabilities is included in our balance sheet and the results of Clarify's operations are included in our consolidated statements of income, as of the closing date of the acquisition.</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obtained a valuation of the intangible assets acquired in the Clarify transaction. The value of acquired technology includes both existing technology and in-process research and development. The valuation of these technologies was made by applying the income forecast method, which considers the present value of cash flows by product lines. Of the $65.6 million of acquired identifiable intangible assets, $17.4 million was assigned to in-process research and development and was written off as of the closing date of the acquisition, in accordance with FASB Interpretation No. 4, "Applicability of FASB Statement No. 2 to Business Combinations Accounted for by the Purchase Method". This write-off is included in "in-process research and development and nonrecurring charge". The fair value assigned to core technology is $13.4 million and is being amortized over two years commencing on November 28, 2001. The fair value assigned to customer arrangements is $34.8 million and is being amortized over three years commencing on November 28, 2001.</w:t>
      </w:r>
    </w:p>
    <w:p>
      <w:pPr>
        <w:spacing w:after="0" w:line="18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excess of the purchase price over the fair value of the net assets acquired, or goodwill, is $161.2 million. The amount assigned to goodwill is subject to certain price adjustments and contingencies. The goodwill is accounted for under SFAS 142. In accordance with SFAS 142, goodwill from acquisitions after July 1, 2001 is no longer amortized and is subject to impairment tests. Under the transition provisions of SFAS 142, goodwill for acquisitions prior to July 1, 2001 will continue to be amortized only through final adoption of the standard, which will occur on October 1, 2002. As a result, goodwill associated with the acquisition of Clarify is not amortized while goodwill associated with other acquisitions will be amortized only for the remainder of this fiscal year.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OPERATIONAL EFFICIENCY</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As part of a plan to achieve increased operational efficiency and to more closely monitor and reduce costs, we consolidated our Stamford, Connecticut data center into our Champaign, Illinois facility, and we are closing the Stamford facility. As a direct result of this closure, we incurred a nonrecurring charge of $13.3 million in the first quarter of fiscal 2002, primarily for the write-off of leasehold improvements and rent obligations, with the remainder for severance payments. This nonrecurring charge is included in "in-process research and development and nonrecurring charge". In addition, as part of our ongoing efforts to reduce costs, we have decreased our overall commitments for employee compensation, through a lesser reliance on fixed compensation programs and a greater reliance on discretionary arrangements.</w:t>
      </w:r>
    </w:p>
    <w:p>
      <w:pPr>
        <w:spacing w:after="0" w:line="3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5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November 6, 2001, we announced that our board of directors had approved a share repurchase program authorizing the repurchase of up to 11.0 million of our Ordinary Shares, or approximately 5% of our outstanding Ordinary Shares as of that date. Under the program, from time to time over the twelve-month period commencing November 6, 2001, shares may be repurchased on the open market, in privately negotiated transactions or otherwise, in accordance with any applicable laws, and at prices per share as we deem appropriate. During the six and three months ended March 31, 2002 we repurchased 0.6 million of our Ordinary Shares at an average market price of $25.63 per share. We funded these and intend to fund any future repurchases with available funds. See discussion below - "Subsequent Event".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On April 23, 2002, we announced that our board of directors has expanded the existing stock repurchase plan to authorize the purchase of up to 20.0 million shares, or approximately 9% of our outstanding Ordinary Shares. This represents an increase from the 11.0 million shares originally authorized when the plan was instituted in November 2001. These purchases may be made on the open market, or in privately negotiated transactions, at times and prices considered appropriate by us, which we intend to fund the repurchases with available funds. From April 1, 2002 and through the period ended May 9, 2002, we repurchased an additional 3.1 million Ordinary Shares at an average market price of $20.13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The following tables set forth for the six months and three months ended March 31, 2002 and 2001 certain items in our consolidated statements of income reflected as a percentage of total revenue: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04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SIX MONTHS ENDED MARCH 31,</w:t>
            </w:r>
          </w:p>
        </w:tc>
        <w:tc>
          <w:tcPr>
            <w:tcW w:w="62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194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PRO FORMA (*)</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REPORTED</w:t>
            </w:r>
          </w:p>
        </w:tc>
      </w:tr>
      <w:tr>
        <w:trPr>
          <w:trHeight w:val="170"/>
        </w:trPr>
        <w:tc>
          <w:tcPr>
            <w:tcW w:w="4180" w:type="dxa"/>
            <w:vAlign w:val="bottom"/>
          </w:tcPr>
          <w:p>
            <w:pPr>
              <w:spacing w:after="0"/>
              <w:rPr>
                <w:sz w:val="14"/>
                <w:szCs w:val="14"/>
                <w:color w:val="auto"/>
              </w:rPr>
            </w:pP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License</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Service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88.6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88.6</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Cost of license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0.4</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0.4</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Cost of service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54.7</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55.7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55.7</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administrative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13.0</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Amortization of goodwill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ind w:left="780"/>
              <w:spacing w:after="0"/>
              <w:rPr>
                <w:sz w:val="20"/>
                <w:szCs w:val="20"/>
                <w:color w:val="auto"/>
              </w:rPr>
            </w:pPr>
            <w:r>
              <w:rPr>
                <w:rFonts w:ascii="Courier New" w:cs="Courier New" w:eastAsia="Courier New" w:hAnsi="Courier New"/>
                <w:sz w:val="15"/>
                <w:szCs w:val="15"/>
                <w:color w:val="auto"/>
              </w:rPr>
              <w:t>purchased intangible assets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w:t>
            </w:r>
          </w:p>
        </w:tc>
      </w:tr>
      <w:tr>
        <w:trPr>
          <w:trHeight w:val="170"/>
        </w:trPr>
        <w:tc>
          <w:tcPr>
            <w:tcW w:w="4180" w:type="dxa"/>
            <w:vAlign w:val="bottom"/>
          </w:tcPr>
          <w:p>
            <w:pPr>
              <w:ind w:left="520"/>
              <w:spacing w:after="0"/>
              <w:rPr>
                <w:sz w:val="20"/>
                <w:szCs w:val="20"/>
                <w:color w:val="auto"/>
              </w:rPr>
            </w:pPr>
            <w:r>
              <w:rPr>
                <w:rFonts w:ascii="Courier New" w:cs="Courier New" w:eastAsia="Courier New" w:hAnsi="Courier New"/>
                <w:sz w:val="15"/>
                <w:szCs w:val="15"/>
                <w:color w:val="auto"/>
              </w:rPr>
              <w:t>In-process research and development and</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ind w:left="700"/>
              <w:spacing w:after="0"/>
              <w:rPr>
                <w:sz w:val="20"/>
                <w:szCs w:val="20"/>
                <w:color w:val="auto"/>
              </w:rPr>
            </w:pPr>
            <w:r>
              <w:rPr>
                <w:rFonts w:ascii="Courier New" w:cs="Courier New" w:eastAsia="Courier New" w:hAnsi="Courier New"/>
                <w:sz w:val="15"/>
                <w:szCs w:val="15"/>
                <w:color w:val="auto"/>
              </w:rPr>
              <w:t>nonrecurring charge</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74.8</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75.7</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91.8</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90.9</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1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25.2</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0.7</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25.9</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5.4</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18.6%</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18.0%</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4180" w:type="dxa"/>
            <w:vAlign w:val="bottom"/>
          </w:tcPr>
          <w:p>
            <w:pPr>
              <w:spacing w:after="0"/>
              <w:rPr>
                <w:sz w:val="14"/>
                <w:szCs w:val="1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580" w:right="3179" w:hanging="796"/>
        <w:spacing w:after="0" w:line="238" w:lineRule="auto"/>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regarding our operating results is provided as a complement to results reported in accordance with GAAP. The pro forma financial information excludes (i) $118.7 million for amortization of goodwill and purchased intangible assets and all related tax effects attributable to acquisitions and (ii) for the six months ended March 31, 2002 only, $17.4 million for purchased in-process research and</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52" w:right="1440" w:bottom="1440" w:gutter="0" w:footer="0" w:header="0"/>
        </w:sectPr>
      </w:pPr>
    </w:p>
    <w:bookmarkStart w:id="17" w:name="page18"/>
    <w:bookmarkEnd w:id="17"/>
    <w:p>
      <w:pPr>
        <w:ind w:left="1580" w:right="3179"/>
        <w:spacing w:after="0" w:line="259" w:lineRule="auto"/>
        <w:rPr>
          <w:sz w:val="20"/>
          <w:szCs w:val="20"/>
          <w:color w:val="auto"/>
        </w:rPr>
      </w:pPr>
      <w:r>
        <w:rPr>
          <w:rFonts w:ascii="Courier New" w:cs="Courier New" w:eastAsia="Courier New" w:hAnsi="Courier New"/>
          <w:sz w:val="14"/>
          <w:szCs w:val="14"/>
          <w:color w:val="auto"/>
        </w:rPr>
        <w:t>development attributable to the acquisition of Clarify and $13.3 million for a nonrecurring charge related to the consolidation of data centers and the resulting closure of our Stamford, Connecticut facility, and all related tax effects.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THREE MONTHS ENDED MARCH 31,</w:t>
            </w:r>
          </w:p>
        </w:tc>
        <w:tc>
          <w:tcPr>
            <w:tcW w:w="520" w:type="dxa"/>
            <w:vAlign w:val="bottom"/>
          </w:tcPr>
          <w:p>
            <w:pPr>
              <w:spacing w:after="0"/>
              <w:rPr>
                <w:sz w:val="14"/>
                <w:szCs w:val="14"/>
                <w:color w:val="auto"/>
              </w:rPr>
            </w:pPr>
          </w:p>
        </w:tc>
      </w:tr>
      <w:tr>
        <w:trPr>
          <w:trHeight w:val="170"/>
        </w:trPr>
        <w:tc>
          <w:tcPr>
            <w:tcW w:w="3380" w:type="dxa"/>
            <w:vAlign w:val="bottom"/>
          </w:tcPr>
          <w:p>
            <w:pPr>
              <w:spacing w:after="0"/>
              <w:rPr>
                <w:sz w:val="14"/>
                <w:szCs w:val="14"/>
                <w:color w:val="auto"/>
              </w:rPr>
            </w:pPr>
          </w:p>
        </w:tc>
        <w:tc>
          <w:tcPr>
            <w:tcW w:w="3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170"/>
        </w:trPr>
        <w:tc>
          <w:tcPr>
            <w:tcW w:w="3380" w:type="dxa"/>
            <w:vAlign w:val="bottom"/>
          </w:tcPr>
          <w:p>
            <w:pPr>
              <w:spacing w:after="0"/>
              <w:rPr>
                <w:sz w:val="14"/>
                <w:szCs w:val="14"/>
                <w:color w:val="auto"/>
              </w:rPr>
            </w:pPr>
          </w:p>
        </w:tc>
        <w:tc>
          <w:tcPr>
            <w:tcW w:w="19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PRO FORMA (*)</w:t>
            </w:r>
          </w:p>
        </w:tc>
        <w:tc>
          <w:tcPr>
            <w:tcW w:w="17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AS REPORTED</w:t>
            </w:r>
          </w:p>
        </w:tc>
      </w:tr>
      <w:tr>
        <w:trPr>
          <w:trHeight w:val="170"/>
        </w:trPr>
        <w:tc>
          <w:tcPr>
            <w:tcW w:w="3380" w:type="dxa"/>
            <w:vAlign w:val="bottom"/>
          </w:tcPr>
          <w:p>
            <w:pPr>
              <w:spacing w:after="0"/>
              <w:rPr>
                <w:sz w:val="14"/>
                <w:szCs w:val="14"/>
                <w:color w:val="auto"/>
              </w:rPr>
            </w:pPr>
          </w:p>
        </w:tc>
        <w:tc>
          <w:tcPr>
            <w:tcW w:w="19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License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11.6%</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Service</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88.4</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88.4</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100.0</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Cost of license</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0.3</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0.3</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0.3</w:t>
            </w: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Cost of service</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54.7</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55.4</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55.4</w:t>
            </w: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Research and development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Selling, general and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80" w:type="dxa"/>
            <w:vAlign w:val="bottom"/>
          </w:tcPr>
          <w:p>
            <w:pPr>
              <w:ind w:left="700"/>
              <w:spacing w:after="0"/>
              <w:rPr>
                <w:sz w:val="20"/>
                <w:szCs w:val="20"/>
                <w:color w:val="auto"/>
              </w:rPr>
            </w:pPr>
            <w:r>
              <w:rPr>
                <w:rFonts w:ascii="Courier New" w:cs="Courier New" w:eastAsia="Courier New" w:hAnsi="Courier New"/>
                <w:sz w:val="15"/>
                <w:szCs w:val="15"/>
                <w:color w:val="auto"/>
              </w:rPr>
              <w:t>administrative</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12.9</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13.4</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3380" w:type="dxa"/>
            <w:vAlign w:val="bottom"/>
          </w:tcPr>
          <w:p>
            <w:pPr>
              <w:ind w:left="520"/>
              <w:spacing w:after="0"/>
              <w:rPr>
                <w:sz w:val="20"/>
                <w:szCs w:val="20"/>
                <w:color w:val="auto"/>
              </w:rPr>
            </w:pPr>
            <w:r>
              <w:rPr>
                <w:rFonts w:ascii="Courier New" w:cs="Courier New" w:eastAsia="Courier New" w:hAnsi="Courier New"/>
                <w:sz w:val="15"/>
                <w:szCs w:val="15"/>
                <w:color w:val="auto"/>
              </w:rPr>
              <w:t>Amortization of goodwill and</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3380" w:type="dxa"/>
            <w:vAlign w:val="bottom"/>
          </w:tcPr>
          <w:p>
            <w:pPr>
              <w:ind w:left="780"/>
              <w:spacing w:after="0"/>
              <w:rPr>
                <w:sz w:val="20"/>
                <w:szCs w:val="20"/>
                <w:color w:val="auto"/>
              </w:rPr>
            </w:pPr>
            <w:r>
              <w:rPr>
                <w:rFonts w:ascii="Courier New" w:cs="Courier New" w:eastAsia="Courier New" w:hAnsi="Courier New"/>
                <w:sz w:val="15"/>
                <w:szCs w:val="15"/>
                <w:color w:val="auto"/>
              </w:rPr>
              <w:t>purchased intangible assets</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13.6</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75.2</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75.4</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88.8</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90.0</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3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24.8</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24.6</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11.2</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0.5</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11.7</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11.4</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5.9</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12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0"/>
        </w:trPr>
        <w:tc>
          <w:tcPr>
            <w:tcW w:w="3380" w:type="dxa"/>
            <w:vAlign w:val="bottom"/>
          </w:tcPr>
          <w:p>
            <w:pPr>
              <w:spacing w:after="0"/>
              <w:rPr>
                <w:sz w:val="14"/>
                <w:szCs w:val="14"/>
                <w:color w:val="auto"/>
              </w:rPr>
            </w:pPr>
          </w:p>
        </w:tc>
        <w:tc>
          <w:tcPr>
            <w:tcW w:w="9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r>
    </w:tbl>
    <w:p>
      <w:pPr>
        <w:spacing w:after="0" w:line="344" w:lineRule="exact"/>
        <w:rPr>
          <w:sz w:val="20"/>
          <w:szCs w:val="20"/>
          <w:color w:val="auto"/>
        </w:rPr>
      </w:pPr>
    </w:p>
    <w:p>
      <w:pPr>
        <w:ind w:left="1840" w:right="3179" w:hanging="527"/>
        <w:spacing w:after="0" w:line="238" w:lineRule="auto"/>
        <w:tabs>
          <w:tab w:leader="none" w:pos="18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financial information regarding our operating results is provided as a complement to results reported in accordance with GAAP. The pro forma financial information excludes amortization of goodwill and purchased intangible assets and all related tax effects attributable to acquisitions.</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SIX MONTHS ENDED MARCH 31, 2002 AND 2001</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REVENUE. Revenue for the six months ended March 31, 2002 was $877.9 million, an increase of $163.5 million, or 22.9%, over the six months ended March 31, 2001. The increase in revenue was due to the continued growth in the demand for our CC&amp;B Systems solutions in our traditional target markets of high-end and mid-tier communications companies and to a lesser degree from the acquisition of Clarify. License revenue increased from $81.4 million in the six months ended March 31, 2001 to $87.8 million during the six months ended March 31, 2002, an increase of 7.9%, and service revenue increased 24.8% from $633.1 million in the six months ended March 31, 2001 to $790.1 million in the six months ended March 31, 2002. The reduced growth in license revenues reflects the lengthened sales cycles that we are experiencing and the resulting decrease in the number of new deals.</w:t>
      </w:r>
    </w:p>
    <w:p>
      <w:pPr>
        <w:spacing w:after="0" w:line="182"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Total CC&amp;B Systems revenue for the six months ended March 31, 2002 was $785.3 million, an increase of $150.8 million, or 23.8%, over the six months ended March 31, 2001. During the first half of fiscal 2002, the demand for our CC&amp;B Systems was primarily driven by the need for communications companies to upgrade their customer care and billing, CRM and order management systems in response to competition in the subscriber markets, the need to offer convergent and IP services, and the need to improve productivity and operational efficiency.</w:t>
      </w:r>
    </w:p>
    <w:p>
      <w:pPr>
        <w:spacing w:after="0" w:line="178"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Revenue from Directory Systems was $92.6 million for the six months ended March 31, 2002, an increase of $12.7 million, or 15.9%, over the six months ended March 31, 2001. The increase is attributable primarily to extensions of agreements with and additional services rendered to existing customers.</w:t>
      </w:r>
    </w:p>
    <w:p>
      <w:pPr>
        <w:spacing w:after="0" w:line="178"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In the six months ended March 31, 2002, revenue from customers in North America, Europe and the rest of the world accounted for 61.2%, 28.3% and 10.5%, respectively, compared to 53.4%, 36.1% and 10.5%, respectively, for the six months ended March 31, 2001. The growth in North America in the six months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8" w:right="1440" w:bottom="1074" w:gutter="0" w:footer="0" w:header="0"/>
        </w:sectPr>
      </w:pPr>
    </w:p>
    <w:bookmarkStart w:id="18" w:name="page19"/>
    <w:bookmarkEnd w:id="18"/>
    <w:p>
      <w:pPr>
        <w:ind w:right="3179"/>
        <w:spacing w:after="0" w:line="237" w:lineRule="auto"/>
        <w:rPr>
          <w:sz w:val="20"/>
          <w:szCs w:val="20"/>
          <w:color w:val="auto"/>
        </w:rPr>
      </w:pPr>
      <w:r>
        <w:rPr>
          <w:rFonts w:ascii="Courier New" w:cs="Courier New" w:eastAsia="Courier New" w:hAnsi="Courier New"/>
          <w:sz w:val="15"/>
          <w:szCs w:val="15"/>
          <w:color w:val="auto"/>
        </w:rPr>
        <w:t>ended March 31, 2002, was attributable primarily to revenue we gained from increased activity for existing customers and, to a lesser degree, relationships formed with new customers.</w:t>
      </w:r>
    </w:p>
    <w:p>
      <w:pPr>
        <w:spacing w:after="0" w:line="175" w:lineRule="exact"/>
        <w:rPr>
          <w:sz w:val="20"/>
          <w:szCs w:val="20"/>
          <w:color w:val="auto"/>
        </w:rPr>
      </w:pPr>
    </w:p>
    <w:p>
      <w:pPr>
        <w:ind w:right="3439" w:firstLine="793"/>
        <w:spacing w:after="0" w:line="259" w:lineRule="auto"/>
        <w:rPr>
          <w:sz w:val="20"/>
          <w:szCs w:val="20"/>
          <w:color w:val="auto"/>
        </w:rPr>
      </w:pPr>
      <w:r>
        <w:rPr>
          <w:rFonts w:ascii="Courier New" w:cs="Courier New" w:eastAsia="Courier New" w:hAnsi="Courier New"/>
          <w:sz w:val="14"/>
          <w:szCs w:val="14"/>
          <w:color w:val="auto"/>
        </w:rPr>
        <w:t>COST OF LICENSE. Cost of license for the six months ended March 31, 2002 was $2.4 million, a decrease of $0.5 million, or 18.3%, over the cost of license for the six months ended March 31, 2001. Cost of license includes amortization of purchased computer software and intellectual property rights.</w:t>
      </w:r>
    </w:p>
    <w:p>
      <w:pPr>
        <w:spacing w:after="0" w:line="16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COST OF SERVICE. Cost of service for the six months ended March 31, 2002 was $479.8 million, an increase of $81.9 million, or 20.6%, over the cost of service of $397.9 million for the six months ended March 31, 2001. As a percentage of revenue, cost of service decreased to 54.7% in the six months ended March 31, 2002 from 55.7% in the six months ended March 31, 2001. The decrease in cost of service as a percentage of revenue is primarily due to our efforts to trim costs within our business, as part of our strategy to more closely monitor and reduce costs. See discussion above - "Operational Efficiency".</w:t>
      </w:r>
    </w:p>
    <w:p>
      <w:pPr>
        <w:spacing w:after="0" w:line="179"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attributable to research and development activities, either in conjunction with customer projects or as part of our internal product development program. In the six months ended March 31, 2002, research and development expense was $59.5 million, or 6.8% of revenue, compared with $48.7 million, or 6.8% of revenue, in the six months ended March 31, 2001. The increase in expense reflects ongoing expenditures primarily for CC&amp;B Systems.</w:t>
      </w:r>
    </w:p>
    <w:p>
      <w:pPr>
        <w:spacing w:after="0" w:line="178"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was primarily comprised of compensation expense and increased by 25.3% to $114.8 million, or 13.0% of revenue, in the six months ended March 31, 2002 from $91.6 million, or 12.8% of revenue, in the six months ended March 31, 2001. The increase is attributable to the increase in our selling and marketing efforts in the six months ended March 31, 2002.</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six months ended March 31, 2002 was $118.7 million, compared to $108.3 million in the six months ended March 31, 2001. The increase in amortization expense in the six months ended March 31, 2002 is due to non-goodwill related amortization resulting from the Clarify acquisition. As a result of SFAS 142, goodwill related to Clarify, an acquisition made by us after July 1, 2001, is not amortized, and is subject to impairment tests. For acquisitions we made prior to July 1, 2001, which includes all of our acquisitions other than Clarify, SFAS 142 requires us to amortize the goodwill resulting from such acquisitions only through its final adoption in our fiscal 2003. In the six months ended March 31, 2002, total amortization related to such goodwill is $101.0 million. Effective as of October 1, 2002, SFAS 142 will be adopted by us and goodwill related to our acquisitions will no longer be amortized on a periodic basis. Instead, any such goodwill will be subject only to the same impairment tests now applicable to Clarify's goodwill. See discussion above - "Acquisition".</w:t>
      </w:r>
    </w:p>
    <w:p>
      <w:pPr>
        <w:spacing w:after="0" w:line="186" w:lineRule="exact"/>
        <w:rPr>
          <w:sz w:val="20"/>
          <w:szCs w:val="20"/>
          <w:color w:val="auto"/>
        </w:rPr>
      </w:pPr>
    </w:p>
    <w:p>
      <w:pPr>
        <w:ind w:right="3179" w:firstLine="793"/>
        <w:spacing w:after="0" w:line="258" w:lineRule="auto"/>
        <w:rPr>
          <w:sz w:val="20"/>
          <w:szCs w:val="20"/>
          <w:color w:val="auto"/>
        </w:rPr>
      </w:pPr>
      <w:r>
        <w:rPr>
          <w:rFonts w:ascii="Courier New" w:cs="Courier New" w:eastAsia="Courier New" w:hAnsi="Courier New"/>
          <w:sz w:val="14"/>
          <w:szCs w:val="14"/>
          <w:color w:val="auto"/>
        </w:rPr>
        <w:t>IN-PROCESS RESEARCH AND DEVELOPMENT AND NONRECURRING CHARGE. In-process research and development and nonrecurring charge in the six months ended March 31, 2002 consisted of a one-time charge of $17.4 million related to the Clarify transaction for write-off of purchased in-process research and development, and a nonrecurring charge of $13.3 million related to the consolidation of data centers and the resulting closure of our Stamford, Connecticut facility.</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OPERATING INCOME. Operating income in the six months ended March 31, 2002, was $72.0 million, compared to $64.9 million in the six months ended March 31, 2001, an increase of 11.0%, due to the increase in revenue and operational efficiency partly offset by the Clarify acquisition-related charges and the nonrecurring charge resulting from the Stamford facility closing. Pro forma operating income for the six months ended March 31, 2002, excluding acquisition-related charges and the nonrecurring charge, was $221.4 million, or 25.2% of revenue, compared to $173.2 million, or 24.3% of revenue, for the six months ended March 31, 2001, an increase of 27.8%.</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58" w:right="1440" w:bottom="1440" w:gutter="0" w:footer="0" w:header="0"/>
        </w:sectPr>
      </w:pPr>
    </w:p>
    <w:bookmarkStart w:id="19" w:name="page20"/>
    <w:bookmarkEnd w:id="19"/>
    <w:p>
      <w:pPr>
        <w:ind w:right="3179" w:firstLine="793"/>
        <w:spacing w:after="0" w:line="238" w:lineRule="auto"/>
        <w:rPr>
          <w:sz w:val="20"/>
          <w:szCs w:val="20"/>
          <w:color w:val="auto"/>
        </w:rPr>
      </w:pPr>
      <w:r>
        <w:rPr>
          <w:rFonts w:ascii="Courier New" w:cs="Courier New" w:eastAsia="Courier New" w:hAnsi="Courier New"/>
          <w:sz w:val="15"/>
          <w:szCs w:val="15"/>
          <w:color w:val="auto"/>
        </w:rPr>
        <w:t>INTEREST INCOME AND OTHER, NET. In the six months ended March 31, 2002, interest income and other, net, was $5.7 million, a decrease of $5.0 million from the six months ended March 31, 2001. The decrease in interest income and other, net, is primarily attributable to the overall interest rate declines partially offset by increase in our cash equivalents and short-term interest-bearing investments, net of our interest obligations on convertible notes.</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INCOME TAXES. Income taxes in the six months ended March 31, 2002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$47.0 million on income before income taxes of $77.8 million. Our blended</w:t>
      </w:r>
    </w:p>
    <w:p>
      <w:pPr>
        <w:spacing w:after="0"/>
        <w:rPr>
          <w:sz w:val="20"/>
          <w:szCs w:val="20"/>
          <w:color w:val="auto"/>
        </w:rPr>
      </w:pPr>
      <w:r>
        <w:rPr>
          <w:rFonts w:ascii="Courier New" w:cs="Courier New" w:eastAsia="Courier New" w:hAnsi="Courier New"/>
          <w:sz w:val="15"/>
          <w:szCs w:val="15"/>
          <w:color w:val="auto"/>
        </w:rPr>
        <w:t>effective tax rate for the six months ended March 31, 2002 was 60%. Our</w:t>
      </w:r>
    </w:p>
    <w:p>
      <w:pPr>
        <w:spacing w:after="0"/>
        <w:rPr>
          <w:sz w:val="20"/>
          <w:szCs w:val="20"/>
          <w:color w:val="auto"/>
        </w:rPr>
      </w:pPr>
      <w:r>
        <w:rPr>
          <w:rFonts w:ascii="Courier New" w:cs="Courier New" w:eastAsia="Courier New" w:hAnsi="Courier New"/>
          <w:sz w:val="15"/>
          <w:szCs w:val="15"/>
          <w:color w:val="auto"/>
        </w:rPr>
        <w:t>effective tax rate from operations (calculated based on the income taxes on</w:t>
      </w:r>
    </w:p>
    <w:p>
      <w:pPr>
        <w:spacing w:after="0" w:line="238" w:lineRule="auto"/>
        <w:rPr>
          <w:sz w:val="20"/>
          <w:szCs w:val="20"/>
          <w:color w:val="auto"/>
        </w:rPr>
      </w:pPr>
      <w:r>
        <w:rPr>
          <w:rFonts w:ascii="Courier New" w:cs="Courier New" w:eastAsia="Courier New" w:hAnsi="Courier New"/>
          <w:sz w:val="15"/>
          <w:szCs w:val="15"/>
          <w:color w:val="auto"/>
        </w:rPr>
        <w:t>income before income taxes, excluding a one-time charge for write-off of</w:t>
      </w:r>
    </w:p>
    <w:p>
      <w:pPr>
        <w:spacing w:after="0"/>
        <w:rPr>
          <w:sz w:val="20"/>
          <w:szCs w:val="20"/>
          <w:color w:val="auto"/>
        </w:rPr>
      </w:pPr>
      <w:r>
        <w:rPr>
          <w:rFonts w:ascii="Courier New" w:cs="Courier New" w:eastAsia="Courier New" w:hAnsi="Courier New"/>
          <w:sz w:val="15"/>
          <w:szCs w:val="15"/>
          <w:color w:val="auto"/>
        </w:rPr>
        <w:t>purchased in-process research and development and the nonrecurring charge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from the Stamford facility closing) in the six months ended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 was 50%, resulting from the non-cash amortization of goodwill related to</w:t>
      </w:r>
    </w:p>
    <w:p>
      <w:pPr>
        <w:spacing w:after="0"/>
        <w:rPr>
          <w:sz w:val="20"/>
          <w:szCs w:val="20"/>
          <w:color w:val="auto"/>
        </w:rPr>
      </w:pPr>
      <w:r>
        <w:rPr>
          <w:rFonts w:ascii="Courier New" w:cs="Courier New" w:eastAsia="Courier New" w:hAnsi="Courier New"/>
          <w:sz w:val="15"/>
          <w:szCs w:val="15"/>
          <w:color w:val="auto"/>
        </w:rPr>
        <w:t>acquisitions, much of which is not tax deductible. The pro forma effective tax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 for the six months ended March 31, 2002, excluding the acquisition-related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28%. In the six months ended March 31, 2001, income taxes were</w:t>
      </w:r>
    </w:p>
    <w:p>
      <w:pPr>
        <w:spacing w:after="0"/>
        <w:rPr>
          <w:sz w:val="20"/>
          <w:szCs w:val="20"/>
          <w:color w:val="auto"/>
        </w:rPr>
      </w:pPr>
      <w:r>
        <w:rPr>
          <w:rFonts w:ascii="Courier New" w:cs="Courier New" w:eastAsia="Courier New" w:hAnsi="Courier New"/>
          <w:sz w:val="15"/>
          <w:szCs w:val="15"/>
          <w:color w:val="auto"/>
        </w:rPr>
        <w:t>$47.6 million on income before taxes of $75.5 million. The pro forma effective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rate for the six months ended March 31, 2001, excluding acquisition-related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 was 30%. See discussion below - "Effective Tax Rate".</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NET INCOME. Net income was $30.8 million in the six months ended March 31, 2002, compared to $28.0 million in the six months ended March 31, 2001. Net income was 3.5% of revenue for the six months ended March 31, 2002, compared to 3.9% for the six months ended March 31, 2001. We expect our net income to be impacted positively in fiscal 2003 by our adoption of SFAS 142 as of October 1, 2002. As a result of the adoption, we will no longer be required to amortize the goodwill from any of our acquisitions made prior to Clarify. Instead, any such goodwill will be subject only to impairment tests, as is the case currently for the goodwill from the Clarify acquisition. See discussion above - "Acquisition". Pro forma net income in the six months ended March 31, 2002, excluding the acquisition-related charges and the nonrecurring charge resulting from the Stamford facility closing, increased by 27.1% over the six months ended March 31, 2001, reaching $163.5 million, representing 18.6% of revenue.</w:t>
      </w:r>
    </w:p>
    <w:p>
      <w:pPr>
        <w:spacing w:after="0" w:line="16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DILUTED EARNINGS PER SHARE. Diluted earnings per share were $0.14 for the six months ended March 31, 2002, compared to $0.12 in the six months ended March 31, 2001. Pro forma diluted earnings per share in the six months ended March 31, 2002, excluding the acquisition-related charges and the nonrecurring charge resulting from the Stamford facility closing, increased by 28.1% from the six months ended March 31, 2001, reaching $0.73 per diluted share.</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THREE MONTHS ENDED MARCH 31, 2002 AND 2001</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REVENUE. Revenue for the three months ended March 31, 2002 was $455.3</w:t>
      </w:r>
    </w:p>
    <w:p>
      <w:pPr>
        <w:spacing w:after="0"/>
        <w:rPr>
          <w:sz w:val="20"/>
          <w:szCs w:val="20"/>
          <w:color w:val="auto"/>
        </w:rPr>
      </w:pPr>
      <w:r>
        <w:rPr>
          <w:rFonts w:ascii="Courier New" w:cs="Courier New" w:eastAsia="Courier New" w:hAnsi="Courier New"/>
          <w:sz w:val="15"/>
          <w:szCs w:val="15"/>
          <w:color w:val="auto"/>
        </w:rPr>
        <w:t>million, an increase of $83.0 million, or 22.3%, over the three months ended</w:t>
      </w:r>
    </w:p>
    <w:p>
      <w:pPr>
        <w:spacing w:after="0"/>
        <w:rPr>
          <w:sz w:val="20"/>
          <w:szCs w:val="20"/>
          <w:color w:val="auto"/>
        </w:rPr>
      </w:pPr>
      <w:r>
        <w:rPr>
          <w:rFonts w:ascii="Courier New" w:cs="Courier New" w:eastAsia="Courier New" w:hAnsi="Courier New"/>
          <w:sz w:val="15"/>
          <w:szCs w:val="15"/>
          <w:color w:val="auto"/>
        </w:rPr>
        <w:t>March 31, 2001. The increase in revenue was due to the continued growth in the</w:t>
      </w:r>
    </w:p>
    <w:p>
      <w:pPr>
        <w:spacing w:after="0" w:line="238" w:lineRule="auto"/>
        <w:rPr>
          <w:sz w:val="20"/>
          <w:szCs w:val="20"/>
          <w:color w:val="auto"/>
        </w:rPr>
      </w:pPr>
      <w:r>
        <w:rPr>
          <w:rFonts w:ascii="Courier New" w:cs="Courier New" w:eastAsia="Courier New" w:hAnsi="Courier New"/>
          <w:sz w:val="15"/>
          <w:szCs w:val="15"/>
          <w:color w:val="auto"/>
        </w:rPr>
        <w:t>demand for our CC&amp;B Systems solutions in our traditional target markets of</w:t>
      </w:r>
    </w:p>
    <w:p>
      <w:pPr>
        <w:spacing w:after="0"/>
        <w:rPr>
          <w:sz w:val="20"/>
          <w:szCs w:val="20"/>
          <w:color w:val="auto"/>
        </w:rPr>
      </w:pPr>
      <w:r>
        <w:rPr>
          <w:rFonts w:ascii="Courier New" w:cs="Courier New" w:eastAsia="Courier New" w:hAnsi="Courier New"/>
          <w:sz w:val="15"/>
          <w:szCs w:val="15"/>
          <w:color w:val="auto"/>
        </w:rPr>
        <w:t>high-end and mid-tier communications companies and to a lesser degree from the</w:t>
      </w:r>
    </w:p>
    <w:p>
      <w:pPr>
        <w:spacing w:after="0"/>
        <w:rPr>
          <w:sz w:val="20"/>
          <w:szCs w:val="20"/>
          <w:color w:val="auto"/>
        </w:rPr>
      </w:pPr>
      <w:r>
        <w:rPr>
          <w:rFonts w:ascii="Courier New" w:cs="Courier New" w:eastAsia="Courier New" w:hAnsi="Courier New"/>
          <w:sz w:val="15"/>
          <w:szCs w:val="15"/>
          <w:color w:val="auto"/>
        </w:rPr>
        <w:t>acquisition of Clarify. License revenue increased from $43.3 million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three months ended March 31, 2001 to $45.5 million during the three months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2002, an increase of 5.2%, and service revenue increased 24.5%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$329.0 million in the three months ended March 31, 2001 to $409.7 million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2002. The reduced growth in license revenues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reflected the lengthened sales cycles that we are experiencing and the resulting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in the number of new deals.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Total CC&amp;B Systems revenue for the three months ended March 31, 2002 was $404.7 million, an increase of $76.8 million, or 23.4%, over the three months ended March 31, 2001. In the three months ended March 31, 2002, the demand for our CC&amp;B Systems was primarily driven by the need for communications companies to upgrade their customer care and billing, CRM and order management systems in response to competition in the subscriber markets, the need to offer convergent and IP services, and the need to improve productivity and operational efficiency.</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8" w:right="1440" w:bottom="1440" w:gutter="0" w:footer="0" w:header="0"/>
        </w:sectPr>
      </w:pPr>
    </w:p>
    <w:bookmarkStart w:id="20" w:name="page21"/>
    <w:bookmarkEnd w:id="20"/>
    <w:p>
      <w:pPr>
        <w:ind w:right="3359" w:firstLine="793"/>
        <w:spacing w:after="0" w:line="237" w:lineRule="auto"/>
        <w:rPr>
          <w:sz w:val="20"/>
          <w:szCs w:val="20"/>
          <w:color w:val="auto"/>
        </w:rPr>
      </w:pPr>
      <w:r>
        <w:rPr>
          <w:rFonts w:ascii="Courier New" w:cs="Courier New" w:eastAsia="Courier New" w:hAnsi="Courier New"/>
          <w:sz w:val="15"/>
          <w:szCs w:val="15"/>
          <w:color w:val="auto"/>
        </w:rPr>
        <w:t>Revenue from Directory Systems was $50.5 million for the three months ended March 31, 2002, an increase of $6.1 million, or 13.7%, over the three months ended March 31, 2001. The increase was attributable primarily to extensions of agreements with and additional services rendered to existing customers.</w:t>
      </w:r>
    </w:p>
    <w:p>
      <w:pPr>
        <w:spacing w:after="0" w:line="178"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In the three months ended March 31, 2002, revenue from customers in North America, Europe and the rest of the world accounted for 61.1%, 28.3% and 10.6%, respectively, compared to 52.8%, 35.7% and 11.5%, respectively, for the three months ended March 31, 2001. The growth in North America was attributable primarily to revenue we gained from increased activity for existing customers and, to a lesser degree, relationships formed with new customers.</w:t>
      </w:r>
    </w:p>
    <w:p>
      <w:pPr>
        <w:spacing w:after="0" w:line="164" w:lineRule="exact"/>
        <w:rPr>
          <w:sz w:val="20"/>
          <w:szCs w:val="20"/>
          <w:color w:val="auto"/>
        </w:rPr>
      </w:pPr>
    </w:p>
    <w:p>
      <w:pPr>
        <w:ind w:right="3359" w:firstLine="793"/>
        <w:spacing w:after="0" w:line="259" w:lineRule="auto"/>
        <w:rPr>
          <w:sz w:val="20"/>
          <w:szCs w:val="20"/>
          <w:color w:val="auto"/>
        </w:rPr>
      </w:pPr>
      <w:r>
        <w:rPr>
          <w:rFonts w:ascii="Courier New" w:cs="Courier New" w:eastAsia="Courier New" w:hAnsi="Courier New"/>
          <w:sz w:val="14"/>
          <w:szCs w:val="14"/>
          <w:color w:val="auto"/>
        </w:rPr>
        <w:t>COST OF LICENSE. Cost of license for the three months ended March 31, 2002 was $1.4 million, an increase of $0.1 million, or 10.7%, over the cost of license for the three months ended March 31, 2001. Cost of license included amortization of purchased computer software and intellectual property rights.</w:t>
      </w:r>
    </w:p>
    <w:p>
      <w:pPr>
        <w:spacing w:after="0" w:line="163"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COST OF SERVICE. Cost of service for the three months ended March 31, 2002 was $249.2 million, an increase of $43.0 million, or 20.9%, over the cost of service of $206.2 million for the three months ended March 31, 2001. As a percentage of revenue, cost of service decreased to 54.7% in the three months ended March 31, 2002 from 55.4% in the three months ended March 31, 2001. The decrease in cost of service as a percentage of revenue was primarily due to our efforts to trim costs within our business, as part of our strategy to more closely monitor and reduce costs. See discussion above - "Operational Efficiency".</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RESEARCH AND DEVELOPMENT. Research and development expense was primarily comprised of compensation expense attributed to research and development activities, either in conjunction with customer projects or as part of our internal product development program. In the three months ended March 31, 2002, research and development expense was $30.9 million, or 6.8% of revenue, compared with $25.2 million, or 6.8% of revenue, in the three months ended March 31, 2001. The increase reflected ongoing expenditures primarily for CC&amp;B Systems.</w:t>
      </w:r>
    </w:p>
    <w:p>
      <w:pPr>
        <w:spacing w:after="0" w:line="178" w:lineRule="exact"/>
        <w:rPr>
          <w:sz w:val="20"/>
          <w:szCs w:val="20"/>
          <w:color w:val="auto"/>
        </w:rPr>
      </w:pPr>
    </w:p>
    <w:p>
      <w:pPr>
        <w:ind w:right="3439" w:firstLine="793"/>
        <w:spacing w:after="0" w:line="258"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was primarily comprised of compensation expense and increased by 26.6% to $61.0 million, or 13.4% of revenue, in the three months ended March 31, 2002 from $48.2 million, or 12.9% of revenue, in the three months ended March 31, 2001. The increase was attributable to the increase in our selling and marketing efforts in the three months ended March 31, 2002.</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AMORTIZATION OF GOODWILL AND PURCHASED INTANGIBLE ASSETS. Amortization of goodwill and purchased intangible assets for the three months ended March 31, 2002 was $61.9 million, compared to $54.2 million in the three months ended March 31, 2001. The increase in amortization expense in the three months ended March 31, 2002 was due to the non-goodwill related amortization resulting from the Clarify acquisition. As a result of SFAS 142, goodwill related to Clarify, an acquisition made by us after July 1, 2001, is not amortized, and is subject to impairment tests. For acquisitions we made prior to July 1, 2001, which includes all of our acquisitions other than Clarify, SFAS 142 requires us to amortize the goodwill resulting from such acquisitions only through its final adoption in our fiscal 2003. In the three months ended March 31, 2002, total amortization related to such goodwill was $50.5 million. Effective as of October 1, 2002, SFAS 142 will be adopted by us and goodwill related to our acquisitions will no longer be amortized on a periodic basis. Instead, any such goodwill will be subject only to the same impairment tests now applicable to Clarify's goodwill. See discussion above - "Acquisition".</w:t>
      </w:r>
    </w:p>
    <w:p>
      <w:pPr>
        <w:spacing w:after="0" w:line="18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OPERATING INCOME. Operating income in the three months ended March 31, 2002, was $50.8 million, compared to $37.4 million in the three months ended March 31, 2001, an increase of 36.0%, due to the increase in revenue and operational efficiency partly offset by the Clarify acquisition-related charges. Pro forma operating income for the three months ended March 31, 2002, excluding acquisition-related charges, was $112.7 million, or 24.8% of revenue, compared to $91.5 million, or 24.6% of revenue, for the three months ended March 31, 2001, an increase of 23.2%.</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8" w:right="1440" w:bottom="1440" w:gutter="0" w:footer="0" w:header="0"/>
        </w:sectPr>
      </w:pPr>
    </w:p>
    <w:bookmarkStart w:id="21" w:name="page22"/>
    <w:bookmarkEnd w:id="21"/>
    <w:p>
      <w:pPr>
        <w:ind w:right="3359" w:firstLine="793"/>
        <w:spacing w:after="0" w:line="238" w:lineRule="auto"/>
        <w:rPr>
          <w:sz w:val="20"/>
          <w:szCs w:val="20"/>
          <w:color w:val="auto"/>
        </w:rPr>
      </w:pPr>
      <w:r>
        <w:rPr>
          <w:rFonts w:ascii="Courier New" w:cs="Courier New" w:eastAsia="Courier New" w:hAnsi="Courier New"/>
          <w:sz w:val="15"/>
          <w:szCs w:val="15"/>
          <w:color w:val="auto"/>
        </w:rPr>
        <w:t>INTEREST INCOME AND OTHER, NET. In the three months ended March 31, 2002, interest income and other, net, was $2.4 million, a decrease of $2.7 million over the three months ended March 31, 2001. The decrease in interest income and other, net, was primarily attributable to the overall interest rate declines partially offset by increase in our cash equivalents and short-term interest-bearing investments, net of convertible notes.</w:t>
      </w:r>
    </w:p>
    <w:p>
      <w:pPr>
        <w:spacing w:after="0" w:line="176"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INCOME TAXES. Income taxes in the three months ended March 31, 2002 were $26.8 million on income before income taxes of $53.2 million. Our effective tax rate from operations in the three months ended March 31, 2002 was 50%, resulting from the non-cash amortization of goodwill related to acquisitions, much of which is not tax deductible. The pro forma effective tax rate for the three months ended March 31, 2002, excluding the acquisition-related charges, was 28%. In the three months ended March 31, 2001, income taxes were $27.0 million on income before taxes of $42.5 million. The pro forma effective tax rate for the three months ended March 31, 2001, excluding acquisition-related charges, was 30%. See discussion below - "Effective Tax Rate".</w:t>
      </w:r>
    </w:p>
    <w:p>
      <w:pPr>
        <w:spacing w:after="0" w:line="16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NET INCOME. Net income was $26.4 million in the three months ended March 31, 2002, compared to $15.4 million in the three months ended March 31, 2001. Net income was 5.8% of revenue for the three months ended March 31, 2002, compared to 4.1% for the three months ended March 31, 2001. We expect our net income to be impacted positively in fiscal 2003 by our adoption of SFAS 142 as of October 1, 2002. As a result of the adoption, we will no longer be required to amortize the goodwill from any of our acquisitions made prior to Clarify. Instead, any such goodwill will be subject only to impairment tests, as is the case currently for the goodwill from the Clarify acquisition. See discussion above - "Acquisition". Pro forma net income in the three months ended March 31, 2002, excluding the acquisition-related charges, increased by 22.5% over the three months ended March 31, 2001, reaching $82.9 million, representing 18.2% of revenue.</w:t>
      </w:r>
    </w:p>
    <w:p>
      <w:pPr>
        <w:spacing w:after="0" w:line="183" w:lineRule="exact"/>
        <w:rPr>
          <w:sz w:val="20"/>
          <w:szCs w:val="20"/>
          <w:color w:val="auto"/>
        </w:rPr>
      </w:pPr>
    </w:p>
    <w:p>
      <w:pPr>
        <w:ind w:right="3359" w:firstLine="793"/>
        <w:spacing w:after="0" w:line="238" w:lineRule="auto"/>
        <w:rPr>
          <w:sz w:val="20"/>
          <w:szCs w:val="20"/>
          <w:color w:val="auto"/>
        </w:rPr>
      </w:pPr>
      <w:r>
        <w:rPr>
          <w:rFonts w:ascii="Courier New" w:cs="Courier New" w:eastAsia="Courier New" w:hAnsi="Courier New"/>
          <w:sz w:val="15"/>
          <w:szCs w:val="15"/>
          <w:color w:val="auto"/>
        </w:rPr>
        <w:t>DILUTED EARNINGS PER SHARE. Diluted earnings per share were $0.12 for the three months ended March 31, 2002, compared to $0.07 in the three months ended March 31, 2001. Pro forma diluted earnings per share in the three months ended March 31, 2002, excluding the acquisition-related charges, increased by 23.3% from the three months ended March 31, 2001, reaching $0.37 per diluted share.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Cash, cash equivalents and short-term interest-bearing investments totaled $1,040.9 million as of March 31, 2002, compared to $1,110.1 million as of September 30, 2001. The decrease is attributable primarily to the acquisition of Clarify and is partially offset by cash flows from operations. Net cash provided by operating activities amounted to $208.0 million and $124.9 million for the six months ended March 31, 2002 and 2001, respectively. The increase in cash flows from operations was due to increased net income before depreciation, amortization, and a one-time charge for write-off of in-process research and development, and a decrease in working capital. We currently intend to retain our future operating cash flows to support the further expansion of our business.</w:t>
      </w:r>
    </w:p>
    <w:p>
      <w:pPr>
        <w:spacing w:after="0" w:line="181"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As of March 31, 2002, we had positive working capital of $965.4 million, compared to positive working capital of $1,059.9 million as of September 30, 2001. The decrease is attributable primarily to cash paid for the acquisition of Clarify. We believe that current cash balances, cash generated from operations and our current lines of credit will provide sufficient resources to meet our needs in the near future.</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All of the 2% Convertible Notes due June 1, 2008 issued by us in May, 2001 were outstanding as of March 31, 2002, representing an aggregate principal amount of $500.0 million plus accumulated interest.</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March 31, 2002, we had short-term general revolving lines of credit totaling $40.0 million, none of which were outstanding. In addition, as of March 31, 2002 we had credit facilities totaling $42.8 million limited for the use of letters of credit and bank guaranties from various banks. Outstanding letters of credit and bank guarantees as of March 31, 2002 totaled $20.8 million. These were supported by a combination of the credit facilities described above and compensating cash balances that we maintain.</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8" w:right="1440" w:bottom="1440" w:gutter="0" w:footer="0" w:header="0"/>
        </w:sectPr>
      </w:pPr>
    </w:p>
    <w:bookmarkStart w:id="22" w:name="page23"/>
    <w:bookmarkEnd w:id="22"/>
    <w:p>
      <w:pPr>
        <w:ind w:right="3179" w:firstLine="793"/>
        <w:spacing w:after="0" w:line="235" w:lineRule="auto"/>
        <w:rPr>
          <w:sz w:val="20"/>
          <w:szCs w:val="20"/>
          <w:color w:val="auto"/>
        </w:rPr>
      </w:pPr>
      <w:r>
        <w:rPr>
          <w:rFonts w:ascii="Courier New" w:cs="Courier New" w:eastAsia="Courier New" w:hAnsi="Courier New"/>
          <w:sz w:val="15"/>
          <w:szCs w:val="15"/>
          <w:color w:val="auto"/>
        </w:rPr>
        <w:t>We had outstanding long-term obligations of $31.6 million in connection with leasing arrangements as of March 31, 2002.</w:t>
      </w:r>
    </w:p>
    <w:p>
      <w:pPr>
        <w:spacing w:after="0" w:line="176"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Currently, our capital expenditures consist primarily of computer equipment and vehicles and are funded principally by operating cash flows and capital leasing arrangements. We do not anticipate any changes to this policy in the foreseeable future.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DEFERRED TAX ASSETS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of March 31, 2002, deferred tax assets of $24.3 million, derived primarily from carry-forward net operating losses relating to losses incurred by Solect prior to our acquisition of the company in April 2000, were offset by valuation allowances due to the uncertainty of realizing any tax benefit for such losses. When realization of the tax benefits associated with such net operating losses is deemed probable, the valuation allowance will be released, resulting primarily in an offsetting reduction of the goodwill recorded in the Solect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blended effective tax rate was 60% for the six months ended March 31, 2002. Our consolidated effective tax rate from operations (based on the ratio between income taxes and income before income taxes, excluding one-time charges for write-offs of purchased in-process research and development and the nonrecurring charge resulting from the Stamford facility closing) for the six months ended March 31, 2002 was 50%, compared to 63% in the six months ended March 31, 2001. These high effective tax rates were attributable to amortization of goodwill related to our acquisitions, much of which is not tax deductible. Our overall pro forma effective tax rate for fiscal year 2002 is expected to be approximately 28% compared to our historical pro forma effective tax rate of approximately 30%, due to the corporate income tax rates in the various countries in which we operate and changes in the relative magnitude of our business in those countries.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Approximately 90% of our revenue is in U.S. dollars or linked to the dollar and therefore the dollar is our functional currency. Approximately 60% of our operating expenses (excluding amortization for goodwill and intangible assets, in-process research and development and nonrecurring charge) are paid in dollars or linked to dollars. Other significant currencies in which we receive revenue or pay expenses are Australian dollars, British pounds, Canadian dollars, the European Monetary Union currency ("euro") and Israeli shekels. Historically, the effect of fluctuations in currency exchange rates has had a minimal impact on our operations. As we expand our operations outside of the United States, our exposure to fluctuations in currency exchange rates could increase. In managing our foreign exchange risk, we enter from time to time into various foreign exchange contracts. As of March 31, 2002, we had hedged significant exposures in currencies other than the dollar.</w:t>
      </w:r>
    </w:p>
    <w:p>
      <w:pPr>
        <w:spacing w:after="0" w:line="3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58" w:right="1440" w:bottom="1440" w:gutter="0" w:footer="0" w:header="0"/>
        </w:sectPr>
      </w:pPr>
    </w:p>
    <w:bookmarkStart w:id="23" w:name="page24"/>
    <w:bookmarkEnd w:id="23"/>
    <w:p>
      <w:pPr>
        <w:ind w:left="10"/>
        <w:spacing w:after="0"/>
        <w:tabs>
          <w:tab w:leader="none" w:pos="102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6-K.</w:t>
      </w:r>
    </w:p>
    <w:p>
      <w:pPr>
        <w:spacing w:after="0" w:line="169" w:lineRule="exact"/>
        <w:rPr>
          <w:sz w:val="20"/>
          <w:szCs w:val="20"/>
          <w:color w:val="auto"/>
        </w:rPr>
      </w:pPr>
    </w:p>
    <w:p>
      <w:pPr>
        <w:ind w:left="790" w:hanging="790"/>
        <w:spacing w:after="0"/>
        <w:tabs>
          <w:tab w:leader="none" w:pos="79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ind w:left="10"/>
        <w:spacing w:after="0"/>
        <w:tabs>
          <w:tab w:leader="none" w:pos="13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10"/>
        <w:spacing w:after="0"/>
        <w:tabs>
          <w:tab w:leader="none" w:pos="120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4"/>
          <w:szCs w:val="14"/>
          <w:color w:val="auto"/>
        </w:rPr>
        <w:t>Amdocs Limited Press Release dated April 23, 2002.</w:t>
      </w:r>
    </w:p>
    <w:p>
      <w:pPr>
        <w:spacing w:after="0" w:line="169" w:lineRule="exact"/>
        <w:rPr>
          <w:sz w:val="20"/>
          <w:szCs w:val="20"/>
          <w:color w:val="auto"/>
        </w:rPr>
      </w:pPr>
    </w:p>
    <w:p>
      <w:pPr>
        <w:ind w:left="790" w:hanging="790"/>
        <w:spacing w:after="0"/>
        <w:tabs>
          <w:tab w:leader="none" w:pos="79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6-K</w:t>
      </w:r>
    </w:p>
    <w:p>
      <w:pPr>
        <w:spacing w:after="0" w:line="174" w:lineRule="exact"/>
        <w:rPr>
          <w:rFonts w:ascii="Courier New" w:cs="Courier New" w:eastAsia="Courier New" w:hAnsi="Courier New"/>
          <w:sz w:val="15"/>
          <w:szCs w:val="15"/>
          <w:color w:val="auto"/>
        </w:rPr>
      </w:pPr>
    </w:p>
    <w:p>
      <w:pPr>
        <w:ind w:left="790" w:right="34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filed the following reports on Form 6-K during the three months ended March 31, 2002:</w:t>
      </w:r>
    </w:p>
    <w:p>
      <w:pPr>
        <w:spacing w:after="0" w:line="170"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January 30, 2002.</w:t>
      </w:r>
    </w:p>
    <w:p>
      <w:pPr>
        <w:spacing w:after="0" w:line="169"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6-K/A dated February 11, 2002.</w:t>
      </w:r>
    </w:p>
    <w:p>
      <w:pPr>
        <w:spacing w:after="0" w:line="169" w:lineRule="exact"/>
        <w:rPr>
          <w:rFonts w:ascii="Courier New" w:cs="Courier New" w:eastAsia="Courier New" w:hAnsi="Courier New"/>
          <w:sz w:val="15"/>
          <w:szCs w:val="15"/>
          <w:color w:val="auto"/>
        </w:rPr>
      </w:pPr>
    </w:p>
    <w:p>
      <w:pPr>
        <w:ind w:left="1150" w:hanging="356"/>
        <w:spacing w:after="0"/>
        <w:tabs>
          <w:tab w:leader="none" w:pos="115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6-K dated March 19, 2002.</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452" w:right="1440" w:bottom="1440" w:gutter="0" w:footer="0" w:header="0"/>
        </w:sectPr>
      </w:pPr>
    </w:p>
    <w:bookmarkStart w:id="24" w:name="page25"/>
    <w:bookmarkEnd w:id="24"/>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jc w:val="both"/>
        <w:ind w:right="38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AMDOCS LIMITED</w:t>
      </w:r>
    </w:p>
    <w:p>
      <w:pPr>
        <w:spacing w:after="0" w:line="339"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s/ Thomas G. O'Brien</w:t>
      </w:r>
    </w:p>
    <w:p>
      <w:pPr>
        <w:ind w:left="4400"/>
        <w:spacing w:after="0"/>
        <w:rPr>
          <w:sz w:val="20"/>
          <w:szCs w:val="20"/>
          <w:color w:val="auto"/>
        </w:rPr>
      </w:pPr>
      <w:r>
        <w:rPr>
          <w:rFonts w:ascii="Courier New" w:cs="Courier New" w:eastAsia="Courier New" w:hAnsi="Courier New"/>
          <w:sz w:val="15"/>
          <w:szCs w:val="15"/>
          <w:color w:val="auto"/>
        </w:rPr>
        <w:t>Thomas G. O'Brien</w:t>
      </w:r>
    </w:p>
    <w:p>
      <w:pPr>
        <w:ind w:left="4400"/>
        <w:spacing w:after="0"/>
        <w:rPr>
          <w:sz w:val="20"/>
          <w:szCs w:val="20"/>
          <w:color w:val="auto"/>
        </w:rPr>
      </w:pPr>
      <w:r>
        <w:rPr>
          <w:rFonts w:ascii="Courier New" w:cs="Courier New" w:eastAsia="Courier New" w:hAnsi="Courier New"/>
          <w:sz w:val="15"/>
          <w:szCs w:val="15"/>
          <w:color w:val="auto"/>
        </w:rPr>
        <w:t>Treasurer and Secretary</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Authorized U.S. Representative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360" w:type="dxa"/>
            <w:vAlign w:val="bottom"/>
          </w:tcPr>
          <w:p>
            <w:pPr>
              <w:ind w:left="300"/>
              <w:spacing w:after="0"/>
              <w:rPr>
                <w:sz w:val="20"/>
                <w:szCs w:val="20"/>
                <w:color w:val="auto"/>
              </w:rPr>
            </w:pPr>
            <w:r>
              <w:rPr>
                <w:rFonts w:ascii="Courier New" w:cs="Courier New" w:eastAsia="Courier New" w:hAnsi="Courier New"/>
                <w:sz w:val="15"/>
                <w:szCs w:val="15"/>
                <w:color w:val="auto"/>
                <w:w w:val="96"/>
              </w:rPr>
              <w:t>May 13, 2002</w:t>
            </w:r>
          </w:p>
        </w:tc>
      </w:tr>
    </w:tbl>
    <w:p>
      <w:pPr>
        <w:sectPr>
          <w:pgSz w:w="11900" w:h="16838" w:orient="portrait"/>
          <w:cols w:equalWidth="0" w:num="1">
            <w:col w:w="10219"/>
          </w:cols>
          <w:pgMar w:left="240" w:top="452" w:right="1440" w:bottom="1440" w:gutter="0" w:footer="0" w:header="0"/>
        </w:sectPr>
      </w:pPr>
    </w:p>
    <w:bookmarkStart w:id="25" w:name="page26"/>
    <w:bookmarkEnd w:id="25"/>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458" w:right="1440" w:bottom="1440" w:gutter="0" w:footer="0" w:header="0"/>
        </w:sectPr>
      </w:pPr>
    </w:p>
    <w:p>
      <w:pPr>
        <w:spacing w:after="0" w:line="350" w:lineRule="exact"/>
        <w:rPr>
          <w:sz w:val="20"/>
          <w:szCs w:val="20"/>
          <w:color w:val="auto"/>
        </w:rPr>
      </w:pPr>
    </w:p>
    <w:p>
      <w:pPr>
        <w:ind w:right="240"/>
        <w:spacing w:after="0" w:line="265"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1380" w:space="720"/>
            <w:col w:w="81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Amdocs Limited Press Release dated April 23, 2002.</w:t>
      </w:r>
    </w:p>
    <w:p>
      <w:pPr>
        <w:sectPr>
          <w:pgSz w:w="11900" w:h="16838" w:orient="portrait"/>
          <w:cols w:equalWidth="0" w:num="2">
            <w:col w:w="1380" w:space="720"/>
            <w:col w:w="8119"/>
          </w:cols>
          <w:pgMar w:left="240" w:top="458" w:right="1440" w:bottom="1440" w:gutter="0" w:footer="0" w:header="0"/>
          <w:type w:val="continuous"/>
        </w:sectPr>
      </w:pPr>
    </w:p>
    <w:bookmarkStart w:id="26" w:name="page27"/>
    <w:bookmarkEnd w:id="26"/>
    <w:p>
      <w:pPr>
        <w:jc w:val="center"/>
        <w:ind w:right="3099"/>
        <w:spacing w:after="0"/>
        <w:rPr>
          <w:sz w:val="20"/>
          <w:szCs w:val="20"/>
          <w:color w:val="auto"/>
        </w:rPr>
      </w:pPr>
      <w:r>
        <w:rPr>
          <w:rFonts w:ascii="Courier New" w:cs="Courier New" w:eastAsia="Courier New" w:hAnsi="Courier New"/>
          <w:sz w:val="15"/>
          <w:szCs w:val="15"/>
          <w:color w:val="auto"/>
        </w:rPr>
        <w:t>AMDOCS LIMITED SECOND QUARTER REVENUE GROWS 22.3% TO $455.3</w:t>
      </w:r>
    </w:p>
    <w:p>
      <w:pPr>
        <w:jc w:val="center"/>
        <w:ind w:right="3179"/>
        <w:spacing w:after="0"/>
        <w:rPr>
          <w:sz w:val="20"/>
          <w:szCs w:val="20"/>
          <w:color w:val="auto"/>
        </w:rPr>
      </w:pPr>
      <w:r>
        <w:rPr>
          <w:rFonts w:ascii="Courier New" w:cs="Courier New" w:eastAsia="Courier New" w:hAnsi="Courier New"/>
          <w:sz w:val="15"/>
          <w:szCs w:val="15"/>
          <w:color w:val="auto"/>
        </w:rPr>
        <w:t>MILLION, PRO FORMA EPS REACHES $0.37</w:t>
      </w:r>
    </w:p>
    <w:p>
      <w:pPr>
        <w:spacing w:after="0" w:line="33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STOCK REPURCHASE PLAN EXPANDED TO 20 MILLION SHARES BY BOARD OF DIRECTORS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St. Louis, MO - April 23, 2002 -- Amdocs Limited (NYSE: DOX) today reported that for the second quarter ended March 31, 2002, revenue reached $455.3 million, an increase of 22.3% over last year's second quarter. Excluding acquisition-related costs, net income increased 22.5% to $82.9 million, while earnings per share increased 23.3% to $0.37 per diluted share, compared to net income of $67.6 million, or $0.30 per diluted share, in the second quarter of fiscal 2001. The Company's as-reported net income, which includes acquisition-related charges for amortization of goodwill and purchased intangible assets and related tax effects, was $26.4 million, or $0.12 per diluted share, compared to a net income of $15.4 million, or $0.07 per diluted share, in the second quarter of fiscal 2001.</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Avi Naor, Chief Executive Officer of Amdocs Management Limited, said, "This quarter, we continued to meet revenue and profitability targets and our ability to generate cash remains very high. In light of the current economy, I am very satisfied with the results. We expanded our customer base and had a very strong presence with wireline customers. We leveraged our outstanding set of offerings, including billing for next generation services and outsourcing services. We saw particular momentum in the CRM area with several new customer wins reflecting our unique ability to offer both full integration with our customer care and billing product and standalone offerings. Notably, our pipeline of new prospects continues to grow reflecting our ability to offer customers the products that meet changing market needs."</w:t>
      </w:r>
    </w:p>
    <w:p>
      <w:pPr>
        <w:spacing w:after="0" w:line="18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"Carriers are being very careful about committing to new capital expenditures. During the second quarter, we encountered further delays in customers finalizing their buying decisions, even for mission-critical software. We see more decisions being made in a phased approach, with some customers committing only to project elements that are immediately essential. This reflects a more prolonged and deeper market deterioration than had been originally anticipated," Naor noted. Amdocs expects that revenue for fiscal year ending September 30, 2002, will be approximately $1.73 billion, with pro forma earnings per share for the fiscal year expected to be approximately $1.40, excluding acquisition-related costs and nonrecurring charge.</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Naor concluded, "Many procurement decisions for new systems are currently postponed, but the demand is still there, resulting in an expanding pipeline for Amdocs. We believe these mission-critical systems remain a top priority for carriers and will be the first projects to benefit from a recovery in capital spending. Carriers recognize the growing need for the market differentiation offered by Amdocs systems. Leveraging our strong offering and broad, high-quality customer base, we are poised for accelerated growth as the industry emerges from the current transition period. Due to our market leadership position and proven business model, we are very confident of our long term business prospects."</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also announced that its Board of Directors has expanded the existing stock repurchase plan to authorize the purchase of up to 20 million shares, or approximately 9% of the Company's outstanding</w:t>
      </w:r>
    </w:p>
    <w:p>
      <w:pPr>
        <w:sectPr>
          <w:pgSz w:w="11900" w:h="16838" w:orient="portrait"/>
          <w:cols w:equalWidth="0" w:num="1">
            <w:col w:w="10219"/>
          </w:cols>
          <w:pgMar w:left="240" w:top="305" w:right="1440" w:bottom="1440" w:gutter="0" w:footer="0" w:header="0"/>
        </w:sectPr>
      </w:pPr>
    </w:p>
    <w:bookmarkStart w:id="27" w:name="page28"/>
    <w:bookmarkEnd w:id="27"/>
    <w:p>
      <w:pPr>
        <w:ind w:right="3179"/>
        <w:spacing w:after="0" w:line="237" w:lineRule="auto"/>
        <w:rPr>
          <w:sz w:val="20"/>
          <w:szCs w:val="20"/>
          <w:color w:val="auto"/>
        </w:rPr>
      </w:pPr>
      <w:r>
        <w:rPr>
          <w:rFonts w:ascii="Courier New" w:cs="Courier New" w:eastAsia="Courier New" w:hAnsi="Courier New"/>
          <w:sz w:val="15"/>
          <w:szCs w:val="15"/>
          <w:color w:val="auto"/>
        </w:rPr>
        <w:t>common stock. This represents an increase from the 11 million shares originally authorized when the plan was instituted in November 2001. These purchases may be made on the open market, or in privately negotiated transactions, at times and prices considered appropriate by the Company, which intends to fund the repurchases with available funds.</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Amdocs is the world's leading provider of CRM, billing and order management systems for the communications industry. Amdocs has an unparalleled success record in project delivery of its mission-critical products. With human resources of over 9,100 information systems professionals, Amdocs supports a global customer base. For more information visit our Web site at www.amdocs.com.</w:t>
      </w:r>
    </w:p>
    <w:p>
      <w:pPr>
        <w:spacing w:after="0" w:line="165"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Amdocs will host a conference call on April 23, 2002 at 5 p.m. Eastern Daylight Time to discuss the Company's second quarter results. The call will be carried live on the Internet via www.vcall.com and the Amdocs website, www.amdocs.com.</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This press release may contain forward-looking statements as defined under the Securities Act of 1933, as amended,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These and other risks are discussed at greater length in the Company's filings with the Securities and Exchange Commission, including in our Annual Report on Form 20-F filed December 27, 2001 and our Form 6-K filed on January 30, 2002.</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G. O'Brien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 and Director of Investor Relations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314/212-8328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dox_info@amdocs.com</w:t>
      </w:r>
    </w:p>
    <w:p>
      <w:pPr>
        <w:sectPr>
          <w:pgSz w:w="11900" w:h="16838" w:orient="portrait"/>
          <w:cols w:equalWidth="0" w:num="1">
            <w:col w:w="10219"/>
          </w:cols>
          <w:pgMar w:left="240" w:top="458" w:right="1440" w:bottom="1440" w:gutter="0" w:footer="0" w:header="0"/>
        </w:sectPr>
      </w:pPr>
    </w:p>
    <w:bookmarkStart w:id="28" w:name="page29"/>
    <w:bookmarkEnd w:id="28"/>
    <w:p>
      <w:pPr>
        <w:ind w:left="2910"/>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646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PRO FORMA CONSOLIDATED STATEMENTS OF INCOME (UNAUDITED)</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9"/>
        </w:trPr>
        <w:tc>
          <w:tcPr>
            <w:tcW w:w="646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EXCLUDING PURCHASED IN-PROCESS RESEARCH AND DEVELOPMENT,</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0"/>
        </w:trPr>
        <w:tc>
          <w:tcPr>
            <w:tcW w:w="68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7"/>
              </w:rPr>
              <w:t>AMORTIZATION OF GOODWILL AND PURCHASED INTANGIBLE ASSETS, NONRECURRING CHARGE</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4880" w:type="dxa"/>
            <w:vAlign w:val="bottom"/>
          </w:tcPr>
          <w:p>
            <w:pPr>
              <w:ind w:left="2460"/>
              <w:spacing w:after="0"/>
              <w:rPr>
                <w:sz w:val="20"/>
                <w:szCs w:val="20"/>
                <w:color w:val="auto"/>
              </w:rPr>
            </w:pPr>
            <w:r>
              <w:rPr>
                <w:rFonts w:ascii="Courier New" w:cs="Courier New" w:eastAsia="Courier New" w:hAnsi="Courier New"/>
                <w:sz w:val="15"/>
                <w:szCs w:val="15"/>
                <w:color w:val="auto"/>
              </w:rPr>
              <w:t>AND RELATED TAX EFFECTS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5460" w:type="dxa"/>
            <w:vAlign w:val="bottom"/>
            <w:gridSpan w:val="2"/>
          </w:tcPr>
          <w:p>
            <w:pPr>
              <w:ind w:left="1920"/>
              <w:spacing w:after="0"/>
              <w:rPr>
                <w:sz w:val="20"/>
                <w:szCs w:val="20"/>
                <w:color w:val="auto"/>
              </w:rPr>
            </w:pPr>
            <w:r>
              <w:rPr>
                <w:rFonts w:ascii="Courier New" w:cs="Courier New" w:eastAsia="Courier New" w:hAnsi="Courier New"/>
                <w:sz w:val="15"/>
                <w:szCs w:val="15"/>
                <w:color w:val="auto"/>
              </w:rPr>
              <w:t>(IN THOUSANDS, EXCEPT PER SHARE DATA)</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78"/>
        </w:trPr>
        <w:tc>
          <w:tcPr>
            <w:tcW w:w="48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11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ENDED</w:t>
            </w:r>
          </w:p>
        </w:tc>
        <w:tc>
          <w:tcPr>
            <w:tcW w:w="2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SIX MONTHS ENDED</w:t>
            </w:r>
          </w:p>
        </w:tc>
        <w:tc>
          <w:tcPr>
            <w:tcW w:w="360" w:type="dxa"/>
            <w:vAlign w:val="bottom"/>
          </w:tcPr>
          <w:p>
            <w:pPr>
              <w:spacing w:after="0"/>
              <w:rPr>
                <w:sz w:val="24"/>
                <w:szCs w:val="24"/>
                <w:color w:val="auto"/>
              </w:rPr>
            </w:pPr>
          </w:p>
        </w:tc>
      </w:tr>
      <w:tr>
        <w:trPr>
          <w:trHeight w:val="170"/>
        </w:trPr>
        <w:tc>
          <w:tcPr>
            <w:tcW w:w="4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SEPTEMBER</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30,</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SEPTEMBER 30,</w:t>
            </w:r>
          </w:p>
        </w:tc>
        <w:tc>
          <w:tcPr>
            <w:tcW w:w="36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MARCH 31,</w:t>
            </w: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36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2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w w:val="94"/>
              </w:rPr>
              <w:t>2002</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2001</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2002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w w:val="88"/>
              </w:rPr>
              <w:t>2001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$ 45,528</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$ 43,290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$ 87,818</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$ 81,366</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409,741</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328,999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790,092</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633,090</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455,269</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372,289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877,910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714,456</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1,433</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1,295</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2,413</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2,953</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249,204</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206,154</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479,807</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397,942</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30,902</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25,152</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59,459</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48,731</w:t>
            </w:r>
          </w:p>
        </w:tc>
      </w:tr>
      <w:tr>
        <w:trPr>
          <w:trHeight w:val="170"/>
        </w:trPr>
        <w:tc>
          <w:tcPr>
            <w:tcW w:w="48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61,023</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48,168</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114,802</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91,618</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342,562</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280,769</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656,481</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541,244</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112,707</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91,520</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221,429</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173,212</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2,383</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5,096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5,710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10,658</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115,090</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96,616</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227,139</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183,870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32,225</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28,985</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63,599</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55,161</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$ 82,865</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$ 67,631</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$163,540</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$128,709</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0.37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0.30</w:t>
            </w:r>
          </w:p>
        </w:tc>
        <w:tc>
          <w:tcPr>
            <w:tcW w:w="7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0.73</w:t>
            </w:r>
          </w:p>
        </w:tc>
        <w:tc>
          <w:tcPr>
            <w:tcW w:w="106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0.57</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225,488</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227,213</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225,275</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226,994</w:t>
            </w:r>
          </w:p>
        </w:tc>
      </w:tr>
      <w:tr>
        <w:trPr>
          <w:trHeight w:val="170"/>
        </w:trPr>
        <w:tc>
          <w:tcPr>
            <w:tcW w:w="4880" w:type="dxa"/>
            <w:vAlign w:val="bottom"/>
          </w:tcPr>
          <w:p>
            <w:pPr>
              <w:spacing w:after="0"/>
              <w:rPr>
                <w:sz w:val="14"/>
                <w:szCs w:val="14"/>
                <w:color w:val="auto"/>
              </w:rPr>
            </w:pPr>
          </w:p>
        </w:tc>
        <w:tc>
          <w:tcPr>
            <w:tcW w:w="158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790" w:right="3179" w:hanging="790"/>
        <w:spacing w:after="0" w:line="258" w:lineRule="auto"/>
        <w:tabs>
          <w:tab w:leader="none" w:pos="79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$61,894 and $54,164 of amortization of goodwill and purchased intangible assets, and tax effects related to the above of $5,470 and $1,946 for the three months ended March 31, 2002 and 2001, respectively. Including the above items, income before income taxes was $53,196 and $42,452 and diluted earnings per share were $0.12 and $0.07 for the three months ended March 31, 2002 and 2001, respectively.</w:t>
      </w:r>
    </w:p>
    <w:p>
      <w:pPr>
        <w:spacing w:after="0" w:line="163" w:lineRule="exact"/>
        <w:rPr>
          <w:rFonts w:ascii="Courier New" w:cs="Courier New" w:eastAsia="Courier New" w:hAnsi="Courier New"/>
          <w:sz w:val="14"/>
          <w:szCs w:val="14"/>
          <w:color w:val="auto"/>
        </w:rPr>
      </w:pPr>
    </w:p>
    <w:p>
      <w:pPr>
        <w:ind w:left="790" w:right="3179" w:hanging="790"/>
        <w:spacing w:after="0" w:line="257" w:lineRule="auto"/>
        <w:tabs>
          <w:tab w:leader="none" w:pos="79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$118,676 and $108,324 for amortization of goodwill and purchased intangible assets, $17,400 and $0 for write-off of purchased in-process research and development related to the Clarify acquisition, $13,311 and $0 of a nonrecurring charge related to the consolidation of data centers and the resulting closure of our Stamford, Connecticut facility, and tax effects related to the above of $16,622 and $7,604 for the six months ended March 31, 2002 and 2001, respectively. Including the above items, income before income taxes was $77,752 and $75,546, and diluted earnings per share were $0.14 and $0.12 for the six months ended March 31, 2002 and 2001, respectively.</w:t>
      </w:r>
    </w:p>
    <w:p>
      <w:pPr>
        <w:sectPr>
          <w:pgSz w:w="11900" w:h="16838" w:orient="portrait"/>
          <w:cols w:equalWidth="0" w:num="1">
            <w:col w:w="10229"/>
          </w:cols>
          <w:pgMar w:left="230" w:top="452" w:right="1440" w:bottom="1440" w:gutter="0" w:footer="0" w:header="0"/>
        </w:sectPr>
      </w:pPr>
    </w:p>
    <w:bookmarkStart w:id="29" w:name="page30"/>
    <w:bookmarkEnd w:id="29"/>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CONSOLIDATED STATEMENTS OF INCOME (UNAUDITED)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THREE MONTHS ENDED</w:t>
            </w:r>
          </w:p>
        </w:tc>
        <w:tc>
          <w:tcPr>
            <w:tcW w:w="320" w:type="dxa"/>
            <w:vAlign w:val="bottom"/>
          </w:tcPr>
          <w:p>
            <w:pPr>
              <w:spacing w:after="0"/>
              <w:rPr>
                <w:sz w:val="14"/>
                <w:szCs w:val="14"/>
                <w:color w:val="auto"/>
              </w:rPr>
            </w:pPr>
          </w:p>
        </w:tc>
        <w:tc>
          <w:tcPr>
            <w:tcW w:w="17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MARCH 31,</w:t>
            </w:r>
          </w:p>
        </w:tc>
        <w:tc>
          <w:tcPr>
            <w:tcW w:w="320" w:type="dxa"/>
            <w:vAlign w:val="bottom"/>
          </w:tcPr>
          <w:p>
            <w:pPr>
              <w:spacing w:after="0"/>
              <w:rPr>
                <w:sz w:val="14"/>
                <w:szCs w:val="14"/>
                <w:color w:val="auto"/>
              </w:rPr>
            </w:pPr>
          </w:p>
        </w:tc>
        <w:tc>
          <w:tcPr>
            <w:tcW w:w="176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5680" w:type="dxa"/>
            <w:vAlign w:val="bottom"/>
          </w:tcPr>
          <w:p>
            <w:pPr>
              <w:spacing w:after="0"/>
              <w:rPr>
                <w:sz w:val="14"/>
                <w:szCs w:val="14"/>
                <w:color w:val="auto"/>
              </w:rPr>
            </w:pPr>
          </w:p>
        </w:tc>
        <w:tc>
          <w:tcPr>
            <w:tcW w:w="2280" w:type="dxa"/>
            <w:vAlign w:val="bottom"/>
            <w:gridSpan w:val="4"/>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License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$ 45,528</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$ 43,290</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$ 87,818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$ 81,366</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Service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409,741</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328,999</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790,092</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633,090</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455,269</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372,289</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877,910</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714,456</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Cost of license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1,433</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1,295</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2,413</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2,953</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Cost of service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249,204</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206,154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479,807</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397,942</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Research and development</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30,902</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25,152</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59,459</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48,731</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61,023</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48,168</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114,802</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91,618</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purchased intangible assets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61,894</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54,164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118,676</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108,324</w:t>
            </w:r>
          </w:p>
        </w:tc>
      </w:tr>
      <w:tr>
        <w:trPr>
          <w:trHeight w:val="170"/>
        </w:trPr>
        <w:tc>
          <w:tcPr>
            <w:tcW w:w="5680" w:type="dxa"/>
            <w:vAlign w:val="bottom"/>
          </w:tcPr>
          <w:p>
            <w:pPr>
              <w:ind w:left="260"/>
              <w:spacing w:after="0"/>
              <w:rPr>
                <w:sz w:val="20"/>
                <w:szCs w:val="20"/>
                <w:color w:val="auto"/>
              </w:rPr>
            </w:pPr>
            <w:r>
              <w:rPr>
                <w:rFonts w:ascii="Courier New" w:cs="Courier New" w:eastAsia="Courier New" w:hAnsi="Courier New"/>
                <w:sz w:val="15"/>
                <w:szCs w:val="15"/>
                <w:color w:val="auto"/>
              </w:rPr>
              <w:t>In-process research and development and nonrecurring charge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30,711</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404,456</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334,933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805,868</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649,568</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50,813</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37,356</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72,042</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64,888</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Interest income and other, net</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2,383</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5,096</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5,710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10,658</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53,196</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42,452</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77,752</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75,546</w:t>
            </w:r>
          </w:p>
        </w:tc>
      </w:tr>
      <w:tr>
        <w:trPr>
          <w:trHeight w:val="339"/>
        </w:trPr>
        <w:tc>
          <w:tcPr>
            <w:tcW w:w="56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3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26,755</w:t>
            </w:r>
          </w:p>
        </w:tc>
        <w:tc>
          <w:tcPr>
            <w:tcW w:w="32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27,039</w:t>
            </w:r>
          </w:p>
        </w:tc>
        <w:tc>
          <w:tcPr>
            <w:tcW w:w="3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46,977</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47,557</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$ 26,441</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$ 15,413</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$ 30,775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$ 27,989</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0.12</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shares outstanding</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222,995</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221,884</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222,844</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221,546</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68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shares outstanding</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225,488</w:t>
            </w:r>
          </w:p>
        </w:tc>
        <w:tc>
          <w:tcPr>
            <w:tcW w:w="3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1"/>
              </w:rPr>
              <w:t>227,213</w:t>
            </w:r>
          </w:p>
        </w:tc>
        <w:tc>
          <w:tcPr>
            <w:tcW w:w="3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225,275</w:t>
            </w:r>
          </w:p>
        </w:tc>
        <w:tc>
          <w:tcPr>
            <w:tcW w:w="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226,994</w:t>
            </w:r>
          </w:p>
        </w:tc>
      </w:tr>
      <w:tr>
        <w:trPr>
          <w:trHeight w:val="170"/>
        </w:trPr>
        <w:tc>
          <w:tcPr>
            <w:tcW w:w="5680" w:type="dxa"/>
            <w:vAlign w:val="bottom"/>
          </w:tcPr>
          <w:p>
            <w:pPr>
              <w:spacing w:after="0"/>
              <w:rPr>
                <w:sz w:val="14"/>
                <w:szCs w:val="14"/>
                <w:color w:val="auto"/>
              </w:rPr>
            </w:pP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52" w:right="1440" w:bottom="1440" w:gutter="0" w:footer="0" w:header="0"/>
        </w:sectPr>
      </w:pPr>
    </w:p>
    <w:bookmarkStart w:id="30" w:name="page31"/>
    <w:bookmarkEnd w:id="30"/>
    <w:p>
      <w:pPr>
        <w:jc w:val="center"/>
        <w:ind w:right="3179"/>
        <w:spacing w:after="0"/>
        <w:rPr>
          <w:sz w:val="20"/>
          <w:szCs w:val="20"/>
          <w:color w:val="auto"/>
        </w:rPr>
      </w:pPr>
      <w:r>
        <w:rPr>
          <w:rFonts w:ascii="Courier New" w:cs="Courier New" w:eastAsia="Courier New" w:hAnsi="Courier New"/>
          <w:sz w:val="15"/>
          <w:szCs w:val="15"/>
          <w:color w:val="auto"/>
        </w:rPr>
        <w:t>AMDOCS LIMITED</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70"/>
        </w:trPr>
        <w:tc>
          <w:tcPr>
            <w:tcW w:w="7180" w:type="dxa"/>
            <w:vAlign w:val="bottom"/>
          </w:tcPr>
          <w:p>
            <w:pPr>
              <w:ind w:left="2900"/>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678"/>
        </w:trPr>
        <w:tc>
          <w:tcPr>
            <w:tcW w:w="7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3"/>
              </w:rPr>
              <w:t>AS OF</w:t>
            </w:r>
          </w:p>
        </w:tc>
      </w:tr>
      <w:tr>
        <w:trPr>
          <w:trHeight w:val="170"/>
        </w:trPr>
        <w:tc>
          <w:tcPr>
            <w:tcW w:w="718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14"/>
                <w:szCs w:val="14"/>
                <w:color w:val="auto"/>
              </w:rPr>
            </w:pP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MARCH 31,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0"/>
        </w:trPr>
        <w:tc>
          <w:tcPr>
            <w:tcW w:w="7180" w:type="dxa"/>
            <w:vAlign w:val="bottom"/>
          </w:tcPr>
          <w:p>
            <w:pPr>
              <w:spacing w:after="0"/>
              <w:rPr>
                <w:sz w:val="14"/>
                <w:szCs w:val="14"/>
                <w:color w:val="auto"/>
              </w:rPr>
            </w:pP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2001</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14"/>
                <w:szCs w:val="14"/>
                <w:color w:val="auto"/>
              </w:rPr>
            </w:pPr>
          </w:p>
        </w:tc>
        <w:tc>
          <w:tcPr>
            <w:tcW w:w="2600" w:type="dxa"/>
            <w:vAlign w:val="bottom"/>
            <w:gridSpan w:val="2"/>
          </w:tcPr>
          <w:p>
            <w:pPr>
              <w:jc w:val="right"/>
              <w:ind w:right="1347"/>
              <w:spacing w:after="0"/>
              <w:rPr>
                <w:sz w:val="20"/>
                <w:szCs w:val="20"/>
                <w:color w:val="auto"/>
              </w:rPr>
            </w:pPr>
            <w:r>
              <w:rPr>
                <w:rFonts w:ascii="Courier New" w:cs="Courier New" w:eastAsia="Courier New" w:hAnsi="Courier New"/>
                <w:sz w:val="15"/>
                <w:szCs w:val="15"/>
                <w:color w:val="auto"/>
              </w:rPr>
              <w:t>(UNAUDITED)</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Cash, cash equivalents and short-term interest-bearing investments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$1,040,940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$1,110,067</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including unbilled of $26,762 and $23,272, respectively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406,588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384,851</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taxes receivable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54,868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38,916</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54,968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38,045</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ind w:left="340"/>
              <w:spacing w:after="0"/>
              <w:rPr>
                <w:sz w:val="20"/>
                <w:szCs w:val="20"/>
                <w:color w:val="auto"/>
              </w:rPr>
            </w:pPr>
            <w:r>
              <w:rPr>
                <w:rFonts w:ascii="Courier New" w:cs="Courier New" w:eastAsia="Courier New" w:hAnsi="Courier New"/>
                <w:sz w:val="15"/>
                <w:szCs w:val="15"/>
                <w:color w:val="auto"/>
              </w:rPr>
              <w:t>Total 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1,557,364</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1,571,879</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Equipment, vehicles and leasehold improvements,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171,496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173,695</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 net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874,200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788,187</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122,816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90,675</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$2,725,876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71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9"/>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accruals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340,888</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270,517</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10,286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10,400</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Deferred revenue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136,140</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140,033</w:t>
            </w:r>
          </w:p>
        </w:tc>
      </w:tr>
      <w:tr>
        <w:trPr>
          <w:trHeight w:val="170"/>
        </w:trPr>
        <w:tc>
          <w:tcPr>
            <w:tcW w:w="71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 and income taxes payable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104,635</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91,026</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ind w:left="340"/>
              <w:spacing w:after="0"/>
              <w:rPr>
                <w:sz w:val="20"/>
                <w:szCs w:val="20"/>
                <w:color w:val="auto"/>
              </w:rPr>
            </w:pPr>
            <w:r>
              <w:rPr>
                <w:rFonts w:ascii="Courier New" w:cs="Courier New" w:eastAsia="Courier New" w:hAnsi="Courier New"/>
                <w:sz w:val="15"/>
                <w:szCs w:val="15"/>
                <w:color w:val="auto"/>
              </w:rPr>
              <w:t>Total current liabilities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591,949</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511,976</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Convertible notes and other noncurrent liabilities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608,333</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600,369</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1,525,594</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1,512,091</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$2,725,876</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$2,624,436</w:t>
            </w:r>
          </w:p>
        </w:tc>
      </w:tr>
      <w:tr>
        <w:trPr>
          <w:trHeight w:val="170"/>
        </w:trPr>
        <w:tc>
          <w:tcPr>
            <w:tcW w:w="7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 #</w:t>
      </w:r>
    </w:p>
    <w:sectPr>
      <w:pgSz w:w="11900" w:h="16838" w:orient="portrait"/>
      <w:cols w:equalWidth="0" w:num="1">
        <w:col w:w="10219"/>
      </w:cols>
      <w:pgMar w:left="240" w:top="4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lvl w:ilvl="1">
      <w:lvlJc w:val="left"/>
      <w:lvlText w:val="(%2)"/>
      <w:numFmt w:val="decimal"/>
      <w:start w:val="1"/>
    </w:lvl>
  </w:abstractNum>
  <w:abstractNum w:abstractNumId="4">
    <w:nsid w:val="66EF438D"/>
    <w:multiLevelType w:val="hybridMultilevel"/>
    <w:lvl w:ilvl="0">
      <w:lvlJc w:val="left"/>
      <w:lvlText w:val="%1."/>
      <w:numFmt w:val="decimal"/>
      <w:start w:val="3"/>
    </w:lvl>
    <w:lvl w:ilvl="1">
      <w:lvlJc w:val="left"/>
      <w:lvlText w:val="%2"/>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2"/>
    </w:lvl>
    <w:lvl w:ilvl="1">
      <w:lvlJc w:val="left"/>
      <w:lvlText w:val="(%2)"/>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2019-12-14T21:14:47Z</dcterms:created>
  <dcterms:modified xsi:type="dcterms:W3CDTF">2019-12-14T21:14:47Z</dcterms:modified>
</cp:coreProperties>
</file>