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41175d6k.htm"/>
      <w:bookmarkStart w:id="1" w:name="ksd41175d6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6-K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bidi w:val="0"/>
        <w:spacing w:before="0" w:after="0"/>
        <w:jc w:val="center"/>
        <w:rPr>
          <w:rFonts w:ascii="Times New Roman" w:hAnsi="Times New Roman"/>
          <w:b/>
          <w:sz w:val="24"/>
        </w:rPr>
      </w:pPr>
      <w:r>
        <w:rPr>
          <w:rFonts w:ascii="Times New Roman" w:hAnsi="Times New Roman"/>
          <w:b/>
          <w:sz w:val="24"/>
        </w:rPr>
        <w:t>PURSUANT TO RULE 13a-16 OR 15d-16</w:t>
      </w:r>
    </w:p>
    <w:p>
      <w:pPr>
        <w:pStyle w:val="TextBody"/>
        <w:bidi w:val="0"/>
        <w:spacing w:before="0" w:after="0"/>
        <w:jc w:val="center"/>
        <w:rPr>
          <w:rFonts w:ascii="Times New Roman" w:hAnsi="Times New Roman"/>
          <w:b/>
          <w:sz w:val="24"/>
        </w:rPr>
      </w:pPr>
      <w:r>
        <w:rPr>
          <w:rFonts w:ascii="Times New Roman" w:hAnsi="Times New Roman"/>
          <w:b/>
          <w:sz w:val="24"/>
        </w:rPr>
        <w:t xml:space="preserve">OF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December 2025 </w:t>
      </w:r>
    </w:p>
    <w:p>
      <w:pPr>
        <w:pStyle w:val="TextBody"/>
        <w:bidi w:val="0"/>
        <w:spacing w:before="240" w:after="0"/>
        <w:jc w:val="center"/>
        <w:rPr>
          <w:rFonts w:ascii="Times New Roman" w:hAnsi="Times New Roman"/>
          <w:b/>
          <w:sz w:val="20"/>
        </w:rPr>
      </w:pPr>
      <w:r>
        <w:rPr>
          <w:rFonts w:ascii="Times New Roman" w:hAnsi="Times New Roman"/>
          <w:b/>
          <w:sz w:val="20"/>
        </w:rPr>
        <w:t>Commission File Number 1-14840</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AMDOCS LIMITED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Hirzel House, Smith Street, </w:t>
      </w:r>
    </w:p>
    <w:p>
      <w:pPr>
        <w:pStyle w:val="TextBody"/>
        <w:bidi w:val="0"/>
        <w:spacing w:before="0" w:after="0"/>
        <w:jc w:val="center"/>
        <w:rPr>
          <w:rFonts w:ascii="Times New Roman" w:hAnsi="Times New Roman"/>
          <w:b/>
          <w:sz w:val="20"/>
        </w:rPr>
      </w:pPr>
      <w:r>
        <w:rPr>
          <w:rFonts w:ascii="Times New Roman" w:hAnsi="Times New Roman"/>
          <w:b/>
          <w:sz w:val="20"/>
        </w:rPr>
        <w:t xml:space="preserve">St. Peter Port, Island of Guernsey, GY1 2NG </w:t>
      </w:r>
    </w:p>
    <w:p>
      <w:pPr>
        <w:pStyle w:val="TextBody"/>
        <w:bidi w:val="0"/>
        <w:spacing w:before="0" w:after="0"/>
        <w:jc w:val="center"/>
        <w:rPr>
          <w:rFonts w:ascii="Times New Roman" w:hAnsi="Times New Roman"/>
          <w:b/>
          <w:sz w:val="20"/>
        </w:rPr>
      </w:pPr>
      <w:r>
        <w:rPr>
          <w:rFonts w:ascii="Times New Roman" w:hAnsi="Times New Roman"/>
          <w:b/>
          <w:sz w:val="20"/>
        </w:rPr>
        <w:t xml:space="preserve">Amdocs, Inc. </w:t>
      </w:r>
    </w:p>
    <w:p>
      <w:pPr>
        <w:pStyle w:val="TextBody"/>
        <w:bidi w:val="0"/>
        <w:spacing w:before="0" w:after="0"/>
        <w:jc w:val="center"/>
        <w:rPr>
          <w:rFonts w:ascii="Times New Roman" w:hAnsi="Times New Roman"/>
          <w:b/>
          <w:sz w:val="20"/>
        </w:rPr>
      </w:pPr>
      <w:r>
        <w:rPr>
          <w:rFonts w:ascii="Times New Roman" w:hAnsi="Times New Roman"/>
          <w:b/>
          <w:sz w:val="20"/>
        </w:rPr>
        <w:t xml:space="preserve">625 Maryville Centre Drive, Suite 200, Saint Louis, Missouri 63141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files or will file annual reports under cover of Form 20-F or Form 40-F:</w:t>
      </w:r>
    </w:p>
    <w:p>
      <w:pPr>
        <w:pStyle w:val="TextBody"/>
        <w:bidi w:val="0"/>
        <w:spacing w:before="240" w:after="0"/>
        <w:jc w:val="center"/>
        <w:rPr>
          <w:rFonts w:ascii="Times New Roman" w:hAnsi="Times New Roman"/>
          <w:sz w:val="20"/>
        </w:rPr>
      </w:pPr>
      <w:r>
        <w:rPr>
          <w:rFonts w:ascii="Times New Roman" w:hAnsi="Times New Roman"/>
          <w:sz w:val="20"/>
        </w:rPr>
        <w:t xml:space="preserve">FORM 20-F ☒   FORM 40-F ☐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On December 16, 2025, Amdocs Limited (“Amdocs”) issued its annual report for the year ended September 30, 2025. A copy of the annual report is furnished as Exhibit 99.1 to this Report of Foreign Private Issuer on Form 6-K.</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 this Form 6-K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EXHIBIT INDEX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12"/>
        <w:gridCol w:w="612"/>
        <w:gridCol w:w="8881"/>
      </w:tblGrid>
      <w:tr>
        <w:trPr/>
        <w:tc>
          <w:tcPr>
            <w:tcW w:w="712" w:type="dxa"/>
            <w:tcBorders/>
            <w:vAlign w:val="center"/>
          </w:tcPr>
          <w:p>
            <w:pPr>
              <w:pStyle w:val="TableContents"/>
              <w:bidi w:val="0"/>
              <w:spacing w:before="0" w:after="283"/>
              <w:jc w:val="left"/>
              <w:rPr>
                <w:sz w:val="4"/>
                <w:szCs w:val="4"/>
              </w:rPr>
            </w:pPr>
            <w:r>
              <w:rPr>
                <w:sz w:val="4"/>
                <w:szCs w:val="4"/>
              </w:rPr>
            </w:r>
          </w:p>
        </w:tc>
        <w:tc>
          <w:tcPr>
            <w:tcW w:w="612" w:type="dxa"/>
            <w:tcBorders/>
            <w:vAlign w:val="bottom"/>
          </w:tcPr>
          <w:p>
            <w:pPr>
              <w:pStyle w:val="TableContents"/>
              <w:bidi w:val="0"/>
              <w:spacing w:before="0" w:after="283"/>
              <w:jc w:val="left"/>
              <w:rPr>
                <w:sz w:val="4"/>
                <w:szCs w:val="4"/>
              </w:rPr>
            </w:pPr>
            <w:r>
              <w:rPr>
                <w:sz w:val="4"/>
                <w:szCs w:val="4"/>
              </w:rPr>
            </w:r>
          </w:p>
        </w:tc>
        <w:tc>
          <w:tcPr>
            <w:tcW w:w="8881" w:type="dxa"/>
            <w:tcBorders/>
            <w:vAlign w:val="center"/>
          </w:tcPr>
          <w:p>
            <w:pPr>
              <w:pStyle w:val="TableContents"/>
              <w:bidi w:val="0"/>
              <w:spacing w:before="0" w:after="283"/>
              <w:jc w:val="left"/>
              <w:rPr>
                <w:sz w:val="4"/>
                <w:szCs w:val="4"/>
              </w:rPr>
            </w:pPr>
            <w:r>
              <w:rPr>
                <w:sz w:val="4"/>
                <w:szCs w:val="4"/>
              </w:rPr>
            </w:r>
          </w:p>
        </w:tc>
      </w:tr>
      <w:tr>
        <w:trPr/>
        <w:tc>
          <w:tcPr>
            <w:tcW w:w="712" w:type="dxa"/>
            <w:tcBorders/>
            <w:vAlign w:val="bottom"/>
          </w:tcPr>
          <w:p>
            <w:pPr>
              <w:pStyle w:val="TableContents"/>
              <w:bidi w:val="0"/>
              <w:spacing w:before="0" w:after="0"/>
              <w:jc w:val="center"/>
              <w:rPr>
                <w:rFonts w:ascii="Times New Roman" w:hAnsi="Times New Roman"/>
                <w:sz w:val="16"/>
              </w:rPr>
            </w:pPr>
            <w:r>
              <w:rPr>
                <w:rFonts w:ascii="Times New Roman" w:hAnsi="Times New Roman"/>
                <w:sz w:val="16"/>
              </w:rPr>
              <w:t>EXHIBIT</w:t>
            </w:r>
          </w:p>
          <w:p>
            <w:pPr>
              <w:pStyle w:val="TableContents"/>
              <w:bidi w:val="0"/>
              <w:spacing w:before="0" w:after="20"/>
              <w:jc w:val="center"/>
              <w:rPr>
                <w:rFonts w:ascii="Times New Roman" w:hAnsi="Times New Roman"/>
                <w:sz w:val="16"/>
              </w:rPr>
            </w:pPr>
            <w:r>
              <w:rPr>
                <w:rFonts w:ascii="Times New Roman" w:hAnsi="Times New Roman"/>
                <w:sz w:val="16"/>
              </w:rPr>
              <w:t>NO.</w:t>
            </w:r>
          </w:p>
        </w:tc>
        <w:tc>
          <w:tcPr>
            <w:tcW w:w="612" w:type="dxa"/>
            <w:tcBorders/>
            <w:vAlign w:val="bottom"/>
          </w:tcPr>
          <w:p>
            <w:pPr>
              <w:pStyle w:val="TableContents"/>
              <w:bidi w:val="0"/>
              <w:spacing w:before="0" w:after="283"/>
              <w:jc w:val="left"/>
              <w:rPr/>
            </w:pPr>
            <w:r>
              <w:rPr/>
              <w:t>  </w:t>
            </w:r>
          </w:p>
        </w:tc>
        <w:tc>
          <w:tcPr>
            <w:tcW w:w="8881"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DESCRIPTION</w:t>
            </w:r>
          </w:p>
        </w:tc>
      </w:tr>
      <w:tr>
        <w:trPr/>
        <w:tc>
          <w:tcPr>
            <w:tcW w:w="712" w:type="dxa"/>
            <w:tcBorders/>
            <w:vAlign w:val="bottom"/>
          </w:tcPr>
          <w:p>
            <w:pPr>
              <w:pStyle w:val="TableContents"/>
              <w:bidi w:val="0"/>
              <w:spacing w:before="0" w:after="283"/>
              <w:jc w:val="left"/>
              <w:rPr/>
            </w:pPr>
            <w:r>
              <w:rPr/>
              <w:t>99.1</w:t>
            </w:r>
          </w:p>
        </w:tc>
        <w:tc>
          <w:tcPr>
            <w:tcW w:w="612" w:type="dxa"/>
            <w:tcBorders/>
            <w:vAlign w:val="bottom"/>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Amdocs Limited Annual Report for the Year Ended September 30, 2025.</w:t>
            </w:r>
          </w:p>
        </w:tc>
      </w:tr>
    </w:tbl>
    <w:p>
      <w:pPr>
        <w:pStyle w:val="HorizontalLine"/>
        <w:pBdr>
          <w:bottom w:val="double" w:sz="6" w:space="0" w:color="808080"/>
        </w:pBdr>
        <w:bidi w:val="0"/>
        <w:jc w:val="left"/>
        <w:rPr/>
      </w:pPr>
      <w:r>
        <w:br w:type="page"/>
      </w:r>
      <w:r>
        <w:rPr/>
      </w:r>
    </w:p>
    <w:p>
      <w:pPr>
        <w:pStyle w:val="TextBody"/>
        <w:bidi w:val="0"/>
        <w:spacing w:before="12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58"/>
        <w:gridCol w:w="61"/>
        <w:gridCol w:w="3663"/>
      </w:tblGrid>
      <w:tr>
        <w:trPr/>
        <w:tc>
          <w:tcPr>
            <w:tcW w:w="358"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6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AMDOCS LIMITED</w:t>
            </w:r>
          </w:p>
        </w:tc>
      </w:tr>
      <w:tr>
        <w:trPr>
          <w:trHeight w:val="240" w:hRule="atLeast"/>
        </w:trPr>
        <w:tc>
          <w:tcPr>
            <w:tcW w:w="358" w:type="dxa"/>
            <w:tcBorders/>
            <w:vAlign w:val="center"/>
          </w:tcPr>
          <w:p>
            <w:pPr>
              <w:pStyle w:val="TableContents"/>
              <w:bidi w:val="0"/>
              <w:spacing w:before="0" w:after="283"/>
              <w:jc w:val="left"/>
              <w:rPr>
                <w:sz w:val="4"/>
                <w:szCs w:val="4"/>
              </w:rPr>
            </w:pPr>
            <w:r>
              <w:rPr>
                <w:sz w:val="4"/>
                <w:szCs w:val="4"/>
              </w:rPr>
            </w:r>
          </w:p>
        </w:tc>
        <w:tc>
          <w:tcPr>
            <w:tcW w:w="3724" w:type="dxa"/>
            <w:gridSpan w:val="2"/>
            <w:tcBorders/>
            <w:vAlign w:val="center"/>
          </w:tcPr>
          <w:p>
            <w:pPr>
              <w:pStyle w:val="TableContents"/>
              <w:bidi w:val="0"/>
              <w:spacing w:before="0" w:after="283"/>
              <w:jc w:val="left"/>
              <w:rPr>
                <w:sz w:val="4"/>
                <w:szCs w:val="4"/>
              </w:rPr>
            </w:pPr>
            <w:r>
              <w:rPr>
                <w:sz w:val="4"/>
                <w:szCs w:val="4"/>
              </w:rPr>
            </w:r>
          </w:p>
        </w:tc>
      </w:tr>
      <w:tr>
        <w:trPr/>
        <w:tc>
          <w:tcPr>
            <w:tcW w:w="35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1" w:type="dxa"/>
            <w:tcBorders/>
            <w:vAlign w:val="bottom"/>
          </w:tcPr>
          <w:p>
            <w:pPr>
              <w:pStyle w:val="TableContents"/>
              <w:bidi w:val="0"/>
              <w:spacing w:before="0" w:after="283"/>
              <w:jc w:val="left"/>
              <w:rPr/>
            </w:pPr>
            <w:r>
              <w:rPr/>
              <w:t> </w:t>
            </w:r>
          </w:p>
        </w:tc>
        <w:tc>
          <w:tcPr>
            <w:tcW w:w="3663"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Matthew E. Smith</w:t>
            </w:r>
          </w:p>
        </w:tc>
      </w:tr>
      <w:tr>
        <w:trPr/>
        <w:tc>
          <w:tcPr>
            <w:tcW w:w="358" w:type="dxa"/>
            <w:tcBorders/>
            <w:vAlign w:val="bottom"/>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6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Matthew E. Smith</w:t>
            </w:r>
          </w:p>
        </w:tc>
      </w:tr>
      <w:tr>
        <w:trPr/>
        <w:tc>
          <w:tcPr>
            <w:tcW w:w="358" w:type="dxa"/>
            <w:tcBorders/>
            <w:vAlign w:val="bottom"/>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63" w:type="dxa"/>
            <w:tcBorders/>
            <w:vAlign w:val="bottom"/>
          </w:tcPr>
          <w:p>
            <w:pPr>
              <w:pStyle w:val="TableContents"/>
              <w:bidi w:val="0"/>
              <w:spacing w:before="0" w:after="0"/>
              <w:jc w:val="left"/>
              <w:rPr>
                <w:rFonts w:ascii="Times New Roman" w:hAnsi="Times New Roman"/>
                <w:i/>
                <w:sz w:val="20"/>
              </w:rPr>
            </w:pPr>
            <w:r>
              <w:rPr>
                <w:rFonts w:ascii="Times New Roman" w:hAnsi="Times New Roman"/>
                <w:i/>
                <w:sz w:val="20"/>
              </w:rPr>
              <w:t>Secretary and Authorized Signatory</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December 16, 2025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261</Words>
  <Characters>1333</Characters>
  <CharactersWithSpaces>1606</CharactersWithSpaces>
  <Paragraphs>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6-K</dc:title>
</cp:coreProperties>
</file>