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415290</wp:posOffset>
            </wp:positionH>
            <wp:positionV relativeFrom="page">
              <wp:posOffset>8255</wp:posOffset>
            </wp:positionV>
            <wp:extent cx="6934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page">
              <wp:posOffset>415290</wp:posOffset>
            </wp:positionH>
            <wp:positionV relativeFrom="page">
              <wp:posOffset>50800</wp:posOffset>
            </wp:positionV>
            <wp:extent cx="6934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200" cy="8255"/>
                    </a:xfrm>
                    <a:prstGeom prst="rect">
                      <a:avLst/>
                    </a:prstGeom>
                    <a:noFill/>
                  </pic:spPr>
                </pic:pic>
              </a:graphicData>
            </a:graphic>
          </wp:anchor>
        </w:drawing>
        <w:t>UNITED STATES</w:t>
      </w:r>
    </w:p>
    <w:p>
      <w:pPr>
        <w:spacing w:after="0" w:line="24"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1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231140</wp:posOffset>
            </wp:positionV>
            <wp:extent cx="146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242570</wp:posOffset>
            </wp:positionV>
            <wp:extent cx="1461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3400"/>
        <w:spacing w:after="0"/>
        <w:rPr>
          <w:sz w:val="20"/>
          <w:szCs w:val="20"/>
          <w:color w:val="auto"/>
        </w:rPr>
      </w:pPr>
      <w:r>
        <w:rPr>
          <w:rFonts w:ascii="Arial" w:cs="Arial" w:eastAsia="Arial" w:hAnsi="Arial"/>
          <w:sz w:val="21"/>
          <w:szCs w:val="21"/>
          <w:b w:val="1"/>
          <w:bCs w:val="1"/>
          <w:color w:val="auto"/>
        </w:rPr>
        <w:t>REPORT OF FOREIGN PRIVATE ISSUER</w:t>
      </w:r>
    </w:p>
    <w:p>
      <w:pPr>
        <w:spacing w:after="0" w:line="23" w:lineRule="exact"/>
        <w:rPr>
          <w:sz w:val="24"/>
          <w:szCs w:val="24"/>
          <w:color w:val="auto"/>
        </w:rPr>
      </w:pPr>
    </w:p>
    <w:p>
      <w:pPr>
        <w:ind w:left="3340"/>
        <w:spacing w:after="0"/>
        <w:rPr>
          <w:sz w:val="20"/>
          <w:szCs w:val="20"/>
          <w:color w:val="auto"/>
        </w:rPr>
      </w:pPr>
      <w:r>
        <w:rPr>
          <w:rFonts w:ascii="Arial" w:cs="Arial" w:eastAsia="Arial" w:hAnsi="Arial"/>
          <w:sz w:val="21"/>
          <w:szCs w:val="21"/>
          <w:b w:val="1"/>
          <w:bCs w:val="1"/>
          <w:color w:val="auto"/>
        </w:rPr>
        <w:t>PURSUANT TO RULE 13a-16 OR 15d-16 OF</w:t>
      </w:r>
    </w:p>
    <w:p>
      <w:pPr>
        <w:ind w:left="3240"/>
        <w:spacing w:after="0"/>
        <w:rPr>
          <w:sz w:val="20"/>
          <w:szCs w:val="20"/>
          <w:color w:val="auto"/>
        </w:rPr>
      </w:pPr>
      <w:r>
        <w:rPr>
          <w:rFonts w:ascii="Arial" w:cs="Arial" w:eastAsia="Arial" w:hAnsi="Arial"/>
          <w:sz w:val="21"/>
          <w:szCs w:val="21"/>
          <w:b w:val="1"/>
          <w:bCs w:val="1"/>
          <w:color w:val="auto"/>
        </w:rPr>
        <w:t>THE SECURITIES EXCHANGE ACT OF 1934</w:t>
      </w:r>
    </w:p>
    <w:p>
      <w:pPr>
        <w:spacing w:after="0" w:line="19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Quarter Ended December 31, 2018</w:t>
      </w:r>
    </w:p>
    <w:p>
      <w:pPr>
        <w:spacing w:after="0" w:line="221"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236855</wp:posOffset>
            </wp:positionV>
            <wp:extent cx="1461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AMDOCS LIMITED</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234950</wp:posOffset>
            </wp:positionV>
            <wp:extent cx="1461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216535</wp:posOffset>
            </wp:positionV>
            <wp:extent cx="1461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9" w:lineRule="exact"/>
        <w:rPr>
          <w:sz w:val="24"/>
          <w:szCs w:val="24"/>
          <w:color w:val="auto"/>
        </w:rPr>
      </w:pPr>
    </w:p>
    <w:p>
      <w:pPr>
        <w:ind w:left="4040"/>
        <w:spacing w:after="0" w:line="207" w:lineRule="exact"/>
        <w:tabs>
          <w:tab w:leader="none" w:pos="57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6" w:lineRule="exact"/>
        <w:rPr>
          <w:sz w:val="24"/>
          <w:szCs w:val="24"/>
          <w:color w:val="auto"/>
        </w:rPr>
      </w:pPr>
    </w:p>
    <w:p>
      <w:pPr>
        <w:jc w:val="center"/>
        <w:ind w:right="-4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6934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200660</wp:posOffset>
            </wp:positionV>
            <wp:extent cx="6934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ectPr>
          <w:pgSz w:w="12240" w:h="15840" w:orient="portrait"/>
          <w:cols w:equalWidth="0" w:num="1">
            <w:col w:w="10480"/>
          </w:cols>
          <w:pgMar w:left="660" w:top="119" w:right="110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80" w:type="dxa"/>
            <w:vAlign w:val="bottom"/>
            <w:gridSpan w:val="4"/>
          </w:tcPr>
          <w:p>
            <w:pPr>
              <w:jc w:val="center"/>
              <w:ind w:right="2540"/>
              <w:spacing w:after="0"/>
              <w:rPr>
                <w:sz w:val="20"/>
                <w:szCs w:val="20"/>
                <w:color w:val="auto"/>
              </w:rPr>
            </w:pPr>
            <w:r>
              <w:rPr>
                <w:rFonts w:ascii="Arial" w:cs="Arial" w:eastAsia="Arial" w:hAnsi="Arial"/>
                <w:sz w:val="18"/>
                <w:szCs w:val="18"/>
                <w:color w:val="auto"/>
                <w:w w:val="99"/>
              </w:rPr>
              <w:t>AMDOCS LIMITED</w:t>
            </w:r>
          </w:p>
        </w:tc>
        <w:tc>
          <w:tcPr>
            <w:tcW w:w="1800" w:type="dxa"/>
            <w:vAlign w:val="bottom"/>
          </w:tcPr>
          <w:p>
            <w:pPr>
              <w:spacing w:after="0"/>
              <w:rPr>
                <w:sz w:val="19"/>
                <w:szCs w:val="19"/>
                <w:color w:val="auto"/>
              </w:rPr>
            </w:pPr>
          </w:p>
        </w:tc>
      </w:tr>
      <w:tr>
        <w:trPr>
          <w:trHeight w:val="428"/>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gridSpan w:val="2"/>
          </w:tcPr>
          <w:p>
            <w:pPr>
              <w:jc w:val="center"/>
              <w:ind w:right="3140"/>
              <w:spacing w:after="0"/>
              <w:rPr>
                <w:sz w:val="20"/>
                <w:szCs w:val="20"/>
                <w:color w:val="auto"/>
              </w:rPr>
            </w:pPr>
            <w:r>
              <w:rPr>
                <w:rFonts w:ascii="Arial" w:cs="Arial" w:eastAsia="Arial" w:hAnsi="Arial"/>
                <w:sz w:val="18"/>
                <w:szCs w:val="18"/>
                <w:color w:val="auto"/>
                <w:w w:val="95"/>
              </w:rPr>
              <w:t>FORM 6-K</w:t>
            </w:r>
          </w:p>
        </w:tc>
        <w:tc>
          <w:tcPr>
            <w:tcW w:w="1800" w:type="dxa"/>
            <w:vAlign w:val="bottom"/>
          </w:tcPr>
          <w:p>
            <w:pPr>
              <w:spacing w:after="0"/>
              <w:rPr>
                <w:sz w:val="24"/>
                <w:szCs w:val="24"/>
                <w:color w:val="auto"/>
              </w:rPr>
            </w:pPr>
          </w:p>
        </w:tc>
      </w:tr>
      <w:tr>
        <w:trPr>
          <w:trHeight w:val="428"/>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gridSpan w:val="7"/>
          </w:tcPr>
          <w:p>
            <w:pPr>
              <w:jc w:val="center"/>
              <w:ind w:right="1760"/>
              <w:spacing w:after="0"/>
              <w:rPr>
                <w:sz w:val="20"/>
                <w:szCs w:val="20"/>
                <w:color w:val="auto"/>
              </w:rPr>
            </w:pPr>
            <w:r>
              <w:rPr>
                <w:rFonts w:ascii="Arial" w:cs="Arial" w:eastAsia="Arial" w:hAnsi="Arial"/>
                <w:sz w:val="18"/>
                <w:szCs w:val="18"/>
                <w:color w:val="auto"/>
                <w:w w:val="91"/>
              </w:rPr>
              <w:t>REPORT OF FOREIGN PRIVATE ISSUER</w:t>
            </w:r>
          </w:p>
        </w:tc>
        <w:tc>
          <w:tcPr>
            <w:tcW w:w="1800" w:type="dxa"/>
            <w:vAlign w:val="bottom"/>
          </w:tcPr>
          <w:p>
            <w:pPr>
              <w:spacing w:after="0"/>
              <w:rPr>
                <w:sz w:val="24"/>
                <w:szCs w:val="24"/>
                <w:color w:val="auto"/>
              </w:rPr>
            </w:pPr>
          </w:p>
        </w:tc>
      </w:tr>
      <w:tr>
        <w:trPr>
          <w:trHeight w:val="415"/>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20" w:type="dxa"/>
            <w:vAlign w:val="bottom"/>
            <w:gridSpan w:val="8"/>
          </w:tcPr>
          <w:p>
            <w:pPr>
              <w:jc w:val="center"/>
              <w:ind w:right="1300"/>
              <w:spacing w:after="0"/>
              <w:rPr>
                <w:sz w:val="20"/>
                <w:szCs w:val="20"/>
                <w:color w:val="auto"/>
              </w:rPr>
            </w:pPr>
            <w:r>
              <w:rPr>
                <w:rFonts w:ascii="Arial" w:cs="Arial" w:eastAsia="Arial" w:hAnsi="Arial"/>
                <w:sz w:val="18"/>
                <w:szCs w:val="18"/>
                <w:color w:val="auto"/>
                <w:w w:val="93"/>
              </w:rPr>
              <w:t>FOR THE QUARTER ENDED DECEMBER 31, 2018</w:t>
            </w:r>
          </w:p>
        </w:tc>
        <w:tc>
          <w:tcPr>
            <w:tcW w:w="1800" w:type="dxa"/>
            <w:vAlign w:val="bottom"/>
          </w:tcPr>
          <w:p>
            <w:pPr>
              <w:spacing w:after="0"/>
              <w:rPr>
                <w:sz w:val="24"/>
                <w:szCs w:val="24"/>
                <w:color w:val="auto"/>
              </w:rPr>
            </w:pPr>
          </w:p>
        </w:tc>
      </w:tr>
      <w:tr>
        <w:trPr>
          <w:trHeight w:val="227"/>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80" w:type="dxa"/>
            <w:vAlign w:val="bottom"/>
            <w:gridSpan w:val="2"/>
          </w:tcPr>
          <w:p>
            <w:pPr>
              <w:jc w:val="center"/>
              <w:ind w:right="3120"/>
              <w:spacing w:after="0"/>
              <w:rPr>
                <w:sz w:val="20"/>
                <w:szCs w:val="20"/>
                <w:color w:val="auto"/>
              </w:rPr>
            </w:pPr>
            <w:r>
              <w:rPr>
                <w:rFonts w:ascii="Arial" w:cs="Arial" w:eastAsia="Arial" w:hAnsi="Arial"/>
                <w:sz w:val="18"/>
                <w:szCs w:val="18"/>
                <w:color w:val="auto"/>
              </w:rPr>
              <w:t>INDEX</w:t>
            </w:r>
          </w:p>
        </w:tc>
        <w:tc>
          <w:tcPr>
            <w:tcW w:w="1800" w:type="dxa"/>
            <w:vAlign w:val="bottom"/>
          </w:tcPr>
          <w:p>
            <w:pPr>
              <w:spacing w:after="0"/>
              <w:rPr>
                <w:sz w:val="19"/>
                <w:szCs w:val="19"/>
                <w:color w:val="auto"/>
              </w:rPr>
            </w:pPr>
          </w:p>
        </w:tc>
      </w:tr>
      <w:tr>
        <w:trPr>
          <w:trHeight w:val="416"/>
        </w:trPr>
        <w:tc>
          <w:tcPr>
            <w:tcW w:w="90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4"/>
        </w:trPr>
        <w:tc>
          <w:tcPr>
            <w:tcW w:w="360" w:type="dxa"/>
            <w:vAlign w:val="bottom"/>
            <w:tcBorders>
              <w:top w:val="single" w:sz="8" w:color="0000EE"/>
            </w:tcBorders>
          </w:tcPr>
          <w:p>
            <w:pPr>
              <w:spacing w:after="0"/>
              <w:rPr>
                <w:sz w:val="16"/>
                <w:szCs w:val="16"/>
                <w:color w:val="auto"/>
              </w:rPr>
            </w:pPr>
          </w:p>
        </w:tc>
        <w:tc>
          <w:tcPr>
            <w:tcW w:w="52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520" w:type="dxa"/>
            <w:vAlign w:val="bottom"/>
            <w:tcBorders>
              <w:top w:val="single" w:sz="8" w:color="0000EE"/>
              <w:bottom w:val="single" w:sz="8" w:color="0000EE"/>
            </w:tcBorders>
            <w:gridSpan w:val="2"/>
          </w:tcPr>
          <w:p>
            <w:pPr>
              <w:ind w:left="20"/>
              <w:spacing w:after="0" w:line="195"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400" w:type="dxa"/>
            <w:vAlign w:val="bottom"/>
            <w:tcBorders>
              <w:top w:val="single" w:sz="8" w:color="0000EE"/>
            </w:tcBorders>
            <w:gridSpan w:val="3"/>
          </w:tcPr>
          <w:p>
            <w:pPr>
              <w:spacing w:after="0"/>
              <w:rPr>
                <w:sz w:val="16"/>
                <w:szCs w:val="16"/>
                <w:color w:val="auto"/>
              </w:rPr>
            </w:pPr>
          </w:p>
        </w:tc>
        <w:tc>
          <w:tcPr>
            <w:tcW w:w="6260" w:type="dxa"/>
            <w:vAlign w:val="bottom"/>
            <w:gridSpan w:val="9"/>
          </w:tcPr>
          <w:p>
            <w:pPr>
              <w:spacing w:after="0"/>
              <w:rPr>
                <w:sz w:val="16"/>
                <w:szCs w:val="16"/>
                <w:color w:val="auto"/>
              </w:rPr>
            </w:pPr>
          </w:p>
        </w:tc>
        <w:tc>
          <w:tcPr>
            <w:tcW w:w="180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220"/>
        </w:trPr>
        <w:tc>
          <w:tcPr>
            <w:tcW w:w="360" w:type="dxa"/>
            <w:vAlign w:val="bottom"/>
          </w:tcPr>
          <w:p>
            <w:pPr>
              <w:spacing w:after="0"/>
              <w:rPr>
                <w:sz w:val="19"/>
                <w:szCs w:val="19"/>
                <w:color w:val="auto"/>
              </w:rPr>
            </w:pPr>
          </w:p>
        </w:tc>
        <w:tc>
          <w:tcPr>
            <w:tcW w:w="8700" w:type="dxa"/>
            <w:vAlign w:val="bottom"/>
            <w:gridSpan w:val="15"/>
          </w:tcPr>
          <w:p>
            <w:pPr>
              <w:ind w:left="340"/>
              <w:spacing w:after="0"/>
              <w:rPr>
                <w:sz w:val="20"/>
                <w:szCs w:val="20"/>
                <w:color w:val="auto"/>
              </w:rPr>
            </w:pPr>
            <w:r>
              <w:rPr>
                <w:rFonts w:ascii="Arial" w:cs="Arial" w:eastAsia="Arial" w:hAnsi="Arial"/>
                <w:sz w:val="18"/>
                <w:szCs w:val="18"/>
                <w:color w:val="auto"/>
              </w:rPr>
              <w:t>Unaudited Consolidated Financial Statements</w:t>
            </w:r>
          </w:p>
        </w:tc>
        <w:tc>
          <w:tcPr>
            <w:tcW w:w="1800" w:type="dxa"/>
            <w:vAlign w:val="bottom"/>
          </w:tcPr>
          <w:p>
            <w:pPr>
              <w:spacing w:after="0"/>
              <w:rPr>
                <w:sz w:val="19"/>
                <w:szCs w:val="19"/>
                <w:color w:val="auto"/>
              </w:rPr>
            </w:pPr>
          </w:p>
        </w:tc>
      </w:tr>
      <w:tr>
        <w:trPr>
          <w:trHeight w:val="188"/>
        </w:trPr>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Borders>
              <w:bottom w:val="single" w:sz="8" w:color="0000EE"/>
            </w:tcBorders>
            <w:gridSpan w:val="5"/>
          </w:tcPr>
          <w:p>
            <w:pPr>
              <w:spacing w:after="0" w:line="189"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w:t>
              </w:r>
            </w:hyperlink>
          </w:p>
        </w:tc>
        <w:tc>
          <w:tcPr>
            <w:tcW w:w="5920" w:type="dxa"/>
            <w:vAlign w:val="bottom"/>
            <w:gridSpan w:val="8"/>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r>
      <w:tr>
        <w:trPr>
          <w:trHeight w:val="194"/>
        </w:trPr>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980" w:type="dxa"/>
            <w:vAlign w:val="bottom"/>
            <w:gridSpan w:val="13"/>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180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980" w:type="dxa"/>
            <w:vAlign w:val="bottom"/>
            <w:gridSpan w:val="13"/>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180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r>
      <w:tr>
        <w:trPr>
          <w:trHeight w:val="194"/>
        </w:trPr>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80" w:type="dxa"/>
            <w:vAlign w:val="bottom"/>
            <w:tcBorders>
              <w:top w:val="single" w:sz="8" w:color="0000EE"/>
            </w:tcBorders>
            <w:gridSpan w:val="10"/>
          </w:tcPr>
          <w:p>
            <w:pPr>
              <w:spacing w:after="0" w:line="195"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Consolidated Statements of Changes in Equity</w:t>
              </w:r>
            </w:hyperlink>
          </w:p>
        </w:tc>
        <w:tc>
          <w:tcPr>
            <w:tcW w:w="4300" w:type="dxa"/>
            <w:vAlign w:val="bottom"/>
            <w:gridSpan w:val="3"/>
          </w:tcPr>
          <w:p>
            <w:pPr>
              <w:spacing w:after="0"/>
              <w:rPr>
                <w:sz w:val="16"/>
                <w:szCs w:val="16"/>
                <w:color w:val="auto"/>
              </w:rPr>
            </w:pPr>
          </w:p>
        </w:tc>
        <w:tc>
          <w:tcPr>
            <w:tcW w:w="180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r>
      <w:tr>
        <w:trPr>
          <w:trHeight w:val="194"/>
        </w:trPr>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tcBorders>
              <w:top w:val="single" w:sz="8" w:color="0000EE"/>
            </w:tcBorders>
            <w:gridSpan w:val="9"/>
          </w:tcPr>
          <w:p>
            <w:pPr>
              <w:spacing w:after="0" w:line="195"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4680" w:type="dxa"/>
            <w:vAlign w:val="bottom"/>
            <w:gridSpan w:val="4"/>
          </w:tcPr>
          <w:p>
            <w:pPr>
              <w:spacing w:after="0"/>
              <w:rPr>
                <w:sz w:val="16"/>
                <w:szCs w:val="16"/>
                <w:color w:val="auto"/>
              </w:rPr>
            </w:pPr>
          </w:p>
        </w:tc>
        <w:tc>
          <w:tcPr>
            <w:tcW w:w="180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00" w:type="dxa"/>
            <w:vAlign w:val="bottom"/>
            <w:tcBorders>
              <w:bottom w:val="single" w:sz="8" w:color="0000EE"/>
            </w:tcBorders>
            <w:gridSpan w:val="11"/>
          </w:tcPr>
          <w:p>
            <w:pPr>
              <w:spacing w:after="0" w:line="195"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Unaudited Consolidated Financial Statements</w:t>
              </w:r>
            </w:hyperlink>
          </w:p>
        </w:tc>
        <w:tc>
          <w:tcPr>
            <w:tcW w:w="4080" w:type="dxa"/>
            <w:vAlign w:val="bottom"/>
            <w:gridSpan w:val="2"/>
          </w:tcPr>
          <w:p>
            <w:pPr>
              <w:spacing w:after="0"/>
              <w:rPr>
                <w:sz w:val="16"/>
                <w:szCs w:val="16"/>
                <w:color w:val="auto"/>
              </w:rPr>
            </w:pPr>
          </w:p>
        </w:tc>
        <w:tc>
          <w:tcPr>
            <w:tcW w:w="180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r>
      <w:tr>
        <w:trPr>
          <w:trHeight w:val="194"/>
        </w:trPr>
        <w:tc>
          <w:tcPr>
            <w:tcW w:w="360" w:type="dxa"/>
            <w:vAlign w:val="bottom"/>
          </w:tcPr>
          <w:p>
            <w:pPr>
              <w:spacing w:after="0"/>
              <w:rPr>
                <w:sz w:val="16"/>
                <w:szCs w:val="16"/>
                <w:color w:val="auto"/>
              </w:rPr>
            </w:pPr>
          </w:p>
        </w:tc>
        <w:tc>
          <w:tcPr>
            <w:tcW w:w="520" w:type="dxa"/>
            <w:vAlign w:val="bottom"/>
          </w:tcPr>
          <w:p>
            <w:pPr>
              <w:spacing w:after="0" w:line="195"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8180" w:type="dxa"/>
            <w:vAlign w:val="bottom"/>
            <w:gridSpan w:val="14"/>
          </w:tcPr>
          <w:p>
            <w:pPr>
              <w:ind w:left="20"/>
              <w:spacing w:after="0" w:line="195" w:lineRule="exact"/>
              <w:rPr>
                <w:rFonts w:ascii="Arial" w:cs="Arial" w:eastAsia="Arial" w:hAnsi="Arial"/>
                <w:sz w:val="18"/>
                <w:szCs w:val="18"/>
                <w:color w:val="0000EE"/>
              </w:rPr>
            </w:pPr>
            <w:hyperlink w:anchor="page23">
              <w:r>
                <w:rPr>
                  <w:rFonts w:ascii="Arial" w:cs="Arial" w:eastAsia="Arial" w:hAnsi="Arial"/>
                  <w:sz w:val="18"/>
                  <w:szCs w:val="18"/>
                  <w:color w:val="0000EE"/>
                </w:rPr>
                <w:t>Operating and Financial Review and Prospects</w:t>
              </w:r>
            </w:hyperlink>
          </w:p>
        </w:tc>
        <w:tc>
          <w:tcPr>
            <w:tcW w:w="1800" w:type="dxa"/>
            <w:vAlign w:val="bottom"/>
          </w:tcPr>
          <w:p>
            <w:pPr>
              <w:jc w:val="right"/>
              <w:spacing w:after="0" w:line="195" w:lineRule="exact"/>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4"/>
        </w:trPr>
        <w:tc>
          <w:tcPr>
            <w:tcW w:w="2500" w:type="dxa"/>
            <w:vAlign w:val="bottom"/>
            <w:tcBorders>
              <w:bottom w:val="single" w:sz="8" w:color="0000EE"/>
            </w:tcBorders>
            <w:gridSpan w:val="6"/>
          </w:tcPr>
          <w:p>
            <w:pPr>
              <w:spacing w:after="0" w:line="195"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PART II OTHER INFORMATION</w:t>
              </w:r>
            </w:hyperlink>
          </w:p>
        </w:tc>
        <w:tc>
          <w:tcPr>
            <w:tcW w:w="6560" w:type="dxa"/>
            <w:vAlign w:val="bottom"/>
            <w:gridSpan w:val="10"/>
          </w:tcPr>
          <w:p>
            <w:pPr>
              <w:spacing w:after="0"/>
              <w:rPr>
                <w:sz w:val="16"/>
                <w:szCs w:val="16"/>
                <w:color w:val="auto"/>
              </w:rPr>
            </w:pPr>
          </w:p>
        </w:tc>
        <w:tc>
          <w:tcPr>
            <w:tcW w:w="1800" w:type="dxa"/>
            <w:vAlign w:val="bottom"/>
          </w:tcPr>
          <w:p>
            <w:pPr>
              <w:jc w:val="right"/>
              <w:spacing w:after="0" w:line="195" w:lineRule="exact"/>
              <w:rPr>
                <w:sz w:val="20"/>
                <w:szCs w:val="20"/>
                <w:color w:val="auto"/>
              </w:rPr>
            </w:pPr>
            <w:r>
              <w:rPr>
                <w:rFonts w:ascii="Arial" w:cs="Arial" w:eastAsia="Arial" w:hAnsi="Arial"/>
                <w:sz w:val="18"/>
                <w:szCs w:val="18"/>
                <w:color w:val="auto"/>
              </w:rPr>
              <w:t>30</w:t>
            </w:r>
          </w:p>
        </w:tc>
      </w:tr>
      <w:tr>
        <w:trPr>
          <w:trHeight w:val="194"/>
        </w:trPr>
        <w:tc>
          <w:tcPr>
            <w:tcW w:w="360" w:type="dxa"/>
            <w:vAlign w:val="bottom"/>
          </w:tcPr>
          <w:p>
            <w:pPr>
              <w:spacing w:after="0"/>
              <w:rPr>
                <w:sz w:val="16"/>
                <w:szCs w:val="16"/>
                <w:color w:val="auto"/>
              </w:rPr>
            </w:pPr>
          </w:p>
        </w:tc>
        <w:tc>
          <w:tcPr>
            <w:tcW w:w="520" w:type="dxa"/>
            <w:vAlign w:val="bottom"/>
          </w:tcPr>
          <w:p>
            <w:pPr>
              <w:spacing w:after="0" w:line="195"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1.</w:t>
              </w:r>
            </w:hyperlink>
          </w:p>
        </w:tc>
        <w:tc>
          <w:tcPr>
            <w:tcW w:w="8180" w:type="dxa"/>
            <w:vAlign w:val="bottom"/>
            <w:gridSpan w:val="14"/>
          </w:tcPr>
          <w:p>
            <w:pPr>
              <w:ind w:left="20"/>
              <w:spacing w:after="0" w:line="195" w:lineRule="exact"/>
              <w:rPr>
                <w:rFonts w:ascii="Arial" w:cs="Arial" w:eastAsia="Arial" w:hAnsi="Arial"/>
                <w:sz w:val="18"/>
                <w:szCs w:val="18"/>
                <w:color w:val="0000EE"/>
              </w:rPr>
            </w:pPr>
            <w:hyperlink w:anchor="page30">
              <w:r>
                <w:rPr>
                  <w:rFonts w:ascii="Arial" w:cs="Arial" w:eastAsia="Arial" w:hAnsi="Arial"/>
                  <w:sz w:val="18"/>
                  <w:szCs w:val="18"/>
                  <w:color w:val="0000EE"/>
                </w:rPr>
                <w:t>Changes in Securities, Use of Proceeds and Issuer Purchases of Equity Securities</w:t>
              </w:r>
            </w:hyperlink>
          </w:p>
        </w:tc>
        <w:tc>
          <w:tcPr>
            <w:tcW w:w="1800" w:type="dxa"/>
            <w:vAlign w:val="bottom"/>
          </w:tcPr>
          <w:p>
            <w:pPr>
              <w:jc w:val="right"/>
              <w:spacing w:after="0" w:line="195" w:lineRule="exact"/>
              <w:rPr>
                <w:sz w:val="20"/>
                <w:szCs w:val="20"/>
                <w:color w:val="auto"/>
              </w:rPr>
            </w:pPr>
            <w:r>
              <w:rPr>
                <w:rFonts w:ascii="Arial" w:cs="Arial" w:eastAsia="Arial" w:hAnsi="Arial"/>
                <w:sz w:val="18"/>
                <w:szCs w:val="18"/>
                <w:color w:val="auto"/>
              </w:rPr>
              <w:t>30</w:t>
            </w:r>
          </w:p>
        </w:tc>
      </w:tr>
      <w:tr>
        <w:trPr>
          <w:trHeight w:val="194"/>
        </w:trPr>
        <w:tc>
          <w:tcPr>
            <w:tcW w:w="360" w:type="dxa"/>
            <w:vAlign w:val="bottom"/>
          </w:tcPr>
          <w:p>
            <w:pPr>
              <w:spacing w:after="0"/>
              <w:rPr>
                <w:sz w:val="16"/>
                <w:szCs w:val="16"/>
                <w:color w:val="auto"/>
              </w:rPr>
            </w:pPr>
          </w:p>
        </w:tc>
        <w:tc>
          <w:tcPr>
            <w:tcW w:w="52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1560" w:type="dxa"/>
            <w:vAlign w:val="bottom"/>
            <w:tcBorders>
              <w:top w:val="single" w:sz="8" w:color="0000EE"/>
              <w:bottom w:val="single" w:sz="8" w:color="0000EE"/>
            </w:tcBorders>
            <w:gridSpan w:val="3"/>
          </w:tcPr>
          <w:p>
            <w:pPr>
              <w:ind w:left="20"/>
              <w:spacing w:after="0" w:line="195"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Reports on Form 6-K</w:t>
              </w:r>
            </w:hyperlink>
          </w:p>
        </w:tc>
        <w:tc>
          <w:tcPr>
            <w:tcW w:w="4240" w:type="dxa"/>
            <w:vAlign w:val="bottom"/>
            <w:tcBorders>
              <w:top w:val="single" w:sz="8" w:color="0000EE"/>
            </w:tcBorders>
            <w:gridSpan w:val="10"/>
          </w:tcPr>
          <w:p>
            <w:pPr>
              <w:spacing w:after="0"/>
              <w:rPr>
                <w:sz w:val="16"/>
                <w:szCs w:val="16"/>
                <w:color w:val="auto"/>
              </w:rPr>
            </w:pPr>
          </w:p>
        </w:tc>
        <w:tc>
          <w:tcPr>
            <w:tcW w:w="2380" w:type="dxa"/>
            <w:vAlign w:val="bottom"/>
          </w:tcPr>
          <w:p>
            <w:pPr>
              <w:spacing w:after="0"/>
              <w:rPr>
                <w:sz w:val="16"/>
                <w:szCs w:val="16"/>
                <w:color w:val="auto"/>
              </w:rPr>
            </w:pPr>
          </w:p>
        </w:tc>
        <w:tc>
          <w:tcPr>
            <w:tcW w:w="1800" w:type="dxa"/>
            <w:vAlign w:val="bottom"/>
          </w:tcPr>
          <w:p>
            <w:pPr>
              <w:jc w:val="right"/>
              <w:spacing w:after="0" w:line="195" w:lineRule="exact"/>
              <w:rPr>
                <w:sz w:val="20"/>
                <w:szCs w:val="20"/>
                <w:color w:val="auto"/>
              </w:rPr>
            </w:pPr>
            <w:r>
              <w:rPr>
                <w:rFonts w:ascii="Arial" w:cs="Arial" w:eastAsia="Arial" w:hAnsi="Arial"/>
                <w:sz w:val="18"/>
                <w:szCs w:val="18"/>
                <w:color w:val="auto"/>
              </w:rPr>
              <w:t>30</w:t>
            </w:r>
          </w:p>
        </w:tc>
      </w:tr>
      <w:tr>
        <w:trPr>
          <w:trHeight w:val="194"/>
        </w:trPr>
        <w:tc>
          <w:tcPr>
            <w:tcW w:w="9060" w:type="dxa"/>
            <w:vAlign w:val="bottom"/>
            <w:gridSpan w:val="16"/>
          </w:tcPr>
          <w:p>
            <w:pPr>
              <w:spacing w:after="0" w:line="195" w:lineRule="exact"/>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1800" w:type="dxa"/>
            <w:vAlign w:val="bottom"/>
          </w:tcPr>
          <w:p>
            <w:pPr>
              <w:jc w:val="right"/>
              <w:spacing w:after="0" w:line="195" w:lineRule="exact"/>
              <w:rPr>
                <w:sz w:val="20"/>
                <w:szCs w:val="20"/>
                <w:color w:val="auto"/>
              </w:rPr>
            </w:pPr>
            <w:r>
              <w:rPr>
                <w:rFonts w:ascii="Arial" w:cs="Arial" w:eastAsia="Arial" w:hAnsi="Arial"/>
                <w:sz w:val="18"/>
                <w:szCs w:val="18"/>
                <w:color w:val="auto"/>
              </w:rPr>
              <w:t>31</w:t>
            </w:r>
          </w:p>
        </w:tc>
      </w:tr>
      <w:tr>
        <w:trPr>
          <w:trHeight w:val="20"/>
        </w:trPr>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p>
    <w:p>
      <w:pPr>
        <w:ind w:right="500"/>
        <w:spacing w:after="0" w:line="335"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2240" w:h="15840" w:orient="portrait"/>
          <w:cols w:equalWidth="0" w:num="1">
            <w:col w:w="10860"/>
          </w:cols>
          <w:pgMar w:left="660" w:top="132" w:right="72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38100"/>
                    </a:xfrm>
                    <a:prstGeom prst="rect">
                      <a:avLst/>
                    </a:prstGeom>
                    <a:noFill/>
                  </pic:spPr>
                </pic:pic>
              </a:graphicData>
            </a:graphic>
          </wp:anchor>
        </w:drawing>
        <w:t>PART I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8"/>
        </w:trPr>
        <w:tc>
          <w:tcPr>
            <w:tcW w:w="2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120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December 31,</w:t>
            </w:r>
          </w:p>
        </w:tc>
        <w:tc>
          <w:tcPr>
            <w:tcW w:w="86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4"/>
              </w:rPr>
              <w:t>September 30,</w:t>
            </w:r>
          </w:p>
        </w:tc>
        <w:tc>
          <w:tcPr>
            <w:tcW w:w="120" w:type="dxa"/>
            <w:vAlign w:val="bottom"/>
          </w:tcPr>
          <w:p>
            <w:pPr>
              <w:spacing w:after="0"/>
              <w:rPr>
                <w:sz w:val="10"/>
                <w:szCs w:val="10"/>
                <w:color w:val="auto"/>
              </w:rPr>
            </w:pPr>
          </w:p>
        </w:tc>
      </w:tr>
      <w:tr>
        <w:trPr>
          <w:trHeight w:val="170"/>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88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4"/>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358,657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418,783</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1100" w:type="dxa"/>
            <w:vAlign w:val="bottom"/>
            <w:gridSpan w:val="2"/>
          </w:tcPr>
          <w:p>
            <w:pPr>
              <w:jc w:val="right"/>
              <w:ind w:right="249"/>
              <w:spacing w:after="0"/>
              <w:rPr>
                <w:sz w:val="20"/>
                <w:szCs w:val="20"/>
                <w:color w:val="auto"/>
              </w:rPr>
            </w:pPr>
            <w:r>
              <w:rPr>
                <w:rFonts w:ascii="Arial" w:cs="Arial" w:eastAsia="Arial" w:hAnsi="Arial"/>
                <w:sz w:val="18"/>
                <w:szCs w:val="18"/>
                <w:color w:val="auto"/>
              </w:rPr>
              <w:t>99,993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100,433</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w w:val="94"/>
              </w:rPr>
              <w:t>1,008,748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971,502</w:t>
            </w:r>
          </w:p>
        </w:tc>
        <w:tc>
          <w:tcPr>
            <w:tcW w:w="12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213,996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229,999</w:t>
            </w:r>
          </w:p>
        </w:tc>
        <w:tc>
          <w:tcPr>
            <w:tcW w:w="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7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w w:val="94"/>
              </w:rPr>
              <w:t>1,681,394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1,720,717</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100" w:type="dxa"/>
            <w:vAlign w:val="bottom"/>
            <w:gridSpan w:val="2"/>
          </w:tcPr>
          <w:p>
            <w:pPr>
              <w:jc w:val="right"/>
              <w:ind w:right="249"/>
              <w:spacing w:after="0"/>
              <w:rPr>
                <w:sz w:val="20"/>
                <w:szCs w:val="20"/>
                <w:color w:val="auto"/>
              </w:rPr>
            </w:pPr>
            <w:r>
              <w:rPr>
                <w:rFonts w:ascii="Arial" w:cs="Arial" w:eastAsia="Arial" w:hAnsi="Arial"/>
                <w:sz w:val="18"/>
                <w:szCs w:val="18"/>
                <w:color w:val="auto"/>
              </w:rPr>
              <w:t>486,662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496,585</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w w:val="94"/>
              </w:rPr>
              <w:t>2,447,623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2,444,895</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100" w:type="dxa"/>
            <w:vAlign w:val="bottom"/>
            <w:gridSpan w:val="2"/>
          </w:tcPr>
          <w:p>
            <w:pPr>
              <w:jc w:val="right"/>
              <w:ind w:right="249"/>
              <w:spacing w:after="0"/>
              <w:rPr>
                <w:sz w:val="20"/>
                <w:szCs w:val="20"/>
                <w:color w:val="auto"/>
              </w:rPr>
            </w:pPr>
            <w:r>
              <w:rPr>
                <w:rFonts w:ascii="Arial" w:cs="Arial" w:eastAsia="Arial" w:hAnsi="Arial"/>
                <w:sz w:val="18"/>
                <w:szCs w:val="18"/>
                <w:color w:val="auto"/>
              </w:rPr>
              <w:t>242,427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265,249</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437,923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420,369</w:t>
            </w:r>
          </w:p>
        </w:tc>
        <w:tc>
          <w:tcPr>
            <w:tcW w:w="12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720" w:type="dxa"/>
            <w:vAlign w:val="bottom"/>
          </w:tcPr>
          <w:p>
            <w:pPr>
              <w:ind w:left="6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5,296,029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5,347,815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168,440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194,738</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100" w:type="dxa"/>
            <w:vAlign w:val="bottom"/>
            <w:gridSpan w:val="2"/>
          </w:tcPr>
          <w:p>
            <w:pPr>
              <w:jc w:val="right"/>
              <w:ind w:right="249"/>
              <w:spacing w:after="0"/>
              <w:rPr>
                <w:sz w:val="20"/>
                <w:szCs w:val="20"/>
                <w:color w:val="auto"/>
              </w:rPr>
            </w:pPr>
            <w:r>
              <w:rPr>
                <w:rFonts w:ascii="Arial" w:cs="Arial" w:eastAsia="Arial" w:hAnsi="Arial"/>
                <w:sz w:val="18"/>
                <w:szCs w:val="18"/>
                <w:color w:val="auto"/>
              </w:rPr>
              <w:t>709,045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706,637</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personnel costs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257,792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261,168</w:t>
            </w:r>
          </w:p>
        </w:tc>
        <w:tc>
          <w:tcPr>
            <w:tcW w:w="12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138,420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132,414</w:t>
            </w:r>
          </w:p>
        </w:tc>
        <w:tc>
          <w:tcPr>
            <w:tcW w:w="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7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w w:val="94"/>
              </w:rPr>
              <w:t>1,273,697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1,294,957</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1100" w:type="dxa"/>
            <w:vAlign w:val="bottom"/>
            <w:gridSpan w:val="2"/>
          </w:tcPr>
          <w:p>
            <w:pPr>
              <w:jc w:val="right"/>
              <w:ind w:right="249"/>
              <w:spacing w:after="0"/>
              <w:rPr>
                <w:sz w:val="20"/>
                <w:szCs w:val="20"/>
                <w:color w:val="auto"/>
              </w:rPr>
            </w:pPr>
            <w:r>
              <w:rPr>
                <w:rFonts w:ascii="Arial" w:cs="Arial" w:eastAsia="Arial" w:hAnsi="Arial"/>
                <w:sz w:val="18"/>
                <w:szCs w:val="18"/>
                <w:color w:val="auto"/>
              </w:rPr>
              <w:t>205,416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224,572</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317,756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336,244</w:t>
            </w:r>
          </w:p>
        </w:tc>
        <w:tc>
          <w:tcPr>
            <w:tcW w:w="12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8720" w:type="dxa"/>
            <w:vAlign w:val="bottom"/>
          </w:tcPr>
          <w:p>
            <w:pPr>
              <w:ind w:left="6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1,796,869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1,855,773</w:t>
            </w:r>
          </w:p>
        </w:tc>
        <w:tc>
          <w:tcPr>
            <w:tcW w:w="12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7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6"/>
        </w:trPr>
        <w:tc>
          <w:tcPr>
            <w:tcW w:w="20" w:type="dxa"/>
            <w:vAlign w:val="bottom"/>
          </w:tcPr>
          <w:p>
            <w:pPr>
              <w:spacing w:after="0"/>
              <w:rPr>
                <w:sz w:val="21"/>
                <w:szCs w:val="21"/>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14"/>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tcPr>
          <w:p>
            <w:pPr>
              <w:spacing w:after="0"/>
              <w:rPr>
                <w:sz w:val="18"/>
                <w:szCs w:val="18"/>
                <w:color w:val="auto"/>
              </w:rPr>
            </w:pPr>
          </w:p>
        </w:tc>
        <w:tc>
          <w:tcPr>
            <w:tcW w:w="1100" w:type="dxa"/>
            <w:vAlign w:val="bottom"/>
            <w:gridSpan w:val="2"/>
          </w:tcPr>
          <w:p>
            <w:pPr>
              <w:jc w:val="right"/>
              <w:ind w:right="34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0"/>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w w:val="94"/>
              </w:rPr>
              <w:t>Ordinary Shares — Authorized 700,000 shares; £0.01 par value; 276,311 and 275,896 issued and 139,012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8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140,177 outstanding, respectively</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4,441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2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00" w:type="dxa"/>
            <w:vAlign w:val="bottom"/>
            <w:gridSpan w:val="2"/>
          </w:tcPr>
          <w:p>
            <w:pPr>
              <w:jc w:val="right"/>
              <w:ind w:right="249"/>
              <w:spacing w:after="0"/>
              <w:rPr>
                <w:sz w:val="20"/>
                <w:szCs w:val="20"/>
                <w:color w:val="auto"/>
              </w:rPr>
            </w:pPr>
            <w:r>
              <w:rPr>
                <w:rFonts w:ascii="Arial" w:cs="Arial" w:eastAsia="Arial" w:hAnsi="Arial"/>
                <w:sz w:val="18"/>
                <w:szCs w:val="18"/>
                <w:color w:val="auto"/>
                <w:w w:val="94"/>
              </w:rPr>
              <w:t>3,608,139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3,587,625</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137,299 and 135,719 ordinary shares, respectively</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w w:val="89"/>
              </w:rPr>
              <w:t>(4,883,534)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(4,784,352)</w:t>
            </w:r>
          </w:p>
        </w:tc>
      </w:tr>
      <w:tr>
        <w:trPr>
          <w:trHeight w:val="214"/>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100" w:type="dxa"/>
            <w:vAlign w:val="bottom"/>
            <w:gridSpan w:val="2"/>
          </w:tcPr>
          <w:p>
            <w:pPr>
              <w:jc w:val="right"/>
              <w:ind w:right="189"/>
              <w:spacing w:after="0"/>
              <w:rPr>
                <w:sz w:val="20"/>
                <w:szCs w:val="20"/>
                <w:color w:val="auto"/>
              </w:rPr>
            </w:pPr>
            <w:r>
              <w:rPr>
                <w:rFonts w:ascii="Arial" w:cs="Arial" w:eastAsia="Arial" w:hAnsi="Arial"/>
                <w:sz w:val="18"/>
                <w:szCs w:val="18"/>
                <w:color w:val="auto"/>
              </w:rPr>
              <w:t>(28,287)</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(32,731)</w:t>
            </w:r>
          </w:p>
        </w:tc>
      </w:tr>
      <w:tr>
        <w:trPr>
          <w:trHeight w:val="214"/>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w w:val="94"/>
              </w:rPr>
              <w:t>4,751,272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4,673,901</w:t>
            </w:r>
          </w:p>
        </w:tc>
        <w:tc>
          <w:tcPr>
            <w:tcW w:w="12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720" w:type="dxa"/>
            <w:vAlign w:val="bottom"/>
          </w:tcPr>
          <w:p>
            <w:pPr>
              <w:ind w:left="680"/>
              <w:spacing w:after="0"/>
              <w:rPr>
                <w:sz w:val="20"/>
                <w:szCs w:val="20"/>
                <w:color w:val="auto"/>
              </w:rPr>
            </w:pPr>
            <w:r>
              <w:rPr>
                <w:rFonts w:ascii="Arial" w:cs="Arial" w:eastAsia="Arial" w:hAnsi="Arial"/>
                <w:sz w:val="18"/>
                <w:szCs w:val="18"/>
                <w:b w:val="1"/>
                <w:bCs w:val="1"/>
                <w:color w:val="auto"/>
              </w:rPr>
              <w:t>Total Amdocs Limited shareholders’ 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3,452,031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3,448,879</w:t>
            </w:r>
          </w:p>
        </w:tc>
        <w:tc>
          <w:tcPr>
            <w:tcW w:w="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47,129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43,163</w:t>
            </w:r>
          </w:p>
        </w:tc>
      </w:tr>
      <w:tr>
        <w:trPr>
          <w:trHeight w:val="228"/>
        </w:trPr>
        <w:tc>
          <w:tcPr>
            <w:tcW w:w="20" w:type="dxa"/>
            <w:vAlign w:val="bottom"/>
          </w:tcPr>
          <w:p>
            <w:pPr>
              <w:spacing w:after="0"/>
              <w:rPr>
                <w:sz w:val="19"/>
                <w:szCs w:val="19"/>
                <w:color w:val="auto"/>
              </w:rPr>
            </w:pPr>
          </w:p>
        </w:tc>
        <w:tc>
          <w:tcPr>
            <w:tcW w:w="8720" w:type="dxa"/>
            <w:vAlign w:val="bottom"/>
          </w:tcPr>
          <w:p>
            <w:pPr>
              <w:ind w:left="68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3,499,160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3,492,042</w:t>
            </w:r>
          </w:p>
        </w:tc>
        <w:tc>
          <w:tcPr>
            <w:tcW w:w="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7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w w:val="94"/>
              </w:rPr>
              <w:t>5,296,029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5,347,815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2240" w:h="15840" w:orient="portrait"/>
          <w:cols w:equalWidth="0" w:num="1">
            <w:col w:w="10920"/>
          </w:cols>
          <w:pgMar w:left="660" w:top="128" w:right="660"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0"/>
        </w:trPr>
        <w:tc>
          <w:tcPr>
            <w:tcW w:w="6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1"/>
        </w:trPr>
        <w:tc>
          <w:tcPr>
            <w:tcW w:w="664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180"/>
              <w:spacing w:after="0" w:line="141"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1,012,055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977,711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643,197</w:t>
            </w:r>
          </w:p>
        </w:tc>
        <w:tc>
          <w:tcPr>
            <w:tcW w:w="0" w:type="dxa"/>
            <w:vAlign w:val="bottom"/>
          </w:tcPr>
          <w:p>
            <w:pPr>
              <w:spacing w:after="0"/>
              <w:rPr>
                <w:sz w:val="1"/>
                <w:szCs w:val="1"/>
                <w:color w:val="auto"/>
              </w:rPr>
            </w:pPr>
          </w:p>
        </w:tc>
      </w:tr>
      <w:tr>
        <w:trPr>
          <w:trHeight w:val="214"/>
        </w:trPr>
        <w:tc>
          <w:tcPr>
            <w:tcW w:w="66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68,686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68,177</w:t>
            </w: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118,668</w:t>
            </w:r>
          </w:p>
        </w:tc>
        <w:tc>
          <w:tcPr>
            <w:tcW w:w="0" w:type="dxa"/>
            <w:vAlign w:val="bottom"/>
          </w:tcPr>
          <w:p>
            <w:pPr>
              <w:spacing w:after="0"/>
              <w:rPr>
                <w:sz w:val="1"/>
                <w:szCs w:val="1"/>
                <w:color w:val="auto"/>
              </w:rPr>
            </w:pPr>
          </w:p>
        </w:tc>
      </w:tr>
      <w:tr>
        <w:trPr>
          <w:trHeight w:val="214"/>
        </w:trPr>
        <w:tc>
          <w:tcPr>
            <w:tcW w:w="66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25,526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6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855,568</w:t>
            </w:r>
          </w:p>
        </w:tc>
        <w:tc>
          <w:tcPr>
            <w:tcW w:w="0" w:type="dxa"/>
            <w:vAlign w:val="bottom"/>
          </w:tcPr>
          <w:p>
            <w:pPr>
              <w:spacing w:after="0"/>
              <w:rPr>
                <w:sz w:val="1"/>
                <w:szCs w:val="1"/>
                <w:color w:val="auto"/>
              </w:rPr>
            </w:pPr>
          </w:p>
        </w:tc>
      </w:tr>
      <w:tr>
        <w:trPr>
          <w:trHeight w:val="220"/>
        </w:trPr>
        <w:tc>
          <w:tcPr>
            <w:tcW w:w="6640" w:type="dxa"/>
            <w:vAlign w:val="bottom"/>
          </w:tcPr>
          <w:p>
            <w:pPr>
              <w:spacing w:after="0"/>
              <w:rPr>
                <w:sz w:val="20"/>
                <w:szCs w:val="20"/>
                <w:color w:val="auto"/>
              </w:rPr>
            </w:pPr>
            <w:r>
              <w:rPr>
                <w:rFonts w:ascii="Arial" w:cs="Arial" w:eastAsia="Arial" w:hAnsi="Arial"/>
                <w:sz w:val="18"/>
                <w:szCs w:val="18"/>
                <w:color w:val="auto"/>
              </w:rPr>
              <w:t>Operating income</w:t>
            </w:r>
          </w:p>
        </w:tc>
        <w:tc>
          <w:tcPr>
            <w:tcW w:w="2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122,143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0"/>
        </w:trPr>
        <w:tc>
          <w:tcPr>
            <w:tcW w:w="6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122,264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21"/>
        </w:trPr>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2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116,873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2240" w:h="15840" w:orient="portrait"/>
          <w:cols w:equalWidth="0" w:num="1">
            <w:col w:w="10920"/>
          </w:cols>
          <w:pgMar w:left="660" w:top="128" w:right="660" w:bottom="1440" w:gutter="0" w:footer="0" w:header="0"/>
        </w:sectPr>
      </w:pPr>
    </w:p>
    <w:bookmarkStart w:id="4" w:name="page5"/>
    <w:bookmarkEnd w:id="4"/>
    <w:p>
      <w:pPr>
        <w:jc w:val="center"/>
        <w:ind w:right="-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7"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(dollar amounts in thousands)</w:t>
      </w:r>
    </w:p>
    <w:p>
      <w:pPr>
        <w:spacing w:after="0" w:line="227"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jc w:val="center"/>
        <w:ind w:left="906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6"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91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1"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1"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$101,692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$ 116,873</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12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680" w:type="dxa"/>
            <w:vAlign w:val="bottom"/>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(925)</w:t>
            </w:r>
          </w:p>
        </w:tc>
      </w:tr>
      <w:tr>
        <w:trPr>
          <w:trHeight w:val="214"/>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120" w:type="dxa"/>
            <w:vAlign w:val="bottom"/>
            <w:shd w:val="clear" w:color="auto" w:fill="CCEEFF"/>
          </w:tcPr>
          <w:p>
            <w:pPr>
              <w:spacing w:after="0"/>
              <w:rPr>
                <w:sz w:val="18"/>
                <w:szCs w:val="18"/>
                <w:color w:val="auto"/>
              </w:rPr>
            </w:pPr>
          </w:p>
        </w:tc>
      </w:tr>
      <w:tr>
        <w:trPr>
          <w:trHeight w:val="221"/>
        </w:trPr>
        <w:tc>
          <w:tcPr>
            <w:tcW w:w="91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106,136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122,181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6965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287" w:lineRule="exact"/>
        <w:rPr>
          <w:sz w:val="20"/>
          <w:szCs w:val="20"/>
          <w:color w:val="auto"/>
        </w:rPr>
      </w:pPr>
    </w:p>
    <w:p>
      <w:pPr>
        <w:ind w:left="426" w:hanging="426"/>
        <w:spacing w:after="0"/>
        <w:tabs>
          <w:tab w:leader="none" w:pos="426"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of $1,914 and $357 for the three months ended December 31, 2018 and 2017, respectively.</w:t>
      </w:r>
    </w:p>
    <w:p>
      <w:pPr>
        <w:spacing w:after="0" w:line="19" w:lineRule="exact"/>
        <w:rPr>
          <w:rFonts w:ascii="Arial" w:cs="Arial" w:eastAsia="Arial" w:hAnsi="Arial"/>
          <w:sz w:val="18"/>
          <w:szCs w:val="18"/>
          <w:color w:val="auto"/>
        </w:rPr>
      </w:pPr>
    </w:p>
    <w:p>
      <w:pPr>
        <w:ind w:left="426" w:hanging="426"/>
        <w:spacing w:after="0"/>
        <w:tabs>
          <w:tab w:leader="none" w:pos="426"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of $0 and $10 for the three months ended December 31, 2018 and 2017, respectively.</w:t>
      </w:r>
    </w:p>
    <w:p>
      <w:pPr>
        <w:spacing w:after="0" w:line="208"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5</w:t>
      </w:r>
    </w:p>
    <w:p>
      <w:pPr>
        <w:sectPr>
          <w:pgSz w:w="12240" w:h="15840" w:orient="portrait"/>
          <w:cols w:equalWidth="0" w:num="1">
            <w:col w:w="10926"/>
          </w:cols>
          <w:pgMar w:left="654" w:top="128" w:right="660" w:bottom="1440" w:gutter="0" w:footer="0" w:header="0"/>
        </w:sectPr>
      </w:pPr>
    </w:p>
    <w:bookmarkStart w:id="5" w:name="page6"/>
    <w:bookmarkEnd w:id="5"/>
    <w:p>
      <w:pPr>
        <w:jc w:val="center"/>
        <w:ind w:right="9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21"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4"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(In thousands, except per share data)</w:t>
      </w:r>
    </w:p>
    <w:p>
      <w:pPr>
        <w:spacing w:after="0" w:line="93"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9"/>
            <w:vMerge w:val="restart"/>
          </w:tcPr>
          <w:p>
            <w:pPr>
              <w:ind w:left="100"/>
              <w:spacing w:after="0"/>
              <w:rPr>
                <w:sz w:val="20"/>
                <w:szCs w:val="20"/>
                <w:color w:val="auto"/>
              </w:rPr>
            </w:pPr>
            <w:r>
              <w:rPr>
                <w:rFonts w:ascii="Arial" w:cs="Arial" w:eastAsia="Arial" w:hAnsi="Arial"/>
                <w:sz w:val="14"/>
                <w:szCs w:val="14"/>
                <w:b w:val="1"/>
                <w:bCs w:val="1"/>
                <w:color w:val="auto"/>
              </w:rPr>
              <w:t>Ordinary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320"/>
              <w:spacing w:after="0" w:line="147" w:lineRule="exact"/>
              <w:rPr>
                <w:sz w:val="20"/>
                <w:szCs w:val="20"/>
                <w:color w:val="auto"/>
              </w:rPr>
            </w:pPr>
            <w:r>
              <w:rPr>
                <w:rFonts w:ascii="Arial" w:cs="Arial" w:eastAsia="Arial" w:hAnsi="Arial"/>
                <w:sz w:val="14"/>
                <w:szCs w:val="14"/>
                <w:b w:val="1"/>
                <w:bCs w:val="1"/>
                <w:color w:val="auto"/>
                <w:w w:val="90"/>
              </w:rPr>
              <w:t>Amdocs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20" w:type="dxa"/>
            <w:vAlign w:val="bottom"/>
            <w:gridSpan w:val="9"/>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3"/>
            <w:vMerge w:val="restart"/>
          </w:tcPr>
          <w:p>
            <w:pPr>
              <w:jc w:val="right"/>
              <w:ind w:right="260"/>
              <w:spacing w:after="0" w:line="147"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gridSpan w:val="5"/>
            <w:vMerge w:val="restart"/>
          </w:tcPr>
          <w:p>
            <w:pPr>
              <w:jc w:val="center"/>
              <w:ind w:right="180"/>
              <w:spacing w:after="0" w:line="147" w:lineRule="exact"/>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3"/>
            <w:vMerge w:val="restart"/>
          </w:tcPr>
          <w:p>
            <w:pPr>
              <w:jc w:val="center"/>
              <w:ind w:right="300"/>
              <w:spacing w:after="0" w:line="147" w:lineRule="exact"/>
              <w:rPr>
                <w:sz w:val="20"/>
                <w:szCs w:val="20"/>
                <w:color w:val="auto"/>
              </w:rPr>
            </w:pPr>
            <w:r>
              <w:rPr>
                <w:rFonts w:ascii="Arial" w:cs="Arial" w:eastAsia="Arial" w:hAnsi="Arial"/>
                <w:sz w:val="14"/>
                <w:szCs w:val="14"/>
                <w:b w:val="1"/>
                <w:bCs w:val="1"/>
                <w:color w:val="auto"/>
                <w:w w:val="96"/>
              </w:rPr>
              <w:t>Limited</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3"/>
            <w:vMerge w:val="restart"/>
          </w:tcPr>
          <w:p>
            <w:pPr>
              <w:jc w:val="center"/>
              <w:ind w:right="360"/>
              <w:spacing w:after="0" w:line="147" w:lineRule="exact"/>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7"/>
              </w:rPr>
              <w:t>Treasury</w:t>
            </w:r>
          </w:p>
        </w:tc>
        <w:tc>
          <w:tcPr>
            <w:tcW w:w="20" w:type="dxa"/>
            <w:vAlign w:val="bottom"/>
          </w:tcPr>
          <w:p>
            <w:pPr>
              <w:spacing w:after="0"/>
              <w:rPr>
                <w:sz w:val="4"/>
                <w:szCs w:val="4"/>
                <w:color w:val="auto"/>
              </w:rPr>
            </w:pPr>
          </w:p>
        </w:tc>
        <w:tc>
          <w:tcPr>
            <w:tcW w:w="112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8"/>
              </w:rPr>
              <w:t>Shares</w:t>
            </w:r>
          </w:p>
        </w:tc>
        <w:tc>
          <w:tcPr>
            <w:tcW w:w="6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360"/>
              <w:spacing w:after="0" w:line="147"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79"/>
              </w:rPr>
              <w:t>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20" w:type="dxa"/>
            <w:vAlign w:val="bottom"/>
            <w:gridSpan w:val="5"/>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12"/>
                <w:szCs w:val="12"/>
                <w:color w:val="auto"/>
              </w:rPr>
            </w:pPr>
          </w:p>
        </w:tc>
        <w:tc>
          <w:tcPr>
            <w:tcW w:w="880" w:type="dxa"/>
            <w:vAlign w:val="bottom"/>
            <w:gridSpan w:val="5"/>
          </w:tcPr>
          <w:p>
            <w:pPr>
              <w:jc w:val="center"/>
              <w:ind w:right="140"/>
              <w:spacing w:after="0" w:line="147" w:lineRule="exact"/>
              <w:rPr>
                <w:sz w:val="20"/>
                <w:szCs w:val="20"/>
                <w:color w:val="auto"/>
              </w:rPr>
            </w:pPr>
            <w:r>
              <w:rPr>
                <w:rFonts w:ascii="Arial" w:cs="Arial" w:eastAsia="Arial" w:hAnsi="Arial"/>
                <w:sz w:val="14"/>
                <w:szCs w:val="14"/>
                <w:b w:val="1"/>
                <w:bCs w:val="1"/>
                <w:color w:val="auto"/>
                <w:w w:val="91"/>
              </w:rPr>
              <w:t>controlling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Stock</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195"/>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880" w:type="dxa"/>
            <w:vAlign w:val="bottom"/>
            <w:gridSpan w:val="5"/>
          </w:tcPr>
          <w:p>
            <w:pPr>
              <w:ind w:left="20"/>
              <w:spacing w:after="0"/>
              <w:rPr>
                <w:sz w:val="20"/>
                <w:szCs w:val="20"/>
                <w:color w:val="auto"/>
              </w:rPr>
            </w:pPr>
            <w:r>
              <w:rPr>
                <w:rFonts w:ascii="Arial" w:cs="Arial" w:eastAsia="Arial" w:hAnsi="Arial"/>
                <w:sz w:val="14"/>
                <w:szCs w:val="14"/>
                <w:b w:val="1"/>
                <w:bCs w:val="1"/>
                <w:color w:val="auto"/>
              </w:rPr>
              <w:t>interests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7"/>
              </w:rPr>
              <w:t>Balance as of September 30,</w:t>
            </w: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2018</w:t>
            </w:r>
          </w:p>
        </w:tc>
        <w:tc>
          <w:tcPr>
            <w:tcW w:w="1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140,177</w:t>
            </w:r>
          </w:p>
        </w:tc>
        <w:tc>
          <w:tcPr>
            <w:tcW w:w="66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w w:val="83"/>
              </w:rPr>
              <w:t>$ 4,436</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$3,587,625</w:t>
            </w:r>
          </w:p>
        </w:tc>
        <w:tc>
          <w:tcPr>
            <w:tcW w:w="160" w:type="dxa"/>
            <w:vAlign w:val="bottom"/>
            <w:shd w:val="clear" w:color="auto" w:fill="CCEEFF"/>
          </w:tcPr>
          <w:p>
            <w:pPr>
              <w:spacing w:after="0"/>
              <w:rPr>
                <w:sz w:val="20"/>
                <w:szCs w:val="20"/>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8"/>
              </w:rPr>
              <w:t>$(4,784,352)</w:t>
            </w:r>
          </w:p>
        </w:tc>
        <w:tc>
          <w:tcPr>
            <w:tcW w:w="22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(32,731)</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$4,673,901</w:t>
            </w:r>
          </w:p>
        </w:tc>
        <w:tc>
          <w:tcPr>
            <w:tcW w:w="18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8"/>
              </w:rPr>
              <w:t>$ 3,448,879</w:t>
            </w:r>
          </w:p>
        </w:tc>
        <w:tc>
          <w:tcPr>
            <w:tcW w:w="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43,163</w:t>
            </w:r>
          </w:p>
        </w:tc>
        <w:tc>
          <w:tcPr>
            <w:tcW w:w="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$3,492,042</w:t>
            </w:r>
          </w:p>
        </w:tc>
        <w:tc>
          <w:tcPr>
            <w:tcW w:w="1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spacing w:after="0" w:line="200" w:lineRule="exact"/>
              <w:rPr>
                <w:sz w:val="20"/>
                <w:szCs w:val="20"/>
                <w:color w:val="auto"/>
              </w:rPr>
            </w:pPr>
            <w:r>
              <w:rPr>
                <w:rFonts w:ascii="Arial" w:cs="Arial" w:eastAsia="Arial" w:hAnsi="Arial"/>
                <w:sz w:val="18"/>
                <w:szCs w:val="18"/>
                <w:color w:val="auto"/>
              </w:rPr>
              <w:t>Cumulative effect adjustment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100" w:type="dxa"/>
            <w:vAlign w:val="bottom"/>
            <w:gridSpan w:val="2"/>
          </w:tcPr>
          <w:p>
            <w:pPr>
              <w:ind w:left="180"/>
              <w:spacing w:after="0"/>
              <w:rPr>
                <w:sz w:val="20"/>
                <w:szCs w:val="20"/>
                <w:color w:val="auto"/>
              </w:rPr>
            </w:pPr>
            <w:r>
              <w:rPr>
                <w:rFonts w:ascii="Arial" w:cs="Arial" w:eastAsia="Arial" w:hAnsi="Arial"/>
                <w:sz w:val="18"/>
                <w:szCs w:val="18"/>
                <w:color w:val="auto"/>
              </w:rPr>
              <w:t>(3)</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10,434</w:t>
            </w:r>
          </w:p>
        </w:tc>
        <w:tc>
          <w:tcPr>
            <w:tcW w:w="10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10,434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rPr>
              <w:t>10,434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3"/>
          </w:tcPr>
          <w:p>
            <w:pPr>
              <w:ind w:left="340"/>
              <w:spacing w:after="0"/>
              <w:rPr>
                <w:sz w:val="20"/>
                <w:szCs w:val="20"/>
                <w:color w:val="auto"/>
              </w:rPr>
            </w:pPr>
            <w:r>
              <w:rPr>
                <w:rFonts w:ascii="Arial" w:cs="Arial" w:eastAsia="Arial" w:hAnsi="Arial"/>
                <w:sz w:val="18"/>
                <w:szCs w:val="18"/>
                <w:color w:val="auto"/>
              </w:rPr>
              <w:t>Net income (2)</w:t>
            </w:r>
          </w:p>
        </w:tc>
        <w:tc>
          <w:tcPr>
            <w:tcW w:w="2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101,692</w:t>
            </w:r>
          </w:p>
        </w:tc>
        <w:tc>
          <w:tcPr>
            <w:tcW w:w="10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101,692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101,692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shd w:val="clear" w:color="auto" w:fill="CCEEFF"/>
          </w:tcPr>
          <w:p>
            <w:pPr>
              <w:ind w:left="340"/>
              <w:spacing w:after="0" w:line="200" w:lineRule="exact"/>
              <w:rPr>
                <w:sz w:val="20"/>
                <w:szCs w:val="20"/>
                <w:color w:val="auto"/>
              </w:rPr>
            </w:pPr>
            <w:r>
              <w:rPr>
                <w:rFonts w:ascii="Arial" w:cs="Arial" w:eastAsia="Arial" w:hAnsi="Arial"/>
                <w:sz w:val="18"/>
                <w:szCs w:val="18"/>
                <w:color w:val="auto"/>
              </w:rPr>
              <w:t>Other comprehensive</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income</w:t>
            </w: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4,444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60" w:type="dxa"/>
            <w:vAlign w:val="bottom"/>
            <w:gridSpan w:val="3"/>
          </w:tcPr>
          <w:p>
            <w:pPr>
              <w:ind w:left="34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106,136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106,136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Employee stock options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8,399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Repurchase of shares</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(1,580)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(99,182)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(99,182)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(99,182)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w w:val="96"/>
              </w:rPr>
              <w:t>Cash dividends declared ($0.25</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per ordinary share)</w:t>
            </w: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(34,755)</w:t>
            </w: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(34,755)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spacing w:after="0" w:line="200" w:lineRule="exact"/>
              <w:rPr>
                <w:sz w:val="20"/>
                <w:szCs w:val="20"/>
                <w:color w:val="auto"/>
              </w:rPr>
            </w:pPr>
            <w:r>
              <w:rPr>
                <w:rFonts w:ascii="Arial" w:cs="Arial" w:eastAsia="Arial" w:hAnsi="Arial"/>
                <w:sz w:val="18"/>
                <w:szCs w:val="18"/>
                <w:color w:val="auto"/>
                <w:w w:val="96"/>
              </w:rPr>
              <w:t>Issuance of restricted stock, net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60" w:type="dxa"/>
            <w:vAlign w:val="bottom"/>
            <w:gridSpan w:val="3"/>
          </w:tcPr>
          <w:p>
            <w:pPr>
              <w:ind w:left="160"/>
              <w:spacing w:after="0"/>
              <w:rPr>
                <w:sz w:val="20"/>
                <w:szCs w:val="20"/>
                <w:color w:val="auto"/>
              </w:rPr>
            </w:pPr>
            <w:r>
              <w:rPr>
                <w:rFonts w:ascii="Arial" w:cs="Arial" w:eastAsia="Arial" w:hAnsi="Arial"/>
                <w:sz w:val="18"/>
                <w:szCs w:val="18"/>
                <w:color w:val="auto"/>
              </w:rPr>
              <w:t>of forfeitures</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Equity-based compensation</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expense related to employees</w:t>
            </w: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12,117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spacing w:after="0" w:line="200" w:lineRule="exact"/>
              <w:rPr>
                <w:sz w:val="20"/>
                <w:szCs w:val="20"/>
                <w:color w:val="auto"/>
              </w:rPr>
            </w:pPr>
            <w:r>
              <w:rPr>
                <w:rFonts w:ascii="Arial" w:cs="Arial" w:eastAsia="Arial" w:hAnsi="Arial"/>
                <w:sz w:val="18"/>
                <w:szCs w:val="18"/>
                <w:color w:val="auto"/>
              </w:rPr>
              <w:t>Contribution of Noncontrolling</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interests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3,966</w:t>
            </w:r>
          </w:p>
        </w:tc>
        <w:tc>
          <w:tcPr>
            <w:tcW w:w="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9"/>
              </w:rPr>
              <w:t>Balance as of December 31,</w:t>
            </w: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2018</w:t>
            </w:r>
          </w:p>
        </w:tc>
        <w:tc>
          <w:tcPr>
            <w:tcW w:w="1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139,012</w:t>
            </w:r>
          </w:p>
        </w:tc>
        <w:tc>
          <w:tcPr>
            <w:tcW w:w="160" w:type="dxa"/>
            <w:vAlign w:val="bottom"/>
            <w:shd w:val="clear" w:color="auto" w:fill="CCEEFF"/>
          </w:tcPr>
          <w:p>
            <w:pPr>
              <w:spacing w:after="0"/>
              <w:rPr>
                <w:sz w:val="20"/>
                <w:szCs w:val="20"/>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4,441</w:t>
            </w:r>
          </w:p>
        </w:tc>
        <w:tc>
          <w:tcPr>
            <w:tcW w:w="14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3,608,139</w:t>
            </w:r>
          </w:p>
        </w:tc>
        <w:tc>
          <w:tcPr>
            <w:tcW w:w="160" w:type="dxa"/>
            <w:vAlign w:val="bottom"/>
            <w:shd w:val="clear" w:color="auto" w:fill="CCEEFF"/>
          </w:tcPr>
          <w:p>
            <w:pPr>
              <w:spacing w:after="0"/>
              <w:rPr>
                <w:sz w:val="20"/>
                <w:szCs w:val="20"/>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(4,883,534)</w:t>
            </w:r>
          </w:p>
        </w:tc>
        <w:tc>
          <w:tcPr>
            <w:tcW w:w="22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(28,287)</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4,751,272</w:t>
            </w:r>
          </w:p>
        </w:tc>
        <w:tc>
          <w:tcPr>
            <w:tcW w:w="18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8"/>
              </w:rPr>
              <w:t>$ 3,452,031</w:t>
            </w:r>
          </w:p>
        </w:tc>
        <w:tc>
          <w:tcPr>
            <w:tcW w:w="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47,129</w:t>
            </w:r>
          </w:p>
        </w:tc>
        <w:tc>
          <w:tcPr>
            <w:tcW w:w="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3,499,160</w:t>
            </w:r>
          </w:p>
        </w:tc>
        <w:tc>
          <w:tcPr>
            <w:tcW w:w="1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8"/>
            <w:vMerge w:val="restart"/>
          </w:tcPr>
          <w:p>
            <w:pPr>
              <w:ind w:left="140"/>
              <w:spacing w:after="0"/>
              <w:rPr>
                <w:sz w:val="20"/>
                <w:szCs w:val="20"/>
                <w:color w:val="auto"/>
              </w:rPr>
            </w:pPr>
            <w:r>
              <w:rPr>
                <w:rFonts w:ascii="Arial" w:cs="Arial" w:eastAsia="Arial" w:hAnsi="Arial"/>
                <w:sz w:val="14"/>
                <w:szCs w:val="14"/>
                <w:b w:val="1"/>
                <w:bCs w:val="1"/>
                <w:color w:val="auto"/>
                <w:w w:val="97"/>
              </w:rPr>
              <w:t>Ordinary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7"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6"/>
              </w:rPr>
              <w:t>Amdocs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Borders>
              <w:bottom w:val="single" w:sz="8" w:color="auto"/>
            </w:tcBorders>
            <w:gridSpan w:val="8"/>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jc w:val="right"/>
              <w:ind w:right="20"/>
              <w:spacing w:after="0" w:line="147"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5"/>
            <w:vMerge w:val="restart"/>
          </w:tcPr>
          <w:p>
            <w:pPr>
              <w:jc w:val="center"/>
              <w:ind w:right="60"/>
              <w:spacing w:after="0" w:line="147"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3"/>
            <w:vMerge w:val="restart"/>
          </w:tcPr>
          <w:p>
            <w:pPr>
              <w:jc w:val="center"/>
              <w:ind w:right="20"/>
              <w:spacing w:after="0" w:line="147" w:lineRule="exact"/>
              <w:rPr>
                <w:sz w:val="20"/>
                <w:szCs w:val="20"/>
                <w:color w:val="auto"/>
              </w:rPr>
            </w:pPr>
            <w:r>
              <w:rPr>
                <w:rFonts w:ascii="Arial" w:cs="Arial" w:eastAsia="Arial" w:hAnsi="Arial"/>
                <w:sz w:val="14"/>
                <w:szCs w:val="14"/>
                <w:b w:val="1"/>
                <w:bCs w:val="1"/>
                <w:color w:val="auto"/>
                <w:w w:val="96"/>
              </w:rPr>
              <w:t>Limited</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3"/>
            <w:vMerge w:val="restart"/>
          </w:tcPr>
          <w:p>
            <w:pPr>
              <w:jc w:val="right"/>
              <w:ind w:right="240"/>
              <w:spacing w:after="0" w:line="147" w:lineRule="exact"/>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7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9"/>
              </w:rPr>
              <w:t>Shareholders’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tcPr>
          <w:p>
            <w:pPr>
              <w:ind w:left="40"/>
              <w:spacing w:after="0" w:line="147" w:lineRule="exact"/>
              <w:rPr>
                <w:sz w:val="20"/>
                <w:szCs w:val="20"/>
                <w:color w:val="auto"/>
              </w:rPr>
            </w:pPr>
            <w:r>
              <w:rPr>
                <w:rFonts w:ascii="Arial" w:cs="Arial" w:eastAsia="Arial" w:hAnsi="Arial"/>
                <w:sz w:val="14"/>
                <w:szCs w:val="14"/>
                <w:b w:val="1"/>
                <w:bCs w:val="1"/>
                <w:color w:val="auto"/>
                <w:w w:val="96"/>
              </w:rPr>
              <w:t>controlling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left="35"/>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interests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w w:val="91"/>
              </w:rPr>
              <w:t>Balance as of September 30, 2017</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144,391</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3"/>
              </w:rPr>
              <w:t>$ 4,410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$3,458,887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4"/>
              </w:rPr>
              <w:t>$(4,365,124)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18,790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$4,457,107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$ 3,574,070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$3,574,070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income (2)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116,873</w:t>
            </w: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116,873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116,873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3"/>
          </w:tcPr>
          <w:p>
            <w:pPr>
              <w:ind w:left="340"/>
              <w:spacing w:after="0"/>
              <w:rPr>
                <w:sz w:val="20"/>
                <w:szCs w:val="20"/>
                <w:color w:val="auto"/>
              </w:rPr>
            </w:pPr>
            <w:r>
              <w:rPr>
                <w:rFonts w:ascii="Arial" w:cs="Arial" w:eastAsia="Arial" w:hAnsi="Arial"/>
                <w:sz w:val="18"/>
                <w:szCs w:val="18"/>
                <w:color w:val="auto"/>
                <w:w w:val="89"/>
              </w:rPr>
              <w:t>Other comprehensive income</w:t>
            </w:r>
          </w:p>
        </w:tc>
        <w:tc>
          <w:tcPr>
            <w:tcW w:w="20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5,308</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5,308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122,181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122,181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w w:val="89"/>
              </w:rPr>
              <w:t>Employee stock options exercised</w:t>
            </w:r>
          </w:p>
        </w:tc>
        <w:tc>
          <w:tcPr>
            <w:tcW w:w="860" w:type="dxa"/>
            <w:vAlign w:val="bottom"/>
            <w:gridSpan w:val="5"/>
          </w:tcPr>
          <w:p>
            <w:pPr>
              <w:ind w:left="580"/>
              <w:spacing w:after="0"/>
              <w:rPr>
                <w:sz w:val="20"/>
                <w:szCs w:val="20"/>
                <w:color w:val="auto"/>
              </w:rPr>
            </w:pPr>
            <w:r>
              <w:rPr>
                <w:rFonts w:ascii="Arial" w:cs="Arial" w:eastAsia="Arial" w:hAnsi="Arial"/>
                <w:sz w:val="18"/>
                <w:szCs w:val="18"/>
                <w:color w:val="auto"/>
                <w:w w:val="86"/>
              </w:rPr>
              <w:t>725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9</w:t>
            </w:r>
          </w:p>
        </w:tc>
        <w:tc>
          <w:tcPr>
            <w:tcW w:w="1000" w:type="dxa"/>
            <w:vAlign w:val="bottom"/>
            <w:gridSpan w:val="5"/>
          </w:tcPr>
          <w:p>
            <w:pPr>
              <w:ind w:left="460"/>
              <w:spacing w:after="0"/>
              <w:rPr>
                <w:sz w:val="20"/>
                <w:szCs w:val="20"/>
                <w:color w:val="auto"/>
              </w:rPr>
            </w:pPr>
            <w:r>
              <w:rPr>
                <w:rFonts w:ascii="Arial" w:cs="Arial" w:eastAsia="Arial" w:hAnsi="Arial"/>
                <w:sz w:val="18"/>
                <w:szCs w:val="18"/>
                <w:color w:val="auto"/>
                <w:w w:val="94"/>
              </w:rPr>
              <w:t>31,458</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31,467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31,467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9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(1,852)</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ind w:right="25"/>
              <w:spacing w:after="0"/>
              <w:rPr>
                <w:sz w:val="20"/>
                <w:szCs w:val="20"/>
                <w:color w:val="auto"/>
              </w:rPr>
            </w:pPr>
            <w:r>
              <w:rPr>
                <w:rFonts w:ascii="Arial" w:cs="Arial" w:eastAsia="Arial" w:hAnsi="Arial"/>
                <w:sz w:val="18"/>
                <w:szCs w:val="18"/>
                <w:color w:val="auto"/>
              </w:rPr>
              <w:t>(119,898)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ind w:right="29"/>
              <w:spacing w:after="0"/>
              <w:rPr>
                <w:sz w:val="20"/>
                <w:szCs w:val="20"/>
                <w:color w:val="auto"/>
              </w:rPr>
            </w:pPr>
            <w:r>
              <w:rPr>
                <w:rFonts w:ascii="Arial" w:cs="Arial" w:eastAsia="Arial" w:hAnsi="Arial"/>
                <w:sz w:val="18"/>
                <w:szCs w:val="18"/>
                <w:color w:val="auto"/>
              </w:rPr>
              <w:t>(119,898)</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(119,898)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20" w:type="dxa"/>
            <w:vAlign w:val="bottom"/>
            <w:gridSpan w:val="6"/>
          </w:tcPr>
          <w:p>
            <w:pPr>
              <w:spacing w:after="0" w:line="200" w:lineRule="exact"/>
              <w:rPr>
                <w:sz w:val="20"/>
                <w:szCs w:val="20"/>
                <w:color w:val="auto"/>
              </w:rPr>
            </w:pPr>
            <w:r>
              <w:rPr>
                <w:rFonts w:ascii="Arial" w:cs="Arial" w:eastAsia="Arial" w:hAnsi="Arial"/>
                <w:sz w:val="18"/>
                <w:szCs w:val="18"/>
                <w:color w:val="auto"/>
              </w:rPr>
              <w:t>Cash dividends declared ($0.22 per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60" w:type="dxa"/>
            <w:vAlign w:val="bottom"/>
            <w:gridSpan w:val="3"/>
          </w:tcPr>
          <w:p>
            <w:pPr>
              <w:ind w:left="160"/>
              <w:spacing w:after="0"/>
              <w:rPr>
                <w:sz w:val="20"/>
                <w:szCs w:val="20"/>
                <w:color w:val="auto"/>
              </w:rPr>
            </w:pPr>
            <w:r>
              <w:rPr>
                <w:rFonts w:ascii="Arial" w:cs="Arial" w:eastAsia="Arial" w:hAnsi="Arial"/>
                <w:sz w:val="18"/>
                <w:szCs w:val="18"/>
                <w:color w:val="auto"/>
              </w:rPr>
              <w:t>ordinary share)</w:t>
            </w:r>
          </w:p>
        </w:tc>
        <w:tc>
          <w:tcPr>
            <w:tcW w:w="200" w:type="dxa"/>
            <w:vAlign w:val="bottom"/>
          </w:tcPr>
          <w:p>
            <w:pPr>
              <w:spacing w:after="0"/>
              <w:rPr>
                <w:sz w:val="19"/>
                <w:szCs w:val="19"/>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(31,556)</w:t>
            </w:r>
          </w:p>
        </w:tc>
        <w:tc>
          <w:tcPr>
            <w:tcW w:w="1060" w:type="dxa"/>
            <w:vAlign w:val="bottom"/>
            <w:gridSpan w:val="6"/>
          </w:tcPr>
          <w:p>
            <w:pPr>
              <w:jc w:val="right"/>
              <w:ind w:right="29"/>
              <w:spacing w:after="0"/>
              <w:rPr>
                <w:sz w:val="20"/>
                <w:szCs w:val="20"/>
                <w:color w:val="auto"/>
              </w:rPr>
            </w:pPr>
            <w:r>
              <w:rPr>
                <w:rFonts w:ascii="Arial" w:cs="Arial" w:eastAsia="Arial" w:hAnsi="Arial"/>
                <w:sz w:val="18"/>
                <w:szCs w:val="18"/>
                <w:color w:val="auto"/>
              </w:rPr>
              <w:t>(31,556)</w:t>
            </w:r>
          </w:p>
        </w:tc>
        <w:tc>
          <w:tcPr>
            <w:tcW w:w="100" w:type="dxa"/>
            <w:vAlign w:val="bottom"/>
          </w:tcPr>
          <w:p>
            <w:pPr>
              <w:spacing w:after="0"/>
              <w:rPr>
                <w:sz w:val="19"/>
                <w:szCs w:val="19"/>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(31,556)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89"/>
              </w:rPr>
              <w:t>Issuance of restricted stock, net of</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forfeitures</w:t>
            </w:r>
          </w:p>
        </w:tc>
        <w:tc>
          <w:tcPr>
            <w:tcW w:w="860" w:type="dxa"/>
            <w:vAlign w:val="bottom"/>
            <w:gridSpan w:val="5"/>
            <w:shd w:val="clear" w:color="auto" w:fill="CCEEFF"/>
          </w:tcPr>
          <w:p>
            <w:pPr>
              <w:ind w:left="580"/>
              <w:spacing w:after="0"/>
              <w:rPr>
                <w:sz w:val="20"/>
                <w:szCs w:val="20"/>
                <w:color w:val="auto"/>
              </w:rPr>
            </w:pPr>
            <w:r>
              <w:rPr>
                <w:rFonts w:ascii="Arial" w:cs="Arial" w:eastAsia="Arial" w:hAnsi="Arial"/>
                <w:sz w:val="18"/>
                <w:szCs w:val="18"/>
                <w:color w:val="auto"/>
                <w:w w:val="86"/>
              </w:rPr>
              <w:t>159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20" w:type="dxa"/>
            <w:vAlign w:val="bottom"/>
            <w:gridSpan w:val="6"/>
          </w:tcPr>
          <w:p>
            <w:pPr>
              <w:spacing w:after="0" w:line="200" w:lineRule="exact"/>
              <w:rPr>
                <w:sz w:val="20"/>
                <w:szCs w:val="20"/>
                <w:color w:val="auto"/>
              </w:rPr>
            </w:pPr>
            <w:r>
              <w:rPr>
                <w:rFonts w:ascii="Arial" w:cs="Arial" w:eastAsia="Arial" w:hAnsi="Arial"/>
                <w:sz w:val="18"/>
                <w:szCs w:val="18"/>
                <w:color w:val="auto"/>
              </w:rPr>
              <w:t>Equity-based compensation expense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60" w:type="dxa"/>
            <w:vAlign w:val="bottom"/>
            <w:gridSpan w:val="3"/>
          </w:tcPr>
          <w:p>
            <w:pPr>
              <w:ind w:left="160"/>
              <w:spacing w:after="0"/>
              <w:rPr>
                <w:sz w:val="20"/>
                <w:szCs w:val="20"/>
                <w:color w:val="auto"/>
              </w:rPr>
            </w:pPr>
            <w:r>
              <w:rPr>
                <w:rFonts w:ascii="Arial" w:cs="Arial" w:eastAsia="Arial" w:hAnsi="Arial"/>
                <w:sz w:val="18"/>
                <w:szCs w:val="18"/>
                <w:color w:val="auto"/>
              </w:rPr>
              <w:t>related to employees</w:t>
            </w:r>
          </w:p>
        </w:tc>
        <w:tc>
          <w:tcPr>
            <w:tcW w:w="200" w:type="dxa"/>
            <w:vAlign w:val="bottom"/>
          </w:tcPr>
          <w:p>
            <w:pPr>
              <w:spacing w:after="0"/>
              <w:rPr>
                <w:sz w:val="19"/>
                <w:szCs w:val="19"/>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5"/>
          </w:tcPr>
          <w:p>
            <w:pPr>
              <w:ind w:left="460"/>
              <w:spacing w:after="0"/>
              <w:rPr>
                <w:sz w:val="20"/>
                <w:szCs w:val="20"/>
                <w:color w:val="auto"/>
              </w:rPr>
            </w:pPr>
            <w:r>
              <w:rPr>
                <w:rFonts w:ascii="Arial" w:cs="Arial" w:eastAsia="Arial" w:hAnsi="Arial"/>
                <w:sz w:val="18"/>
                <w:szCs w:val="18"/>
                <w:color w:val="auto"/>
                <w:w w:val="94"/>
              </w:rPr>
              <w:t>13,505</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13,505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13,505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Contribution of Noncontrolling</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38,123</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38,123</w:t>
            </w:r>
          </w:p>
        </w:tc>
        <w:tc>
          <w:tcPr>
            <w:tcW w:w="0" w:type="dxa"/>
            <w:vAlign w:val="bottom"/>
          </w:tcPr>
          <w:p>
            <w:pPr>
              <w:spacing w:after="0"/>
              <w:rPr>
                <w:sz w:val="1"/>
                <w:szCs w:val="1"/>
                <w:color w:val="auto"/>
              </w:rPr>
            </w:pPr>
          </w:p>
        </w:tc>
      </w:tr>
      <w:tr>
        <w:trPr>
          <w:trHeight w:val="221"/>
        </w:trPr>
        <w:tc>
          <w:tcPr>
            <w:tcW w:w="2480" w:type="dxa"/>
            <w:vAlign w:val="bottom"/>
            <w:gridSpan w:val="4"/>
          </w:tcPr>
          <w:p>
            <w:pPr>
              <w:spacing w:after="0"/>
              <w:rPr>
                <w:sz w:val="20"/>
                <w:szCs w:val="20"/>
                <w:color w:val="auto"/>
              </w:rPr>
            </w:pPr>
            <w:r>
              <w:rPr>
                <w:rFonts w:ascii="Arial" w:cs="Arial" w:eastAsia="Arial" w:hAnsi="Arial"/>
                <w:sz w:val="18"/>
                <w:szCs w:val="18"/>
                <w:b w:val="1"/>
                <w:bCs w:val="1"/>
                <w:color w:val="auto"/>
                <w:w w:val="86"/>
              </w:rPr>
              <w:t>Balance as of December 31, 2017</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143,423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4,419</w:t>
            </w: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3,503,850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(4,485,022</w:t>
            </w:r>
          </w:p>
        </w:tc>
        <w:tc>
          <w:tcPr>
            <w:tcW w:w="160" w:type="dxa"/>
            <w:vAlign w:val="bottom"/>
          </w:tcPr>
          <w:p>
            <w:pPr>
              <w:jc w:val="right"/>
              <w:ind w:right="25"/>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24,098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4,542,424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$ 3,589,769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38,123</w:t>
            </w: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3,627,892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26" w:right="240" w:hanging="426"/>
        <w:spacing w:after="0" w:line="253" w:lineRule="auto"/>
        <w:tabs>
          <w:tab w:leader="none" w:pos="426"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December 31, 2018 and 2017, accumulated other comprehensive (loss) income is comprised of unrealized (loss) gain on derivatives, net of tax, of $(22,555) and $30,741, unrealized (loss) on short-term interest-bearing investments, net of tax, of $(1,201) and $(1,335) and unrealized (loss) on defined benefit plan, net of tax, of $(4,531) and $(5,308).</w:t>
      </w:r>
    </w:p>
    <w:p>
      <w:pPr>
        <w:ind w:left="426" w:right="620" w:hanging="426"/>
        <w:spacing w:after="0" w:line="248" w:lineRule="auto"/>
        <w:tabs>
          <w:tab w:leader="none" w:pos="426"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three months ended December 31, 2018, and 2017, all of the Company’s net income is attributable to Amdocs Limited as the net income attributable to the Non-controlling interests is negligible</w:t>
      </w:r>
    </w:p>
    <w:p>
      <w:pPr>
        <w:ind w:left="426" w:right="240" w:hanging="426"/>
        <w:spacing w:after="0" w:line="256" w:lineRule="auto"/>
        <w:tabs>
          <w:tab w:leader="none" w:pos="42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Cumulative effect adjustments as of October 1, 2018 include increase of $14,294 to retained earnings due to the impact of adoptions of ASU No. 2014-09 (ASC 606), and decrease of $3,860 to retained earnings due to adoption ASU No. 2016-16.</w:t>
      </w:r>
    </w:p>
    <w:p>
      <w:pPr>
        <w:spacing w:after="0" w:line="188" w:lineRule="exact"/>
        <w:rPr>
          <w:sz w:val="20"/>
          <w:szCs w:val="20"/>
          <w:color w:val="auto"/>
        </w:rPr>
      </w:pPr>
    </w:p>
    <w:p>
      <w:pPr>
        <w:jc w:val="center"/>
        <w:ind w:right="94"/>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2240" w:h="15840" w:orient="portrait"/>
          <w:cols w:equalWidth="0" w:num="1">
            <w:col w:w="11026"/>
          </w:cols>
          <w:pgMar w:left="654" w:top="128" w:right="560" w:bottom="1440" w:gutter="0" w:footer="0" w:header="0"/>
        </w:sectPr>
      </w:pPr>
    </w:p>
    <w:p>
      <w:pPr>
        <w:spacing w:after="0" w:line="154" w:lineRule="exact"/>
        <w:rPr>
          <w:sz w:val="20"/>
          <w:szCs w:val="20"/>
          <w:color w:val="auto"/>
        </w:rPr>
      </w:pPr>
    </w:p>
    <w:p>
      <w:pPr>
        <w:jc w:val="center"/>
        <w:ind w:right="114"/>
        <w:spacing w:after="0"/>
        <w:rPr>
          <w:sz w:val="20"/>
          <w:szCs w:val="20"/>
          <w:color w:val="auto"/>
        </w:rPr>
      </w:pPr>
      <w:r>
        <w:rPr>
          <w:rFonts w:ascii="Arial" w:cs="Arial" w:eastAsia="Arial" w:hAnsi="Arial"/>
          <w:sz w:val="17"/>
          <w:szCs w:val="17"/>
          <w:color w:val="auto"/>
        </w:rPr>
        <w:t>6</w:t>
      </w:r>
    </w:p>
    <w:p>
      <w:pPr>
        <w:sectPr>
          <w:pgSz w:w="12240" w:h="15840" w:orient="portrait"/>
          <w:cols w:equalWidth="0" w:num="1">
            <w:col w:w="11026"/>
          </w:cols>
          <w:pgMar w:left="654" w:top="128" w:right="560" w:bottom="1440" w:gutter="0" w:footer="0" w:header="0"/>
          <w:type w:val="continuous"/>
        </w:sectPr>
      </w:pPr>
    </w:p>
    <w:bookmarkStart w:id="6" w:name="page7"/>
    <w:bookmarkEnd w:id="6"/>
    <w:p>
      <w:pPr>
        <w:jc w:val="center"/>
        <w:ind w:right="-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7"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(dollar amounts in thousands)</w:t>
      </w:r>
    </w:p>
    <w:p>
      <w:pPr>
        <w:spacing w:after="0" w:line="227"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Three months ended</w:t>
      </w:r>
    </w:p>
    <w:p>
      <w:pPr>
        <w:jc w:val="center"/>
        <w:ind w:left="890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6"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90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1"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1"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101,692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116,873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80" w:type="dxa"/>
            <w:vAlign w:val="bottom"/>
            <w:gridSpan w:val="2"/>
          </w:tcPr>
          <w:p>
            <w:pPr>
              <w:jc w:val="right"/>
              <w:ind w:right="262"/>
              <w:spacing w:after="0"/>
              <w:rPr>
                <w:sz w:val="20"/>
                <w:szCs w:val="20"/>
                <w:color w:val="auto"/>
              </w:rPr>
            </w:pPr>
            <w:r>
              <w:rPr>
                <w:rFonts w:ascii="Arial" w:cs="Arial" w:eastAsia="Arial" w:hAnsi="Arial"/>
                <w:sz w:val="18"/>
                <w:szCs w:val="18"/>
                <w:color w:val="auto"/>
              </w:rPr>
              <w:t>51,477</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49,237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980" w:type="dxa"/>
            <w:vAlign w:val="bottom"/>
            <w:gridSpan w:val="2"/>
          </w:tcPr>
          <w:p>
            <w:pPr>
              <w:jc w:val="right"/>
              <w:ind w:right="202"/>
              <w:spacing w:after="0"/>
              <w:rPr>
                <w:sz w:val="20"/>
                <w:szCs w:val="20"/>
                <w:color w:val="auto"/>
              </w:rPr>
            </w:pPr>
            <w:r>
              <w:rPr>
                <w:rFonts w:ascii="Arial" w:cs="Arial" w:eastAsia="Arial" w:hAnsi="Arial"/>
                <w:sz w:val="18"/>
                <w:szCs w:val="18"/>
                <w:color w:val="auto"/>
              </w:rPr>
              <w:t>(4,505)</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(9,245)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from short-term interest-bearing investments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(26,406)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(68,797)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980" w:type="dxa"/>
            <w:vAlign w:val="bottom"/>
            <w:gridSpan w:val="2"/>
          </w:tcPr>
          <w:p>
            <w:pPr>
              <w:jc w:val="right"/>
              <w:ind w:right="262"/>
              <w:spacing w:after="0"/>
              <w:rPr>
                <w:sz w:val="20"/>
                <w:szCs w:val="20"/>
                <w:color w:val="auto"/>
              </w:rPr>
            </w:pPr>
            <w:r>
              <w:rPr>
                <w:rFonts w:ascii="Arial" w:cs="Arial" w:eastAsia="Arial" w:hAnsi="Arial"/>
                <w:sz w:val="18"/>
                <w:szCs w:val="18"/>
                <w:color w:val="auto"/>
              </w:rPr>
              <w:t>20,174</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80" w:type="dxa"/>
            <w:vAlign w:val="bottom"/>
          </w:tcPr>
          <w:p>
            <w:pPr>
              <w:spacing w:after="0"/>
              <w:rPr>
                <w:sz w:val="18"/>
                <w:szCs w:val="18"/>
                <w:color w:val="auto"/>
              </w:rPr>
            </w:pPr>
          </w:p>
        </w:tc>
        <w:tc>
          <w:tcPr>
            <w:tcW w:w="980" w:type="dxa"/>
            <w:vAlign w:val="bottom"/>
            <w:gridSpan w:val="2"/>
          </w:tcPr>
          <w:p>
            <w:pPr>
              <w:jc w:val="right"/>
              <w:ind w:right="202"/>
              <w:spacing w:after="0"/>
              <w:rPr>
                <w:sz w:val="20"/>
                <w:szCs w:val="20"/>
                <w:color w:val="auto"/>
              </w:rPr>
            </w:pPr>
            <w:r>
              <w:rPr>
                <w:rFonts w:ascii="Arial" w:cs="Arial" w:eastAsia="Arial" w:hAnsi="Arial"/>
                <w:sz w:val="18"/>
                <w:szCs w:val="18"/>
                <w:color w:val="auto"/>
              </w:rPr>
              <w:t>(50,332)</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70,632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(11,922)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Income taxes payable, net</w:t>
            </w:r>
          </w:p>
        </w:tc>
        <w:tc>
          <w:tcPr>
            <w:tcW w:w="80" w:type="dxa"/>
            <w:vAlign w:val="bottom"/>
          </w:tcPr>
          <w:p>
            <w:pPr>
              <w:spacing w:after="0"/>
              <w:rPr>
                <w:sz w:val="18"/>
                <w:szCs w:val="18"/>
                <w:color w:val="auto"/>
              </w:rPr>
            </w:pPr>
          </w:p>
        </w:tc>
        <w:tc>
          <w:tcPr>
            <w:tcW w:w="980" w:type="dxa"/>
            <w:vAlign w:val="bottom"/>
            <w:gridSpan w:val="2"/>
          </w:tcPr>
          <w:p>
            <w:pPr>
              <w:jc w:val="right"/>
              <w:ind w:right="262"/>
              <w:spacing w:after="0"/>
              <w:rPr>
                <w:sz w:val="20"/>
                <w:szCs w:val="20"/>
                <w:color w:val="auto"/>
              </w:rPr>
            </w:pPr>
            <w:r>
              <w:rPr>
                <w:rFonts w:ascii="Arial" w:cs="Arial" w:eastAsia="Arial" w:hAnsi="Arial"/>
                <w:sz w:val="18"/>
                <w:szCs w:val="18"/>
                <w:color w:val="auto"/>
              </w:rPr>
              <w:t>23,887</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(9,054)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28"/>
        </w:trPr>
        <w:tc>
          <w:tcPr>
            <w:tcW w:w="90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109,650</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164,601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Purchase of property and equipment, net (*)</w:t>
            </w:r>
          </w:p>
        </w:tc>
        <w:tc>
          <w:tcPr>
            <w:tcW w:w="80" w:type="dxa"/>
            <w:vAlign w:val="bottom"/>
          </w:tcPr>
          <w:p>
            <w:pPr>
              <w:spacing w:after="0"/>
              <w:rPr>
                <w:sz w:val="18"/>
                <w:szCs w:val="18"/>
                <w:color w:val="auto"/>
              </w:rPr>
            </w:pPr>
          </w:p>
        </w:tc>
        <w:tc>
          <w:tcPr>
            <w:tcW w:w="980" w:type="dxa"/>
            <w:vAlign w:val="bottom"/>
            <w:gridSpan w:val="2"/>
          </w:tcPr>
          <w:p>
            <w:pPr>
              <w:jc w:val="right"/>
              <w:ind w:right="202"/>
              <w:spacing w:after="0"/>
              <w:rPr>
                <w:sz w:val="20"/>
                <w:szCs w:val="20"/>
                <w:color w:val="auto"/>
              </w:rPr>
            </w:pPr>
            <w:r>
              <w:rPr>
                <w:rFonts w:ascii="Arial" w:cs="Arial" w:eastAsia="Arial" w:hAnsi="Arial"/>
                <w:sz w:val="18"/>
                <w:szCs w:val="18"/>
                <w:color w:val="auto"/>
              </w:rPr>
              <w:t>(37,278)</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(51,779)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(52,648)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(8,331)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980" w:type="dxa"/>
            <w:vAlign w:val="bottom"/>
            <w:gridSpan w:val="2"/>
          </w:tcPr>
          <w:p>
            <w:pPr>
              <w:jc w:val="right"/>
              <w:ind w:right="262"/>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(43,892)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(100,970)</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(99,182)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(119,898)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employee stock option exercises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8,379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31,053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(35,046)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 by noncontrolling interests, net</w:t>
            </w:r>
          </w:p>
        </w:tc>
        <w:tc>
          <w:tcPr>
            <w:tcW w:w="80" w:type="dxa"/>
            <w:vAlign w:val="bottom"/>
          </w:tcPr>
          <w:p>
            <w:pPr>
              <w:spacing w:after="0"/>
              <w:rPr>
                <w:sz w:val="18"/>
                <w:szCs w:val="18"/>
                <w:color w:val="auto"/>
              </w:rPr>
            </w:pPr>
          </w:p>
        </w:tc>
        <w:tc>
          <w:tcPr>
            <w:tcW w:w="98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48,123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90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(125,884</w:t>
            </w:r>
          </w:p>
        </w:tc>
        <w:tc>
          <w:tcPr>
            <w:tcW w:w="340" w:type="dxa"/>
            <w:vAlign w:val="bottom"/>
          </w:tcPr>
          <w:p>
            <w:pPr>
              <w:jc w:val="right"/>
              <w:ind w:right="20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(72,458)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(60,126)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418,783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649,611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358,657</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640,784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9,675</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12,162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6965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53" w:lineRule="exact"/>
        <w:rPr>
          <w:sz w:val="20"/>
          <w:szCs w:val="20"/>
          <w:color w:val="auto"/>
        </w:rPr>
      </w:pPr>
    </w:p>
    <w:p>
      <w:pPr>
        <w:ind w:left="426" w:right="140" w:hanging="426"/>
        <w:spacing w:after="0" w:line="271" w:lineRule="auto"/>
        <w:tabs>
          <w:tab w:leader="none" w:pos="42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$31 and $2 for the three months ended 31, December 2018 and 2017, respectively.</w:t>
      </w:r>
    </w:p>
    <w:p>
      <w:pPr>
        <w:spacing w:after="0" w:line="175"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7</w:t>
      </w:r>
    </w:p>
    <w:p>
      <w:pPr>
        <w:sectPr>
          <w:pgSz w:w="12240" w:h="15840" w:orient="portrait"/>
          <w:cols w:equalWidth="0" w:num="1">
            <w:col w:w="10926"/>
          </w:cols>
          <w:pgMar w:left="654" w:top="128" w:right="66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18" w:lineRule="exact"/>
        <w:rPr>
          <w:sz w:val="20"/>
          <w:szCs w:val="20"/>
          <w:color w:val="auto"/>
        </w:rPr>
      </w:pPr>
    </w:p>
    <w:p>
      <w:pPr>
        <w:jc w:val="both"/>
        <w:ind w:right="40" w:firstLine="437"/>
        <w:spacing w:after="0" w:line="259"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amdocsONE, an open and modular solution set.</w:t>
      </w:r>
    </w:p>
    <w:p>
      <w:pPr>
        <w:spacing w:after="0" w:line="186" w:lineRule="exact"/>
        <w:rPr>
          <w:sz w:val="20"/>
          <w:szCs w:val="20"/>
          <w:color w:val="auto"/>
        </w:rPr>
      </w:pPr>
    </w:p>
    <w:p>
      <w:pPr>
        <w:ind w:right="20" w:firstLine="437"/>
        <w:spacing w:after="0" w:line="255" w:lineRule="auto"/>
        <w:rPr>
          <w:sz w:val="20"/>
          <w:szCs w:val="20"/>
          <w:color w:val="auto"/>
        </w:rPr>
      </w:pPr>
      <w:r>
        <w:rPr>
          <w:rFonts w:ascii="Arial" w:cs="Arial" w:eastAsia="Arial" w:hAnsi="Arial"/>
          <w:sz w:val="18"/>
          <w:szCs w:val="18"/>
          <w:color w:val="auto"/>
        </w:rPr>
        <w:t>The Company is a Guernsey corporation, which directly or indirectly holds numerous subsidiaries around the world, the vast majority of which are wholly-owned.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191" w:lineRule="exact"/>
        <w:rPr>
          <w:sz w:val="20"/>
          <w:szCs w:val="20"/>
          <w:color w:val="auto"/>
        </w:rPr>
      </w:pPr>
    </w:p>
    <w:p>
      <w:pPr>
        <w:ind w:right="1280" w:firstLine="437"/>
        <w:spacing w:after="0" w:line="271"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and are denominated in U.S. dollars.</w:t>
      </w:r>
    </w:p>
    <w:p>
      <w:pPr>
        <w:spacing w:after="0" w:line="175" w:lineRule="exact"/>
        <w:rPr>
          <w:sz w:val="20"/>
          <w:szCs w:val="20"/>
          <w:color w:val="auto"/>
        </w:rPr>
      </w:pPr>
    </w:p>
    <w:p>
      <w:pPr>
        <w:ind w:right="160" w:firstLine="437"/>
        <w:spacing w:after="0" w:line="254"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9" w:lineRule="exact"/>
        <w:rPr>
          <w:sz w:val="20"/>
          <w:szCs w:val="20"/>
          <w:color w:val="auto"/>
        </w:rPr>
      </w:pPr>
    </w:p>
    <w:p>
      <w:pPr>
        <w:ind w:right="60" w:firstLine="437"/>
        <w:spacing w:after="0" w:line="254"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2018, set forth in the Company’s Annual Report on Form 20-F filed on December 10, 2018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118" w:lineRule="exact"/>
        <w:rPr>
          <w:sz w:val="20"/>
          <w:szCs w:val="20"/>
          <w:color w:val="auto"/>
        </w:rPr>
      </w:pPr>
    </w:p>
    <w:p>
      <w:pPr>
        <w:ind w:firstLine="437"/>
        <w:spacing w:after="0" w:line="255" w:lineRule="auto"/>
        <w:rPr>
          <w:sz w:val="20"/>
          <w:szCs w:val="20"/>
          <w:color w:val="auto"/>
        </w:rPr>
      </w:pPr>
      <w:r>
        <w:rPr>
          <w:rFonts w:ascii="Arial" w:cs="Arial" w:eastAsia="Arial" w:hAnsi="Arial"/>
          <w:sz w:val="18"/>
          <w:szCs w:val="18"/>
          <w:color w:val="auto"/>
        </w:rPr>
        <w:t>In November 2018, the Financial Accounting Standards Board, or FASB, issued Accounting Standard Update, or ASU, No. 2018-18</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The ASU clarifies the interaction between collaborative arrangements and the new revenue standards. This ASU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the Company on October 1, 2020, and early adoption is permitted. The Company is currently evaluating the impact of adoption of this ASU on its consolidated financial statements.</w:t>
      </w:r>
    </w:p>
    <w:p>
      <w:pPr>
        <w:spacing w:after="0" w:line="191" w:lineRule="exact"/>
        <w:rPr>
          <w:sz w:val="20"/>
          <w:szCs w:val="20"/>
          <w:color w:val="auto"/>
        </w:rPr>
      </w:pPr>
    </w:p>
    <w:p>
      <w:pPr>
        <w:ind w:right="20" w:firstLine="437"/>
        <w:spacing w:after="0" w:line="254"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 “Customer’s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The ASU amends the definition of hosting arrangement and requires a customer in a hosting arrangement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 service contract to capitalize certain implementation costs as if the arrangement was an internal-use software project. This ASU will be effective for the Company on October 1, 2020, and early adoption is permitted. The Company is currently evaluating the impact of adoption of this ASU on its consolidated financial statements.</w:t>
      </w:r>
    </w:p>
    <w:p>
      <w:pPr>
        <w:spacing w:after="0" w:line="189" w:lineRule="exact"/>
        <w:rPr>
          <w:sz w:val="20"/>
          <w:szCs w:val="20"/>
          <w:color w:val="auto"/>
        </w:rPr>
      </w:pPr>
    </w:p>
    <w:p>
      <w:pPr>
        <w:ind w:right="460" w:firstLine="437"/>
        <w:spacing w:after="0" w:line="307" w:lineRule="auto"/>
        <w:rPr>
          <w:sz w:val="20"/>
          <w:szCs w:val="20"/>
          <w:color w:val="auto"/>
        </w:rPr>
      </w:pPr>
      <w:r>
        <w:rPr>
          <w:rFonts w:ascii="Arial" w:cs="Arial" w:eastAsia="Arial" w:hAnsi="Arial"/>
          <w:sz w:val="16"/>
          <w:szCs w:val="16"/>
          <w:color w:val="auto"/>
        </w:rPr>
        <w:t>In August 2018, the FASB issued ASU No. 2018-13</w:t>
      </w:r>
      <w:r>
        <w:rPr>
          <w:rFonts w:ascii="Arial" w:cs="Arial" w:eastAsia="Arial" w:hAnsi="Arial"/>
          <w:sz w:val="16"/>
          <w:szCs w:val="16"/>
          <w:i w:val="1"/>
          <w:iCs w:val="1"/>
          <w:color w:val="auto"/>
        </w:rPr>
        <w:t>, “</w:t>
      </w:r>
      <w:r>
        <w:rPr>
          <w:rFonts w:ascii="Arial" w:cs="Arial" w:eastAsia="Arial" w:hAnsi="Arial"/>
          <w:sz w:val="16"/>
          <w:szCs w:val="16"/>
          <w:color w:val="auto"/>
        </w:rPr>
        <w:t>Fair Value Measurement</w:t>
      </w:r>
      <w:r>
        <w:rPr>
          <w:rFonts w:ascii="Arial" w:cs="Arial" w:eastAsia="Arial" w:hAnsi="Arial"/>
          <w:sz w:val="16"/>
          <w:szCs w:val="16"/>
          <w:i w:val="1"/>
          <w:iCs w:val="1"/>
          <w:color w:val="auto"/>
        </w:rPr>
        <w:t>”.</w:t>
      </w:r>
      <w:r>
        <w:rPr>
          <w:rFonts w:ascii="Arial" w:cs="Arial" w:eastAsia="Arial" w:hAnsi="Arial"/>
          <w:sz w:val="16"/>
          <w:szCs w:val="16"/>
          <w:color w:val="auto"/>
        </w:rPr>
        <w:t xml:space="preserve"> The ASU eliminates, adds and modifies certain disclosure requirements for fair value measurements. This ASU will be effective for the Company on October 1, 2020, and early adoption is permitted with specific limitations. The Company is currently evaluating the impact of adoption of this ASU on its consolidated financial statements.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2240" w:h="15840" w:orient="portrait"/>
          <w:cols w:equalWidth="0" w:num="1">
            <w:col w:w="10900"/>
          </w:cols>
          <w:pgMar w:left="660" w:top="128" w:right="68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8" w:lineRule="exact"/>
        <w:rPr>
          <w:sz w:val="20"/>
          <w:szCs w:val="20"/>
          <w:color w:val="auto"/>
        </w:rPr>
      </w:pPr>
    </w:p>
    <w:p>
      <w:pPr>
        <w:ind w:right="300" w:firstLine="437"/>
        <w:spacing w:after="0" w:line="255" w:lineRule="auto"/>
        <w:rPr>
          <w:sz w:val="20"/>
          <w:szCs w:val="20"/>
          <w:color w:val="auto"/>
        </w:rPr>
      </w:pPr>
      <w:r>
        <w:rPr>
          <w:rFonts w:ascii="Arial" w:cs="Arial" w:eastAsia="Arial" w:hAnsi="Arial"/>
          <w:sz w:val="18"/>
          <w:szCs w:val="18"/>
          <w:color w:val="auto"/>
        </w:rPr>
        <w:t>In August 2018, the FASB issued ASU No. 2018-14, “</w:t>
      </w:r>
      <w:r>
        <w:rPr>
          <w:rFonts w:ascii="Arial" w:cs="Arial" w:eastAsia="Arial" w:hAnsi="Arial"/>
          <w:sz w:val="18"/>
          <w:szCs w:val="18"/>
          <w:i w:val="1"/>
          <w:iCs w:val="1"/>
          <w:color w:val="auto"/>
        </w:rPr>
        <w:t>Changes to the Disclosure Requirements for Defined Benefit Plans”</w:t>
      </w:r>
      <w:r>
        <w:rPr>
          <w:rFonts w:ascii="Arial" w:cs="Arial" w:eastAsia="Arial" w:hAnsi="Arial"/>
          <w:sz w:val="18"/>
          <w:szCs w:val="18"/>
          <w:color w:val="auto"/>
        </w:rPr>
        <w:t>. The ASU makes minor changes to the disclosure requirement for employers that sponsor defined pension and/or other post retirement benefit plans. This ASU will be effective for the Company on October 1, 2020, and early adoption is permitted. The Company expects that the adoption of this ASU will not have a material impact on its consolidated financial statements.</w:t>
      </w:r>
    </w:p>
    <w:p>
      <w:pPr>
        <w:spacing w:after="0" w:line="191" w:lineRule="exact"/>
        <w:rPr>
          <w:sz w:val="20"/>
          <w:szCs w:val="20"/>
          <w:color w:val="auto"/>
        </w:rPr>
      </w:pPr>
    </w:p>
    <w:p>
      <w:pPr>
        <w:ind w:right="300" w:firstLine="437"/>
        <w:spacing w:after="0" w:line="297" w:lineRule="auto"/>
        <w:rPr>
          <w:sz w:val="20"/>
          <w:szCs w:val="20"/>
          <w:color w:val="auto"/>
        </w:rPr>
      </w:pPr>
      <w:r>
        <w:rPr>
          <w:rFonts w:ascii="Arial" w:cs="Arial" w:eastAsia="Arial" w:hAnsi="Arial"/>
          <w:sz w:val="16"/>
          <w:szCs w:val="16"/>
          <w:color w:val="auto"/>
        </w:rPr>
        <w:t>In June 2018, the FASB issued ASU No.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The ASU aligns the measurement and classification for share-based payments to nonemployees with the guidance for share-based payments to employees, with certain exceptions. This ASU will be effective for the Company on October 1, 2019, and early adoption is permitted with specific limitations. The Company expects that the adoption of this ASU will not have a material impact on its consolidated financial statements.</w:t>
      </w:r>
    </w:p>
    <w:p>
      <w:pPr>
        <w:spacing w:after="0" w:line="160" w:lineRule="exact"/>
        <w:rPr>
          <w:sz w:val="20"/>
          <w:szCs w:val="20"/>
          <w:color w:val="auto"/>
        </w:rPr>
      </w:pPr>
    </w:p>
    <w:p>
      <w:pPr>
        <w:ind w:right="60" w:firstLine="437"/>
        <w:spacing w:after="0" w:line="275" w:lineRule="auto"/>
        <w:rPr>
          <w:sz w:val="20"/>
          <w:szCs w:val="20"/>
          <w:color w:val="auto"/>
        </w:rPr>
      </w:pPr>
      <w:r>
        <w:rPr>
          <w:rFonts w:ascii="Arial" w:cs="Arial" w:eastAsia="Arial" w:hAnsi="Arial"/>
          <w:sz w:val="17"/>
          <w:szCs w:val="17"/>
          <w:color w:val="auto"/>
        </w:rPr>
        <w:t>In August 2017, the FASB issued ASU No.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The ASU amends existing guidance to simplify the application of hedge accounting in certain situations and allows companies to better align their hedge accounting with their risk management activities. This ASU will be effective for the Company on October 1, 2020, and earlier adoption by one year is permitted. The Company is currently evaluating the impact of adoption of this ASU on its consolidated financial statements.</w:t>
      </w:r>
    </w:p>
    <w:p>
      <w:pPr>
        <w:spacing w:after="0" w:line="175" w:lineRule="exact"/>
        <w:rPr>
          <w:sz w:val="20"/>
          <w:szCs w:val="20"/>
          <w:color w:val="auto"/>
        </w:rPr>
      </w:pPr>
    </w:p>
    <w:p>
      <w:pPr>
        <w:ind w:right="120" w:firstLine="437"/>
        <w:spacing w:after="0" w:line="297"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The ASU which introduces an impairment model that is based on expected losses rather than incurred losses and will apply to financial assets subject to credit losses and measured at amortized cost, and certain off-balance sheet credit exposures. This ASU will be effective for the Company on October 1, 2020, and earlier adoption by one year is permitted. The Company is currently evaluating the impact of adoption of this ASU on its consolidated financial statements.</w:t>
      </w:r>
    </w:p>
    <w:p>
      <w:pPr>
        <w:spacing w:after="0" w:line="160" w:lineRule="exact"/>
        <w:rPr>
          <w:sz w:val="20"/>
          <w:szCs w:val="20"/>
          <w:color w:val="auto"/>
        </w:rPr>
      </w:pPr>
    </w:p>
    <w:p>
      <w:pPr>
        <w:ind w:right="120" w:firstLine="437"/>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The ASU increases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will be effective for the Company on October 1, 2019 and early adoption is permitted. The ASU must be adopted using a modified retrospective method. The Company is currently evaluating the impact of adoption of this ASU on its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18" w:lineRule="exact"/>
        <w:rPr>
          <w:sz w:val="20"/>
          <w:szCs w:val="20"/>
          <w:color w:val="auto"/>
        </w:rPr>
      </w:pPr>
    </w:p>
    <w:p>
      <w:pPr>
        <w:ind w:right="20" w:firstLine="437"/>
        <w:spacing w:after="0" w:line="269" w:lineRule="auto"/>
        <w:rPr>
          <w:sz w:val="20"/>
          <w:szCs w:val="20"/>
          <w:color w:val="auto"/>
        </w:rPr>
      </w:pPr>
      <w:r>
        <w:rPr>
          <w:rFonts w:ascii="Arial" w:cs="Arial" w:eastAsia="Arial" w:hAnsi="Arial"/>
          <w:sz w:val="17"/>
          <w:szCs w:val="17"/>
          <w:color w:val="auto"/>
        </w:rPr>
        <w:t>In December 2017, the SEC issued Staff Accounting Bulletin No. 118 (“SAB No. 118”) in response to the new tax legislation in the United States (The Tax Cuts and Jobs Act or “The Act”). The Act, which was enacted on December 22, 2017, reduces the US federal corporate tax rate from 35% to 21%, which requires the payment of a one-time transition tax on earnings of certain foreign subsidiaries and creates new taxes on certain foreign sourced earnings. The guidance provided in SAB No.118 allowed the Company to record provisional amounts of income tax effects of the Act during a one-year measurement period. As of December 31, 2018, the Company has completed its accounting for the tax effects of enactment of the Act and made a reasonable estimate of the effects on its existing deferred tax balances and the one-time transition tax. There was no material impact on the Company’s consolidated financial statements, see also Note 9 to the consolidated financial statements.</w:t>
      </w:r>
    </w:p>
    <w:p>
      <w:pPr>
        <w:spacing w:after="0" w:line="179" w:lineRule="exact"/>
        <w:rPr>
          <w:sz w:val="20"/>
          <w:szCs w:val="20"/>
          <w:color w:val="auto"/>
        </w:rPr>
      </w:pPr>
    </w:p>
    <w:p>
      <w:pPr>
        <w:ind w:firstLine="437"/>
        <w:spacing w:after="0" w:line="255" w:lineRule="auto"/>
        <w:rPr>
          <w:sz w:val="20"/>
          <w:szCs w:val="20"/>
          <w:color w:val="auto"/>
        </w:rPr>
      </w:pPr>
      <w:r>
        <w:rPr>
          <w:rFonts w:ascii="Arial" w:cs="Arial" w:eastAsia="Arial" w:hAnsi="Arial"/>
          <w:sz w:val="18"/>
          <w:szCs w:val="18"/>
          <w:color w:val="auto"/>
        </w:rPr>
        <w:t>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The ASU revises and narrows the definition of a business and provides a framework that gives entities a basis for making reasonable judgments about whether a transaction involves an asset or a business. The Company prospectively adopted this ASU effective October 1, 2018. As of the date of the adoption there was no impact on the Company’s consolidated financial statements.</w:t>
      </w:r>
    </w:p>
    <w:p>
      <w:pPr>
        <w:spacing w:after="0" w:line="191" w:lineRule="exact"/>
        <w:rPr>
          <w:sz w:val="20"/>
          <w:szCs w:val="20"/>
          <w:color w:val="auto"/>
        </w:rPr>
      </w:pPr>
    </w:p>
    <w:p>
      <w:pPr>
        <w:ind w:right="20" w:firstLine="437"/>
        <w:spacing w:after="0" w:line="282"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“Intra-Entity Transfers of Assets Other Than Inventory</w:t>
      </w:r>
      <w:r>
        <w:rPr>
          <w:rFonts w:ascii="Arial" w:cs="Arial" w:eastAsia="Arial" w:hAnsi="Arial"/>
          <w:sz w:val="17"/>
          <w:szCs w:val="17"/>
          <w:color w:val="auto"/>
        </w:rPr>
        <w:t>”. The ASU requires the Company to recognize the income tax consequences of intra-entity transfers, other than inventory, when the transfer occurs. The Company adopted this ASU using the modified retrospective transition approach, the cumulative adjustment is $3,860 decrease of the retained earnings.</w:t>
      </w:r>
    </w:p>
    <w:p>
      <w:pPr>
        <w:spacing w:after="0" w:line="167" w:lineRule="exact"/>
        <w:rPr>
          <w:sz w:val="20"/>
          <w:szCs w:val="20"/>
          <w:color w:val="auto"/>
        </w:rPr>
      </w:pPr>
    </w:p>
    <w:p>
      <w:pPr>
        <w:ind w:right="20" w:firstLine="437"/>
        <w:spacing w:after="0" w:line="254" w:lineRule="auto"/>
        <w:rPr>
          <w:sz w:val="20"/>
          <w:szCs w:val="20"/>
          <w:color w:val="auto"/>
        </w:rPr>
      </w:pPr>
      <w:r>
        <w:rPr>
          <w:rFonts w:ascii="Arial" w:cs="Arial" w:eastAsia="Arial" w:hAnsi="Arial"/>
          <w:sz w:val="18"/>
          <w:szCs w:val="18"/>
          <w:color w:val="auto"/>
        </w:rPr>
        <w:t>In August 2016, the FASB issued ASU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The ASU intends to reduce diversity in practice in how certain transactions are classified in the statement of cash flows. The Company expects adoption of this ASU to result in reclassification of certain cash payments of contingent considerations included in acquisition agreements from investing activities to financing activities. The Company retrospectively adopted this ASU effective October 1, 2018. As of the date of the adoption, there was no impact on the Company’s consolidated statement of cash flow.</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2240" w:h="15840" w:orient="portrait"/>
          <w:cols w:equalWidth="0" w:num="1">
            <w:col w:w="10920"/>
          </w:cols>
          <w:pgMar w:left="660" w:top="128" w:right="66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5" w:lineRule="exact"/>
        <w:rPr>
          <w:sz w:val="20"/>
          <w:szCs w:val="20"/>
          <w:color w:val="auto"/>
        </w:rPr>
      </w:pPr>
    </w:p>
    <w:p>
      <w:pPr>
        <w:ind w:right="80" w:firstLine="437"/>
        <w:spacing w:after="0" w:line="297" w:lineRule="auto"/>
        <w:rPr>
          <w:sz w:val="20"/>
          <w:szCs w:val="20"/>
          <w:color w:val="auto"/>
        </w:rPr>
      </w:pPr>
      <w:r>
        <w:rPr>
          <w:rFonts w:ascii="Arial" w:cs="Arial" w:eastAsia="Arial" w:hAnsi="Arial"/>
          <w:sz w:val="16"/>
          <w:szCs w:val="16"/>
          <w:color w:val="auto"/>
        </w:rPr>
        <w:t>In January 2016, the FASB issued ASU No. 2016-01, “</w:t>
      </w:r>
      <w:r>
        <w:rPr>
          <w:rFonts w:ascii="Arial" w:cs="Arial" w:eastAsia="Arial" w:hAnsi="Arial"/>
          <w:sz w:val="16"/>
          <w:szCs w:val="16"/>
          <w:i w:val="1"/>
          <w:iCs w:val="1"/>
          <w:color w:val="auto"/>
        </w:rPr>
        <w:t>Financial Instruments – Overall”</w:t>
      </w:r>
      <w:r>
        <w:rPr>
          <w:rFonts w:ascii="Arial" w:cs="Arial" w:eastAsia="Arial" w:hAnsi="Arial"/>
          <w:sz w:val="16"/>
          <w:szCs w:val="16"/>
          <w:color w:val="auto"/>
        </w:rPr>
        <w:t>. The ASU updates certain aspects of recognition and measurement of financial assets and financial liabilities. The ASU affects the accounting for equity investments, financial liabilities under the fair value option, and the presentation and disclosure requirements for financial instruments. The Company prospectively adopted this ASU effective October 1, 2018. There was no material impact on the Company’s consolidated financial statements, see also Note 5 to the consolidated financial statements.</w:t>
      </w:r>
    </w:p>
    <w:p>
      <w:pPr>
        <w:spacing w:after="0" w:line="160" w:lineRule="exact"/>
        <w:rPr>
          <w:sz w:val="20"/>
          <w:szCs w:val="20"/>
          <w:color w:val="auto"/>
        </w:rPr>
      </w:pPr>
    </w:p>
    <w:p>
      <w:pPr>
        <w:ind w:firstLine="437"/>
        <w:spacing w:after="0" w:line="267" w:lineRule="auto"/>
        <w:rPr>
          <w:sz w:val="20"/>
          <w:szCs w:val="20"/>
          <w:color w:val="auto"/>
        </w:rPr>
      </w:pPr>
      <w:r>
        <w:rPr>
          <w:rFonts w:ascii="Arial" w:cs="Arial" w:eastAsia="Arial" w:hAnsi="Arial"/>
          <w:sz w:val="17"/>
          <w:szCs w:val="17"/>
          <w:color w:val="auto"/>
        </w:rPr>
        <w:t>In May 2014, the FASB issued ASU No. 2014-09, or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The ASU on revenue from contracts with customers, or the new revenue standard, which outlines a single comprehensive model for entities to use in accounting for revenue arising from contracts with customers and supersedes most current revenue recognition guidance. The Company developed a transition plan, including changes to policies, processes and internal controls, as well as system enhancements to generate the information necessary for new disclosure requirements and recently completed an assessment to identify the potential areas of impact that this new revenue recognition standard will have on its consolidated financial statement and internal control environment. As part of the assessment, the Company reviewed a representative sample of its contracts across its various customers and geographies to identify potential differences that could result from applying the requirements of the new standard. As of October 1, 2018, the Company adopted this ASU using the modified retrospective transition approach. This method was applied to contracts that were not complete as of the date of adoption.</w:t>
      </w:r>
    </w:p>
    <w:p>
      <w:pPr>
        <w:spacing w:after="0" w:line="184" w:lineRule="exact"/>
        <w:rPr>
          <w:sz w:val="20"/>
          <w:szCs w:val="20"/>
          <w:color w:val="auto"/>
        </w:rPr>
      </w:pPr>
    </w:p>
    <w:p>
      <w:pPr>
        <w:ind w:right="180" w:firstLine="437"/>
        <w:spacing w:after="0" w:line="272" w:lineRule="auto"/>
        <w:rPr>
          <w:sz w:val="20"/>
          <w:szCs w:val="20"/>
          <w:color w:val="auto"/>
        </w:rPr>
      </w:pPr>
      <w:r>
        <w:rPr>
          <w:rFonts w:ascii="Arial" w:cs="Arial" w:eastAsia="Arial" w:hAnsi="Arial"/>
          <w:sz w:val="17"/>
          <w:szCs w:val="17"/>
          <w:color w:val="auto"/>
        </w:rPr>
        <w:t>The cumulative impact of adopting ASC 606, which was immaterial, was a net increase in the opening balance of retained earnings of $14,294, net of tax, from total amount of $4,673,901 to $4,688,195. The impact was primarily related to (i) the removal of the limitation on contingent revenue, as revenue allocated to satisfied performance obligations is no longer restricted to the amount that is not contingent upon the satisfaction of additional performance obligations. (ii) the change of definition of contract term to represent the period for which enforceable rights and obligations exist, and (iii) the capitalization and amortization of certain sales commissions in accordance with ASC 606.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depicts the impact of adoption as of October 1, 2018 on the Company’s consolidated balance sheet:</w:t>
      </w:r>
    </w:p>
    <w:p>
      <w:pPr>
        <w:spacing w:after="0" w:line="240"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w w:val="93"/>
              </w:rPr>
              <w:t>As of October 1, 2018</w:t>
            </w: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8"/>
        </w:trPr>
        <w:tc>
          <w:tcPr>
            <w:tcW w:w="10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5"/>
              </w:rPr>
              <w:t>Balance as of September</w:t>
            </w:r>
          </w:p>
        </w:tc>
        <w:tc>
          <w:tcPr>
            <w:tcW w:w="2640" w:type="dxa"/>
            <w:vAlign w:val="bottom"/>
            <w:gridSpan w:val="4"/>
          </w:tcPr>
          <w:p>
            <w:pPr>
              <w:ind w:left="720"/>
              <w:spacing w:after="0" w:line="118" w:lineRule="exact"/>
              <w:rPr>
                <w:sz w:val="20"/>
                <w:szCs w:val="20"/>
                <w:color w:val="auto"/>
              </w:rPr>
            </w:pPr>
            <w:r>
              <w:rPr>
                <w:rFonts w:ascii="Arial" w:cs="Arial" w:eastAsia="Arial" w:hAnsi="Arial"/>
                <w:sz w:val="13"/>
                <w:szCs w:val="13"/>
                <w:b w:val="1"/>
                <w:bCs w:val="1"/>
                <w:color w:val="auto"/>
              </w:rPr>
              <w:t>Adjustments due to ASC</w:t>
            </w:r>
          </w:p>
        </w:tc>
        <w:tc>
          <w:tcPr>
            <w:tcW w:w="1720" w:type="dxa"/>
            <w:vAlign w:val="bottom"/>
            <w:gridSpan w:val="3"/>
          </w:tcPr>
          <w:p>
            <w:pPr>
              <w:ind w:left="360"/>
              <w:spacing w:after="0" w:line="118" w:lineRule="exact"/>
              <w:rPr>
                <w:sz w:val="20"/>
                <w:szCs w:val="20"/>
                <w:color w:val="auto"/>
              </w:rPr>
            </w:pPr>
            <w:r>
              <w:rPr>
                <w:rFonts w:ascii="Arial" w:cs="Arial" w:eastAsia="Arial" w:hAnsi="Arial"/>
                <w:sz w:val="13"/>
                <w:szCs w:val="13"/>
                <w:b w:val="1"/>
                <w:bCs w:val="1"/>
                <w:color w:val="auto"/>
                <w:w w:val="97"/>
              </w:rPr>
              <w:t>Balance as of October</w:t>
            </w:r>
          </w:p>
        </w:tc>
        <w:tc>
          <w:tcPr>
            <w:tcW w:w="40" w:type="dxa"/>
            <w:vAlign w:val="bottom"/>
          </w:tcPr>
          <w:p>
            <w:pPr>
              <w:spacing w:after="0"/>
              <w:rPr>
                <w:sz w:val="10"/>
                <w:szCs w:val="10"/>
                <w:color w:val="auto"/>
              </w:rPr>
            </w:pPr>
          </w:p>
        </w:tc>
      </w:tr>
      <w:tr>
        <w:trPr>
          <w:trHeight w:val="170"/>
        </w:trPr>
        <w:tc>
          <w:tcPr>
            <w:tcW w:w="106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30, 2018</w:t>
            </w:r>
          </w:p>
        </w:tc>
        <w:tc>
          <w:tcPr>
            <w:tcW w:w="7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606</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1, 2018</w:t>
            </w:r>
          </w:p>
        </w:tc>
        <w:tc>
          <w:tcPr>
            <w:tcW w:w="40" w:type="dxa"/>
            <w:vAlign w:val="bottom"/>
            <w:tcBorders>
              <w:bottom w:val="single" w:sz="8" w:color="CCEEFF"/>
            </w:tcBorders>
          </w:tcPr>
          <w:p>
            <w:pPr>
              <w:spacing w:after="0"/>
              <w:rPr>
                <w:sz w:val="14"/>
                <w:szCs w:val="14"/>
                <w:color w:val="auto"/>
              </w:rPr>
            </w:pPr>
          </w:p>
        </w:tc>
      </w:tr>
      <w:tr>
        <w:trPr>
          <w:trHeight w:val="154"/>
        </w:trPr>
        <w:tc>
          <w:tcPr>
            <w:tcW w:w="2840" w:type="dxa"/>
            <w:vAlign w:val="bottom"/>
            <w:gridSpan w:val="2"/>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Balance Sheet:</w:t>
            </w: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0"/>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840" w:type="dxa"/>
            <w:vAlign w:val="bottom"/>
            <w:gridSpan w:val="2"/>
          </w:tcPr>
          <w:p>
            <w:pPr>
              <w:ind w:left="340"/>
              <w:spacing w:after="0"/>
              <w:rPr>
                <w:sz w:val="20"/>
                <w:szCs w:val="20"/>
                <w:color w:val="auto"/>
              </w:rPr>
            </w:pPr>
            <w:r>
              <w:rPr>
                <w:rFonts w:ascii="Arial" w:cs="Arial" w:eastAsia="Arial" w:hAnsi="Arial"/>
                <w:sz w:val="18"/>
                <w:szCs w:val="18"/>
                <w:color w:val="auto"/>
              </w:rPr>
              <w:t>Account receivable- unbilled</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263,997</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10,039</w:t>
            </w:r>
          </w:p>
        </w:tc>
        <w:tc>
          <w:tcPr>
            <w:tcW w:w="40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274,036</w:t>
            </w:r>
          </w:p>
        </w:tc>
        <w:tc>
          <w:tcPr>
            <w:tcW w:w="40" w:type="dxa"/>
            <w:vAlign w:val="bottom"/>
          </w:tcPr>
          <w:p>
            <w:pPr>
              <w:spacing w:after="0"/>
              <w:rPr>
                <w:sz w:val="18"/>
                <w:szCs w:val="18"/>
                <w:color w:val="auto"/>
              </w:rPr>
            </w:pPr>
          </w:p>
        </w:tc>
      </w:tr>
      <w:tr>
        <w:trPr>
          <w:trHeight w:val="200"/>
        </w:trPr>
        <w:tc>
          <w:tcPr>
            <w:tcW w:w="2840" w:type="dxa"/>
            <w:vAlign w:val="bottom"/>
            <w:gridSpan w:val="2"/>
            <w:shd w:val="clear" w:color="auto" w:fill="CCEEFF"/>
          </w:tcPr>
          <w:p>
            <w:pPr>
              <w:ind w:left="340"/>
              <w:spacing w:after="0" w:line="200" w:lineRule="exact"/>
              <w:rPr>
                <w:sz w:val="20"/>
                <w:szCs w:val="20"/>
                <w:color w:val="auto"/>
              </w:rPr>
            </w:pPr>
            <w:r>
              <w:rPr>
                <w:rFonts w:ascii="Arial" w:cs="Arial" w:eastAsia="Arial" w:hAnsi="Arial"/>
                <w:sz w:val="18"/>
                <w:szCs w:val="18"/>
                <w:color w:val="auto"/>
              </w:rPr>
              <w:t>Prepaid expenses and other</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8"/>
        </w:trPr>
        <w:tc>
          <w:tcPr>
            <w:tcW w:w="2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229,999</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(971)</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229,028</w:t>
            </w:r>
          </w:p>
        </w:tc>
        <w:tc>
          <w:tcPr>
            <w:tcW w:w="40" w:type="dxa"/>
            <w:vAlign w:val="bottom"/>
            <w:shd w:val="clear" w:color="auto" w:fill="CCEEFF"/>
          </w:tcPr>
          <w:p>
            <w:pPr>
              <w:spacing w:after="0"/>
              <w:rPr>
                <w:sz w:val="19"/>
                <w:szCs w:val="19"/>
                <w:color w:val="auto"/>
              </w:rPr>
            </w:pPr>
          </w:p>
        </w:tc>
      </w:tr>
      <w:tr>
        <w:trPr>
          <w:trHeight w:val="214"/>
        </w:trPr>
        <w:tc>
          <w:tcPr>
            <w:tcW w:w="2840" w:type="dxa"/>
            <w:vAlign w:val="bottom"/>
            <w:gridSpan w:val="2"/>
          </w:tcPr>
          <w:p>
            <w:pPr>
              <w:ind w:left="340"/>
              <w:spacing w:after="0"/>
              <w:rPr>
                <w:sz w:val="20"/>
                <w:szCs w:val="20"/>
                <w:color w:val="auto"/>
              </w:rPr>
            </w:pPr>
            <w:r>
              <w:rPr>
                <w:rFonts w:ascii="Arial" w:cs="Arial" w:eastAsia="Arial" w:hAnsi="Arial"/>
                <w:sz w:val="18"/>
                <w:szCs w:val="18"/>
                <w:color w:val="auto"/>
              </w:rPr>
              <w:t>Other noncurrent assets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420,369</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15,636</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436,005</w:t>
            </w:r>
          </w:p>
        </w:tc>
        <w:tc>
          <w:tcPr>
            <w:tcW w:w="40" w:type="dxa"/>
            <w:vAlign w:val="bottom"/>
          </w:tcPr>
          <w:p>
            <w:pPr>
              <w:spacing w:after="0"/>
              <w:rPr>
                <w:sz w:val="18"/>
                <w:szCs w:val="18"/>
                <w:color w:val="auto"/>
              </w:rPr>
            </w:pPr>
          </w:p>
        </w:tc>
      </w:tr>
      <w:tr>
        <w:trPr>
          <w:trHeight w:val="214"/>
        </w:trPr>
        <w:tc>
          <w:tcPr>
            <w:tcW w:w="2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 (current)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132,414</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146,462</w:t>
            </w:r>
          </w:p>
        </w:tc>
        <w:tc>
          <w:tcPr>
            <w:tcW w:w="40" w:type="dxa"/>
            <w:vAlign w:val="bottom"/>
            <w:shd w:val="clear" w:color="auto" w:fill="CCEEFF"/>
          </w:tcPr>
          <w:p>
            <w:pPr>
              <w:spacing w:after="0"/>
              <w:rPr>
                <w:sz w:val="18"/>
                <w:szCs w:val="18"/>
                <w:color w:val="auto"/>
              </w:rPr>
            </w:pPr>
          </w:p>
        </w:tc>
      </w:tr>
      <w:tr>
        <w:trPr>
          <w:trHeight w:val="200"/>
        </w:trPr>
        <w:tc>
          <w:tcPr>
            <w:tcW w:w="2840" w:type="dxa"/>
            <w:vAlign w:val="bottom"/>
            <w:gridSpan w:val="2"/>
          </w:tcPr>
          <w:p>
            <w:pPr>
              <w:ind w:left="340"/>
              <w:spacing w:after="0" w:line="200" w:lineRule="exact"/>
              <w:rPr>
                <w:sz w:val="20"/>
                <w:szCs w:val="20"/>
                <w:color w:val="auto"/>
              </w:rPr>
            </w:pPr>
            <w:r>
              <w:rPr>
                <w:rFonts w:ascii="Arial" w:cs="Arial" w:eastAsia="Arial" w:hAnsi="Arial"/>
                <w:sz w:val="18"/>
                <w:szCs w:val="18"/>
                <w:color w:val="auto"/>
              </w:rPr>
              <w:t>Accrued expenses and other</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2840" w:type="dxa"/>
            <w:vAlign w:val="bottom"/>
            <w:gridSpan w:val="2"/>
          </w:tcPr>
          <w:p>
            <w:pPr>
              <w:ind w:left="52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706,637</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(14,062)</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692,575</w:t>
            </w:r>
          </w:p>
        </w:tc>
        <w:tc>
          <w:tcPr>
            <w:tcW w:w="40" w:type="dxa"/>
            <w:vAlign w:val="bottom"/>
          </w:tcPr>
          <w:p>
            <w:pPr>
              <w:spacing w:after="0"/>
              <w:rPr>
                <w:sz w:val="19"/>
                <w:szCs w:val="19"/>
                <w:color w:val="auto"/>
              </w:rPr>
            </w:pPr>
          </w:p>
        </w:tc>
      </w:tr>
      <w:tr>
        <w:trPr>
          <w:trHeight w:val="201"/>
        </w:trPr>
        <w:tc>
          <w:tcPr>
            <w:tcW w:w="28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Deferred income taxes and</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8"/>
        </w:trPr>
        <w:tc>
          <w:tcPr>
            <w:tcW w:w="2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taxes payable</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224,572</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10,424</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234,996</w:t>
            </w:r>
          </w:p>
        </w:tc>
        <w:tc>
          <w:tcPr>
            <w:tcW w:w="40" w:type="dxa"/>
            <w:vAlign w:val="bottom"/>
            <w:shd w:val="clear" w:color="auto" w:fill="CCEEFF"/>
          </w:tcPr>
          <w:p>
            <w:pPr>
              <w:spacing w:after="0"/>
              <w:rPr>
                <w:sz w:val="19"/>
                <w:szCs w:val="19"/>
                <w:color w:val="auto"/>
              </w:rPr>
            </w:pPr>
          </w:p>
        </w:tc>
      </w:tr>
      <w:tr>
        <w:trPr>
          <w:trHeight w:val="227"/>
        </w:trPr>
        <w:tc>
          <w:tcPr>
            <w:tcW w:w="284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4,673,901</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14,294</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4,688,195</w:t>
            </w:r>
          </w:p>
        </w:tc>
        <w:tc>
          <w:tcPr>
            <w:tcW w:w="40" w:type="dxa"/>
            <w:vAlign w:val="bottom"/>
          </w:tcPr>
          <w:p>
            <w:pPr>
              <w:spacing w:after="0"/>
              <w:rPr>
                <w:sz w:val="19"/>
                <w:szCs w:val="19"/>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18" w:lineRule="exact"/>
        <w:rPr>
          <w:sz w:val="20"/>
          <w:szCs w:val="20"/>
          <w:color w:val="auto"/>
        </w:rPr>
      </w:pPr>
    </w:p>
    <w:p>
      <w:pPr>
        <w:ind w:right="140" w:firstLine="437"/>
        <w:spacing w:after="0" w:line="282" w:lineRule="auto"/>
        <w:rPr>
          <w:sz w:val="20"/>
          <w:szCs w:val="20"/>
          <w:color w:val="auto"/>
        </w:rPr>
      </w:pPr>
      <w:r>
        <w:rPr>
          <w:rFonts w:ascii="Arial" w:cs="Arial" w:eastAsia="Arial" w:hAnsi="Arial"/>
          <w:sz w:val="17"/>
          <w:szCs w:val="17"/>
          <w:color w:val="auto"/>
        </w:rPr>
        <w:t>As discussed in Note 3, the Company adopted ASC 606 using the modified retrospective transition method. Other than the policies discussed below, no material changes have been made to the Company’s significant accounting policies disclosed in Note 2, Summary of Significant Accounting Policies, in its Annual Report on Form 20-F, filed on December 10, 2018, for the fiscal year ended September 30, 2018.</w:t>
      </w:r>
    </w:p>
    <w:p>
      <w:pPr>
        <w:spacing w:after="0" w:line="167" w:lineRule="exact"/>
        <w:rPr>
          <w:sz w:val="20"/>
          <w:szCs w:val="20"/>
          <w:color w:val="auto"/>
        </w:rPr>
      </w:pPr>
    </w:p>
    <w:p>
      <w:pPr>
        <w:jc w:val="both"/>
        <w:ind w:right="140" w:firstLine="437"/>
        <w:spacing w:after="0" w:line="307"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The Company recognizes revenue under the five-step methodology required under ASC 606, which requires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2240" w:h="15840" w:orient="portrait"/>
          <w:cols w:equalWidth="0" w:num="1">
            <w:col w:w="10900"/>
          </w:cols>
          <w:pgMar w:left="660" w:top="128" w:right="68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primary revenue categories, related performance obligations, and associated recognition patterns are as follows:</w:t>
      </w:r>
    </w:p>
    <w:p>
      <w:pPr>
        <w:spacing w:after="0" w:line="114" w:lineRule="exact"/>
        <w:rPr>
          <w:sz w:val="20"/>
          <w:szCs w:val="20"/>
          <w:color w:val="auto"/>
        </w:rPr>
      </w:pPr>
    </w:p>
    <w:p>
      <w:pPr>
        <w:ind w:right="100" w:firstLine="437"/>
        <w:spacing w:after="0" w:line="270" w:lineRule="auto"/>
        <w:rPr>
          <w:sz w:val="20"/>
          <w:szCs w:val="20"/>
          <w:color w:val="auto"/>
        </w:rPr>
      </w:pPr>
      <w:r>
        <w:rPr>
          <w:rFonts w:ascii="Arial" w:cs="Arial" w:eastAsia="Arial" w:hAnsi="Arial"/>
          <w:sz w:val="17"/>
          <w:szCs w:val="17"/>
          <w:i w:val="1"/>
          <w:iCs w:val="1"/>
          <w:color w:val="auto"/>
        </w:rPr>
        <w:t xml:space="preserve">Revenue Recognition for projects </w:t>
      </w:r>
      <w:r>
        <w:rPr>
          <w:rFonts w:ascii="Arial" w:cs="Arial" w:eastAsia="Arial" w:hAnsi="Arial"/>
          <w:sz w:val="17"/>
          <w:szCs w:val="17"/>
          <w:color w:val="auto"/>
        </w:rPr>
        <w:t>- The Company usually sells its software licenses as part of an overall solution offered to a customer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customization, modification, implementation and integration. Those services are deemed essential to the software. Revenues for projects are recognized over time, usually based on a percentage that incurred labor effort to date bears to total projected labor effort. When total cost estimates for these types of arrangements exceed revenues in a fixed-price arrangement, the estimated losses are recognized immediately based upon the cost applicable to the delivering unit. Significant judgment is required when estimating total labor effort and progress to completion on these arrangements, as well as whether a loss is expected to be incurred on the project.</w:t>
      </w:r>
    </w:p>
    <w:p>
      <w:pPr>
        <w:spacing w:after="0" w:line="179" w:lineRule="exact"/>
        <w:rPr>
          <w:sz w:val="20"/>
          <w:szCs w:val="20"/>
          <w:color w:val="auto"/>
        </w:rPr>
      </w:pPr>
    </w:p>
    <w:p>
      <w:pPr>
        <w:ind w:right="340" w:firstLine="437"/>
        <w:spacing w:after="0" w:line="301" w:lineRule="auto"/>
        <w:rPr>
          <w:sz w:val="20"/>
          <w:szCs w:val="20"/>
          <w:color w:val="auto"/>
        </w:rPr>
      </w:pPr>
      <w:r>
        <w:rPr>
          <w:rFonts w:ascii="Arial" w:cs="Arial" w:eastAsia="Arial" w:hAnsi="Arial"/>
          <w:sz w:val="17"/>
          <w:szCs w:val="17"/>
          <w:color w:val="auto"/>
        </w:rPr>
        <w:t>As a significant portion of the Company’s revenue is satisfied over time as work progresses, the annual and quarterly operating results may be affected by the size and timing of the initiation of customer projects as well as the Company’s progress in completing such projects.</w:t>
      </w:r>
    </w:p>
    <w:p>
      <w:pPr>
        <w:spacing w:after="0" w:line="152" w:lineRule="exact"/>
        <w:rPr>
          <w:sz w:val="20"/>
          <w:szCs w:val="20"/>
          <w:color w:val="auto"/>
        </w:rPr>
      </w:pPr>
    </w:p>
    <w:p>
      <w:pPr>
        <w:ind w:right="100" w:firstLine="437"/>
        <w:spacing w:after="0" w:line="255" w:lineRule="auto"/>
        <w:rPr>
          <w:sz w:val="20"/>
          <w:szCs w:val="20"/>
          <w:color w:val="auto"/>
        </w:rPr>
      </w:pPr>
      <w:r>
        <w:rPr>
          <w:rFonts w:ascii="Arial" w:cs="Arial" w:eastAsia="Arial" w:hAnsi="Arial"/>
          <w:sz w:val="18"/>
          <w:szCs w:val="18"/>
          <w:i w:val="1"/>
          <w:iCs w:val="1"/>
          <w:color w:val="auto"/>
        </w:rPr>
        <w:t xml:space="preserve">Revenue Recognition for subsequent license fee </w:t>
      </w:r>
      <w:r>
        <w:rPr>
          <w:rFonts w:ascii="Arial" w:cs="Arial" w:eastAsia="Arial" w:hAnsi="Arial"/>
          <w:sz w:val="18"/>
          <w:szCs w:val="18"/>
          <w:color w:val="auto"/>
        </w:rPr>
        <w:t>- Subsequent license fee revenue is recognized when the customer has access to the license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use and benefit from the license. In cases when the conditions require delivery, then delivery must have occurred for purposes of revenue recognition. It is based on a customer’s subscriber level, transaction volume or other measurements when greater than the level specified in the contract for the initial license fee.</w:t>
      </w:r>
    </w:p>
    <w:p>
      <w:pPr>
        <w:spacing w:after="0" w:line="191" w:lineRule="exact"/>
        <w:rPr>
          <w:sz w:val="20"/>
          <w:szCs w:val="20"/>
          <w:color w:val="auto"/>
        </w:rPr>
      </w:pPr>
    </w:p>
    <w:p>
      <w:pPr>
        <w:ind w:right="760" w:firstLine="437"/>
        <w:spacing w:after="0" w:line="271" w:lineRule="auto"/>
        <w:rPr>
          <w:sz w:val="20"/>
          <w:szCs w:val="20"/>
          <w:color w:val="auto"/>
        </w:rPr>
      </w:pPr>
      <w:r>
        <w:rPr>
          <w:rFonts w:ascii="Arial" w:cs="Arial" w:eastAsia="Arial" w:hAnsi="Arial"/>
          <w:sz w:val="18"/>
          <w:szCs w:val="18"/>
          <w:i w:val="1"/>
          <w:iCs w:val="1"/>
          <w:color w:val="auto"/>
        </w:rPr>
        <w:t xml:space="preserve">Revenue Recognition for term-based license and perpetual license </w:t>
      </w:r>
      <w:r>
        <w:rPr>
          <w:rFonts w:ascii="Arial" w:cs="Arial" w:eastAsia="Arial" w:hAnsi="Arial"/>
          <w:sz w:val="18"/>
          <w:szCs w:val="18"/>
          <w:color w:val="auto"/>
        </w:rPr>
        <w:t>- Revenue related to software solutions that do not require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customization, implementation and modification are recognized upon delivery.</w:t>
      </w:r>
    </w:p>
    <w:p>
      <w:pPr>
        <w:spacing w:after="0" w:line="175" w:lineRule="exact"/>
        <w:rPr>
          <w:sz w:val="20"/>
          <w:szCs w:val="20"/>
          <w:color w:val="auto"/>
        </w:rPr>
      </w:pPr>
    </w:p>
    <w:p>
      <w:pPr>
        <w:jc w:val="both"/>
        <w:ind w:right="120" w:firstLine="437"/>
        <w:spacing w:after="0" w:line="259" w:lineRule="auto"/>
        <w:rPr>
          <w:sz w:val="20"/>
          <w:szCs w:val="20"/>
          <w:color w:val="auto"/>
        </w:rPr>
      </w:pPr>
      <w:r>
        <w:rPr>
          <w:rFonts w:ascii="Arial" w:cs="Arial" w:eastAsia="Arial" w:hAnsi="Arial"/>
          <w:sz w:val="18"/>
          <w:szCs w:val="18"/>
          <w:i w:val="1"/>
          <w:iCs w:val="1"/>
          <w:color w:val="auto"/>
        </w:rPr>
        <w:t xml:space="preserve">Revenue Recognition for managed services arrangement </w:t>
      </w:r>
      <w:r>
        <w:rPr>
          <w:rFonts w:ascii="Arial" w:cs="Arial" w:eastAsia="Arial" w:hAnsi="Arial"/>
          <w:sz w:val="18"/>
          <w:szCs w:val="18"/>
          <w:color w:val="auto"/>
        </w:rPr>
        <w:t>- Managed services arrangements include management of data center operations and IT</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application management and ongoing support, management of end-to-end business processes, and managed transformation that includes both a transformation project as well as taking over managed services responsibility.</w:t>
      </w:r>
    </w:p>
    <w:p>
      <w:pPr>
        <w:spacing w:after="0" w:line="186" w:lineRule="exact"/>
        <w:rPr>
          <w:sz w:val="20"/>
          <w:szCs w:val="20"/>
          <w:color w:val="auto"/>
        </w:rPr>
      </w:pPr>
    </w:p>
    <w:p>
      <w:pPr>
        <w:jc w:val="both"/>
        <w:ind w:right="440" w:firstLine="437"/>
        <w:spacing w:after="0" w:line="259" w:lineRule="auto"/>
        <w:rPr>
          <w:sz w:val="20"/>
          <w:szCs w:val="20"/>
          <w:color w:val="auto"/>
        </w:rPr>
      </w:pPr>
      <w:r>
        <w:rPr>
          <w:rFonts w:ascii="Arial" w:cs="Arial" w:eastAsia="Arial" w:hAnsi="Arial"/>
          <w:sz w:val="18"/>
          <w:szCs w:val="18"/>
          <w:color w:val="auto"/>
        </w:rPr>
        <w:t>The revenue from managed services arrangement is recognized for each individual performance obligation according to its relevant revenue category, including but not limited to, revenue from the management of a customer’s operations, revenue from projects and revenue from on going support services.</w:t>
      </w:r>
    </w:p>
    <w:p>
      <w:pPr>
        <w:spacing w:after="0" w:line="186" w:lineRule="exact"/>
        <w:rPr>
          <w:sz w:val="20"/>
          <w:szCs w:val="20"/>
          <w:color w:val="auto"/>
        </w:rPr>
      </w:pPr>
    </w:p>
    <w:p>
      <w:pPr>
        <w:ind w:right="180" w:firstLine="437"/>
        <w:spacing w:after="0" w:line="307" w:lineRule="auto"/>
        <w:rPr>
          <w:sz w:val="20"/>
          <w:szCs w:val="20"/>
          <w:color w:val="auto"/>
        </w:rPr>
      </w:pPr>
      <w:r>
        <w:rPr>
          <w:rFonts w:ascii="Arial" w:cs="Arial" w:eastAsia="Arial" w:hAnsi="Arial"/>
          <w:sz w:val="16"/>
          <w:szCs w:val="16"/>
          <w:color w:val="auto"/>
        </w:rPr>
        <w:t>Revenue from the management of a customer’s operations pursuant to managed services arrangements, is recognized using one method of measuring progress such as time elapsed, output produced, volume of data processed or subscriber count, pursuant to the specific contract terms of the managed services arrangement. Typically, managed services arrangements are long-term in duration and are not subject to significant seasonality.</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Revenue Recognition for maintenance </w:t>
      </w:r>
      <w:r>
        <w:rPr>
          <w:rFonts w:ascii="Arial" w:cs="Arial" w:eastAsia="Arial" w:hAnsi="Arial"/>
          <w:sz w:val="18"/>
          <w:szCs w:val="18"/>
          <w:color w:val="auto"/>
        </w:rPr>
        <w:t>- Maintenance revenue is recognized ratably over the term of the maintenance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Revenue Recognition for ongoing support services - </w:t>
      </w:r>
      <w:r>
        <w:rPr>
          <w:rFonts w:ascii="Arial" w:cs="Arial" w:eastAsia="Arial" w:hAnsi="Arial"/>
          <w:sz w:val="18"/>
          <w:szCs w:val="18"/>
          <w:color w:val="auto"/>
        </w:rPr>
        <w:t>Revenue from ongoing support services is recognized as work is performed.</w:t>
      </w:r>
    </w:p>
    <w:p>
      <w:pPr>
        <w:spacing w:after="0" w:line="221" w:lineRule="exact"/>
        <w:rPr>
          <w:sz w:val="20"/>
          <w:szCs w:val="20"/>
          <w:color w:val="auto"/>
        </w:rPr>
      </w:pPr>
    </w:p>
    <w:p>
      <w:pPr>
        <w:ind w:firstLine="437"/>
        <w:spacing w:after="0" w:line="290" w:lineRule="auto"/>
        <w:rPr>
          <w:sz w:val="20"/>
          <w:szCs w:val="20"/>
          <w:color w:val="auto"/>
        </w:rPr>
      </w:pPr>
      <w:r>
        <w:rPr>
          <w:rFonts w:ascii="Arial" w:cs="Arial" w:eastAsia="Arial" w:hAnsi="Arial"/>
          <w:sz w:val="16"/>
          <w:szCs w:val="16"/>
          <w:i w:val="1"/>
          <w:iCs w:val="1"/>
          <w:color w:val="auto"/>
        </w:rPr>
        <w:t xml:space="preserve">Revenue Recognition for third-party hardware and software </w:t>
      </w:r>
      <w:r>
        <w:rPr>
          <w:rFonts w:ascii="Arial" w:cs="Arial" w:eastAsia="Arial" w:hAnsi="Arial"/>
          <w:sz w:val="16"/>
          <w:szCs w:val="16"/>
          <w:color w:val="auto"/>
        </w:rPr>
        <w:t>- Third-party hardware sales are recognized upon delivery or installation, and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from third-party software sales is recognized upon delivery. Revenue from third-party hardware and software sales is recorded at gross amount for transactions in which the Company is the primary obligor under the arrangement as well as, in some cases, possesses other attributes such as latitude in determining prices and selecting suppliers. In specific circumstances where the Company does not meet the above criteria, particularly when the contract stipulates that the Company is not the primary obligor, the Company recognizes revenue on a net basis. In certain arrangements, the Company may earn revenue from other third-party services which is recorded at a gross amount as the Company is the primary obligor under the arrangement.</w:t>
      </w:r>
    </w:p>
    <w:p>
      <w:pPr>
        <w:spacing w:after="0" w:line="165" w:lineRule="exact"/>
        <w:rPr>
          <w:sz w:val="20"/>
          <w:szCs w:val="20"/>
          <w:color w:val="auto"/>
        </w:rPr>
      </w:pPr>
    </w:p>
    <w:p>
      <w:pPr>
        <w:ind w:firstLine="437"/>
        <w:spacing w:after="0" w:line="286" w:lineRule="auto"/>
        <w:rPr>
          <w:sz w:val="20"/>
          <w:szCs w:val="20"/>
          <w:color w:val="auto"/>
        </w:rPr>
      </w:pPr>
      <w:r>
        <w:rPr>
          <w:rFonts w:ascii="Arial" w:cs="Arial" w:eastAsia="Arial" w:hAnsi="Arial"/>
          <w:sz w:val="16"/>
          <w:szCs w:val="16"/>
          <w:i w:val="1"/>
          <w:iCs w:val="1"/>
          <w:color w:val="auto"/>
        </w:rPr>
        <w:t xml:space="preserve">Arrangements with Multiple Performance Obligations </w:t>
      </w:r>
      <w:r>
        <w:rPr>
          <w:rFonts w:ascii="Arial" w:cs="Arial" w:eastAsia="Arial" w:hAnsi="Arial"/>
          <w:sz w:val="16"/>
          <w:szCs w:val="16"/>
          <w:color w:val="auto"/>
        </w:rPr>
        <w:t>- Many of the Company’s agreements include multiple performance obligations.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allocates the transaction price for each contract to each performance obligation identified in the contract based on the relative standalone selling price (SSP). The Company determines SSP for the purposes of allocating the transaction price to each performance obligation by considering several external and internal factors including, but not limited to, transactions where the specific performance obligation sold separately, historical actual pricing practices and geographies in which the Company offers its services in accordance with ASC 606. The determination of SSP requires the exercise of judgement. If a specific performance obligation is sold for a broad range of amounts (that is, the selling price is highly variable) or if the Company has not yet established a price for that good or service, and the good or service has not previously been sold on a standalone basis (that is, the selling price is uncertain), the Company applies the residual approach whereby all performance obligations within a contract are first allocated a portion of the transaction price based upon their respective SSPs with any residual amount of transaction price allocated to the specific performance obligation.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2240" w:h="15840" w:orient="portrait"/>
          <w:cols w:equalWidth="0" w:num="1">
            <w:col w:w="10900"/>
          </w:cols>
          <w:pgMar w:left="660" w:top="128" w:right="680"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5" w:lineRule="exact"/>
        <w:rPr>
          <w:sz w:val="20"/>
          <w:szCs w:val="20"/>
          <w:color w:val="auto"/>
        </w:rPr>
      </w:pPr>
    </w:p>
    <w:p>
      <w:pPr>
        <w:ind w:right="180" w:firstLine="437"/>
        <w:spacing w:after="0" w:line="254" w:lineRule="auto"/>
        <w:rPr>
          <w:sz w:val="20"/>
          <w:szCs w:val="20"/>
          <w:color w:val="auto"/>
        </w:rPr>
      </w:pPr>
      <w:r>
        <w:rPr>
          <w:rFonts w:ascii="Arial" w:cs="Arial" w:eastAsia="Arial" w:hAnsi="Arial"/>
          <w:sz w:val="18"/>
          <w:szCs w:val="18"/>
          <w:color w:val="auto"/>
        </w:rPr>
        <w:t>Billing terms and conditions generally vary by contract category. Amounts are billed as work progresses in accordance with agreed-upon contractual terms, either at periodic intervals (e.g., monthly or quarterly) or upon achievement of contractual milestones. In cases where timing of revenue recognition significantly differs from the timing of invoicing, the Company has determined that its contracts do not include a significant financing component. The Company elected to use the practical expedient to financing component in contract where the time between cash collection and performance is less than one year.</w:t>
      </w:r>
    </w:p>
    <w:p>
      <w:pPr>
        <w:spacing w:after="0" w:line="189" w:lineRule="exact"/>
        <w:rPr>
          <w:sz w:val="20"/>
          <w:szCs w:val="20"/>
          <w:color w:val="auto"/>
        </w:rPr>
      </w:pPr>
    </w:p>
    <w:p>
      <w:pPr>
        <w:ind w:right="200" w:firstLine="437"/>
        <w:spacing w:after="0" w:line="259" w:lineRule="auto"/>
        <w:rPr>
          <w:sz w:val="20"/>
          <w:szCs w:val="20"/>
          <w:color w:val="auto"/>
        </w:rPr>
      </w:pPr>
      <w:r>
        <w:rPr>
          <w:rFonts w:ascii="Arial" w:cs="Arial" w:eastAsia="Arial" w:hAnsi="Arial"/>
          <w:sz w:val="18"/>
          <w:szCs w:val="18"/>
          <w:i w:val="1"/>
          <w:iCs w:val="1"/>
          <w:color w:val="auto"/>
        </w:rPr>
        <w:t xml:space="preserve">Accounts Receivable - Unbilled - </w:t>
      </w:r>
      <w:r>
        <w:rPr>
          <w:rFonts w:ascii="Arial" w:cs="Arial" w:eastAsia="Arial" w:hAnsi="Arial"/>
          <w:sz w:val="18"/>
          <w:szCs w:val="18"/>
          <w:color w:val="auto"/>
        </w:rPr>
        <w:t>Unbilled accounts receivable include all revenue amounts that had not been billed as of the balance sheet date</w:t>
      </w:r>
      <w:r>
        <w:rPr>
          <w:rFonts w:ascii="Arial" w:cs="Arial" w:eastAsia="Arial" w:hAnsi="Arial"/>
          <w:sz w:val="18"/>
          <w:szCs w:val="18"/>
          <w:i w:val="1"/>
          <w:iCs w:val="1"/>
          <w:color w:val="auto"/>
        </w:rPr>
        <w:t xml:space="preserve"> </w:t>
      </w:r>
      <w:r>
        <w:rPr>
          <w:rFonts w:ascii="Arial" w:cs="Arial" w:eastAsia="Arial" w:hAnsi="Arial"/>
          <w:sz w:val="18"/>
          <w:szCs w:val="18"/>
          <w:color w:val="auto"/>
        </w:rPr>
        <w:t>due to contractual billing milestones with customers. Unbilled accounts receivable that are expected to be billed beyond the next 12 months are considered long-term unbilled receivables and included in other noncurrent assets.</w:t>
      </w:r>
    </w:p>
    <w:p>
      <w:pPr>
        <w:spacing w:after="0" w:line="186" w:lineRule="exact"/>
        <w:rPr>
          <w:sz w:val="20"/>
          <w:szCs w:val="20"/>
          <w:color w:val="auto"/>
        </w:rPr>
      </w:pPr>
    </w:p>
    <w:p>
      <w:pPr>
        <w:ind w:right="320" w:firstLine="437"/>
        <w:spacing w:after="0" w:line="271" w:lineRule="auto"/>
        <w:rPr>
          <w:sz w:val="20"/>
          <w:szCs w:val="20"/>
          <w:color w:val="auto"/>
        </w:rPr>
      </w:pPr>
      <w:r>
        <w:rPr>
          <w:rFonts w:ascii="Arial" w:cs="Arial" w:eastAsia="Arial" w:hAnsi="Arial"/>
          <w:sz w:val="18"/>
          <w:szCs w:val="18"/>
          <w:i w:val="1"/>
          <w:iCs w:val="1"/>
          <w:color w:val="auto"/>
        </w:rPr>
        <w:t xml:space="preserve">Deferred Revenue - </w:t>
      </w:r>
      <w:r>
        <w:rPr>
          <w:rFonts w:ascii="Arial" w:cs="Arial" w:eastAsia="Arial" w:hAnsi="Arial"/>
          <w:sz w:val="18"/>
          <w:szCs w:val="18"/>
          <w:color w:val="auto"/>
        </w:rPr>
        <w:t>deferred revenue represents billings to customers for which revenue has not yet been recognized. Deferred revenue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recognized beyond the next 12 months is considered long-term deferred revenue.</w:t>
      </w:r>
    </w:p>
    <w:p>
      <w:pPr>
        <w:spacing w:after="0" w:line="175" w:lineRule="exact"/>
        <w:rPr>
          <w:sz w:val="20"/>
          <w:szCs w:val="20"/>
          <w:color w:val="auto"/>
        </w:rPr>
      </w:pPr>
    </w:p>
    <w:p>
      <w:pPr>
        <w:ind w:firstLine="437"/>
        <w:spacing w:after="0" w:line="268" w:lineRule="auto"/>
        <w:rPr>
          <w:sz w:val="20"/>
          <w:szCs w:val="20"/>
          <w:color w:val="auto"/>
        </w:rPr>
      </w:pPr>
      <w:r>
        <w:rPr>
          <w:rFonts w:ascii="Arial" w:cs="Arial" w:eastAsia="Arial" w:hAnsi="Arial"/>
          <w:sz w:val="17"/>
          <w:szCs w:val="17"/>
          <w:i w:val="1"/>
          <w:iCs w:val="1"/>
          <w:color w:val="auto"/>
        </w:rPr>
        <w:t xml:space="preserve">Assets Recognized from the Costs to Obtain a Contract with a Customer - </w:t>
      </w:r>
      <w:r>
        <w:rPr>
          <w:rFonts w:ascii="Arial" w:cs="Arial" w:eastAsia="Arial" w:hAnsi="Arial"/>
          <w:sz w:val="17"/>
          <w:szCs w:val="17"/>
          <w:color w:val="auto"/>
        </w:rPr>
        <w:t>Incremental costs of obtaining a contract (e.g., sales commissions) are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capitalized and amortized on a straight-line basis over the average contract period if the Company expects to recover those costs. Incremental costs of obtaining a contract include only those costs the Company incurs to obtain a contract that it would not have incurred if the contract had not been obtained. The Company has determined that certain sales commissions programs meet the requirements to be capitalized, the Company previously expensed these costs as incurred. Additionally, as a practical expedient, the Company expenses costs to obtain a contract as incurred if the amortization period would have been a year or less. Total capitalized costs to obtain a contract were immaterial during the periods presented and are included in other noncurrent assets in our consolidated balance sheets. The amortization of these costs is included in selling, general and administrative expenses in the Company’s consolidated statements of income.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Disclosures</w:t>
      </w:r>
    </w:p>
    <w:p>
      <w:pPr>
        <w:spacing w:after="0" w:line="118" w:lineRule="exact"/>
        <w:rPr>
          <w:sz w:val="20"/>
          <w:szCs w:val="20"/>
          <w:color w:val="auto"/>
        </w:rPr>
      </w:pPr>
    </w:p>
    <w:p>
      <w:pPr>
        <w:jc w:val="both"/>
        <w:ind w:right="40" w:firstLine="437"/>
        <w:spacing w:after="0" w:line="282" w:lineRule="auto"/>
        <w:rPr>
          <w:sz w:val="20"/>
          <w:szCs w:val="20"/>
          <w:color w:val="auto"/>
        </w:rPr>
      </w:pPr>
      <w:r>
        <w:rPr>
          <w:rFonts w:ascii="Arial" w:cs="Arial" w:eastAsia="Arial" w:hAnsi="Arial"/>
          <w:sz w:val="17"/>
          <w:szCs w:val="17"/>
          <w:color w:val="auto"/>
        </w:rPr>
        <w:t>The impact of adopting the new standard for the three months ended December 31, 2018 was an increase to revenue of approximately $6,858 and increase of approximately $3,011 to cost of revenue. The impact of adopting the new standard on the balance sheet of December 31, 2018 are primarily as a result of the transition adjustments presented in Note 3 to the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40"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8"/>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gridSpan w:val="2"/>
          </w:tcPr>
          <w:p>
            <w:pPr>
              <w:jc w:val="right"/>
              <w:ind w:right="320"/>
              <w:spacing w:after="0" w:line="118" w:lineRule="exact"/>
              <w:rPr>
                <w:sz w:val="20"/>
                <w:szCs w:val="20"/>
                <w:color w:val="auto"/>
              </w:rPr>
            </w:pPr>
            <w:r>
              <w:rPr>
                <w:rFonts w:ascii="Arial" w:cs="Arial" w:eastAsia="Arial" w:hAnsi="Arial"/>
                <w:sz w:val="13"/>
                <w:szCs w:val="13"/>
                <w:b w:val="1"/>
                <w:bCs w:val="1"/>
                <w:color w:val="auto"/>
                <w:w w:val="94"/>
              </w:rPr>
              <w:t>September 30,</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480"/>
              <w:spacing w:after="0" w:line="118" w:lineRule="exact"/>
              <w:rPr>
                <w:sz w:val="20"/>
                <w:szCs w:val="20"/>
                <w:color w:val="auto"/>
              </w:rPr>
            </w:pPr>
            <w:r>
              <w:rPr>
                <w:rFonts w:ascii="Arial" w:cs="Arial" w:eastAsia="Arial" w:hAnsi="Arial"/>
                <w:sz w:val="13"/>
                <w:szCs w:val="13"/>
                <w:b w:val="1"/>
                <w:bCs w:val="1"/>
                <w:color w:val="auto"/>
                <w:w w:val="99"/>
              </w:rPr>
              <w:t>October 1,</w:t>
            </w:r>
          </w:p>
        </w:tc>
        <w:tc>
          <w:tcPr>
            <w:tcW w:w="110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r>
      <w:tr>
        <w:trPr>
          <w:trHeight w:val="170"/>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320" w:type="dxa"/>
            <w:vAlign w:val="bottom"/>
            <w:gridSpan w:val="2"/>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6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2018 (as adjusted)</w:t>
            </w:r>
          </w:p>
        </w:tc>
        <w:tc>
          <w:tcPr>
            <w:tcW w:w="1100" w:type="dxa"/>
            <w:vAlign w:val="bottom"/>
            <w:gridSpan w:val="2"/>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66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8"/>
                <w:szCs w:val="18"/>
                <w:color w:val="auto"/>
                <w:w w:val="99"/>
              </w:rPr>
              <w:t>Accounts receivable - billed (net of allowances for doubtful</w:t>
            </w:r>
          </w:p>
        </w:tc>
        <w:tc>
          <w:tcPr>
            <w:tcW w:w="4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of $ 21,211 and $19,663 October 1, 2018 and</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2018, respectively)</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707,505</w:t>
            </w:r>
          </w:p>
        </w:tc>
        <w:tc>
          <w:tcPr>
            <w:tcW w:w="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707,505</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762,339</w:t>
            </w:r>
          </w:p>
        </w:tc>
        <w:tc>
          <w:tcPr>
            <w:tcW w:w="10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Accounts receivable – unbilled (current)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263,997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274,036</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246,409</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00" w:type="dxa"/>
            <w:vAlign w:val="bottom"/>
            <w:shd w:val="clear" w:color="auto" w:fill="CCEEFF"/>
          </w:tcPr>
          <w:p>
            <w:pPr>
              <w:spacing w:after="0"/>
              <w:rPr>
                <w:sz w:val="18"/>
                <w:szCs w:val="18"/>
                <w:color w:val="auto"/>
              </w:rPr>
            </w:pPr>
          </w:p>
        </w:tc>
      </w:tr>
      <w:tr>
        <w:trPr>
          <w:trHeight w:val="220"/>
        </w:trPr>
        <w:tc>
          <w:tcPr>
            <w:tcW w:w="4680" w:type="dxa"/>
            <w:vAlign w:val="bottom"/>
            <w:gridSpan w:val="2"/>
          </w:tcPr>
          <w:p>
            <w:pPr>
              <w:spacing w:after="0"/>
              <w:rPr>
                <w:sz w:val="20"/>
                <w:szCs w:val="20"/>
                <w:color w:val="auto"/>
              </w:rPr>
            </w:pPr>
            <w:r>
              <w:rPr>
                <w:rFonts w:ascii="Arial" w:cs="Arial" w:eastAsia="Arial" w:hAnsi="Arial"/>
                <w:sz w:val="18"/>
                <w:szCs w:val="18"/>
                <w:color w:val="auto"/>
              </w:rPr>
              <w:t>Total Accounts receivable - unbilled</w:t>
            </w:r>
          </w:p>
        </w:tc>
        <w:tc>
          <w:tcPr>
            <w:tcW w:w="4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279,683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287,221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258,845</w:t>
            </w:r>
          </w:p>
        </w:tc>
        <w:tc>
          <w:tcPr>
            <w:tcW w:w="10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(132,414)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(146,462)</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(138,420)</w:t>
            </w:r>
          </w:p>
        </w:tc>
      </w:tr>
      <w:tr>
        <w:trPr>
          <w:trHeight w:val="221"/>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4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(27,977)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(27,977)</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(26,750)</w:t>
            </w:r>
          </w:p>
        </w:tc>
      </w:tr>
      <w:tr>
        <w:trPr>
          <w:trHeight w:val="214"/>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4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160,391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174,439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165,170</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ind w:right="140" w:firstLine="437"/>
        <w:spacing w:after="0" w:line="271" w:lineRule="auto"/>
        <w:rPr>
          <w:sz w:val="20"/>
          <w:szCs w:val="20"/>
          <w:color w:val="auto"/>
        </w:rPr>
      </w:pPr>
      <w:r>
        <w:rPr>
          <w:rFonts w:ascii="Arial" w:cs="Arial" w:eastAsia="Arial" w:hAnsi="Arial"/>
          <w:sz w:val="18"/>
          <w:szCs w:val="18"/>
          <w:color w:val="auto"/>
        </w:rPr>
        <w:t>Revenue recognized in the three months ended December 31, 2018, which was included in deferred revenue (current) as of October 1, 2018 was $43,735.</w:t>
      </w:r>
    </w:p>
    <w:p>
      <w:pPr>
        <w:spacing w:after="0" w:line="68" w:lineRule="exact"/>
        <w:rPr>
          <w:sz w:val="20"/>
          <w:szCs w:val="20"/>
          <w:color w:val="auto"/>
        </w:rPr>
      </w:pPr>
    </w:p>
    <w:p>
      <w:pPr>
        <w:ind w:right="100" w:firstLine="437"/>
        <w:spacing w:after="0" w:line="271" w:lineRule="auto"/>
        <w:rPr>
          <w:sz w:val="20"/>
          <w:szCs w:val="20"/>
          <w:color w:val="auto"/>
        </w:rPr>
      </w:pPr>
      <w:r>
        <w:rPr>
          <w:rFonts w:ascii="Arial" w:cs="Arial" w:eastAsia="Arial" w:hAnsi="Arial"/>
          <w:sz w:val="18"/>
          <w:szCs w:val="18"/>
          <w:color w:val="auto"/>
        </w:rPr>
        <w:t>Amount billed during the quarter ended December 31, 2018, which was included in unbilled accounts receivable (current) as of October 1, 2018, was $69,015.</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2240" w:h="15840" w:orient="portrait"/>
          <w:cols w:equalWidth="0" w:num="1">
            <w:col w:w="10860"/>
          </w:cols>
          <w:pgMar w:left="660" w:top="128" w:right="720" w:bottom="1440" w:gutter="0" w:footer="0" w:header="0"/>
        </w:sectPr>
      </w:pPr>
    </w:p>
    <w:bookmarkStart w:id="12" w:name="page13"/>
    <w:bookmarkEnd w:id="1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 from Contracts with Customer</w:t>
      </w:r>
    </w:p>
    <w:p>
      <w:pPr>
        <w:spacing w:after="0" w:line="118" w:lineRule="exact"/>
        <w:rPr>
          <w:sz w:val="20"/>
          <w:szCs w:val="20"/>
          <w:color w:val="auto"/>
        </w:rPr>
      </w:pPr>
    </w:p>
    <w:p>
      <w:pPr>
        <w:jc w:val="both"/>
        <w:ind w:right="160" w:firstLine="437"/>
        <w:spacing w:after="0" w:line="297" w:lineRule="auto"/>
        <w:rPr>
          <w:sz w:val="20"/>
          <w:szCs w:val="20"/>
          <w:color w:val="auto"/>
        </w:rPr>
      </w:pPr>
      <w:r>
        <w:rPr>
          <w:rFonts w:ascii="Arial" w:cs="Arial" w:eastAsia="Arial" w:hAnsi="Arial"/>
          <w:sz w:val="16"/>
          <w:szCs w:val="16"/>
          <w:color w:val="auto"/>
        </w:rPr>
        <w:t>As of December 31, 2018, the aggregate amount of the transaction price allocated to remaining performance obligations that are unsatisfied or partially unsatisfied was approximately $4.7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18" w:lineRule="exact"/>
        <w:rPr>
          <w:sz w:val="20"/>
          <w:szCs w:val="20"/>
          <w:color w:val="auto"/>
        </w:rPr>
      </w:pPr>
    </w:p>
    <w:p>
      <w:pPr>
        <w:ind w:right="340" w:firstLine="437"/>
        <w:spacing w:after="0" w:line="271"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provide details of revenue by nature of activities and by geography: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nature of activities</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0"/>
        </w:trPr>
        <w:tc>
          <w:tcPr>
            <w:tcW w:w="8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1"/>
        </w:trPr>
        <w:tc>
          <w:tcPr>
            <w:tcW w:w="8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9"/>
              <w:spacing w:after="0" w:line="141"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left="278"/>
              <w:spacing w:after="0" w:line="141"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arrangement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525,469</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$ 518,726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486,586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458,985</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1,012,055</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$ 977,711</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Geographic Information</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0"/>
        </w:trPr>
        <w:tc>
          <w:tcPr>
            <w:tcW w:w="8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1"/>
        </w:trPr>
        <w:tc>
          <w:tcPr>
            <w:tcW w:w="8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9"/>
              <w:spacing w:after="0" w:line="141"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left="278"/>
              <w:spacing w:after="0" w:line="141"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660,441</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$ 643,031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146,131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133,700</w:t>
            </w:r>
          </w:p>
        </w:tc>
        <w:tc>
          <w:tcPr>
            <w:tcW w:w="0" w:type="dxa"/>
            <w:vAlign w:val="bottom"/>
          </w:tcPr>
          <w:p>
            <w:pPr>
              <w:spacing w:after="0"/>
              <w:rPr>
                <w:sz w:val="1"/>
                <w:szCs w:val="1"/>
                <w:color w:val="auto"/>
              </w:rPr>
            </w:pPr>
          </w:p>
        </w:tc>
      </w:tr>
      <w:tr>
        <w:trPr>
          <w:trHeight w:val="214"/>
        </w:trPr>
        <w:tc>
          <w:tcPr>
            <w:tcW w:w="8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205,483</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200,980</w:t>
            </w:r>
          </w:p>
        </w:tc>
        <w:tc>
          <w:tcPr>
            <w:tcW w:w="0" w:type="dxa"/>
            <w:vAlign w:val="bottom"/>
          </w:tcPr>
          <w:p>
            <w:pPr>
              <w:spacing w:after="0"/>
              <w:rPr>
                <w:sz w:val="1"/>
                <w:szCs w:val="1"/>
                <w:color w:val="auto"/>
              </w:rPr>
            </w:pPr>
          </w:p>
        </w:tc>
      </w:tr>
      <w:tr>
        <w:trPr>
          <w:trHeight w:val="221"/>
        </w:trPr>
        <w:tc>
          <w:tcPr>
            <w:tcW w:w="86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1,012,055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$ 977,711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118" w:lineRule="exact"/>
        <w:rPr>
          <w:sz w:val="20"/>
          <w:szCs w:val="20"/>
          <w:color w:val="auto"/>
        </w:rPr>
      </w:pPr>
    </w:p>
    <w:p>
      <w:pPr>
        <w:jc w:val="both"/>
        <w:ind w:right="200" w:firstLine="437"/>
        <w:spacing w:after="0" w:line="297"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6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4" w:lineRule="exact"/>
        <w:rPr>
          <w:sz w:val="20"/>
          <w:szCs w:val="20"/>
          <w:color w:val="auto"/>
        </w:rPr>
      </w:pPr>
    </w:p>
    <w:p>
      <w:pPr>
        <w:ind w:left="860"/>
        <w:spacing w:after="0" w:line="255"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Level 3: Unobservable inputs that are supported by little or no market activity that is significant to the fair value of the assets or liabilities.</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13</w:t>
      </w:r>
    </w:p>
    <w:p>
      <w:pPr>
        <w:sectPr>
          <w:pgSz w:w="12240" w:h="15840" w:orient="portrait"/>
          <w:cols w:equalWidth="0" w:num="1">
            <w:col w:w="10780"/>
          </w:cols>
          <w:pgMar w:left="660" w:top="128" w:right="800"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December 31, 2018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w:t>
      </w:r>
    </w:p>
    <w:p>
      <w:pPr>
        <w:spacing w:after="0" w:line="22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262"/>
              <w:spacing w:after="0"/>
              <w:rPr>
                <w:sz w:val="20"/>
                <w:szCs w:val="20"/>
                <w:color w:val="auto"/>
              </w:rPr>
            </w:pPr>
            <w:r>
              <w:rPr>
                <w:rFonts w:ascii="Arial" w:cs="Arial" w:eastAsia="Arial" w:hAnsi="Arial"/>
                <w:sz w:val="14"/>
                <w:szCs w:val="14"/>
                <w:b w:val="1"/>
                <w:bCs w:val="1"/>
                <w:color w:val="auto"/>
              </w:rPr>
              <w:t>As of December 31, 2018</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780" w:type="dxa"/>
            <w:vAlign w:val="bottom"/>
            <w:gridSpan w:val="3"/>
          </w:tcPr>
          <w:p>
            <w:pPr>
              <w:ind w:left="60"/>
              <w:spacing w:after="0" w:line="141"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120" w:type="dxa"/>
            <w:vAlign w:val="bottom"/>
            <w:gridSpan w:val="2"/>
          </w:tcPr>
          <w:p>
            <w:pPr>
              <w:jc w:val="right"/>
              <w:ind w:right="580"/>
              <w:spacing w:after="0" w:line="141"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820" w:type="dxa"/>
            <w:vAlign w:val="bottom"/>
            <w:gridSpan w:val="2"/>
          </w:tcPr>
          <w:p>
            <w:pPr>
              <w:jc w:val="right"/>
              <w:ind w:right="302"/>
              <w:spacing w:after="0" w:line="141" w:lineRule="exact"/>
              <w:rPr>
                <w:sz w:val="20"/>
                <w:szCs w:val="20"/>
                <w:color w:val="auto"/>
              </w:rPr>
            </w:pPr>
            <w:r>
              <w:rPr>
                <w:rFonts w:ascii="Arial" w:cs="Arial" w:eastAsia="Arial" w:hAnsi="Arial"/>
                <w:sz w:val="14"/>
                <w:szCs w:val="14"/>
                <w:b w:val="1"/>
                <w:bCs w:val="1"/>
                <w:color w:val="auto"/>
                <w:w w:val="88"/>
              </w:rPr>
              <w:t>Level 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Available-for-sale securities:</w:t>
            </w: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$ 46,973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46,973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28,876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23,416</w:t>
            </w: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23,416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16,120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9,010</w:t>
            </w:r>
          </w:p>
        </w:tc>
        <w:tc>
          <w:tcPr>
            <w:tcW w:w="100" w:type="dxa"/>
            <w:vAlign w:val="bottom"/>
          </w:tcPr>
          <w:p>
            <w:pPr>
              <w:spacing w:after="0"/>
              <w:rPr>
                <w:sz w:val="18"/>
                <w:szCs w:val="18"/>
                <w:color w:val="auto"/>
              </w:rPr>
            </w:pPr>
          </w:p>
        </w:tc>
        <w:tc>
          <w:tcPr>
            <w:tcW w:w="82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52,292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76,577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128,869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w w:val="98"/>
              </w:rPr>
              <w:t>10,100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(24,174)</w:t>
            </w:r>
          </w:p>
        </w:tc>
        <w:tc>
          <w:tcPr>
            <w:tcW w:w="100" w:type="dxa"/>
            <w:vAlign w:val="bottom"/>
          </w:tcPr>
          <w:p>
            <w:pPr>
              <w:spacing w:after="0"/>
              <w:rPr>
                <w:sz w:val="18"/>
                <w:szCs w:val="18"/>
                <w:color w:val="auto"/>
              </w:rPr>
            </w:pPr>
          </w:p>
        </w:tc>
        <w:tc>
          <w:tcPr>
            <w:tcW w:w="82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w w:val="89"/>
              </w:rPr>
              <w:t>(41,526)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(41,526)</w:t>
            </w:r>
          </w:p>
        </w:tc>
        <w:tc>
          <w:tcPr>
            <w:tcW w:w="0" w:type="dxa"/>
            <w:vAlign w:val="bottom"/>
          </w:tcPr>
          <w:p>
            <w:pPr>
              <w:spacing w:after="0"/>
              <w:rPr>
                <w:sz w:val="1"/>
                <w:szCs w:val="1"/>
                <w:color w:val="auto"/>
              </w:rPr>
            </w:pPr>
          </w:p>
        </w:tc>
      </w:tr>
      <w:tr>
        <w:trPr>
          <w:trHeight w:val="221"/>
        </w:trPr>
        <w:tc>
          <w:tcPr>
            <w:tcW w:w="6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52,292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$ 52,403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(31,426</w:t>
            </w:r>
          </w:p>
        </w:tc>
        <w:tc>
          <w:tcPr>
            <w:tcW w:w="260" w:type="dxa"/>
            <w:vAlign w:val="bottom"/>
          </w:tcPr>
          <w:p>
            <w:pPr>
              <w:jc w:val="right"/>
              <w:ind w:right="122"/>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242"/>
              <w:spacing w:after="0"/>
              <w:rPr>
                <w:sz w:val="20"/>
                <w:szCs w:val="20"/>
                <w:color w:val="auto"/>
              </w:rPr>
            </w:pPr>
            <w:r>
              <w:rPr>
                <w:rFonts w:ascii="Arial" w:cs="Arial" w:eastAsia="Arial" w:hAnsi="Arial"/>
                <w:sz w:val="14"/>
                <w:szCs w:val="14"/>
                <w:b w:val="1"/>
                <w:bCs w:val="1"/>
                <w:color w:val="auto"/>
              </w:rPr>
              <w:t>As of September 30, 2018</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780" w:type="dxa"/>
            <w:vAlign w:val="bottom"/>
            <w:gridSpan w:val="3"/>
          </w:tcPr>
          <w:p>
            <w:pPr>
              <w:ind w:left="60"/>
              <w:spacing w:after="0" w:line="141"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120" w:type="dxa"/>
            <w:vAlign w:val="bottom"/>
            <w:gridSpan w:val="2"/>
          </w:tcPr>
          <w:p>
            <w:pPr>
              <w:jc w:val="right"/>
              <w:ind w:right="580"/>
              <w:spacing w:after="0" w:line="141"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820" w:type="dxa"/>
            <w:vAlign w:val="bottom"/>
            <w:gridSpan w:val="2"/>
          </w:tcPr>
          <w:p>
            <w:pPr>
              <w:jc w:val="right"/>
              <w:ind w:right="302"/>
              <w:spacing w:after="0" w:line="141" w:lineRule="exact"/>
              <w:rPr>
                <w:sz w:val="20"/>
                <w:szCs w:val="20"/>
                <w:color w:val="auto"/>
              </w:rPr>
            </w:pPr>
            <w:r>
              <w:rPr>
                <w:rFonts w:ascii="Arial" w:cs="Arial" w:eastAsia="Arial" w:hAnsi="Arial"/>
                <w:sz w:val="14"/>
                <w:szCs w:val="14"/>
                <w:b w:val="1"/>
                <w:bCs w:val="1"/>
                <w:color w:val="auto"/>
                <w:w w:val="88"/>
              </w:rPr>
              <w:t>Level 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Available-for-sale securities:</w:t>
            </w: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$ 47,531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47,531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30,883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23,258</w:t>
            </w: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23,258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16,033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9,177</w:t>
            </w:r>
          </w:p>
        </w:tc>
        <w:tc>
          <w:tcPr>
            <w:tcW w:w="100" w:type="dxa"/>
            <w:vAlign w:val="bottom"/>
          </w:tcPr>
          <w:p>
            <w:pPr>
              <w:spacing w:after="0"/>
              <w:rPr>
                <w:sz w:val="18"/>
                <w:szCs w:val="18"/>
                <w:color w:val="auto"/>
              </w:rPr>
            </w:pPr>
          </w:p>
        </w:tc>
        <w:tc>
          <w:tcPr>
            <w:tcW w:w="82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4,434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54,141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77,175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(27,842)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(27,842)</w:t>
            </w:r>
          </w:p>
        </w:tc>
        <w:tc>
          <w:tcPr>
            <w:tcW w:w="0" w:type="dxa"/>
            <w:vAlign w:val="bottom"/>
          </w:tcPr>
          <w:p>
            <w:pPr>
              <w:spacing w:after="0"/>
              <w:rPr>
                <w:sz w:val="1"/>
                <w:szCs w:val="1"/>
                <w:color w:val="auto"/>
              </w:rPr>
            </w:pPr>
          </w:p>
        </w:tc>
      </w:tr>
      <w:tr>
        <w:trPr>
          <w:trHeight w:val="228"/>
        </w:trPr>
        <w:tc>
          <w:tcPr>
            <w:tcW w:w="60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(37,954)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(37,954)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54,141</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$ 49,333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w w:val="89"/>
              </w:rPr>
              <w:t>(37,954)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37"/>
        <w:spacing w:after="0" w:line="268" w:lineRule="auto"/>
        <w:rPr>
          <w:sz w:val="20"/>
          <w:szCs w:val="20"/>
          <w:color w:val="auto"/>
        </w:rPr>
      </w:pPr>
      <w:r>
        <w:rPr>
          <w:rFonts w:ascii="Arial" w:cs="Arial" w:eastAsia="Arial" w:hAnsi="Arial"/>
          <w:sz w:val="17"/>
          <w:szCs w:val="17"/>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months ended December 31, 2018. Level 3 liabilities relate to certain acquisition-related liabilities, which were valued using a Monte-Carlo simulation model. These liabilities were included in both accrued expenses and other current liabilities and other noncurrent liabilities as of December 31, 2018 and September 30, 2018. Level 3 assets relate to an equity investment, which was valued based on price changes in orderly transactions for similar investments of the same issuer.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2240" w:h="15840" w:orient="portrait"/>
          <w:cols w:equalWidth="0" w:num="1">
            <w:col w:w="10860"/>
          </w:cols>
          <w:pgMar w:left="660" w:top="128" w:right="720" w:bottom="1440" w:gutter="0" w:footer="0" w:header="0"/>
        </w:sectPr>
      </w:pPr>
    </w:p>
    <w:bookmarkStart w:id="14" w:name="page15"/>
    <w:bookmarkEnd w:id="14"/>
    <w:p>
      <w:pPr>
        <w:jc w:val="center"/>
        <w:ind w:right="-10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105"/>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ind w:right="-105"/>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5"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4" w:lineRule="exact"/>
        <w:rPr>
          <w:sz w:val="20"/>
          <w:szCs w:val="20"/>
          <w:color w:val="auto"/>
        </w:rPr>
      </w:pPr>
    </w:p>
    <w:p>
      <w:pPr>
        <w:ind w:left="6" w:right="220" w:firstLine="437"/>
        <w:spacing w:after="0" w:line="335"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6. Available-For-Sale Securities</w:t>
      </w:r>
    </w:p>
    <w:p>
      <w:pPr>
        <w:spacing w:after="0" w:line="118" w:lineRule="exact"/>
        <w:rPr>
          <w:sz w:val="20"/>
          <w:szCs w:val="20"/>
          <w:color w:val="auto"/>
        </w:rPr>
      </w:pPr>
    </w:p>
    <w:p>
      <w:pPr>
        <w:ind w:left="446"/>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0" w:lineRule="exact"/>
        <w:rPr>
          <w:sz w:val="20"/>
          <w:szCs w:val="20"/>
          <w:color w:val="auto"/>
        </w:rPr>
      </w:pPr>
    </w:p>
    <w:tbl>
      <w:tblPr>
        <w:tblLayout w:type="fixed"/>
        <w:tblInd w:w="6"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60"/>
              <w:spacing w:after="0" w:line="118"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0"/>
              </w:rPr>
              <w:t>Unrealized</w:t>
            </w:r>
          </w:p>
        </w:tc>
        <w:tc>
          <w:tcPr>
            <w:tcW w:w="500" w:type="dxa"/>
            <w:vAlign w:val="bottom"/>
          </w:tcPr>
          <w:p>
            <w:pPr>
              <w:spacing w:after="0"/>
              <w:rPr>
                <w:sz w:val="12"/>
                <w:szCs w:val="12"/>
                <w:color w:val="auto"/>
              </w:rPr>
            </w:pPr>
          </w:p>
        </w:tc>
        <w:tc>
          <w:tcPr>
            <w:tcW w:w="9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28,876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28,876</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23,669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23,416</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16,314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16,120</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1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130,070</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128,869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26" w:right="480" w:hanging="426"/>
        <w:spacing w:after="0" w:line="275" w:lineRule="auto"/>
        <w:tabs>
          <w:tab w:leader="none" w:pos="426"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December 31, 2018, $99,993 of securities were classified as short-term interest-bearing investments and $28,876 of securities were classified as cash and cash equivalents.</w:t>
      </w:r>
    </w:p>
    <w:p>
      <w:pPr>
        <w:spacing w:after="0" w:line="193" w:lineRule="exact"/>
        <w:rPr>
          <w:sz w:val="20"/>
          <w:szCs w:val="20"/>
          <w:color w:val="auto"/>
        </w:rPr>
      </w:pPr>
    </w:p>
    <w:tbl>
      <w:tblPr>
        <w:tblLayout w:type="fixed"/>
        <w:tblInd w:w="446"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8"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60"/>
              <w:spacing w:after="0" w:line="118"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0"/>
              </w:rPr>
              <w:t>Unrealized</w:t>
            </w:r>
          </w:p>
        </w:tc>
        <w:tc>
          <w:tcPr>
            <w:tcW w:w="500" w:type="dxa"/>
            <w:vAlign w:val="bottom"/>
          </w:tcPr>
          <w:p>
            <w:pPr>
              <w:spacing w:after="0"/>
              <w:rPr>
                <w:sz w:val="12"/>
                <w:szCs w:val="12"/>
                <w:color w:val="auto"/>
              </w:rPr>
            </w:pPr>
          </w:p>
        </w:tc>
        <w:tc>
          <w:tcPr>
            <w:tcW w:w="9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Money market funds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30,883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30,883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23,656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U.S. agency securities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16,297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16,033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Supranational and sovereign debt</w:t>
            </w:r>
          </w:p>
        </w:tc>
        <w:tc>
          <w:tcPr>
            <w:tcW w:w="1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132,908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131,316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96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53" w:lineRule="exact"/>
        <w:rPr>
          <w:sz w:val="20"/>
          <w:szCs w:val="20"/>
          <w:color w:val="auto"/>
        </w:rPr>
      </w:pPr>
    </w:p>
    <w:p>
      <w:pPr>
        <w:ind w:left="426" w:right="480" w:hanging="426"/>
        <w:spacing w:after="0" w:line="271" w:lineRule="auto"/>
        <w:tabs>
          <w:tab w:leader="none" w:pos="426"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September 30, 2018, $100,433 of securities were classified as short-term interest-bearing investments and $30,883 of securities were classified as cash and cash equivalents.</w:t>
      </w:r>
    </w:p>
    <w:p>
      <w:pPr>
        <w:spacing w:after="0" w:line="175" w:lineRule="exact"/>
        <w:rPr>
          <w:sz w:val="20"/>
          <w:szCs w:val="20"/>
          <w:color w:val="auto"/>
        </w:rPr>
      </w:pPr>
    </w:p>
    <w:p>
      <w:pPr>
        <w:ind w:left="6" w:firstLine="437"/>
        <w:spacing w:after="0" w:line="254" w:lineRule="auto"/>
        <w:rPr>
          <w:sz w:val="20"/>
          <w:szCs w:val="20"/>
          <w:color w:val="auto"/>
        </w:rPr>
      </w:pPr>
      <w:r>
        <w:rPr>
          <w:rFonts w:ascii="Arial" w:cs="Arial" w:eastAsia="Arial" w:hAnsi="Arial"/>
          <w:sz w:val="18"/>
          <w:szCs w:val="18"/>
          <w:color w:val="auto"/>
        </w:rPr>
        <w:t>As of December 31, 2018,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the three months ended December 31, 2018 and 2017. Realized gains and losses on available-for-sale securities are included in earnings and are derived using the first-in-first-out (FIFO) method for determining the cost of securities.</w:t>
      </w:r>
    </w:p>
    <w:p>
      <w:pPr>
        <w:spacing w:after="0" w:line="123" w:lineRule="exact"/>
        <w:rPr>
          <w:sz w:val="20"/>
          <w:szCs w:val="20"/>
          <w:color w:val="auto"/>
        </w:rPr>
      </w:pPr>
    </w:p>
    <w:p>
      <w:pPr>
        <w:jc w:val="center"/>
        <w:ind w:right="-105"/>
        <w:spacing w:after="0"/>
        <w:rPr>
          <w:sz w:val="20"/>
          <w:szCs w:val="20"/>
          <w:color w:val="auto"/>
        </w:rPr>
      </w:pPr>
      <w:r>
        <w:rPr>
          <w:rFonts w:ascii="Arial" w:cs="Arial" w:eastAsia="Arial" w:hAnsi="Arial"/>
          <w:sz w:val="18"/>
          <w:szCs w:val="18"/>
          <w:color w:val="auto"/>
        </w:rPr>
        <w:t>15</w:t>
      </w:r>
    </w:p>
    <w:p>
      <w:pPr>
        <w:sectPr>
          <w:pgSz w:w="12240" w:h="15840" w:orient="portrait"/>
          <w:cols w:equalWidth="0" w:num="1">
            <w:col w:w="10826"/>
          </w:cols>
          <w:pgMar w:left="654" w:top="128" w:right="760" w:bottom="1440" w:gutter="0" w:footer="0" w:header="0"/>
        </w:sectPr>
      </w:pPr>
    </w:p>
    <w:bookmarkStart w:id="15" w:name="page16"/>
    <w:bookmarkEnd w:id="15"/>
    <w:p>
      <w:pPr>
        <w:jc w:val="center"/>
        <w:ind w:right="-4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45"/>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5" w:lineRule="exact"/>
        <w:rPr>
          <w:sz w:val="20"/>
          <w:szCs w:val="20"/>
          <w:color w:val="auto"/>
        </w:rPr>
      </w:pPr>
    </w:p>
    <w:p>
      <w:pPr>
        <w:ind w:left="446"/>
        <w:spacing w:after="0"/>
        <w:rPr>
          <w:sz w:val="20"/>
          <w:szCs w:val="20"/>
          <w:color w:val="auto"/>
        </w:rPr>
      </w:pPr>
      <w:r>
        <w:rPr>
          <w:rFonts w:ascii="Arial" w:cs="Arial" w:eastAsia="Arial" w:hAnsi="Arial"/>
          <w:sz w:val="18"/>
          <w:szCs w:val="18"/>
          <w:color w:val="auto"/>
        </w:rPr>
        <w:t>As of December 31, 2018, the Company’s available-for-sale securities had the following maturity dates:</w:t>
      </w:r>
    </w:p>
    <w:p>
      <w:pPr>
        <w:spacing w:after="0" w:line="240" w:lineRule="exact"/>
        <w:rPr>
          <w:sz w:val="20"/>
          <w:szCs w:val="20"/>
          <w:color w:val="auto"/>
        </w:rPr>
      </w:pPr>
    </w:p>
    <w:tbl>
      <w:tblPr>
        <w:tblLayout w:type="fixed"/>
        <w:tblInd w:w="1746"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08"/>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1 to 2 years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43,814</w:t>
            </w:r>
          </w:p>
        </w:tc>
        <w:tc>
          <w:tcPr>
            <w:tcW w:w="40" w:type="dxa"/>
            <w:vAlign w:val="bottom"/>
          </w:tcPr>
          <w:p>
            <w:pPr>
              <w:spacing w:after="0"/>
              <w:rPr>
                <w:sz w:val="18"/>
                <w:szCs w:val="18"/>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3 to 4 years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2,361</w:t>
            </w:r>
          </w:p>
        </w:tc>
        <w:tc>
          <w:tcPr>
            <w:tcW w:w="40" w:type="dxa"/>
            <w:vAlign w:val="bottom"/>
          </w:tcPr>
          <w:p>
            <w:pPr>
              <w:spacing w:after="0"/>
              <w:rPr>
                <w:sz w:val="18"/>
                <w:szCs w:val="18"/>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w:t>
            </w:r>
          </w:p>
        </w:tc>
        <w:tc>
          <w:tcPr>
            <w:tcW w:w="40" w:type="dxa"/>
            <w:vAlign w:val="bottom"/>
            <w:shd w:val="clear" w:color="auto" w:fill="CCEEFF"/>
          </w:tcPr>
          <w:p>
            <w:pPr>
              <w:spacing w:after="0"/>
              <w:rPr>
                <w:sz w:val="18"/>
                <w:szCs w:val="18"/>
                <w:color w:val="auto"/>
              </w:rPr>
            </w:pPr>
          </w:p>
        </w:tc>
      </w:tr>
      <w:tr>
        <w:trPr>
          <w:trHeight w:val="221"/>
        </w:trPr>
        <w:tc>
          <w:tcPr>
            <w:tcW w:w="6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128,869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7. Derivative Financial Instruments</w:t>
      </w:r>
    </w:p>
    <w:p>
      <w:pPr>
        <w:spacing w:after="0" w:line="118" w:lineRule="exact"/>
        <w:rPr>
          <w:sz w:val="20"/>
          <w:szCs w:val="20"/>
          <w:color w:val="auto"/>
        </w:rPr>
      </w:pPr>
    </w:p>
    <w:p>
      <w:pPr>
        <w:ind w:left="6" w:right="160" w:firstLine="437"/>
        <w:spacing w:after="0" w:line="335"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9" w:lineRule="exact"/>
        <w:rPr>
          <w:sz w:val="20"/>
          <w:szCs w:val="20"/>
          <w:color w:val="auto"/>
        </w:rPr>
      </w:pPr>
    </w:p>
    <w:p>
      <w:pPr>
        <w:ind w:left="6" w:right="60" w:firstLine="437"/>
        <w:spacing w:after="0" w:line="267" w:lineRule="auto"/>
        <w:rPr>
          <w:sz w:val="20"/>
          <w:szCs w:val="20"/>
          <w:color w:val="auto"/>
        </w:rPr>
      </w:pPr>
      <w:r>
        <w:rPr>
          <w:rFonts w:ascii="Arial" w:cs="Arial" w:eastAsia="Arial" w:hAnsi="Arial"/>
          <w:sz w:val="17"/>
          <w:szCs w:val="17"/>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$2,526 as of December 31, 2018. The Company has limited its credit risk by entering into derivative transactions exclusively with investment-grade rated financial institutions and monitors the creditworthiness of these financial institutions on an ongoing basis.</w:t>
      </w:r>
    </w:p>
    <w:p>
      <w:pPr>
        <w:spacing w:after="0" w:line="181" w:lineRule="exact"/>
        <w:rPr>
          <w:sz w:val="20"/>
          <w:szCs w:val="20"/>
          <w:color w:val="auto"/>
        </w:rPr>
      </w:pPr>
    </w:p>
    <w:p>
      <w:pPr>
        <w:ind w:left="446"/>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3" w:lineRule="exact"/>
        <w:rPr>
          <w:sz w:val="20"/>
          <w:szCs w:val="20"/>
          <w:color w:val="auto"/>
        </w:rPr>
      </w:pPr>
    </w:p>
    <w:p>
      <w:pPr>
        <w:ind w:left="6"/>
        <w:spacing w:after="0"/>
        <w:rPr>
          <w:sz w:val="20"/>
          <w:szCs w:val="20"/>
          <w:color w:val="auto"/>
        </w:rPr>
      </w:pPr>
      <w:r>
        <w:rPr>
          <w:rFonts w:ascii="Arial" w:cs="Arial" w:eastAsia="Arial" w:hAnsi="Arial"/>
          <w:sz w:val="18"/>
          <w:szCs w:val="18"/>
          <w:color w:val="auto"/>
        </w:rPr>
        <w:t>flow.</w:t>
      </w:r>
    </w:p>
    <w:p>
      <w:pPr>
        <w:spacing w:after="0" w:line="208" w:lineRule="exact"/>
        <w:rPr>
          <w:sz w:val="20"/>
          <w:szCs w:val="20"/>
          <w:color w:val="auto"/>
        </w:rPr>
      </w:pPr>
    </w:p>
    <w:p>
      <w:pPr>
        <w:jc w:val="both"/>
        <w:ind w:left="6" w:firstLine="437"/>
        <w:spacing w:after="0" w:line="259"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December 31, 2018. Notional values are in U.S. dollars and are translated and calculated based on forward rates as of December 31, 2018 for forward contracts, and based on spot rates as of December 31, 2018 for options.</w:t>
      </w:r>
    </w:p>
    <w:p>
      <w:pPr>
        <w:spacing w:after="0" w:line="205" w:lineRule="exact"/>
        <w:rPr>
          <w:sz w:val="20"/>
          <w:szCs w:val="20"/>
          <w:color w:val="auto"/>
        </w:rPr>
      </w:pPr>
    </w:p>
    <w:tbl>
      <w:tblPr>
        <w:tblLayout w:type="fixed"/>
        <w:tblInd w:w="1746"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97"/>
              </w:rPr>
              <w:t>Notional Value*</w:t>
            </w:r>
          </w:p>
        </w:tc>
      </w:tr>
      <w:tr>
        <w:trPr>
          <w:trHeight w:val="208"/>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1,182,789</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6965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153" w:lineRule="exact"/>
        <w:rPr>
          <w:sz w:val="20"/>
          <w:szCs w:val="20"/>
          <w:color w:val="auto"/>
        </w:rPr>
      </w:pPr>
    </w:p>
    <w:p>
      <w:pPr>
        <w:ind w:left="426" w:right="200" w:hanging="426"/>
        <w:spacing w:after="0" w:line="271" w:lineRule="auto"/>
        <w:tabs>
          <w:tab w:leader="none" w:pos="426"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8"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16</w:t>
      </w:r>
    </w:p>
    <w:p>
      <w:pPr>
        <w:sectPr>
          <w:pgSz w:w="12240" w:h="15840" w:orient="portrait"/>
          <w:cols w:equalWidth="0" w:num="1">
            <w:col w:w="10886"/>
          </w:cols>
          <w:pgMar w:left="654" w:top="128" w:right="70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5" w:lineRule="exact"/>
        <w:rPr>
          <w:sz w:val="20"/>
          <w:szCs w:val="20"/>
          <w:color w:val="auto"/>
        </w:rPr>
      </w:pPr>
    </w:p>
    <w:p>
      <w:pPr>
        <w:ind w:firstLine="437"/>
        <w:spacing w:after="0" w:line="259"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5 to the consolidated financial statements. The fair value of the open foreign exchange contracts recorded as an asset or a liability by the Company on its consolidated balance sheets as of December 31, 2018 and September 30, 2018, is as follows:</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8"/>
        </w:trPr>
        <w:tc>
          <w:tcPr>
            <w:tcW w:w="4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0"/>
        </w:trPr>
        <w:tc>
          <w:tcPr>
            <w:tcW w:w="47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94"/>
        </w:trPr>
        <w:tc>
          <w:tcPr>
            <w:tcW w:w="47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47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14"/>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4"/>
        </w:trPr>
        <w:tc>
          <w:tcPr>
            <w:tcW w:w="47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(21,429)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(17,681)</w:t>
            </w:r>
          </w:p>
        </w:tc>
      </w:tr>
      <w:tr>
        <w:trPr>
          <w:trHeight w:val="214"/>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(10,030)</w:t>
            </w:r>
          </w:p>
        </w:tc>
      </w:tr>
      <w:tr>
        <w:trPr>
          <w:trHeight w:val="221"/>
        </w:trPr>
        <w:tc>
          <w:tcPr>
            <w:tcW w:w="4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(25,056)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(27,465)</w:t>
            </w:r>
          </w:p>
        </w:tc>
        <w:tc>
          <w:tcPr>
            <w:tcW w:w="100" w:type="dxa"/>
            <w:vAlign w:val="bottom"/>
          </w:tcPr>
          <w:p>
            <w:pPr>
              <w:spacing w:after="0"/>
              <w:rPr>
                <w:sz w:val="19"/>
                <w:szCs w:val="19"/>
                <w:color w:val="auto"/>
              </w:rPr>
            </w:pPr>
          </w:p>
        </w:tc>
      </w:tr>
      <w:tr>
        <w:trPr>
          <w:trHeight w:val="214"/>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7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4,811</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r>
      <w:tr>
        <w:trPr>
          <w:trHeight w:val="214"/>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(3,929)</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(3,135)</w:t>
            </w:r>
          </w:p>
        </w:tc>
      </w:tr>
      <w:tr>
        <w:trPr>
          <w:trHeight w:val="228"/>
        </w:trPr>
        <w:tc>
          <w:tcPr>
            <w:tcW w:w="4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r>
      <w:tr>
        <w:trPr>
          <w:trHeight w:val="214"/>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(24,174)</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(27,842)</w:t>
            </w:r>
          </w:p>
        </w:tc>
      </w:tr>
      <w:tr>
        <w:trPr>
          <w:trHeight w:val="20"/>
        </w:trPr>
        <w:tc>
          <w:tcPr>
            <w:tcW w:w="4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4" w:lineRule="exact"/>
        <w:rPr>
          <w:sz w:val="20"/>
          <w:szCs w:val="20"/>
          <w:color w:val="auto"/>
        </w:rPr>
      </w:pPr>
    </w:p>
    <w:p>
      <w:pPr>
        <w:ind w:firstLine="437"/>
        <w:spacing w:after="0" w:line="343" w:lineRule="auto"/>
        <w:rPr>
          <w:sz w:val="20"/>
          <w:szCs w:val="20"/>
          <w:color w:val="auto"/>
        </w:rPr>
      </w:pPr>
      <w:r>
        <w:rPr>
          <w:rFonts w:ascii="Arial" w:cs="Arial" w:eastAsia="Arial" w:hAnsi="Arial"/>
          <w:sz w:val="14"/>
          <w:szCs w:val="14"/>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December 31, 2018 is scheduled to mature within the next 12 months.</w:t>
      </w:r>
    </w:p>
    <w:p>
      <w:pPr>
        <w:spacing w:after="0" w:line="134" w:lineRule="exact"/>
        <w:rPr>
          <w:sz w:val="20"/>
          <w:szCs w:val="20"/>
          <w:color w:val="auto"/>
        </w:rPr>
      </w:pPr>
    </w:p>
    <w:p>
      <w:pPr>
        <w:ind w:right="60" w:firstLine="437"/>
        <w:spacing w:after="0" w:line="288"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67" w:lineRule="exact"/>
        <w:rPr>
          <w:sz w:val="20"/>
          <w:szCs w:val="20"/>
          <w:color w:val="auto"/>
        </w:rPr>
      </w:pPr>
    </w:p>
    <w:p>
      <w:pPr>
        <w:ind w:right="240" w:firstLine="437"/>
        <w:spacing w:after="0" w:line="335"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three months ended December 31, 2018 and 2017, respectively, which partially offsets the foreign currency impact from the underlying exposures, is summarized as follows:</w:t>
      </w:r>
    </w:p>
    <w:p>
      <w:pPr>
        <w:spacing w:after="0" w:line="147"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(Losses) Gains Reclassified from</w:t>
      </w:r>
    </w:p>
    <w:p>
      <w:pPr>
        <w:jc w:val="center"/>
        <w:ind w:left="5480"/>
        <w:spacing w:after="0" w:line="222" w:lineRule="auto"/>
        <w:rPr>
          <w:sz w:val="20"/>
          <w:szCs w:val="20"/>
          <w:color w:val="auto"/>
        </w:rPr>
      </w:pPr>
      <w:r>
        <w:rPr>
          <w:rFonts w:ascii="Arial" w:cs="Arial" w:eastAsia="Arial" w:hAnsi="Arial"/>
          <w:sz w:val="14"/>
          <w:szCs w:val="14"/>
          <w:b w:val="1"/>
          <w:bCs w:val="1"/>
          <w:color w:val="auto"/>
        </w:rPr>
        <w:t>Other Comprehensive</w:t>
      </w:r>
    </w:p>
    <w:p>
      <w:pPr>
        <w:jc w:val="center"/>
        <w:ind w:left="5480"/>
        <w:spacing w:after="0" w:line="220" w:lineRule="auto"/>
        <w:rPr>
          <w:sz w:val="20"/>
          <w:szCs w:val="20"/>
          <w:color w:val="auto"/>
        </w:rPr>
      </w:pPr>
      <w:r>
        <w:rPr>
          <w:rFonts w:ascii="Arial" w:cs="Arial" w:eastAsia="Arial" w:hAnsi="Arial"/>
          <w:sz w:val="14"/>
          <w:szCs w:val="14"/>
          <w:b w:val="1"/>
          <w:bCs w:val="1"/>
          <w:color w:val="auto"/>
        </w:rPr>
        <w:t>Income (Effective Portion)</w:t>
      </w:r>
    </w:p>
    <w:p>
      <w:pPr>
        <w:jc w:val="center"/>
        <w:ind w:left="5480"/>
        <w:spacing w:after="0" w:line="229" w:lineRule="auto"/>
        <w:rPr>
          <w:sz w:val="20"/>
          <w:szCs w:val="20"/>
          <w:color w:val="auto"/>
        </w:rPr>
      </w:pPr>
      <w:r>
        <w:rPr>
          <w:rFonts w:ascii="Arial" w:cs="Arial" w:eastAsia="Arial" w:hAnsi="Arial"/>
          <w:sz w:val="14"/>
          <w:szCs w:val="14"/>
          <w:b w:val="1"/>
          <w:bCs w:val="1"/>
          <w:color w:val="auto"/>
        </w:rPr>
        <w:t>Three months ended December 31,</w:t>
      </w:r>
    </w:p>
    <w:tbl>
      <w:tblPr>
        <w:tblLayout w:type="fixed"/>
        <w:tblInd w:w="1300" w:type="dxa"/>
        <w:tblCellMar>
          <w:top w:w="0" w:type="dxa"/>
          <w:left w:w="0" w:type="dxa"/>
          <w:bottom w:w="0" w:type="dxa"/>
          <w:right w:w="0" w:type="dxa"/>
        </w:tblCellMar>
      </w:tblPr>
      <w:tr>
        <w:trPr>
          <w:trHeight w:val="141"/>
        </w:trPr>
        <w:tc>
          <w:tcPr>
            <w:tcW w:w="374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20"/>
              <w:spacing w:after="0" w:line="141"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Line item in consolidated statements of income:</w:t>
            </w:r>
          </w:p>
        </w:tc>
        <w:tc>
          <w:tcPr>
            <w:tcW w:w="1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360"/>
              <w:spacing w:after="0"/>
              <w:rPr>
                <w:sz w:val="20"/>
                <w:szCs w:val="20"/>
                <w:color w:val="auto"/>
              </w:rPr>
            </w:pPr>
            <w:r>
              <w:rPr>
                <w:rFonts w:ascii="Arial" w:cs="Arial" w:eastAsia="Arial" w:hAnsi="Arial"/>
                <w:sz w:val="18"/>
                <w:szCs w:val="18"/>
                <w:color w:val="auto"/>
              </w:rPr>
              <w:t>Revenue</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(5,944)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14"/>
        </w:trPr>
        <w:tc>
          <w:tcPr>
            <w:tcW w:w="37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(1,468)</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(1,499)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20"/>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3"/>
              </w:rPr>
              <w:t>(8,911)</w:t>
            </w:r>
          </w:p>
        </w:tc>
        <w:tc>
          <w:tcPr>
            <w:tcW w:w="8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60" w:type="dxa"/>
            <w:vAlign w:val="bottom"/>
            <w:vMerge w:val="restart"/>
          </w:tcPr>
          <w:p>
            <w:pPr>
              <w:jc w:val="right"/>
              <w:ind w:right="1271"/>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7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900"/>
          </w:cols>
          <w:pgMar w:left="660" w:top="128" w:right="68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5" w:lineRule="exact"/>
        <w:rPr>
          <w:sz w:val="20"/>
          <w:szCs w:val="20"/>
          <w:color w:val="auto"/>
        </w:rPr>
      </w:pPr>
    </w:p>
    <w:p>
      <w:pPr>
        <w:ind w:firstLine="437"/>
        <w:spacing w:after="0" w:line="271" w:lineRule="auto"/>
        <w:rPr>
          <w:sz w:val="20"/>
          <w:szCs w:val="20"/>
          <w:color w:val="auto"/>
        </w:rPr>
      </w:pPr>
      <w:r>
        <w:rPr>
          <w:rFonts w:ascii="Arial" w:cs="Arial" w:eastAsia="Arial" w:hAnsi="Arial"/>
          <w:sz w:val="18"/>
          <w:szCs w:val="18"/>
          <w:color w:val="auto"/>
        </w:rPr>
        <w:t>The activity related to the changes in net unrealized gains on cash flow hedges recorded in accumulated other comprehensive income, net of tax, is as follows:</w:t>
      </w:r>
    </w:p>
    <w:p>
      <w:pPr>
        <w:spacing w:after="0" w:line="193"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Three months ended</w:t>
      </w:r>
    </w:p>
    <w:p>
      <w:pPr>
        <w:jc w:val="center"/>
        <w:ind w:left="640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1300" w:type="dxa"/>
        <w:tblCellMar>
          <w:top w:w="0" w:type="dxa"/>
          <w:left w:w="0" w:type="dxa"/>
          <w:bottom w:w="0" w:type="dxa"/>
          <w:right w:w="0" w:type="dxa"/>
        </w:tblCellMar>
      </w:tblPr>
      <w:tr>
        <w:trPr>
          <w:trHeight w:val="141"/>
        </w:trPr>
        <w:tc>
          <w:tcPr>
            <w:tcW w:w="65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1"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08"/>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gains on cash flow hedges, net of tax, beginning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$(26,608)</w:t>
            </w:r>
          </w:p>
        </w:tc>
        <w:tc>
          <w:tcPr>
            <w:tcW w:w="4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$24,508</w:t>
            </w:r>
          </w:p>
        </w:tc>
        <w:tc>
          <w:tcPr>
            <w:tcW w:w="100" w:type="dxa"/>
            <w:vAlign w:val="bottom"/>
            <w:shd w:val="clear" w:color="auto" w:fill="CCEEFF"/>
          </w:tcPr>
          <w:p>
            <w:pPr>
              <w:spacing w:after="0"/>
              <w:rPr>
                <w:sz w:val="18"/>
                <w:szCs w:val="18"/>
                <w:color w:val="auto"/>
              </w:rPr>
            </w:pPr>
          </w:p>
        </w:tc>
      </w:tr>
      <w:tr>
        <w:trPr>
          <w:trHeight w:val="214"/>
        </w:trPr>
        <w:tc>
          <w:tcPr>
            <w:tcW w:w="654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(3,639)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15,701</w:t>
            </w:r>
          </w:p>
        </w:tc>
      </w:tr>
      <w:tr>
        <w:trPr>
          <w:trHeight w:val="214"/>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losses (gains) into earnings, net of tax</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(9,468)</w:t>
            </w:r>
          </w:p>
        </w:tc>
      </w:tr>
      <w:tr>
        <w:trPr>
          <w:trHeight w:val="221"/>
        </w:trPr>
        <w:tc>
          <w:tcPr>
            <w:tcW w:w="6540" w:type="dxa"/>
            <w:vAlign w:val="bottom"/>
          </w:tcPr>
          <w:p>
            <w:pPr>
              <w:spacing w:after="0"/>
              <w:rPr>
                <w:sz w:val="20"/>
                <w:szCs w:val="20"/>
                <w:color w:val="auto"/>
              </w:rPr>
            </w:pPr>
            <w:r>
              <w:rPr>
                <w:rFonts w:ascii="Arial" w:cs="Arial" w:eastAsia="Arial" w:hAnsi="Arial"/>
                <w:sz w:val="18"/>
                <w:szCs w:val="18"/>
                <w:color w:val="auto"/>
              </w:rPr>
              <w:t>Net unrealized (loss) gains on cash flow hedges, net of tax, end of period</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(22,555</w:t>
            </w:r>
          </w:p>
        </w:tc>
        <w:tc>
          <w:tcPr>
            <w:tcW w:w="400" w:type="dxa"/>
            <w:vAlign w:val="bottom"/>
            <w:gridSpan w:val="2"/>
          </w:tcPr>
          <w:p>
            <w:pPr>
              <w:jc w:val="right"/>
              <w:ind w:right="34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30,741</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right="320" w:firstLine="437"/>
        <w:spacing w:after="0" w:line="271" w:lineRule="auto"/>
        <w:rPr>
          <w:sz w:val="20"/>
          <w:szCs w:val="20"/>
          <w:color w:val="auto"/>
        </w:rPr>
      </w:pPr>
      <w:r>
        <w:rPr>
          <w:rFonts w:ascii="Arial" w:cs="Arial" w:eastAsia="Arial" w:hAnsi="Arial"/>
          <w:sz w:val="18"/>
          <w:szCs w:val="18"/>
          <w:color w:val="auto"/>
        </w:rPr>
        <w:t>Net (loss) gains from cash flow hedges recognized in other comprehensive income were ($6,748) and $16,499, or ($3,639) and $15,701 net of taxes, during the three months ended December 31, 2018 and 2017, respectively.</w:t>
      </w:r>
    </w:p>
    <w:p>
      <w:pPr>
        <w:spacing w:after="0" w:line="175" w:lineRule="exact"/>
        <w:rPr>
          <w:sz w:val="20"/>
          <w:szCs w:val="20"/>
          <w:color w:val="auto"/>
        </w:rPr>
      </w:pPr>
    </w:p>
    <w:p>
      <w:pPr>
        <w:ind w:right="360" w:firstLine="437"/>
        <w:spacing w:after="0" w:line="307" w:lineRule="auto"/>
        <w:rPr>
          <w:sz w:val="20"/>
          <w:szCs w:val="20"/>
          <w:color w:val="auto"/>
        </w:rPr>
      </w:pPr>
      <w:r>
        <w:rPr>
          <w:rFonts w:ascii="Arial" w:cs="Arial" w:eastAsia="Arial" w:hAnsi="Arial"/>
          <w:sz w:val="16"/>
          <w:szCs w:val="16"/>
          <w:color w:val="auto"/>
        </w:rPr>
        <w:t>Of the net loss related to derivatives designated as cash flow hedges and recorded in accumulated other comprehensive income as of December 31, 2018, a net loss of $18,408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50" w:lineRule="exact"/>
        <w:rPr>
          <w:sz w:val="20"/>
          <w:szCs w:val="20"/>
          <w:color w:val="auto"/>
        </w:rPr>
      </w:pPr>
    </w:p>
    <w:p>
      <w:pPr>
        <w:ind w:right="200" w:firstLine="437"/>
        <w:spacing w:after="0" w:line="271"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months ended December 31, 2018 and 2017, was not material.</w:t>
      </w:r>
    </w:p>
    <w:p>
      <w:pPr>
        <w:spacing w:after="0" w:line="175" w:lineRule="exact"/>
        <w:rPr>
          <w:sz w:val="20"/>
          <w:szCs w:val="20"/>
          <w:color w:val="auto"/>
        </w:rPr>
      </w:pPr>
    </w:p>
    <w:p>
      <w:pPr>
        <w:ind w:right="440" w:firstLine="437"/>
        <w:spacing w:after="0" w:line="259"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4" w:lineRule="exact"/>
        <w:rPr>
          <w:sz w:val="20"/>
          <w:szCs w:val="20"/>
          <w:color w:val="auto"/>
        </w:rPr>
      </w:pPr>
    </w:p>
    <w:p>
      <w:pPr>
        <w:ind w:right="20" w:firstLine="437"/>
        <w:spacing w:after="0" w:line="417" w:lineRule="auto"/>
        <w:rPr>
          <w:sz w:val="20"/>
          <w:szCs w:val="20"/>
          <w:color w:val="auto"/>
        </w:rPr>
      </w:pPr>
      <w:r>
        <w:rPr>
          <w:rFonts w:ascii="Arial" w:cs="Arial" w:eastAsia="Arial" w:hAnsi="Arial"/>
          <w:sz w:val="14"/>
          <w:szCs w:val="14"/>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83" w:lineRule="exact"/>
        <w:rPr>
          <w:sz w:val="20"/>
          <w:szCs w:val="20"/>
          <w:color w:val="auto"/>
        </w:rPr>
      </w:pPr>
    </w:p>
    <w:p>
      <w:pPr>
        <w:ind w:right="420" w:firstLine="437"/>
        <w:spacing w:after="0" w:line="271"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75" w:lineRule="exact"/>
        <w:rPr>
          <w:sz w:val="20"/>
          <w:szCs w:val="20"/>
          <w:color w:val="auto"/>
        </w:rPr>
      </w:pPr>
    </w:p>
    <w:p>
      <w:pPr>
        <w:ind w:right="160" w:firstLine="437"/>
        <w:spacing w:after="0" w:line="259"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months ended December 31, 2018 and 2017, respectively, which partially offsets the foreign currency impact from the underlying exposure, is summarized as follows:</w:t>
      </w:r>
    </w:p>
    <w:p>
      <w:pPr>
        <w:spacing w:after="0" w:line="19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center"/>
              <w:ind w:left="219"/>
              <w:spacing w:after="0"/>
              <w:rPr>
                <w:sz w:val="20"/>
                <w:szCs w:val="20"/>
                <w:color w:val="auto"/>
              </w:rPr>
            </w:pPr>
            <w:r>
              <w:rPr>
                <w:rFonts w:ascii="Arial" w:cs="Arial" w:eastAsia="Arial" w:hAnsi="Arial"/>
                <w:sz w:val="14"/>
                <w:szCs w:val="14"/>
                <w:b w:val="1"/>
                <w:bCs w:val="1"/>
                <w:color w:val="auto"/>
                <w:w w:val="87"/>
              </w:rPr>
              <w:t>(Losses) Gains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7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6"/>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47"/>
        </w:trPr>
        <w:tc>
          <w:tcPr>
            <w:tcW w:w="37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6"/>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left="239"/>
              <w:spacing w:after="0"/>
              <w:rPr>
                <w:sz w:val="20"/>
                <w:szCs w:val="20"/>
                <w:color w:val="auto"/>
              </w:rPr>
            </w:pPr>
            <w:r>
              <w:rPr>
                <w:rFonts w:ascii="Arial" w:cs="Arial" w:eastAsia="Arial" w:hAnsi="Arial"/>
                <w:sz w:val="14"/>
                <w:szCs w:val="14"/>
                <w:b w:val="1"/>
                <w:bCs w:val="1"/>
                <w:color w:val="auto"/>
                <w:w w:val="90"/>
              </w:rPr>
              <w:t>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74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9"/>
              <w:spacing w:after="0" w:line="141"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1"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Line item in consolidated statements of income:</w:t>
            </w:r>
          </w:p>
        </w:tc>
        <w:tc>
          <w:tcPr>
            <w:tcW w:w="2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(2,027)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1,800</w:t>
            </w: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4"/>
        </w:trPr>
        <w:tc>
          <w:tcPr>
            <w:tcW w:w="37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income, net</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641</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4"/>
        </w:trPr>
        <w:tc>
          <w:tcPr>
            <w:tcW w:w="374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720" w:type="dxa"/>
            <w:vAlign w:val="bottom"/>
            <w:vMerge w:val="restart"/>
          </w:tcPr>
          <w:p>
            <w:pPr>
              <w:jc w:val="right"/>
              <w:ind w:right="2131"/>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7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900"/>
          </w:cols>
          <w:pgMar w:left="660" w:top="128" w:right="680" w:bottom="1440" w:gutter="0" w:footer="0" w:header="0"/>
        </w:sectPr>
      </w:pPr>
    </w:p>
    <w:bookmarkStart w:id="18" w:name="page19"/>
    <w:bookmarkEnd w:id="18"/>
    <w:p>
      <w:pPr>
        <w:jc w:val="center"/>
        <w:ind w:right="-20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205"/>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ind w:right="-205"/>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8. Accrued Expenses and Other Current Liabilities</w:t>
      </w:r>
    </w:p>
    <w:p>
      <w:pPr>
        <w:spacing w:after="0" w:line="118" w:lineRule="exact"/>
        <w:rPr>
          <w:sz w:val="20"/>
          <w:szCs w:val="20"/>
          <w:color w:val="auto"/>
        </w:rPr>
      </w:pPr>
    </w:p>
    <w:p>
      <w:pPr>
        <w:ind w:left="446"/>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0" w:lineRule="exact"/>
        <w:rPr>
          <w:sz w:val="20"/>
          <w:szCs w:val="20"/>
          <w:color w:val="auto"/>
        </w:rPr>
      </w:pPr>
    </w:p>
    <w:tbl>
      <w:tblPr>
        <w:tblLayout w:type="fixed"/>
        <w:tblInd w:w="1306" w:type="dxa"/>
        <w:tblCellMar>
          <w:top w:w="0" w:type="dxa"/>
          <w:left w:w="0" w:type="dxa"/>
          <w:bottom w:w="0" w:type="dxa"/>
          <w:right w:w="0" w:type="dxa"/>
        </w:tblCellMar>
      </w:tblPr>
      <w:tr>
        <w:trPr>
          <w:trHeight w:val="170"/>
        </w:trPr>
        <w:tc>
          <w:tcPr>
            <w:tcW w:w="6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8"/>
        </w:trPr>
        <w:tc>
          <w:tcPr>
            <w:tcW w:w="6020" w:type="dxa"/>
            <w:vAlign w:val="bottom"/>
          </w:tcPr>
          <w:p>
            <w:pPr>
              <w:spacing w:after="0"/>
              <w:rPr>
                <w:sz w:val="10"/>
                <w:szCs w:val="10"/>
                <w:color w:val="auto"/>
              </w:rPr>
            </w:pPr>
          </w:p>
        </w:tc>
        <w:tc>
          <w:tcPr>
            <w:tcW w:w="90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0"/>
                <w:szCs w:val="10"/>
                <w:color w:val="auto"/>
              </w:rPr>
            </w:pPr>
          </w:p>
        </w:tc>
        <w:tc>
          <w:tcPr>
            <w:tcW w:w="86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4"/>
              </w:rPr>
              <w:t>September 30,</w:t>
            </w:r>
          </w:p>
        </w:tc>
        <w:tc>
          <w:tcPr>
            <w:tcW w:w="60" w:type="dxa"/>
            <w:vAlign w:val="bottom"/>
          </w:tcPr>
          <w:p>
            <w:pPr>
              <w:spacing w:after="0"/>
              <w:rPr>
                <w:sz w:val="10"/>
                <w:szCs w:val="10"/>
                <w:color w:val="auto"/>
              </w:rPr>
            </w:pPr>
          </w:p>
        </w:tc>
      </w:tr>
      <w:tr>
        <w:trPr>
          <w:trHeight w:val="170"/>
        </w:trPr>
        <w:tc>
          <w:tcPr>
            <w:tcW w:w="6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08"/>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261,867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256,012</w:t>
            </w:r>
          </w:p>
        </w:tc>
        <w:tc>
          <w:tcPr>
            <w:tcW w:w="60" w:type="dxa"/>
            <w:vAlign w:val="bottom"/>
            <w:shd w:val="clear" w:color="auto" w:fill="CCEEFF"/>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133,554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155,739</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Taxes payable (1)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81,493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27,843</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34,755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35,046</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25,358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20,821</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172,018</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211,176</w:t>
            </w:r>
          </w:p>
        </w:tc>
      </w:tr>
      <w:tr>
        <w:trPr>
          <w:trHeight w:val="27"/>
        </w:trPr>
        <w:tc>
          <w:tcPr>
            <w:tcW w:w="6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709,045</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706,637</w:t>
            </w:r>
          </w:p>
        </w:tc>
      </w:tr>
      <w:tr>
        <w:trPr>
          <w:trHeight w:val="20"/>
        </w:trPr>
        <w:tc>
          <w:tcPr>
            <w:tcW w:w="6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0" w:lineRule="exact"/>
        <w:rPr>
          <w:sz w:val="20"/>
          <w:szCs w:val="20"/>
          <w:color w:val="auto"/>
        </w:rPr>
      </w:pPr>
    </w:p>
    <w:p>
      <w:pPr>
        <w:ind w:left="426" w:hanging="426"/>
        <w:spacing w:after="0"/>
        <w:tabs>
          <w:tab w:leader="none" w:pos="426"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further details, please see also Note 9 to the consolidated financial statements</w:t>
      </w:r>
    </w:p>
    <w:p>
      <w:pPr>
        <w:spacing w:after="0" w:line="32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9. Income Taxes</w:t>
      </w:r>
    </w:p>
    <w:p>
      <w:pPr>
        <w:spacing w:after="0" w:line="118" w:lineRule="exact"/>
        <w:rPr>
          <w:sz w:val="20"/>
          <w:szCs w:val="20"/>
          <w:color w:val="auto"/>
        </w:rPr>
      </w:pPr>
    </w:p>
    <w:p>
      <w:pPr>
        <w:ind w:left="446"/>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40"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Three months ended</w:t>
      </w:r>
    </w:p>
    <w:p>
      <w:pPr>
        <w:jc w:val="center"/>
        <w:ind w:left="628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1306" w:type="dxa"/>
        <w:tblCellMar>
          <w:top w:w="0" w:type="dxa"/>
          <w:left w:w="0" w:type="dxa"/>
          <w:bottom w:w="0" w:type="dxa"/>
          <w:right w:w="0" w:type="dxa"/>
        </w:tblCellMar>
      </w:tblPr>
      <w:tr>
        <w:trPr>
          <w:trHeight w:val="141"/>
        </w:trPr>
        <w:tc>
          <w:tcPr>
            <w:tcW w:w="64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1"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08"/>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$ 37,432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19,400</w:t>
            </w:r>
          </w:p>
        </w:tc>
        <w:tc>
          <w:tcPr>
            <w:tcW w:w="100" w:type="dxa"/>
            <w:vAlign w:val="bottom"/>
            <w:shd w:val="clear" w:color="auto" w:fill="CCEEFF"/>
          </w:tcPr>
          <w:p>
            <w:pPr>
              <w:spacing w:after="0"/>
              <w:rPr>
                <w:sz w:val="18"/>
                <w:szCs w:val="18"/>
                <w:color w:val="auto"/>
              </w:rPr>
            </w:pPr>
          </w:p>
        </w:tc>
      </w:tr>
      <w:tr>
        <w:trPr>
          <w:trHeight w:val="214"/>
        </w:trPr>
        <w:tc>
          <w:tcPr>
            <w:tcW w:w="6400" w:type="dxa"/>
            <w:vAlign w:val="bottom"/>
          </w:tcPr>
          <w:p>
            <w:pPr>
              <w:spacing w:after="0"/>
              <w:rPr>
                <w:sz w:val="20"/>
                <w:szCs w:val="20"/>
                <w:color w:val="auto"/>
              </w:rPr>
            </w:pPr>
            <w:r>
              <w:rPr>
                <w:rFonts w:ascii="Arial" w:cs="Arial" w:eastAsia="Arial" w:hAnsi="Arial"/>
                <w:sz w:val="18"/>
                <w:szCs w:val="18"/>
                <w:color w:val="auto"/>
              </w:rPr>
              <w:t>Deferred</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(14,009)</w:t>
            </w:r>
          </w:p>
        </w:tc>
      </w:tr>
      <w:tr>
        <w:trPr>
          <w:trHeight w:val="27"/>
        </w:trPr>
        <w:tc>
          <w:tcPr>
            <w:tcW w:w="6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$ 32,927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5,391</w:t>
            </w:r>
          </w:p>
        </w:tc>
      </w:tr>
      <w:tr>
        <w:trPr>
          <w:trHeight w:val="20"/>
        </w:trPr>
        <w:tc>
          <w:tcPr>
            <w:tcW w:w="6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446"/>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40"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Three months ended</w:t>
      </w:r>
    </w:p>
    <w:p>
      <w:pPr>
        <w:jc w:val="center"/>
        <w:ind w:left="618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1306" w:type="dxa"/>
        <w:tblCellMar>
          <w:top w:w="0" w:type="dxa"/>
          <w:left w:w="0" w:type="dxa"/>
          <w:bottom w:w="0" w:type="dxa"/>
          <w:right w:w="0" w:type="dxa"/>
        </w:tblCellMar>
      </w:tblPr>
      <w:tr>
        <w:trPr>
          <w:trHeight w:val="141"/>
        </w:trPr>
        <w:tc>
          <w:tcPr>
            <w:tcW w:w="64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1"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r>
      <w:tr>
        <w:trPr>
          <w:trHeight w:val="208"/>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4"/>
        </w:trPr>
        <w:tc>
          <w:tcPr>
            <w:tcW w:w="6400" w:type="dxa"/>
            <w:vAlign w:val="bottom"/>
          </w:tcPr>
          <w:p>
            <w:pPr>
              <w:spacing w:after="0"/>
              <w:rPr>
                <w:sz w:val="20"/>
                <w:szCs w:val="20"/>
                <w:color w:val="auto"/>
              </w:rPr>
            </w:pPr>
            <w:r>
              <w:rPr>
                <w:rFonts w:ascii="Arial" w:cs="Arial" w:eastAsia="Arial" w:hAnsi="Arial"/>
                <w:sz w:val="18"/>
                <w:szCs w:val="18"/>
                <w:color w:val="auto"/>
              </w:rPr>
              <w:t>Foreign taxes (1)</w:t>
            </w:r>
          </w:p>
        </w:tc>
        <w:tc>
          <w:tcPr>
            <w:tcW w:w="500" w:type="dxa"/>
            <w:vAlign w:val="bottom"/>
          </w:tcPr>
          <w:p>
            <w:pPr>
              <w:jc w:val="right"/>
              <w:spacing w:after="0"/>
              <w:rPr>
                <w:sz w:val="20"/>
                <w:szCs w:val="20"/>
                <w:color w:val="auto"/>
              </w:rPr>
            </w:pPr>
            <w:r>
              <w:rPr>
                <w:rFonts w:ascii="Arial" w:cs="Arial" w:eastAsia="Arial" w:hAnsi="Arial"/>
                <w:sz w:val="18"/>
                <w:szCs w:val="18"/>
                <w:color w:val="auto"/>
              </w:rPr>
              <w:t>24.5</w:t>
            </w:r>
          </w:p>
        </w:tc>
        <w:tc>
          <w:tcPr>
            <w:tcW w:w="7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r>
      <w:tr>
        <w:trPr>
          <w:trHeight w:val="27"/>
        </w:trPr>
        <w:tc>
          <w:tcPr>
            <w:tcW w:w="6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4"/>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20"/>
        </w:trPr>
        <w:tc>
          <w:tcPr>
            <w:tcW w:w="6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3" w:lineRule="exact"/>
        <w:rPr>
          <w:sz w:val="20"/>
          <w:szCs w:val="20"/>
          <w:color w:val="auto"/>
        </w:rPr>
      </w:pPr>
    </w:p>
    <w:p>
      <w:pPr>
        <w:ind w:left="446"/>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6965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6"/>
        <w:spacing w:after="0"/>
        <w:rPr>
          <w:sz w:val="20"/>
          <w:szCs w:val="20"/>
          <w:color w:val="auto"/>
        </w:rPr>
      </w:pPr>
      <w:r>
        <w:rPr>
          <w:rFonts w:ascii="Arial" w:cs="Arial" w:eastAsia="Arial" w:hAnsi="Arial"/>
          <w:sz w:val="18"/>
          <w:szCs w:val="18"/>
          <w:i w:val="1"/>
          <w:iCs w:val="1"/>
          <w:color w:val="auto"/>
        </w:rPr>
        <w:t>Foreign taxes (1):</w:t>
      </w:r>
    </w:p>
    <w:p>
      <w:pPr>
        <w:spacing w:after="0" w:line="114" w:lineRule="exact"/>
        <w:rPr>
          <w:sz w:val="20"/>
          <w:szCs w:val="20"/>
          <w:color w:val="auto"/>
        </w:rPr>
      </w:pPr>
    </w:p>
    <w:p>
      <w:pPr>
        <w:ind w:left="6" w:right="40" w:firstLine="437"/>
        <w:spacing w:after="0" w:line="271" w:lineRule="auto"/>
        <w:rPr>
          <w:sz w:val="20"/>
          <w:szCs w:val="20"/>
          <w:color w:val="auto"/>
        </w:rPr>
      </w:pPr>
      <w:r>
        <w:rPr>
          <w:rFonts w:ascii="Arial" w:cs="Arial" w:eastAsia="Arial" w:hAnsi="Arial"/>
          <w:sz w:val="18"/>
          <w:szCs w:val="18"/>
          <w:color w:val="auto"/>
        </w:rPr>
        <w:t>Foreign taxes in the three months ended December 31, 2018 included a tax expense of $4,575 resulting from an internal restructuring in certain jurisdictions in which the Company operates.</w:t>
      </w:r>
    </w:p>
    <w:p>
      <w:pPr>
        <w:spacing w:after="0" w:line="175" w:lineRule="exact"/>
        <w:rPr>
          <w:sz w:val="20"/>
          <w:szCs w:val="20"/>
          <w:color w:val="auto"/>
        </w:rPr>
      </w:pPr>
    </w:p>
    <w:p>
      <w:pPr>
        <w:ind w:left="6" w:right="60" w:firstLine="437"/>
        <w:spacing w:after="0" w:line="307" w:lineRule="auto"/>
        <w:rPr>
          <w:sz w:val="20"/>
          <w:szCs w:val="20"/>
          <w:color w:val="auto"/>
        </w:rPr>
      </w:pPr>
      <w:r>
        <w:rPr>
          <w:rFonts w:ascii="Arial" w:cs="Arial" w:eastAsia="Arial" w:hAnsi="Arial"/>
          <w:sz w:val="16"/>
          <w:szCs w:val="16"/>
          <w:color w:val="auto"/>
        </w:rPr>
        <w:t>Foreign taxes in the three months ended December 31, 2018 also included $40,291 relating to release of a provision for gross unrecognized tax benefits due to conclusions of tax audits and expiration of the periods set forth in statutes of limitations in certain jurisdictions, the vast majority of which was offset by an increase in Tax Payables and a benefit of $2,920, which was recorded in income tax expense.</w:t>
      </w:r>
    </w:p>
    <w:p>
      <w:pPr>
        <w:spacing w:after="0" w:line="150" w:lineRule="exact"/>
        <w:rPr>
          <w:sz w:val="20"/>
          <w:szCs w:val="20"/>
          <w:color w:val="auto"/>
        </w:rPr>
      </w:pPr>
    </w:p>
    <w:p>
      <w:pPr>
        <w:ind w:left="6" w:firstLine="437"/>
        <w:spacing w:after="0" w:line="335" w:lineRule="auto"/>
        <w:rPr>
          <w:sz w:val="20"/>
          <w:szCs w:val="20"/>
          <w:color w:val="auto"/>
        </w:rPr>
      </w:pPr>
      <w:r>
        <w:rPr>
          <w:rFonts w:ascii="Arial" w:cs="Arial" w:eastAsia="Arial" w:hAnsi="Arial"/>
          <w:sz w:val="16"/>
          <w:szCs w:val="16"/>
          <w:color w:val="auto"/>
        </w:rPr>
        <w:t>During the three months ended December 31, 2017, as a result of funding decisions for the construction of the Company’s new campus in Israel the Company recorded a tax benefit of $23,099 related to the release of withholding and income tax reserves for pre-2018 unremitted earnings.</w:t>
      </w:r>
    </w:p>
    <w:p>
      <w:pPr>
        <w:spacing w:after="0" w:line="129" w:lineRule="exact"/>
        <w:rPr>
          <w:sz w:val="20"/>
          <w:szCs w:val="20"/>
          <w:color w:val="auto"/>
        </w:rPr>
      </w:pPr>
    </w:p>
    <w:p>
      <w:pPr>
        <w:ind w:left="6" w:right="400" w:firstLine="437"/>
        <w:spacing w:after="0" w:line="335" w:lineRule="auto"/>
        <w:rPr>
          <w:sz w:val="20"/>
          <w:szCs w:val="20"/>
          <w:color w:val="auto"/>
        </w:rPr>
      </w:pPr>
      <w:r>
        <w:rPr>
          <w:rFonts w:ascii="Arial" w:cs="Arial" w:eastAsia="Arial" w:hAnsi="Arial"/>
          <w:sz w:val="16"/>
          <w:szCs w:val="16"/>
          <w:color w:val="auto"/>
        </w:rPr>
        <w:t>Foreign taxes in the three months ended December 31, 2017 also included a benefit of $6,130 relating to release of gross unrecognized tax benefits due to conclusions of tax audits and expiration of the periods set forth in statutes of limitations in certain jurisdictions.</w:t>
      </w:r>
    </w:p>
    <w:p>
      <w:pPr>
        <w:spacing w:after="0" w:line="62" w:lineRule="exact"/>
        <w:rPr>
          <w:sz w:val="20"/>
          <w:szCs w:val="20"/>
          <w:color w:val="auto"/>
        </w:rPr>
      </w:pPr>
    </w:p>
    <w:p>
      <w:pPr>
        <w:jc w:val="center"/>
        <w:ind w:right="-205"/>
        <w:spacing w:after="0"/>
        <w:rPr>
          <w:sz w:val="20"/>
          <w:szCs w:val="20"/>
          <w:color w:val="auto"/>
        </w:rPr>
      </w:pPr>
      <w:r>
        <w:rPr>
          <w:rFonts w:ascii="Arial" w:cs="Arial" w:eastAsia="Arial" w:hAnsi="Arial"/>
          <w:sz w:val="18"/>
          <w:szCs w:val="18"/>
          <w:color w:val="auto"/>
        </w:rPr>
        <w:t>19</w:t>
      </w:r>
    </w:p>
    <w:p>
      <w:pPr>
        <w:sectPr>
          <w:pgSz w:w="12240" w:h="15840" w:orient="portrait"/>
          <w:cols w:equalWidth="0" w:num="1">
            <w:col w:w="10706"/>
          </w:cols>
          <w:pgMar w:left="654" w:top="128" w:right="880"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5" w:lineRule="exact"/>
        <w:rPr>
          <w:sz w:val="20"/>
          <w:szCs w:val="20"/>
          <w:color w:val="auto"/>
        </w:rPr>
      </w:pPr>
    </w:p>
    <w:p>
      <w:pPr>
        <w:jc w:val="both"/>
        <w:ind w:right="140" w:firstLine="437"/>
        <w:spacing w:after="0" w:line="307" w:lineRule="auto"/>
        <w:rPr>
          <w:sz w:val="20"/>
          <w:szCs w:val="20"/>
          <w:color w:val="auto"/>
        </w:rPr>
      </w:pPr>
      <w:r>
        <w:rPr>
          <w:rFonts w:ascii="Arial" w:cs="Arial" w:eastAsia="Arial" w:hAnsi="Arial"/>
          <w:sz w:val="16"/>
          <w:szCs w:val="16"/>
          <w:color w:val="auto"/>
        </w:rPr>
        <w:t>In addition, foreign taxes in the three months ended December 31, 2017 included a net benefit of $2,950 relating of changes in tax law in United States. The benefit is attributable to re-evaluation of the Company’s deferred tax assets and liabilities due to the expected lower blended effective U.S. federal tax rate when the assets and liabilities are expected to be utilized, partially offset by the deemed repatriation of foreign income.</w:t>
      </w:r>
    </w:p>
    <w:p>
      <w:pPr>
        <w:spacing w:after="0" w:line="150" w:lineRule="exact"/>
        <w:rPr>
          <w:sz w:val="20"/>
          <w:szCs w:val="20"/>
          <w:color w:val="auto"/>
        </w:rPr>
      </w:pPr>
    </w:p>
    <w:p>
      <w:pPr>
        <w:ind w:right="80" w:firstLine="437"/>
        <w:spacing w:after="0" w:line="282" w:lineRule="auto"/>
        <w:rPr>
          <w:sz w:val="20"/>
          <w:szCs w:val="20"/>
          <w:color w:val="auto"/>
        </w:rPr>
      </w:pPr>
      <w:r>
        <w:rPr>
          <w:rFonts w:ascii="Arial" w:cs="Arial" w:eastAsia="Arial" w:hAnsi="Arial"/>
          <w:sz w:val="17"/>
          <w:szCs w:val="17"/>
          <w:color w:val="auto"/>
        </w:rPr>
        <w:t>In addition, foreign taxes in the three months ended December 31, 2017, included an indirect consequence to the changes in tax law in the United States as the Company no longer makes a permanently reinvest assertion relating to one of its subsidiaries, therefore, a tax liability of $4,059 was recorded related to the tax implications of remitting earnings that were previously asserted as permanently reinvested.</w:t>
      </w:r>
    </w:p>
    <w:p>
      <w:pPr>
        <w:spacing w:after="0" w:line="167" w:lineRule="exact"/>
        <w:rPr>
          <w:sz w:val="20"/>
          <w:szCs w:val="20"/>
          <w:color w:val="auto"/>
        </w:rPr>
      </w:pPr>
    </w:p>
    <w:p>
      <w:pPr>
        <w:ind w:firstLine="437"/>
        <w:spacing w:after="0" w:line="259" w:lineRule="auto"/>
        <w:rPr>
          <w:sz w:val="20"/>
          <w:szCs w:val="20"/>
          <w:color w:val="auto"/>
        </w:rPr>
      </w:pPr>
      <w:r>
        <w:rPr>
          <w:rFonts w:ascii="Arial" w:cs="Arial" w:eastAsia="Arial" w:hAnsi="Arial"/>
          <w:sz w:val="18"/>
          <w:szCs w:val="18"/>
          <w:color w:val="auto"/>
        </w:rPr>
        <w:t>Foreign taxes in the three months ended December 31, 2017 also included a tax expense of $8,931 resulting from the increase of valuation allowances on deferred tax assets at one of the Company’s subsidiaries, which may not be realized based on the Company’s projections of future taxable income.</w:t>
      </w:r>
    </w:p>
    <w:p>
      <w:pPr>
        <w:spacing w:after="0" w:line="186" w:lineRule="exact"/>
        <w:rPr>
          <w:sz w:val="20"/>
          <w:szCs w:val="20"/>
          <w:color w:val="auto"/>
        </w:rPr>
      </w:pPr>
    </w:p>
    <w:p>
      <w:pPr>
        <w:ind w:firstLine="437"/>
        <w:spacing w:after="0" w:line="335" w:lineRule="auto"/>
        <w:rPr>
          <w:sz w:val="20"/>
          <w:szCs w:val="20"/>
          <w:color w:val="auto"/>
        </w:rPr>
      </w:pPr>
      <w:r>
        <w:rPr>
          <w:rFonts w:ascii="Arial" w:cs="Arial" w:eastAsia="Arial" w:hAnsi="Arial"/>
          <w:sz w:val="16"/>
          <w:szCs w:val="16"/>
          <w:color w:val="auto"/>
        </w:rPr>
        <w:t>As of December 31, 2018, deferred tax assets of $109,898, derived primarily from tax credits, net capital and operating loss carry forwards related to some of the Company’s subsidiaries, were offset by valuation allowances due to the uncertainty of realizing tax benefit for such credits and losses.</w:t>
      </w:r>
    </w:p>
    <w:p>
      <w:pPr>
        <w:spacing w:after="0" w:line="129" w:lineRule="exact"/>
        <w:rPr>
          <w:sz w:val="20"/>
          <w:szCs w:val="20"/>
          <w:color w:val="auto"/>
        </w:rPr>
      </w:pPr>
    </w:p>
    <w:p>
      <w:pPr>
        <w:ind w:right="180" w:firstLine="437"/>
        <w:spacing w:after="0" w:line="271" w:lineRule="auto"/>
        <w:rPr>
          <w:sz w:val="20"/>
          <w:szCs w:val="20"/>
          <w:color w:val="auto"/>
        </w:rPr>
      </w:pPr>
      <w:r>
        <w:rPr>
          <w:rFonts w:ascii="Arial" w:cs="Arial" w:eastAsia="Arial" w:hAnsi="Arial"/>
          <w:sz w:val="18"/>
          <w:szCs w:val="18"/>
          <w:color w:val="auto"/>
        </w:rPr>
        <w:t>The total amount of gross unrecognized tax benefits, which includes interest and penalties, was $158,031 as of December 31, 2018, all of which would affect the effective tax rate if realized.</w:t>
      </w:r>
    </w:p>
    <w:p>
      <w:pPr>
        <w:spacing w:after="0" w:line="175" w:lineRule="exact"/>
        <w:rPr>
          <w:sz w:val="20"/>
          <w:szCs w:val="20"/>
          <w:color w:val="auto"/>
        </w:rPr>
      </w:pPr>
    </w:p>
    <w:p>
      <w:pPr>
        <w:ind w:right="440" w:firstLine="437"/>
        <w:spacing w:after="0" w:line="271" w:lineRule="auto"/>
        <w:rPr>
          <w:sz w:val="20"/>
          <w:szCs w:val="20"/>
          <w:color w:val="auto"/>
        </w:rPr>
      </w:pPr>
      <w:r>
        <w:rPr>
          <w:rFonts w:ascii="Arial" w:cs="Arial" w:eastAsia="Arial" w:hAnsi="Arial"/>
          <w:sz w:val="18"/>
          <w:szCs w:val="18"/>
          <w:color w:val="auto"/>
        </w:rPr>
        <w:t>As of December 31, 2018, the Company had accrued $27,612 in income taxes payable for interest and penalties relating to unrecognized tax benefits.</w:t>
      </w:r>
    </w:p>
    <w:p>
      <w:pPr>
        <w:spacing w:after="0" w:line="175" w:lineRule="exact"/>
        <w:rPr>
          <w:sz w:val="20"/>
          <w:szCs w:val="20"/>
          <w:color w:val="auto"/>
        </w:rPr>
      </w:pPr>
    </w:p>
    <w:p>
      <w:pPr>
        <w:ind w:right="220" w:firstLine="437"/>
        <w:spacing w:after="0" w:line="259" w:lineRule="auto"/>
        <w:rPr>
          <w:sz w:val="20"/>
          <w:szCs w:val="20"/>
          <w:color w:val="auto"/>
        </w:rPr>
      </w:pPr>
      <w:r>
        <w:rPr>
          <w:rFonts w:ascii="Arial" w:cs="Arial" w:eastAsia="Arial" w:hAnsi="Arial"/>
          <w:sz w:val="18"/>
          <w:szCs w:val="18"/>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0"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Three months ended</w:t>
      </w:r>
    </w:p>
    <w:p>
      <w:pPr>
        <w:jc w:val="center"/>
        <w:ind w:left="630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1300" w:type="dxa"/>
        <w:tblCellMar>
          <w:top w:w="0" w:type="dxa"/>
          <w:left w:w="0" w:type="dxa"/>
          <w:bottom w:w="0" w:type="dxa"/>
          <w:right w:w="0" w:type="dxa"/>
        </w:tblCellMar>
      </w:tblPr>
      <w:tr>
        <w:trPr>
          <w:trHeight w:val="141"/>
        </w:trPr>
        <w:tc>
          <w:tcPr>
            <w:tcW w:w="60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1"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101,692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116,873</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Less-net income and dividends attributable to participating restricted shares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1"/>
        </w:trPr>
        <w:tc>
          <w:tcPr>
            <w:tcW w:w="608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100,995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4"/>
        </w:trPr>
        <w:tc>
          <w:tcPr>
            <w:tcW w:w="6080" w:type="dxa"/>
            <w:vAlign w:val="bottom"/>
          </w:tcPr>
          <w:p>
            <w:pPr>
              <w:ind w:left="36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100,998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115,979</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139,639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143,915</w:t>
            </w:r>
          </w:p>
        </w:tc>
        <w:tc>
          <w:tcPr>
            <w:tcW w:w="0" w:type="dxa"/>
            <w:vAlign w:val="bottom"/>
          </w:tcPr>
          <w:p>
            <w:pPr>
              <w:spacing w:after="0"/>
              <w:rPr>
                <w:sz w:val="1"/>
                <w:szCs w:val="1"/>
                <w:color w:val="auto"/>
              </w:rPr>
            </w:pPr>
          </w:p>
        </w:tc>
      </w:tr>
      <w:tr>
        <w:trPr>
          <w:trHeight w:val="221"/>
        </w:trPr>
        <w:tc>
          <w:tcPr>
            <w:tcW w:w="6080" w:type="dxa"/>
            <w:vAlign w:val="bottom"/>
          </w:tcPr>
          <w:p>
            <w:pPr>
              <w:ind w:left="360"/>
              <w:spacing w:after="0"/>
              <w:rPr>
                <w:sz w:val="20"/>
                <w:szCs w:val="20"/>
                <w:color w:val="auto"/>
              </w:rPr>
            </w:pPr>
            <w:r>
              <w:rPr>
                <w:rFonts w:ascii="Arial" w:cs="Arial" w:eastAsia="Arial" w:hAnsi="Arial"/>
                <w:sz w:val="18"/>
                <w:szCs w:val="18"/>
                <w:color w:val="auto"/>
              </w:rPr>
              <w:t>Less- weighted average number of participating restricted shares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(957)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138,682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142,807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0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139,554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144,238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common share</w:t>
            </w:r>
          </w:p>
        </w:tc>
        <w:tc>
          <w:tcPr>
            <w:tcW w:w="4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40" w:firstLine="437"/>
        <w:spacing w:after="0" w:line="301" w:lineRule="auto"/>
        <w:rPr>
          <w:sz w:val="20"/>
          <w:szCs w:val="20"/>
          <w:color w:val="auto"/>
        </w:rPr>
      </w:pPr>
      <w:r>
        <w:rPr>
          <w:rFonts w:ascii="Arial" w:cs="Arial" w:eastAsia="Arial" w:hAnsi="Arial"/>
          <w:sz w:val="17"/>
          <w:szCs w:val="17"/>
          <w:color w:val="auto"/>
        </w:rPr>
        <w:t>For the three months ended December 31, 2018 and 2017, 2,155 and 478 shares, respectively, on a weighted average basis, were attributable to antidilutive outstanding stock options and therefore were not included in the calculation of diluted earnings per share.</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2240" w:h="15840" w:orient="portrait"/>
          <w:cols w:equalWidth="0" w:num="1">
            <w:col w:w="10880"/>
          </w:cols>
          <w:pgMar w:left="660" w:top="128" w:right="70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Shares</w:t>
      </w:r>
    </w:p>
    <w:p>
      <w:pPr>
        <w:spacing w:after="0" w:line="118" w:lineRule="exact"/>
        <w:rPr>
          <w:sz w:val="20"/>
          <w:szCs w:val="20"/>
          <w:color w:val="auto"/>
        </w:rPr>
      </w:pPr>
    </w:p>
    <w:p>
      <w:pPr>
        <w:ind w:right="60" w:firstLine="437"/>
        <w:spacing w:after="0" w:line="252" w:lineRule="auto"/>
        <w:rPr>
          <w:sz w:val="20"/>
          <w:szCs w:val="20"/>
          <w:color w:val="auto"/>
        </w:rPr>
      </w:pPr>
      <w:r>
        <w:rPr>
          <w:rFonts w:ascii="Arial" w:cs="Arial" w:eastAsia="Arial" w:hAnsi="Arial"/>
          <w:sz w:val="18"/>
          <w:szCs w:val="18"/>
          <w:color w:val="auto"/>
        </w:rPr>
        <w:t>From time to time, the Company’s Board of Directors can adopt share repurchase plans authorizing the repurchase of the Company’s outstanding ordinary shares. On November 8, 2017, the Company’s Board of Directors adopted a share repurchase plan for the repurchase of up to an additional $800,000 of the Company’s outstanding ordinary shares with no expiration date. In the three months ended December 31, 2018, the Company repurchased 1,580 ordinary shares at an average price of $62.77 per share (excluding broker and transaction fees). The November 2017 plan permits the Company to purchase its ordinary shares in open market or privately negotiated transactions at times and prices that it considers appropriate. As of December 31, 2018, the Company had remaining authority to repurchase up to $537,970 of its outstanding ordinary shares under the November 2017 plan.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18" w:lineRule="exact"/>
        <w:rPr>
          <w:sz w:val="20"/>
          <w:szCs w:val="20"/>
          <w:color w:val="auto"/>
        </w:rPr>
      </w:pPr>
    </w:p>
    <w:p>
      <w:pPr>
        <w:ind w:firstLine="437"/>
        <w:spacing w:after="0" w:line="255" w:lineRule="auto"/>
        <w:rPr>
          <w:sz w:val="20"/>
          <w:szCs w:val="20"/>
          <w:color w:val="auto"/>
        </w:rPr>
      </w:pPr>
      <w:r>
        <w:rPr>
          <w:rFonts w:ascii="Arial" w:cs="Arial" w:eastAsia="Arial" w:hAnsi="Arial"/>
          <w:sz w:val="18"/>
          <w:szCs w:val="18"/>
          <w:color w:val="auto"/>
        </w:rPr>
        <w:t>In December 2011, the Company entered into a $500,000 five-year revolving credit facility with a syndicate of banks. In December 2014 and in December 2017, the credit facility was amended and restated to, among other things, extend the maturity date of the facility to December 2019 and December 2022, respectively. As of December 31, 2018, the Company was in compliance with the financial covenants under the revolving credit facility and had no outstanding borrowings under the facility.</w:t>
      </w:r>
    </w:p>
    <w:p>
      <w:pPr>
        <w:spacing w:after="0" w:line="191" w:lineRule="exact"/>
        <w:rPr>
          <w:sz w:val="20"/>
          <w:szCs w:val="20"/>
          <w:color w:val="auto"/>
        </w:rPr>
      </w:pPr>
    </w:p>
    <w:p>
      <w:pPr>
        <w:ind w:firstLine="437"/>
        <w:spacing w:after="0" w:line="259" w:lineRule="auto"/>
        <w:rPr>
          <w:sz w:val="20"/>
          <w:szCs w:val="20"/>
          <w:color w:val="auto"/>
        </w:rPr>
      </w:pPr>
      <w:r>
        <w:rPr>
          <w:rFonts w:ascii="Arial" w:cs="Arial" w:eastAsia="Arial" w:hAnsi="Arial"/>
          <w:sz w:val="18"/>
          <w:szCs w:val="18"/>
          <w:color w:val="auto"/>
        </w:rPr>
        <w:t>As of December 31, 2018, the Company had additional uncommitted lines of credit available for general corporate and other specific purposes and had outstanding letters of credit and bank guarantees from various banks totaling $78,467. These were supported by a combination of the uncommitted lines of credit that the Company maintains with various banks.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18" w:lineRule="exact"/>
        <w:rPr>
          <w:sz w:val="20"/>
          <w:szCs w:val="20"/>
          <w:color w:val="auto"/>
        </w:rPr>
      </w:pPr>
    </w:p>
    <w:p>
      <w:pPr>
        <w:ind w:firstLine="437"/>
        <w:spacing w:after="0" w:line="269"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to be granted under the Equity Incentive Plan was increased from 62,300 to 67,550. The issuance of such additional shares was registered with the SEC in February 2018. Awards granted under the Equity Incentive Plan generally vest over a period of three to four years and stock options have a term of ten years. Also, in accordance with the Equity Incentive Plan, options are issued at or above the market price at the time of grant.</w:t>
      </w:r>
    </w:p>
    <w:p>
      <w:pPr>
        <w:spacing w:after="0" w:line="179" w:lineRule="exact"/>
        <w:rPr>
          <w:sz w:val="20"/>
          <w:szCs w:val="20"/>
          <w:color w:val="auto"/>
        </w:rPr>
      </w:pPr>
    </w:p>
    <w:p>
      <w:pPr>
        <w:ind w:right="120" w:firstLine="437"/>
        <w:spacing w:after="0" w:line="301" w:lineRule="auto"/>
        <w:rPr>
          <w:sz w:val="20"/>
          <w:szCs w:val="20"/>
          <w:color w:val="auto"/>
        </w:rPr>
      </w:pPr>
      <w:r>
        <w:rPr>
          <w:rFonts w:ascii="Arial" w:cs="Arial" w:eastAsia="Arial" w:hAnsi="Arial"/>
          <w:sz w:val="17"/>
          <w:szCs w:val="17"/>
          <w:color w:val="auto"/>
        </w:rPr>
        <w:t>During the three months ended December 31, 2018, the Company granted 276 restricted shares and options to purchase 724 ordinary shares. The weighted average fair values associated with these grants were $66.31 per restricted share and $10.51 per option.</w:t>
      </w:r>
    </w:p>
    <w:p>
      <w:pPr>
        <w:spacing w:after="0" w:line="152" w:lineRule="exact"/>
        <w:rPr>
          <w:sz w:val="20"/>
          <w:szCs w:val="20"/>
          <w:color w:val="auto"/>
        </w:rPr>
      </w:pPr>
    </w:p>
    <w:p>
      <w:pPr>
        <w:ind w:right="160" w:firstLine="437"/>
        <w:spacing w:after="0" w:line="271"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Employee equity-based compensation pre-tax expense for the three months ended December 31, 2018 and 2017 was as follows:</w:t>
      </w:r>
    </w:p>
    <w:p>
      <w:pPr>
        <w:spacing w:after="0" w:line="240" w:lineRule="exact"/>
        <w:rPr>
          <w:sz w:val="20"/>
          <w:szCs w:val="20"/>
          <w:color w:val="auto"/>
        </w:rPr>
      </w:pPr>
    </w:p>
    <w:tbl>
      <w:tblPr>
        <w:tblLayout w:type="fixed"/>
        <w:tblInd w:w="130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r>
      <w:tr>
        <w:trPr>
          <w:trHeight w:val="118"/>
        </w:trPr>
        <w:tc>
          <w:tcPr>
            <w:tcW w:w="5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8" w:lineRule="exact"/>
              <w:rPr>
                <w:sz w:val="20"/>
                <w:szCs w:val="20"/>
                <w:color w:val="auto"/>
              </w:rPr>
            </w:pPr>
            <w:r>
              <w:rPr>
                <w:rFonts w:ascii="Arial" w:cs="Arial" w:eastAsia="Arial" w:hAnsi="Arial"/>
                <w:sz w:val="13"/>
                <w:szCs w:val="13"/>
                <w:b w:val="1"/>
                <w:bCs w:val="1"/>
                <w:color w:val="auto"/>
              </w:rPr>
              <w:t>December 31,</w:t>
            </w: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10"/>
                <w:szCs w:val="10"/>
                <w:color w:val="auto"/>
              </w:rPr>
            </w:pPr>
          </w:p>
        </w:tc>
      </w:tr>
      <w:tr>
        <w:trPr>
          <w:trHeight w:val="170"/>
        </w:trPr>
        <w:tc>
          <w:tcPr>
            <w:tcW w:w="5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08"/>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60" w:type="dxa"/>
            <w:vAlign w:val="bottom"/>
            <w:shd w:val="clear" w:color="auto" w:fill="CCEEFF"/>
          </w:tcPr>
          <w:p>
            <w:pPr>
              <w:spacing w:after="0"/>
              <w:rPr>
                <w:sz w:val="18"/>
                <w:szCs w:val="18"/>
                <w:color w:val="auto"/>
              </w:rPr>
            </w:pPr>
          </w:p>
        </w:tc>
      </w:tr>
      <w:tr>
        <w:trPr>
          <w:trHeight w:val="214"/>
        </w:trPr>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765</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824</w:t>
            </w:r>
          </w:p>
        </w:tc>
      </w:tr>
      <w:tr>
        <w:trPr>
          <w:trHeight w:val="214"/>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7,983</w:t>
            </w:r>
          </w:p>
        </w:tc>
      </w:tr>
      <w:tr>
        <w:trPr>
          <w:trHeight w:val="221"/>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12,117</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13,505</w:t>
            </w:r>
          </w:p>
        </w:tc>
        <w:tc>
          <w:tcPr>
            <w:tcW w:w="6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firstLine="437"/>
        <w:spacing w:after="0" w:line="282" w:lineRule="auto"/>
        <w:rPr>
          <w:sz w:val="20"/>
          <w:szCs w:val="20"/>
          <w:color w:val="auto"/>
        </w:rPr>
      </w:pPr>
      <w:r>
        <w:rPr>
          <w:rFonts w:ascii="Arial" w:cs="Arial" w:eastAsia="Arial" w:hAnsi="Arial"/>
          <w:sz w:val="17"/>
          <w:szCs w:val="17"/>
          <w:color w:val="auto"/>
        </w:rPr>
        <w:t>The Company recognizes compensation costs for its equity incentive grants using the graded vesting attribution method. As of December 31, 2018, there was $44,245 of unrecognized compensation expense related to unvested stock options and unvested restricted shares which is expected to be recognized over a weighted average period of approximately one year, based on the vesting periods of the grants.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2240" w:h="15840" w:orient="portrait"/>
          <w:cols w:equalWidth="0" w:num="1">
            <w:col w:w="10900"/>
          </w:cols>
          <w:pgMar w:left="660" w:top="128" w:right="68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Dividends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Board of Directors declared the following dividends during the three months ended December 31, 2018 and 2017:</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Declaration Date</w:t>
            </w:r>
          </w:p>
        </w:tc>
        <w:tc>
          <w:tcPr>
            <w:tcW w:w="2980" w:type="dxa"/>
            <w:vAlign w:val="bottom"/>
            <w:vMerge w:val="restart"/>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Dividends Per</w:t>
            </w:r>
          </w:p>
        </w:tc>
        <w:tc>
          <w:tcPr>
            <w:tcW w:w="19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Record Date</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6"/>
        </w:trPr>
        <w:tc>
          <w:tcPr>
            <w:tcW w:w="104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14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Ordinary Share</w:t>
            </w:r>
          </w:p>
        </w:tc>
        <w:tc>
          <w:tcPr>
            <w:tcW w:w="192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2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November 8, 2018</w:t>
            </w:r>
          </w:p>
        </w:tc>
        <w:tc>
          <w:tcPr>
            <w:tcW w:w="3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240"/>
              <w:spacing w:after="0" w:line="201" w:lineRule="exact"/>
              <w:rPr>
                <w:sz w:val="20"/>
                <w:szCs w:val="20"/>
                <w:color w:val="auto"/>
              </w:rPr>
            </w:pPr>
            <w:r>
              <w:rPr>
                <w:rFonts w:ascii="Arial" w:cs="Arial" w:eastAsia="Arial" w:hAnsi="Arial"/>
                <w:sz w:val="18"/>
                <w:szCs w:val="18"/>
                <w:color w:val="auto"/>
                <w:w w:val="84"/>
              </w:rPr>
              <w:t>0.250</w:t>
            </w:r>
          </w:p>
        </w:tc>
        <w:tc>
          <w:tcPr>
            <w:tcW w:w="4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87"/>
              </w:rPr>
              <w:t>December 31, 2018</w:t>
            </w: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34,755</w:t>
            </w:r>
          </w:p>
        </w:tc>
        <w:tc>
          <w:tcPr>
            <w:tcW w:w="4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86"/>
              </w:rPr>
              <w:t>January 18, 2019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20" w:type="dxa"/>
            <w:vAlign w:val="bottom"/>
            <w:gridSpan w:val="2"/>
          </w:tcPr>
          <w:p>
            <w:pPr>
              <w:spacing w:after="0"/>
              <w:rPr>
                <w:sz w:val="20"/>
                <w:szCs w:val="20"/>
                <w:color w:val="auto"/>
              </w:rPr>
            </w:pPr>
            <w:r>
              <w:rPr>
                <w:rFonts w:ascii="Arial" w:cs="Arial" w:eastAsia="Arial" w:hAnsi="Arial"/>
                <w:sz w:val="18"/>
                <w:szCs w:val="18"/>
                <w:color w:val="auto"/>
              </w:rPr>
              <w:t>November 8, 2017</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0.220</w:t>
            </w:r>
          </w:p>
        </w:tc>
        <w:tc>
          <w:tcPr>
            <w:tcW w:w="1920" w:type="dxa"/>
            <w:vAlign w:val="bottom"/>
            <w:gridSpan w:val="2"/>
          </w:tcPr>
          <w:p>
            <w:pPr>
              <w:ind w:left="60"/>
              <w:spacing w:after="0"/>
              <w:rPr>
                <w:sz w:val="20"/>
                <w:szCs w:val="20"/>
                <w:color w:val="auto"/>
              </w:rPr>
            </w:pPr>
            <w:r>
              <w:rPr>
                <w:rFonts w:ascii="Arial" w:cs="Arial" w:eastAsia="Arial" w:hAnsi="Arial"/>
                <w:sz w:val="18"/>
                <w:szCs w:val="18"/>
                <w:color w:val="auto"/>
              </w:rPr>
              <w:t>December 29, 2017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31,556</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w w:val="90"/>
              </w:rPr>
              <w:t>January 19, 2018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560" w:firstLine="437"/>
        <w:spacing w:after="0" w:line="271" w:lineRule="auto"/>
        <w:rPr>
          <w:sz w:val="20"/>
          <w:szCs w:val="20"/>
          <w:color w:val="auto"/>
        </w:rPr>
      </w:pPr>
      <w:r>
        <w:rPr>
          <w:rFonts w:ascii="Arial" w:cs="Arial" w:eastAsia="Arial" w:hAnsi="Arial"/>
          <w:sz w:val="18"/>
          <w:szCs w:val="18"/>
          <w:color w:val="auto"/>
        </w:rPr>
        <w:t>The amounts payable as a result of the November 8, 2018 and November 8, 2017 declarations were included in accrued expenses and other current liabilities as of December 31, 2018 and 2017, respectively.</w:t>
      </w:r>
    </w:p>
    <w:p>
      <w:pPr>
        <w:spacing w:after="0" w:line="175" w:lineRule="exact"/>
        <w:rPr>
          <w:sz w:val="20"/>
          <w:szCs w:val="20"/>
          <w:color w:val="auto"/>
        </w:rPr>
      </w:pPr>
    </w:p>
    <w:p>
      <w:pPr>
        <w:ind w:firstLine="437"/>
        <w:spacing w:after="0" w:line="275" w:lineRule="auto"/>
        <w:rPr>
          <w:sz w:val="20"/>
          <w:szCs w:val="20"/>
          <w:color w:val="auto"/>
        </w:rPr>
      </w:pPr>
      <w:r>
        <w:rPr>
          <w:rFonts w:ascii="Arial" w:cs="Arial" w:eastAsia="Arial" w:hAnsi="Arial"/>
          <w:sz w:val="17"/>
          <w:szCs w:val="17"/>
          <w:color w:val="auto"/>
        </w:rPr>
        <w:t>On February 5, 2019, the Company’s Board of Directors approved the next quarterly dividend payment and set March 29, 2019 as the record date for determining the shareholders entitled to receive the dividend, which is payable on April 19, 2019. On January 31, 2019, at the annual general meeting of shareholders, the Company’s shareholders approved an increase in the rate of the quarterly cash dividend from $0.250 per share to $0.285 per share. As a result, the April 19, 2019 cash dividend will be paid at the increased rate of $0.285 per share.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114" w:lineRule="exact"/>
        <w:rPr>
          <w:sz w:val="20"/>
          <w:szCs w:val="20"/>
          <w:color w:val="auto"/>
        </w:rPr>
      </w:pPr>
    </w:p>
    <w:p>
      <w:pPr>
        <w:ind w:right="40" w:firstLine="437"/>
        <w:spacing w:after="0" w:line="275"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5" w:lineRule="exact"/>
        <w:rPr>
          <w:sz w:val="20"/>
          <w:szCs w:val="20"/>
          <w:color w:val="auto"/>
        </w:rPr>
      </w:pPr>
    </w:p>
    <w:p>
      <w:pPr>
        <w:ind w:right="20" w:firstLine="437"/>
        <w:spacing w:after="0" w:line="285" w:lineRule="auto"/>
        <w:rPr>
          <w:sz w:val="20"/>
          <w:szCs w:val="20"/>
          <w:color w:val="auto"/>
        </w:rPr>
      </w:pPr>
      <w:r>
        <w:rPr>
          <w:rFonts w:ascii="Arial" w:cs="Arial" w:eastAsia="Arial" w:hAnsi="Arial"/>
          <w:sz w:val="16"/>
          <w:szCs w:val="16"/>
          <w:color w:val="auto"/>
        </w:rPr>
        <w:t>Since 2014, the Company has been defending a lawsuit against certain of its subsidiaries in the U.S. District Court in Oregon alleging breach of contract and trade secret misappropriation. According to the suit, the Company improperly utilized information received in connection with its electronic payment processing solution, which is one of several components of its mobile financial services offerings. During fiscal year 2016, the District Court denied the Company’s motions to dismiss and to compel arbitration with respect to certain of the claims, and the proceedings continued. The District Court scheduled a tentative jury trial date for late October 2018. The Company filed a motion for summary judgment with the District Court during fiscal year 2018 and the District Court partially granted the motion with respect to two trade secrets. In October 2018, while continuing to deny the plaintiff’s allegations, the Company entered into a settlement agreement with the plaintiff, which included a $50,000 settlement payment by the Company, in consideration for a mutual release of each party and its respective customers with no admission of liability or fault. As a result of the settlement, the lawsuit was dismissed with prejudice on November 13, 2018. During the three months ended December 31, 2018 the Company paid the settlement amount of $50,000 and $5,000 in legal and other fees which were accrued as of September 30, 2018.</w:t>
      </w:r>
    </w:p>
    <w:p>
      <w:pPr>
        <w:spacing w:after="0" w:line="170" w:lineRule="exact"/>
        <w:rPr>
          <w:sz w:val="20"/>
          <w:szCs w:val="20"/>
          <w:color w:val="auto"/>
        </w:rPr>
      </w:pPr>
    </w:p>
    <w:p>
      <w:pPr>
        <w:ind w:right="80" w:firstLine="437"/>
        <w:spacing w:after="0" w:line="290"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such defense efforts, including motions alleging constitutional defects, have encountered a dismissive approach by the Ecuadorian Courts, with reasoning that the Company believes is inconsistent with applicable law. The Company is unable to reasonably estimate the ultimate outcome of the above dispute.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2240" w:h="15840" w:orient="portrait"/>
          <w:cols w:equalWidth="0" w:num="1">
            <w:col w:w="10920"/>
          </w:cols>
          <w:pgMar w:left="660" w:top="128" w:right="660"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6600" cy="38100"/>
                    </a:xfrm>
                    <a:prstGeom prst="rect">
                      <a:avLst/>
                    </a:prstGeom>
                    <a:noFill/>
                  </pic:spPr>
                </pic:pic>
              </a:graphicData>
            </a:graphic>
          </wp:anchor>
        </w:drawing>
        <w:t>Item 2. Operating and Financial Review and Prospects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18" w:lineRule="exact"/>
        <w:rPr>
          <w:sz w:val="20"/>
          <w:szCs w:val="20"/>
          <w:color w:val="auto"/>
        </w:rPr>
      </w:pPr>
    </w:p>
    <w:p>
      <w:pPr>
        <w:jc w:val="both"/>
        <w:ind w:right="160" w:firstLine="437"/>
        <w:spacing w:after="0" w:line="284"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w:t>
      </w:r>
    </w:p>
    <w:p>
      <w:pPr>
        <w:spacing w:after="0" w:line="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97" w:lineRule="exact"/>
        <w:rPr>
          <w:sz w:val="20"/>
          <w:szCs w:val="20"/>
          <w:color w:val="auto"/>
        </w:rPr>
      </w:pPr>
    </w:p>
    <w:p>
      <w:pPr>
        <w:ind w:right="60" w:firstLine="437"/>
        <w:spacing w:after="0" w:line="269"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year 2018, filed on December 10, 2018 with the U.S. Securities and Exchange Commission.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18" w:lineRule="exact"/>
        <w:rPr>
          <w:sz w:val="20"/>
          <w:szCs w:val="20"/>
          <w:color w:val="auto"/>
        </w:rPr>
      </w:pPr>
    </w:p>
    <w:p>
      <w:pPr>
        <w:ind w:right="40" w:firstLine="437"/>
        <w:spacing w:after="0" w:line="290" w:lineRule="auto"/>
        <w:rPr>
          <w:sz w:val="20"/>
          <w:szCs w:val="20"/>
          <w:color w:val="auto"/>
        </w:rPr>
      </w:pPr>
      <w:r>
        <w:rPr>
          <w:rFonts w:ascii="Arial" w:cs="Arial" w:eastAsia="Arial" w:hAnsi="Arial"/>
          <w:sz w:val="16"/>
          <w:szCs w:val="16"/>
          <w:color w:val="auto"/>
        </w:rPr>
        <w:t>Amdocs is a leading provider of software and services for more than 350 communications, Pay TV, entertainment and media industry and other service providers in developed countries and emerging markets. Our software and services, which we develop, implement and manage, are designed to meet the business imperatives of our customers. These business imperatives include the need to grow revenue and deliver a superior user experience; entertain end users and leverage the digital ecosystem; enable the enterprise and connected society; evolve to a service-driven network, and drive agility and operational excellence. Our amdocsONE solution set, launched in the second quarter of fiscal 2018, leverages industry-specific best practices and methodologies to give service providers of all sizes the business agility to successfully navigate the continuous digital transformation process.</w:t>
      </w:r>
    </w:p>
    <w:p>
      <w:pPr>
        <w:spacing w:after="0" w:line="165" w:lineRule="exact"/>
        <w:rPr>
          <w:sz w:val="20"/>
          <w:szCs w:val="20"/>
          <w:color w:val="auto"/>
        </w:rPr>
      </w:pPr>
    </w:p>
    <w:p>
      <w:pPr>
        <w:ind w:firstLine="437"/>
        <w:spacing w:after="0" w:line="254" w:lineRule="auto"/>
        <w:rPr>
          <w:sz w:val="20"/>
          <w:szCs w:val="20"/>
          <w:color w:val="auto"/>
        </w:rPr>
      </w:pPr>
      <w:r>
        <w:rPr>
          <w:rFonts w:ascii="Arial" w:cs="Arial" w:eastAsia="Arial" w:hAnsi="Arial"/>
          <w:sz w:val="18"/>
          <w:szCs w:val="18"/>
          <w:color w:val="auto"/>
        </w:rPr>
        <w:t>We believe the demand for our solutions is driven by our clients’ continued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89" w:lineRule="exact"/>
        <w:rPr>
          <w:sz w:val="20"/>
          <w:szCs w:val="20"/>
          <w:color w:val="auto"/>
        </w:rPr>
      </w:pPr>
    </w:p>
    <w:p>
      <w:pPr>
        <w:ind w:right="20" w:firstLine="437"/>
        <w:spacing w:after="0" w:line="252" w:lineRule="auto"/>
        <w:rPr>
          <w:sz w:val="20"/>
          <w:szCs w:val="20"/>
          <w:color w:val="auto"/>
        </w:rPr>
      </w:pPr>
      <w:r>
        <w:rPr>
          <w:rFonts w:ascii="Arial" w:cs="Arial" w:eastAsia="Arial" w:hAnsi="Arial"/>
          <w:sz w:val="18"/>
          <w:szCs w:val="18"/>
          <w:color w:val="auto"/>
        </w:rPr>
        <w:t>amdocsONE is designed to meet the challenges facing our customers as they transform into digital service providers within the framework of a hybrid IT environment, which requires them to rapidly introduce new cloud-native applications while still operating legacy systems. amdocsONE’s open, modular and integrated solution set introduces a rich group of capabilities built on cloud-native, microservices and machine-learning technologies, and is delivered based on modern DevOps practices Our comprehensive line of services is designed to address every stage of a service provider’s lifecycle. They include advisory services, managed services, autonomous network service assurance, digital business operations, quality engineering services, and data and intelligence services.</w:t>
      </w:r>
    </w:p>
    <w:p>
      <w:pPr>
        <w:spacing w:after="0" w:line="195" w:lineRule="exact"/>
        <w:rPr>
          <w:sz w:val="20"/>
          <w:szCs w:val="20"/>
          <w:color w:val="auto"/>
        </w:rPr>
      </w:pPr>
    </w:p>
    <w:p>
      <w:pPr>
        <w:ind w:right="60" w:firstLine="437"/>
        <w:spacing w:after="0" w:line="259" w:lineRule="auto"/>
        <w:rPr>
          <w:sz w:val="20"/>
          <w:szCs w:val="20"/>
          <w:color w:val="auto"/>
        </w:rPr>
      </w:pPr>
      <w:r>
        <w:rPr>
          <w:rFonts w:ascii="Arial" w:cs="Arial" w:eastAsia="Arial" w:hAnsi="Arial"/>
          <w:sz w:val="18"/>
          <w:szCs w:val="18"/>
          <w:color w:val="auto"/>
        </w:rPr>
        <w:t>In the second quarter of fiscal 2018, we acquired Vubiquity, a leading provider of premium content services and technology solutions, to further expand into the media business where Amdocs now has technology and distribution ties to more than 600 content creators, bringing premium content to over 1,000 video distributors worldwide.</w:t>
      </w:r>
    </w:p>
    <w:p>
      <w:pPr>
        <w:spacing w:after="0" w:line="186" w:lineRule="exact"/>
        <w:rPr>
          <w:sz w:val="20"/>
          <w:szCs w:val="20"/>
          <w:color w:val="auto"/>
        </w:rPr>
      </w:pPr>
    </w:p>
    <w:p>
      <w:pPr>
        <w:ind w:right="120" w:firstLine="437"/>
        <w:spacing w:after="0" w:line="297" w:lineRule="auto"/>
        <w:rPr>
          <w:sz w:val="20"/>
          <w:szCs w:val="20"/>
          <w:color w:val="auto"/>
        </w:rPr>
      </w:pPr>
      <w:r>
        <w:rPr>
          <w:rFonts w:ascii="Arial" w:cs="Arial" w:eastAsia="Arial" w:hAnsi="Arial"/>
          <w:sz w:val="16"/>
          <w:szCs w:val="16"/>
          <w:color w:val="auto"/>
        </w:rPr>
        <w:t>We conduct our business globally, and as a result we are subject to the effects of global economic conditions and, in particular, market conditions in the communications, entertainment and media industry. In the three months ended December 31, 2018, customers in North America accounted for 65.3% of our revenue, while customers in Europe and the rest of the world accounted for 14.4% and 20.3%, respectively. We maintain and support development facilities in Brazil, Canada, Cyprus, India, Ireland, Israel, Mexico, the Philippines, the UK and the United States.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2240" w:h="15840" w:orient="portrait"/>
          <w:cols w:equalWidth="0" w:num="1">
            <w:col w:w="10900"/>
          </w:cols>
          <w:pgMar w:left="660" w:top="128" w:right="680"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6600" cy="38100"/>
                    </a:xfrm>
                    <a:prstGeom prst="rect">
                      <a:avLst/>
                    </a:prstGeom>
                    <a:noFill/>
                  </pic:spPr>
                </pic:pic>
              </a:graphicData>
            </a:graphic>
          </wp:anchor>
        </w:drawing>
        <w:t>We derive our revenue principally from:</w:t>
      </w:r>
    </w:p>
    <w:p>
      <w:pPr>
        <w:spacing w:after="0" w:line="128" w:lineRule="exact"/>
        <w:rPr>
          <w:sz w:val="20"/>
          <w:szCs w:val="20"/>
          <w:color w:val="auto"/>
        </w:rPr>
      </w:pPr>
    </w:p>
    <w:p>
      <w:pPr>
        <w:ind w:left="860" w:right="160" w:hanging="331"/>
        <w:spacing w:after="0" w:line="271"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81" w:lineRule="exact"/>
        <w:rPr>
          <w:rFonts w:ascii="Arial" w:cs="Arial" w:eastAsia="Arial" w:hAnsi="Arial"/>
          <w:sz w:val="18"/>
          <w:szCs w:val="18"/>
          <w:color w:val="auto"/>
        </w:rPr>
      </w:pPr>
    </w:p>
    <w:p>
      <w:pPr>
        <w:ind w:left="860" w:hanging="331"/>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27" w:lineRule="exact"/>
        <w:rPr>
          <w:rFonts w:ascii="Arial" w:cs="Arial" w:eastAsia="Arial" w:hAnsi="Arial"/>
          <w:sz w:val="18"/>
          <w:szCs w:val="18"/>
          <w:color w:val="auto"/>
        </w:rPr>
      </w:pPr>
    </w:p>
    <w:p>
      <w:pPr>
        <w:ind w:left="860" w:right="420" w:hanging="331"/>
        <w:spacing w:after="0" w:line="271"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5" w:lineRule="exact"/>
        <w:rPr>
          <w:sz w:val="20"/>
          <w:szCs w:val="20"/>
          <w:color w:val="auto"/>
        </w:rPr>
      </w:pPr>
    </w:p>
    <w:p>
      <w:pPr>
        <w:jc w:val="both"/>
        <w:ind w:right="40" w:firstLine="437"/>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under the five-step methodology required under ASC 606, which requires us to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6" w:lineRule="exact"/>
        <w:rPr>
          <w:sz w:val="20"/>
          <w:szCs w:val="20"/>
          <w:color w:val="auto"/>
        </w:rPr>
      </w:pPr>
    </w:p>
    <w:p>
      <w:pPr>
        <w:jc w:val="both"/>
        <w:ind w:right="40" w:firstLine="437"/>
        <w:spacing w:after="0" w:line="271" w:lineRule="auto"/>
        <w:rPr>
          <w:sz w:val="20"/>
          <w:szCs w:val="20"/>
          <w:color w:val="auto"/>
        </w:rPr>
      </w:pPr>
      <w:r>
        <w:rPr>
          <w:rFonts w:ascii="Arial" w:cs="Arial" w:eastAsia="Arial" w:hAnsi="Arial"/>
          <w:sz w:val="18"/>
          <w:szCs w:val="18"/>
          <w:color w:val="auto"/>
        </w:rPr>
        <w:t>As a significant portion of our revenue is satisfied over time as work progresses, the annual and quarterly operating results may be affected by the size and timing of the initiation of customer projects as well as the our progress in completing such projects.</w:t>
      </w:r>
    </w:p>
    <w:p>
      <w:pPr>
        <w:spacing w:after="0" w:line="175" w:lineRule="exact"/>
        <w:rPr>
          <w:sz w:val="20"/>
          <w:szCs w:val="20"/>
          <w:color w:val="auto"/>
        </w:rPr>
      </w:pPr>
    </w:p>
    <w:p>
      <w:pPr>
        <w:ind w:right="280" w:firstLine="437"/>
        <w:spacing w:after="0" w:line="271" w:lineRule="auto"/>
        <w:rPr>
          <w:sz w:val="20"/>
          <w:szCs w:val="20"/>
          <w:color w:val="auto"/>
        </w:rPr>
      </w:pPr>
      <w:r>
        <w:rPr>
          <w:rFonts w:ascii="Arial" w:cs="Arial" w:eastAsia="Arial" w:hAnsi="Arial"/>
          <w:sz w:val="18"/>
          <w:szCs w:val="18"/>
          <w:color w:val="auto"/>
        </w:rPr>
        <w:t>For our primary revenue categories, related performance obligations, and associated recognition patterns please see Note 4 to our consolidated financial statements.</w:t>
      </w:r>
    </w:p>
    <w:p>
      <w:pPr>
        <w:spacing w:after="0" w:line="175" w:lineRule="exact"/>
        <w:rPr>
          <w:sz w:val="20"/>
          <w:szCs w:val="20"/>
          <w:color w:val="auto"/>
        </w:rPr>
      </w:pPr>
    </w:p>
    <w:p>
      <w:pPr>
        <w:ind w:firstLine="437"/>
        <w:spacing w:after="0" w:line="270" w:lineRule="auto"/>
        <w:rPr>
          <w:sz w:val="20"/>
          <w:szCs w:val="20"/>
          <w:color w:val="auto"/>
        </w:rPr>
      </w:pPr>
      <w:r>
        <w:rPr>
          <w:rFonts w:ascii="Arial" w:cs="Arial" w:eastAsia="Arial" w:hAnsi="Arial"/>
          <w:sz w:val="17"/>
          <w:szCs w:val="17"/>
          <w:color w:val="auto"/>
        </w:rPr>
        <w:t>Revenue generated in connection with managed services arrangements is a significant part of our business, generating substantial, long-term recurring revenue streams and cash flow. Revenue from managed services arrangements accounted for approximately $525.5 million and $518.7 million in the three months ended December 31, 2018 and 2017, respectively. In the initial period of our managed services arrangements, we often invest in modernization and consolidation of the customer’s systems. In addition, from time to time we engage in managed transformations that include both a transformation project as well as taking over managed services responsibility. Managed services engagements can be less profitable in their early stages; however, margins tend to improve over time.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2240" w:h="15840" w:orient="portrait"/>
          <w:cols w:equalWidth="0" w:num="1">
            <w:col w:w="10880"/>
          </w:cols>
          <w:pgMar w:left="660" w:top="132" w:right="700"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6600" cy="38100"/>
                    </a:xfrm>
                    <a:prstGeom prst="rect">
                      <a:avLst/>
                    </a:prstGeom>
                    <a:noFill/>
                  </pic:spPr>
                </pic:pic>
              </a:graphicData>
            </a:graphic>
          </wp:anchor>
        </w:drawing>
        <w:t>Results of Operations</w:t>
      </w:r>
    </w:p>
    <w:p>
      <w:pPr>
        <w:spacing w:after="0" w:line="118" w:lineRule="exact"/>
        <w:rPr>
          <w:sz w:val="20"/>
          <w:szCs w:val="20"/>
          <w:color w:val="auto"/>
        </w:rPr>
      </w:pPr>
    </w:p>
    <w:p>
      <w:pPr>
        <w:ind w:firstLine="437"/>
        <w:spacing w:after="0" w:line="271" w:lineRule="auto"/>
        <w:rPr>
          <w:sz w:val="20"/>
          <w:szCs w:val="20"/>
          <w:color w:val="auto"/>
        </w:rPr>
      </w:pPr>
      <w:r>
        <w:rPr>
          <w:rFonts w:ascii="Arial" w:cs="Arial" w:eastAsia="Arial" w:hAnsi="Arial"/>
          <w:sz w:val="18"/>
          <w:szCs w:val="18"/>
          <w:color w:val="auto"/>
        </w:rPr>
        <w:t>The following table sets forth for the three months ended December 31, 2018 and 2017, certain items in our consolidated statements of income reflected as a percentage of revenue (figures may not sum because of rounding):</w:t>
      </w:r>
    </w:p>
    <w:p>
      <w:pPr>
        <w:spacing w:after="0" w:line="193"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Three months ended</w:t>
      </w:r>
    </w:p>
    <w:p>
      <w:pPr>
        <w:jc w:val="center"/>
        <w:ind w:left="638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1300" w:type="dxa"/>
        <w:tblCellMar>
          <w:top w:w="0" w:type="dxa"/>
          <w:left w:w="0" w:type="dxa"/>
          <w:bottom w:w="0" w:type="dxa"/>
          <w:right w:w="0" w:type="dxa"/>
        </w:tblCellMar>
      </w:tblPr>
      <w:tr>
        <w:trPr>
          <w:trHeight w:val="141"/>
        </w:trPr>
        <w:tc>
          <w:tcPr>
            <w:tcW w:w="66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2"/>
              <w:spacing w:after="0" w:line="141"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1"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4"/>
        </w:trPr>
        <w:tc>
          <w:tcPr>
            <w:tcW w:w="66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4"/>
        </w:trPr>
        <w:tc>
          <w:tcPr>
            <w:tcW w:w="660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1"/>
        </w:trPr>
        <w:tc>
          <w:tcPr>
            <w:tcW w:w="6600" w:type="dxa"/>
            <w:vAlign w:val="bottom"/>
          </w:tcPr>
          <w:p>
            <w:pPr>
              <w:spacing w:after="0"/>
              <w:rPr>
                <w:sz w:val="20"/>
                <w:szCs w:val="20"/>
                <w:color w:val="auto"/>
              </w:rPr>
            </w:pPr>
            <w:r>
              <w:rPr>
                <w:rFonts w:ascii="Arial" w:cs="Arial" w:eastAsia="Arial" w:hAnsi="Arial"/>
                <w:sz w:val="18"/>
                <w:szCs w:val="18"/>
                <w:color w:val="auto"/>
              </w:rPr>
              <w:t>Operating income</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5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1"/>
        </w:trPr>
        <w:tc>
          <w:tcPr>
            <w:tcW w:w="66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5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00" w:type="dxa"/>
            <w:vAlign w:val="bottom"/>
            <w:vMerge w:val="continue"/>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4060"/>
              <w:spacing w:after="0"/>
              <w:rPr>
                <w:sz w:val="20"/>
                <w:szCs w:val="20"/>
                <w:color w:val="auto"/>
              </w:rPr>
            </w:pPr>
            <w:r>
              <w:rPr>
                <w:rFonts w:ascii="Arial" w:cs="Arial" w:eastAsia="Arial" w:hAnsi="Arial"/>
                <w:sz w:val="18"/>
                <w:szCs w:val="18"/>
                <w:color w:val="auto"/>
              </w:rPr>
              <w:t>25</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6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620"/>
          </w:cols>
          <w:pgMar w:left="660" w:top="128" w:right="960"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6600" cy="38100"/>
                    </a:xfrm>
                    <a:prstGeom prst="rect">
                      <a:avLst/>
                    </a:prstGeom>
                    <a:noFill/>
                  </pic:spPr>
                </pic:pic>
              </a:graphicData>
            </a:graphic>
          </wp:anchor>
        </w:drawing>
        <w:t>Three Months Ended December 31, 2018 and 2017</w:t>
      </w:r>
    </w:p>
    <w:p>
      <w:pPr>
        <w:spacing w:after="0" w:line="118" w:lineRule="exact"/>
        <w:rPr>
          <w:sz w:val="20"/>
          <w:szCs w:val="20"/>
          <w:color w:val="auto"/>
        </w:rPr>
      </w:pPr>
    </w:p>
    <w:p>
      <w:pPr>
        <w:ind w:right="180" w:firstLine="437"/>
        <w:spacing w:after="0" w:line="301" w:lineRule="auto"/>
        <w:rPr>
          <w:sz w:val="20"/>
          <w:szCs w:val="20"/>
          <w:color w:val="auto"/>
        </w:rPr>
      </w:pPr>
      <w:r>
        <w:rPr>
          <w:rFonts w:ascii="Arial" w:cs="Arial" w:eastAsia="Arial" w:hAnsi="Arial"/>
          <w:sz w:val="17"/>
          <w:szCs w:val="17"/>
          <w:color w:val="auto"/>
        </w:rPr>
        <w:t>The following is a tabular presentation of our results of operations for the three months ended December 31, 2018 compared to the three months ended December 31, 2017. Following the table is a discussion and analysis of our business and results of operations for such periods.</w:t>
      </w:r>
    </w:p>
    <w:p>
      <w:pPr>
        <w:spacing w:after="0" w:line="15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84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9"/>
              </w:rPr>
              <w:t>Increase (Decrease)</w:t>
            </w:r>
          </w:p>
        </w:tc>
        <w:tc>
          <w:tcPr>
            <w:tcW w:w="0" w:type="dxa"/>
            <w:vAlign w:val="bottom"/>
          </w:tcPr>
          <w:p>
            <w:pPr>
              <w:spacing w:after="0"/>
              <w:rPr>
                <w:sz w:val="1"/>
                <w:szCs w:val="1"/>
                <w:color w:val="auto"/>
              </w:rPr>
            </w:pPr>
          </w:p>
        </w:tc>
      </w:tr>
      <w:tr>
        <w:trPr>
          <w:trHeight w:val="170"/>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5"/>
              <w:spacing w:after="0" w:line="141"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31"/>
              <w:spacing w:after="0" w:line="141"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402"/>
              <w:spacing w:after="0" w:line="141" w:lineRule="exact"/>
              <w:rPr>
                <w:sz w:val="20"/>
                <w:szCs w:val="20"/>
                <w:color w:val="auto"/>
              </w:rPr>
            </w:pPr>
            <w:r>
              <w:rPr>
                <w:rFonts w:ascii="Arial" w:cs="Arial" w:eastAsia="Arial" w:hAnsi="Arial"/>
                <w:sz w:val="14"/>
                <w:szCs w:val="14"/>
                <w:b w:val="1"/>
                <w:bCs w:val="1"/>
                <w:color w:val="auto"/>
                <w:w w:val="90"/>
              </w:rPr>
              <w:t>Amount</w:t>
            </w:r>
          </w:p>
        </w:tc>
        <w:tc>
          <w:tcPr>
            <w:tcW w:w="600" w:type="dxa"/>
            <w:vAlign w:val="bottom"/>
            <w:tcBorders>
              <w:top w:val="single" w:sz="8" w:color="auto"/>
            </w:tcBorders>
          </w:tcPr>
          <w:p>
            <w:pPr>
              <w:jc w:val="right"/>
              <w:ind w:right="132"/>
              <w:spacing w:after="0" w:line="141"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3"/>
          </w:tcPr>
          <w:p>
            <w:pPr>
              <w:ind w:left="100"/>
              <w:spacing w:after="0" w:line="141"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1,012,055</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$ 977,711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4"/>
        </w:trPr>
        <w:tc>
          <w:tcPr>
            <w:tcW w:w="59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662,568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643,197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19,371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4"/>
        </w:trPr>
        <w:tc>
          <w:tcPr>
            <w:tcW w:w="59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68,686</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68,177</w:t>
            </w:r>
          </w:p>
        </w:tc>
        <w:tc>
          <w:tcPr>
            <w:tcW w:w="100" w:type="dxa"/>
            <w:vAlign w:val="bottom"/>
          </w:tcPr>
          <w:p>
            <w:pPr>
              <w:spacing w:after="0"/>
              <w:rPr>
                <w:sz w:val="18"/>
                <w:szCs w:val="18"/>
                <w:color w:val="auto"/>
              </w:rPr>
            </w:pPr>
          </w:p>
        </w:tc>
        <w:tc>
          <w:tcPr>
            <w:tcW w:w="980" w:type="dxa"/>
            <w:vAlign w:val="bottom"/>
            <w:gridSpan w:val="2"/>
          </w:tcPr>
          <w:p>
            <w:pPr>
              <w:jc w:val="right"/>
              <w:ind w:right="302"/>
              <w:spacing w:after="0"/>
              <w:rPr>
                <w:sz w:val="20"/>
                <w:szCs w:val="20"/>
                <w:color w:val="auto"/>
              </w:rPr>
            </w:pPr>
            <w:r>
              <w:rPr>
                <w:rFonts w:ascii="Arial" w:cs="Arial" w:eastAsia="Arial" w:hAnsi="Arial"/>
                <w:sz w:val="18"/>
                <w:szCs w:val="18"/>
                <w:color w:val="auto"/>
              </w:rPr>
              <w:t>509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4"/>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121,860</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118,668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3,192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4"/>
        </w:trPr>
        <w:tc>
          <w:tcPr>
            <w:tcW w:w="590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2"/>
              <w:spacing w:after="0"/>
              <w:rPr>
                <w:sz w:val="20"/>
                <w:szCs w:val="20"/>
                <w:color w:val="auto"/>
              </w:rPr>
            </w:pPr>
            <w:r>
              <w:rPr>
                <w:rFonts w:ascii="Arial" w:cs="Arial" w:eastAsia="Arial" w:hAnsi="Arial"/>
                <w:sz w:val="18"/>
                <w:szCs w:val="18"/>
                <w:color w:val="auto"/>
              </w:rPr>
              <w:t>318</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23,390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122,143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10,954</w:t>
            </w:r>
          </w:p>
        </w:tc>
        <w:tc>
          <w:tcPr>
            <w:tcW w:w="3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1,401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1,157.9</w:t>
            </w: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122,264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12,355</w:t>
            </w:r>
          </w:p>
        </w:tc>
        <w:tc>
          <w:tcPr>
            <w:tcW w:w="3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27,536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21"/>
        </w:trPr>
        <w:tc>
          <w:tcPr>
            <w:tcW w:w="590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$ 116,873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(15,181</w:t>
            </w:r>
          </w:p>
        </w:tc>
        <w:tc>
          <w:tcPr>
            <w:tcW w:w="380" w:type="dxa"/>
            <w:vAlign w:val="bottom"/>
          </w:tcPr>
          <w:p>
            <w:pPr>
              <w:jc w:val="right"/>
              <w:ind w:right="242"/>
              <w:spacing w:after="0"/>
              <w:rPr>
                <w:sz w:val="20"/>
                <w:szCs w:val="20"/>
                <w:color w:val="auto"/>
              </w:rPr>
            </w:pPr>
            <w:r>
              <w:rPr>
                <w:rFonts w:ascii="Arial" w:cs="Arial" w:eastAsia="Arial" w:hAnsi="Arial"/>
                <w:sz w:val="16"/>
                <w:szCs w:val="16"/>
                <w:color w:val="auto"/>
                <w:w w:val="74"/>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firstLine="437"/>
        <w:spacing w:after="0" w:line="275" w:lineRule="auto"/>
        <w:rPr>
          <w:sz w:val="20"/>
          <w:szCs w:val="20"/>
          <w:color w:val="auto"/>
        </w:rPr>
      </w:pPr>
      <w:r>
        <w:rPr>
          <w:rFonts w:ascii="Arial" w:cs="Arial" w:eastAsia="Arial" w:hAnsi="Arial"/>
          <w:sz w:val="17"/>
          <w:szCs w:val="17"/>
          <w:b w:val="1"/>
          <w:bCs w:val="1"/>
          <w:i w:val="1"/>
          <w:iCs w:val="1"/>
          <w:color w:val="auto"/>
        </w:rPr>
        <w:t>Revenue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increased by $34.3 million, or 3.5%, to $1,012.1 million in the three months ended December 31, 2018, from $977.7 million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December 31, 2017. The increase in revenue was attributable to increased activity in North America and Europe, and to a lesser extent in the rest of the world. The 3.5% increase in revenue, which was net of a decrease of approximately 1.5% from foreign exchange fluctuations, was also positively affected by activities related to acquisitions completed in fiscal year 2018.</w:t>
      </w:r>
    </w:p>
    <w:p>
      <w:pPr>
        <w:spacing w:after="0" w:line="175" w:lineRule="exact"/>
        <w:rPr>
          <w:sz w:val="20"/>
          <w:szCs w:val="20"/>
          <w:color w:val="auto"/>
        </w:rPr>
      </w:pPr>
    </w:p>
    <w:p>
      <w:pPr>
        <w:ind w:firstLine="437"/>
        <w:spacing w:after="0" w:line="266" w:lineRule="auto"/>
        <w:rPr>
          <w:sz w:val="20"/>
          <w:szCs w:val="20"/>
          <w:color w:val="auto"/>
        </w:rPr>
      </w:pPr>
      <w:r>
        <w:rPr>
          <w:rFonts w:ascii="Arial" w:cs="Arial" w:eastAsia="Arial" w:hAnsi="Arial"/>
          <w:sz w:val="17"/>
          <w:szCs w:val="17"/>
          <w:color w:val="auto"/>
        </w:rPr>
        <w:t>In the three months ended December 31, 2018, revenue from customers in North America, Europe and the rest of the world accounted for 65.3%, 14.4% and 20.3%, respectively, of total revenue, compared to 65.8%, 13.7% and 20.5%, respectively, in the three months ended December 31, 2017. Revenue from customers in North America increased during the three months ended December 31, 2018, while total revenue increased at a slightly higher rate, which resulted in a decrease of revenue from customers in North America as a percentage of total revenue. The increase in revenue from customers in North America in absolute amounts was primarily attributable to higher revenue from key customers in North America as we support the continuous digital transformation of the region’s communications, Pay TV and media companies and by activities related to fiscal year 2018 acquisitions, partially offset by lower activity with AT&amp;T. The increase in revenue from customers in Europe was primarily attributable to higher revenue from development and modernization activities while we expand our presence in this region. Revenue from customers in the rest of the world slightly increased during the three months ended December 31, 2018, while total revenue increased at a higher rate, which resulted in similar level of revenue from customers in the rest of the world as a percentage of total revenue. Increase in revenue from customers in the rest of the world in absolute amounts was driven by increased activity in Asia-Pacific as a result of our progress with new and existing customers, which was offset by lower revenue from other regions within the rest of the world.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consists primarily of costs associated with providing services to customers, including compensation expense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and costs of third-party products, as well as fee and royalty payments to software suppliers. Cost of revenue increased by $19.4 million, or 3.0%,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$662.6 million in the three months ended December 31, 2018, from $643.2 million in the three months ended December 31, 2017, commensurate with</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revenue growth.</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expense increased by $0.5 million, or 0.7%, to $68.7 million in the three months ended December 31, 2018, from $68.2 million in the three months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2017. Research and development expense decreased as a percentage of revenue from 7.0% in the three months 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to 6.8% in the three months ended December 31, 2018. Our research and development efforts are a key element of our strategy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are essential to our success, and we intend to maintain our commitment to research and development. An increase or a decrease in our revenue would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not necessarily result in a proportional increase or decrease in the levels of our research and development expenditures, which could affect our operating</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margin.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2240" w:h="15840" w:orient="portrait"/>
          <w:cols w:equalWidth="0" w:num="1">
            <w:col w:w="10900"/>
          </w:cols>
          <w:pgMar w:left="660" w:top="128" w:right="680" w:bottom="1440" w:gutter="0" w:footer="0" w:header="0"/>
        </w:sectPr>
      </w:pPr>
    </w:p>
    <w:bookmarkStart w:id="26" w:name="page27"/>
    <w:bookmarkEnd w:id="26"/>
    <w:p>
      <w:pPr>
        <w:ind w:right="360" w:firstLine="437"/>
        <w:spacing w:after="0" w:line="275"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Selling, General and Administrative</w:t>
      </w:r>
      <w:r>
        <w:rPr>
          <w:rFonts w:ascii="Arial" w:cs="Arial" w:eastAsia="Arial" w:hAnsi="Arial"/>
          <w:sz w:val="17"/>
          <w:szCs w:val="17"/>
          <w:color w:val="auto"/>
        </w:rPr>
        <w:t>. Selling, general and administrative expense, which is primarily comprised of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by $3.2 million, or 2.7%, to $121.9 million in the three months ended December 31, 2018, from $118.7 million in the three months ended December 31, 2017. Selling, general and administrative expense may fluctuate from time to time, depending upon such factors as changes in our workforce and sales efforts and the results of any operational efficiency programs that we may undertake.</w:t>
      </w:r>
    </w:p>
    <w:p>
      <w:pPr>
        <w:spacing w:after="0" w:line="175" w:lineRule="exact"/>
        <w:rPr>
          <w:sz w:val="20"/>
          <w:szCs w:val="20"/>
          <w:color w:val="auto"/>
        </w:rPr>
      </w:pPr>
    </w:p>
    <w:p>
      <w:pPr>
        <w:ind w:right="260" w:firstLine="437"/>
        <w:spacing w:after="0" w:line="275" w:lineRule="auto"/>
        <w:rPr>
          <w:sz w:val="20"/>
          <w:szCs w:val="20"/>
          <w:color w:val="auto"/>
        </w:rPr>
      </w:pPr>
      <w:r>
        <w:rPr>
          <w:rFonts w:ascii="Arial" w:cs="Arial" w:eastAsia="Arial" w:hAnsi="Arial"/>
          <w:sz w:val="17"/>
          <w:szCs w:val="17"/>
          <w:b w:val="1"/>
          <w:bCs w:val="1"/>
          <w:i w:val="1"/>
          <w:iCs w:val="1"/>
          <w:color w:val="auto"/>
        </w:rPr>
        <w:t xml:space="preserve">Amortization of Purchased Intangible Assets and Other. </w:t>
      </w:r>
      <w:r>
        <w:rPr>
          <w:rFonts w:ascii="Arial" w:cs="Arial" w:eastAsia="Arial" w:hAnsi="Arial"/>
          <w:sz w:val="17"/>
          <w:szCs w:val="17"/>
          <w:color w:val="auto"/>
        </w:rPr>
        <w:t>Amortization of purchased intangible assets and other in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2018, increased by $0.3 million to $25.8 million from $25.5 million in the three months ended December 31, 2017. The increase in amortization of purchased intangible assets and other was primarily attributable to an increase in amortization of intangible assets due to acquisitions completed in fiscal year 2018, partially offset by completion of amortization of previously purchased intangible assets.</w:t>
      </w:r>
    </w:p>
    <w:p>
      <w:pPr>
        <w:spacing w:after="0" w:line="175" w:lineRule="exact"/>
        <w:rPr>
          <w:sz w:val="20"/>
          <w:szCs w:val="20"/>
          <w:color w:val="auto"/>
        </w:rPr>
      </w:pPr>
    </w:p>
    <w:p>
      <w:pPr>
        <w:ind w:right="180" w:firstLine="437"/>
        <w:spacing w:after="0" w:line="254"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$11.0 million, or 9.0%, in the three months ended December 31, 2018, to $133.1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13.2% of revenue, from $122.1 million, or 12.5% of revenue, in the three months ended December 31, 2017. The increase in operating income was commensurate with revenue and cost of service growth during the three months ended December 31, 2018. Negative foreign exchange impacts on our revenue were partially offset by the negative foreign exchange impacts on our operating expense, resulting in a negative impact on our operating income.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Interest and Other income, Net. </w:t>
      </w:r>
      <w:r>
        <w:rPr>
          <w:rFonts w:ascii="Arial" w:cs="Arial" w:eastAsia="Arial" w:hAnsi="Arial"/>
          <w:sz w:val="16"/>
          <w:szCs w:val="16"/>
          <w:color w:val="auto"/>
        </w:rPr>
        <w:t>Interest and other income, net, changed from a net gain of $0.1 million in the three months ended December 31,</w:t>
      </w:r>
    </w:p>
    <w:p>
      <w:pPr>
        <w:spacing w:after="0" w:line="43" w:lineRule="exact"/>
        <w:rPr>
          <w:sz w:val="20"/>
          <w:szCs w:val="20"/>
          <w:color w:val="auto"/>
        </w:rPr>
      </w:pPr>
    </w:p>
    <w:p>
      <w:pPr>
        <w:ind w:right="760"/>
        <w:spacing w:after="0" w:line="256" w:lineRule="auto"/>
        <w:rPr>
          <w:sz w:val="20"/>
          <w:szCs w:val="20"/>
          <w:color w:val="auto"/>
        </w:rPr>
      </w:pPr>
      <w:r>
        <w:rPr>
          <w:rFonts w:ascii="Arial" w:cs="Arial" w:eastAsia="Arial" w:hAnsi="Arial"/>
          <w:sz w:val="18"/>
          <w:szCs w:val="18"/>
          <w:color w:val="auto"/>
        </w:rPr>
        <w:t>2017 to a net gain of $1.5 million in the three months ended December 31, 2018. The increase in interest and other income, net, was primarily attributable to the realized gain of a minority equity investment partially offset by foreign exchange impacts.</w:t>
      </w:r>
    </w:p>
    <w:p>
      <w:pPr>
        <w:spacing w:after="0" w:line="188" w:lineRule="exact"/>
        <w:rPr>
          <w:sz w:val="20"/>
          <w:szCs w:val="20"/>
          <w:color w:val="auto"/>
        </w:rPr>
      </w:pPr>
    </w:p>
    <w:p>
      <w:pPr>
        <w:jc w:val="both"/>
        <w:ind w:right="20" w:firstLine="437"/>
        <w:spacing w:after="0" w:line="282"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December 31, 2018 were $32.9 million on pre-tax income of $134.6 million, resulting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effective tax rate of 24.5%, compared to 4.4% in the three months ended December 31, 2017. Our effective tax rate may fluctuate between periods as a result of discrete items that may affect a particular period. Please see Note 9 to our consolidated financial statements.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Net Income</w:t>
      </w:r>
      <w:r>
        <w:rPr>
          <w:rFonts w:ascii="Arial" w:cs="Arial" w:eastAsia="Arial" w:hAnsi="Arial"/>
          <w:sz w:val="17"/>
          <w:szCs w:val="17"/>
          <w:color w:val="auto"/>
        </w:rPr>
        <w:t>. Net income decreased by $15.2 million, or 13.0%, to $101.7 million in the three months ended December 31, 2018, from</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$116.9 million in the three months ended December 31, 2017. The decrease in net income during the three months ended December 31, 2018 was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primarily attributable to the increase in income taxes offset by increase in Operating Income.</w:t>
      </w:r>
    </w:p>
    <w:p>
      <w:pPr>
        <w:spacing w:after="0" w:line="208" w:lineRule="exact"/>
        <w:rPr>
          <w:sz w:val="20"/>
          <w:szCs w:val="20"/>
          <w:color w:val="auto"/>
        </w:rPr>
      </w:pPr>
    </w:p>
    <w:p>
      <w:pPr>
        <w:ind w:firstLine="437"/>
        <w:spacing w:after="0" w:line="255"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decreased by $0.08 from the three months ended December 31, 2017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2018. The decrease in diluted earnings per share was attributable to the decrease in net income, partially offset by the decrease in the diluted weighted average number of shares outstanding, which resulted from share repurchases. Please see also Note 10 to our consolidated financial statements.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4" w:lineRule="exact"/>
        <w:rPr>
          <w:sz w:val="20"/>
          <w:szCs w:val="20"/>
          <w:color w:val="auto"/>
        </w:rPr>
      </w:pPr>
    </w:p>
    <w:p>
      <w:pPr>
        <w:ind w:right="40" w:firstLine="437"/>
        <w:spacing w:after="0" w:line="293"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totaled</w:t>
      </w:r>
      <w:r>
        <w:rPr>
          <w:rFonts w:ascii="Arial" w:cs="Arial" w:eastAsia="Arial" w:hAnsi="Arial"/>
          <w:sz w:val="16"/>
          <w:szCs w:val="16"/>
          <w:i w:val="1"/>
          <w:iCs w:val="1"/>
          <w:color w:val="auto"/>
        </w:rPr>
        <w:t xml:space="preserve"> </w:t>
      </w:r>
      <w:r>
        <w:rPr>
          <w:rFonts w:ascii="Arial" w:cs="Arial" w:eastAsia="Arial" w:hAnsi="Arial"/>
          <w:sz w:val="16"/>
          <w:szCs w:val="16"/>
          <w:color w:val="auto"/>
        </w:rPr>
        <w:t>$458.7 million as of December 31, 2018, compared to $519.2 million as of September 30, 2018. The decrease was mainly attributable to $99.2 million repurchase of our ordinary shares, $37.3 million for capital expenditures, net, $35.0 million of cash dividend payment and $8.3 million acquisition payment, partially offset by $109.7 million in positive cash flow from operations and $8.4 million of proceeds from stock option exercises. Net cash provided by operating activities amounted to $109.7 million and $164.6 million in the three months ended December 31, 2018 and 2017, respectively.</w:t>
      </w:r>
    </w:p>
    <w:p>
      <w:pPr>
        <w:spacing w:after="0" w:line="162" w:lineRule="exact"/>
        <w:rPr>
          <w:sz w:val="20"/>
          <w:szCs w:val="20"/>
          <w:color w:val="auto"/>
        </w:rPr>
      </w:pPr>
    </w:p>
    <w:p>
      <w:pPr>
        <w:ind w:firstLine="437"/>
        <w:spacing w:after="0" w:line="297" w:lineRule="auto"/>
        <w:rPr>
          <w:sz w:val="20"/>
          <w:szCs w:val="20"/>
          <w:color w:val="auto"/>
        </w:rPr>
      </w:pPr>
      <w:r>
        <w:rPr>
          <w:rFonts w:ascii="Arial" w:cs="Arial" w:eastAsia="Arial" w:hAnsi="Arial"/>
          <w:sz w:val="16"/>
          <w:szCs w:val="16"/>
          <w:color w:val="auto"/>
        </w:rPr>
        <w:t>Our normalized free cash flow for the three months ended December 31, 2018 was $136.1 million, which is calculated as net cash provided by operating activities for the three months ended December 31, 2018, less $37.3 million for capital expenditures, net and excluding $2.1 million of the capital expenditures associated with the multiyear development of our new campus in Israel, $55.0 million of payments related to the settlement of the legal dispute in the U.S. District Court in Oregon and $6.6 million of payments for the non-recurring charges for re-alignment actions in North-America.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2240" w:h="15840" w:orient="portrait"/>
          <w:cols w:equalWidth="0" w:num="1">
            <w:col w:w="10880"/>
          </w:cols>
          <w:pgMar w:left="660" w:top="132" w:right="700" w:bottom="1440" w:gutter="0" w:footer="0" w:header="0"/>
        </w:sectPr>
      </w:pPr>
    </w:p>
    <w:bookmarkStart w:id="27" w:name="page28"/>
    <w:bookmarkEnd w:id="27"/>
    <w:p>
      <w:pPr>
        <w:ind w:right="120" w:firstLine="437"/>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6600" cy="38100"/>
                    </a:xfrm>
                    <a:prstGeom prst="rect">
                      <a:avLst/>
                    </a:prstGeom>
                    <a:noFill/>
                  </pic:spPr>
                </pic:pic>
              </a:graphicData>
            </a:graphic>
          </wp:anchor>
        </w:drawing>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twelve months.</w:t>
      </w:r>
    </w:p>
    <w:p>
      <w:pPr>
        <w:spacing w:after="0" w:line="186" w:lineRule="exact"/>
        <w:rPr>
          <w:sz w:val="20"/>
          <w:szCs w:val="20"/>
          <w:color w:val="auto"/>
        </w:rPr>
      </w:pPr>
    </w:p>
    <w:p>
      <w:pPr>
        <w:ind w:right="40" w:firstLine="437"/>
        <w:spacing w:after="0" w:line="269" w:lineRule="auto"/>
        <w:rPr>
          <w:sz w:val="20"/>
          <w:szCs w:val="20"/>
          <w:color w:val="auto"/>
        </w:rPr>
      </w:pPr>
      <w:r>
        <w:rPr>
          <w:rFonts w:ascii="Arial" w:cs="Arial" w:eastAsia="Arial" w:hAnsi="Arial"/>
          <w:sz w:val="17"/>
          <w:szCs w:val="17"/>
          <w:color w:val="auto"/>
        </w:rPr>
        <w:t>As a general long-term guideline, we expect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In fiscal year 2019, we plan to return to shareholders the majority of our normalized free cash flow subject to factors such as mergers and acquisitions, financial markets and prevailing industry conditions, through our ongoing share repurchase and dividend program. While having this plan in mind,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bank deposits, corporate bonds, money market funds, U.S. government treasuries and U.S. agency securities. We believe we have conservative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investment policy guidelines. Our interest-bearing investments are stated at fair value with the unrealized gains or losses reported as a separate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component of accumulated other comprehensive income, net of tax, unless a security is other than temporarily impaired, in which case the loss is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recorded in the consolidated statements of income. Our interest-bearing investments are priced by pricing vendors and are classified as Level 1 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Level 2 investments, since these vendors either provide a quoted market price in an active market or use other observable inputs to price these securities.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December 31, 2018 and 2017, we did not recognize any credit losses. Please see Notes 5 and 6 to the consolidated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December 2011, we entered into an unsecured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$500.0 million five-year revolving credit facility with a syndicate of banks. In December 2014 and in December 2017, the credit facility was amended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and restated to, among other things, extend the maturity date of the facility to December 2019 and December 2022, respectively. As of December 31,</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2018, we were in compliance with the financial covenants under the revolving credit facility and had no outstanding borrowings under the facility.</w:t>
      </w:r>
    </w:p>
    <w:p>
      <w:pPr>
        <w:spacing w:after="0" w:line="220" w:lineRule="exact"/>
        <w:rPr>
          <w:sz w:val="20"/>
          <w:szCs w:val="20"/>
          <w:color w:val="auto"/>
        </w:rPr>
      </w:pPr>
    </w:p>
    <w:p>
      <w:pPr>
        <w:ind w:right="60" w:firstLine="437"/>
        <w:spacing w:after="0" w:line="259" w:lineRule="auto"/>
        <w:rPr>
          <w:sz w:val="20"/>
          <w:szCs w:val="20"/>
          <w:color w:val="auto"/>
        </w:rPr>
      </w:pPr>
      <w:r>
        <w:rPr>
          <w:rFonts w:ascii="Arial" w:cs="Arial" w:eastAsia="Arial" w:hAnsi="Arial"/>
          <w:sz w:val="18"/>
          <w:szCs w:val="18"/>
          <w:color w:val="auto"/>
        </w:rPr>
        <w:t>As of December 31, 2018, we had additional uncommitted lines of credit available for general corporate and other specific purposes and had outstanding letters of credit and bank guarantees from various banks totaling $78.5 million. These were supported by a combination of the uncommitted lines of credit that we maintain with various banks.</w:t>
      </w:r>
    </w:p>
    <w:p>
      <w:pPr>
        <w:spacing w:after="0" w:line="186" w:lineRule="exact"/>
        <w:rPr>
          <w:sz w:val="20"/>
          <w:szCs w:val="20"/>
          <w:color w:val="auto"/>
        </w:rPr>
      </w:pPr>
    </w:p>
    <w:p>
      <w:pPr>
        <w:jc w:val="both"/>
        <w:ind w:right="80" w:firstLine="437"/>
        <w:spacing w:after="0" w:line="275" w:lineRule="auto"/>
        <w:rPr>
          <w:sz w:val="20"/>
          <w:szCs w:val="20"/>
          <w:color w:val="auto"/>
        </w:rPr>
      </w:pPr>
      <w:r>
        <w:rPr>
          <w:rFonts w:ascii="Arial" w:cs="Arial" w:eastAsia="Arial" w:hAnsi="Arial"/>
          <w:sz w:val="17"/>
          <w:szCs w:val="17"/>
          <w:color w:val="auto"/>
        </w:rPr>
        <w:t>We have contractual obligations for our non-cancelable operating leases, long-term debt, purchase obligations, pension funding and unrecognized tax benefits, the total net investment related to the construction of the new campus in Israel, summarized in the disclosure of contractual obligations set forth in our Annual Report on Form 20-F for the fiscal year ended September 30, 2018, filed on December 10, 2018 with the SEC. Since September 30, 2018, there have been no material changes in our aggregate contractual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(excluding the investment in our new campus in Israel) consist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purchases of computer equipment, and the remainder is attributable mainly to leasehold improvements. Our capital expenditures were approximately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$37.3 million in the three months ended December 31, 2018 and were mainly attributable to investments in our operating facilities and our development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centers around the world. Our policy is to fund our capital expenditures from operating cash flows and we do not anticipate any changes to this policy in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foreseeable future. The total net investment we expect to make in connection with the new campus in Israel is estimated to be approximately</w:t>
      </w:r>
    </w:p>
    <w:p>
      <w:pPr>
        <w:spacing w:after="0" w:line="19" w:lineRule="exact"/>
        <w:rPr>
          <w:sz w:val="20"/>
          <w:szCs w:val="20"/>
          <w:color w:val="auto"/>
        </w:rPr>
      </w:pPr>
    </w:p>
    <w:p>
      <w:pPr>
        <w:jc w:val="both"/>
        <w:ind w:right="320"/>
        <w:spacing w:after="0" w:line="252" w:lineRule="auto"/>
        <w:rPr>
          <w:sz w:val="20"/>
          <w:szCs w:val="20"/>
          <w:color w:val="auto"/>
        </w:rPr>
      </w:pPr>
      <w:r>
        <w:rPr>
          <w:rFonts w:ascii="Arial" w:cs="Arial" w:eastAsia="Arial" w:hAnsi="Arial"/>
          <w:sz w:val="18"/>
          <w:szCs w:val="18"/>
          <w:color w:val="auto"/>
        </w:rPr>
        <w:t>$350 million over a period of four to five years, starting with fiscal year 2018. Out of which approximately $100 million was incurred in fiscal year 2018 by both us and our partner Union at equal portions (i.e. our net investment was approximately $50 million), and $50 million cash investment is expected to be incurred in fiscal year 2019.</w:t>
      </w:r>
    </w:p>
    <w:p>
      <w:pPr>
        <w:spacing w:after="0" w:line="192" w:lineRule="exact"/>
        <w:rPr>
          <w:sz w:val="20"/>
          <w:szCs w:val="20"/>
          <w:color w:val="auto"/>
        </w:rPr>
      </w:pPr>
    </w:p>
    <w:p>
      <w:pPr>
        <w:ind w:right="40" w:firstLine="437"/>
        <w:spacing w:after="0" w:line="290" w:lineRule="auto"/>
        <w:rPr>
          <w:sz w:val="20"/>
          <w:szCs w:val="20"/>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From time to time, our Board of Directors can adopt share repurchase plans authorizing the repurchase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On November 8, 2017, our Board of Directors adopted a share repurchase plan for the repurchase of up to an additional $800.0 million of our outstanding ordinary shares with no expiration date. In the three months ended December 31, 2018, we repurchased 1.6 million ordinary shares at an average price of $62.77 per share (excluding broker and transaction fees). The November 2017 plan permits us to purchase our ordinary shares in open market or privately negotiated transactions at times and prices that it considers appropriate. As of December 31, 2018, we had remaining authority to repurchase up to $538.0 million of our outstanding ordinary shares under the November 2017 plan.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2240" w:h="15840" w:orient="portrait"/>
          <w:cols w:equalWidth="0" w:num="1">
            <w:col w:w="10900"/>
          </w:cols>
          <w:pgMar w:left="660" w:top="132" w:right="680" w:bottom="1440" w:gutter="0" w:footer="0" w:header="0"/>
        </w:sectPr>
      </w:pPr>
    </w:p>
    <w:bookmarkStart w:id="28" w:name="page29"/>
    <w:bookmarkEnd w:id="28"/>
    <w:p>
      <w:pPr>
        <w:ind w:left="440"/>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 xml:space="preserve">Cash Dividends. </w:t>
      </w:r>
      <w:r>
        <w:rPr>
          <w:rFonts w:ascii="Arial" w:cs="Arial" w:eastAsia="Arial" w:hAnsi="Arial"/>
          <w:sz w:val="17"/>
          <w:szCs w:val="17"/>
          <w:color w:val="auto"/>
        </w:rPr>
        <w:t>Our Board of Directors declared the following dividends during the three months ended December 31, 2018 and 2017:</w:t>
      </w:r>
    </w:p>
    <w:p>
      <w:pPr>
        <w:spacing w:after="0" w:line="23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Declaration Date</w:t>
            </w:r>
          </w:p>
        </w:tc>
        <w:tc>
          <w:tcPr>
            <w:tcW w:w="3020" w:type="dxa"/>
            <w:vAlign w:val="bottom"/>
            <w:vMerge w:val="restart"/>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Dividends Per</w:t>
            </w:r>
          </w:p>
        </w:tc>
        <w:tc>
          <w:tcPr>
            <w:tcW w:w="19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Record Date</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6"/>
        </w:trPr>
        <w:tc>
          <w:tcPr>
            <w:tcW w:w="1040" w:type="dxa"/>
            <w:vAlign w:val="bottom"/>
            <w:tcBorders>
              <w:bottom w:val="single" w:sz="8" w:color="auto"/>
            </w:tcBorders>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14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Ordinary Share</w:t>
            </w:r>
          </w:p>
        </w:tc>
        <w:tc>
          <w:tcPr>
            <w:tcW w:w="1920" w:type="dxa"/>
            <w:vAlign w:val="bottom"/>
            <w:gridSpan w:val="2"/>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6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November 8, 2018</w:t>
            </w:r>
          </w:p>
        </w:tc>
        <w:tc>
          <w:tcPr>
            <w:tcW w:w="3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240"/>
              <w:spacing w:after="0" w:line="201" w:lineRule="exact"/>
              <w:rPr>
                <w:sz w:val="20"/>
                <w:szCs w:val="20"/>
                <w:color w:val="auto"/>
              </w:rPr>
            </w:pPr>
            <w:r>
              <w:rPr>
                <w:rFonts w:ascii="Arial" w:cs="Arial" w:eastAsia="Arial" w:hAnsi="Arial"/>
                <w:sz w:val="18"/>
                <w:szCs w:val="18"/>
                <w:color w:val="auto"/>
                <w:w w:val="84"/>
              </w:rPr>
              <w:t>0.250</w:t>
            </w:r>
          </w:p>
        </w:tc>
        <w:tc>
          <w:tcPr>
            <w:tcW w:w="4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87"/>
              </w:rPr>
              <w:t>December 31, 2018</w:t>
            </w: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34.8</w:t>
            </w:r>
          </w:p>
        </w:tc>
        <w:tc>
          <w:tcPr>
            <w:tcW w:w="4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86"/>
              </w:rPr>
              <w:t>January 18, 2019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60" w:type="dxa"/>
            <w:vAlign w:val="bottom"/>
            <w:gridSpan w:val="2"/>
          </w:tcPr>
          <w:p>
            <w:pPr>
              <w:spacing w:after="0"/>
              <w:rPr>
                <w:sz w:val="20"/>
                <w:szCs w:val="20"/>
                <w:color w:val="auto"/>
              </w:rPr>
            </w:pPr>
            <w:r>
              <w:rPr>
                <w:rFonts w:ascii="Arial" w:cs="Arial" w:eastAsia="Arial" w:hAnsi="Arial"/>
                <w:sz w:val="18"/>
                <w:szCs w:val="18"/>
                <w:color w:val="auto"/>
              </w:rPr>
              <w:t>November 8, 2017</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0.220</w:t>
            </w:r>
          </w:p>
        </w:tc>
        <w:tc>
          <w:tcPr>
            <w:tcW w:w="1920" w:type="dxa"/>
            <w:vAlign w:val="bottom"/>
            <w:gridSpan w:val="2"/>
          </w:tcPr>
          <w:p>
            <w:pPr>
              <w:ind w:left="60"/>
              <w:spacing w:after="0"/>
              <w:rPr>
                <w:sz w:val="20"/>
                <w:szCs w:val="20"/>
                <w:color w:val="auto"/>
              </w:rPr>
            </w:pPr>
            <w:r>
              <w:rPr>
                <w:rFonts w:ascii="Arial" w:cs="Arial" w:eastAsia="Arial" w:hAnsi="Arial"/>
                <w:sz w:val="18"/>
                <w:szCs w:val="18"/>
                <w:color w:val="auto"/>
              </w:rPr>
              <w:t>December 29, 2017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31.6</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w w:val="90"/>
              </w:rPr>
              <w:t>January 19, 2018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437"/>
        <w:spacing w:after="0" w:line="255" w:lineRule="auto"/>
        <w:rPr>
          <w:sz w:val="20"/>
          <w:szCs w:val="20"/>
          <w:color w:val="auto"/>
        </w:rPr>
      </w:pPr>
      <w:r>
        <w:rPr>
          <w:rFonts w:ascii="Arial" w:cs="Arial" w:eastAsia="Arial" w:hAnsi="Arial"/>
          <w:sz w:val="18"/>
          <w:szCs w:val="18"/>
          <w:color w:val="auto"/>
        </w:rPr>
        <w:t>On February 5, 2019, our Board of Directors approved the next quarterly dividend payment and set March 29, 2019 as the record date for determining the shareholders entitled to receive the dividend, which is payable on April 19, 2019. On January 31, 2019, at the annual general meeting of shareholders, our shareholders approved an increase in the rate of the quarterly cash dividend from $0.250 per share to $0.285 per share. As a result, the April 19, 2019 cash dividend will be paid at the increased rate of $0.285 per share.</w:t>
      </w:r>
    </w:p>
    <w:p>
      <w:pPr>
        <w:spacing w:after="0" w:line="191" w:lineRule="exact"/>
        <w:rPr>
          <w:sz w:val="20"/>
          <w:szCs w:val="20"/>
          <w:color w:val="auto"/>
        </w:rPr>
      </w:pPr>
    </w:p>
    <w:p>
      <w:pPr>
        <w:ind w:right="160" w:firstLine="437"/>
        <w:spacing w:after="0" w:line="252"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4" w:lineRule="exact"/>
        <w:rPr>
          <w:sz w:val="20"/>
          <w:szCs w:val="20"/>
          <w:color w:val="auto"/>
        </w:rPr>
      </w:pPr>
    </w:p>
    <w:p>
      <w:pPr>
        <w:ind w:firstLine="437"/>
        <w:spacing w:after="0" w:line="255"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91" w:lineRule="exact"/>
        <w:rPr>
          <w:sz w:val="20"/>
          <w:szCs w:val="20"/>
          <w:color w:val="auto"/>
        </w:rPr>
      </w:pPr>
    </w:p>
    <w:p>
      <w:pPr>
        <w:ind w:firstLine="437"/>
        <w:spacing w:after="0" w:line="290" w:lineRule="auto"/>
        <w:rPr>
          <w:sz w:val="20"/>
          <w:szCs w:val="20"/>
          <w:color w:val="auto"/>
        </w:rPr>
      </w:pPr>
      <w:r>
        <w:rPr>
          <w:rFonts w:ascii="Arial" w:cs="Arial" w:eastAsia="Arial" w:hAnsi="Arial"/>
          <w:sz w:val="16"/>
          <w:szCs w:val="16"/>
          <w:color w:val="auto"/>
        </w:rPr>
        <w:t>During the three months ended December 31, 2018 and 2017,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2240" w:h="15840" w:orient="portrait"/>
          <w:cols w:equalWidth="0" w:num="1">
            <w:col w:w="10900"/>
          </w:cols>
          <w:pgMar w:left="660" w:top="132" w:right="680" w:bottom="1440" w:gutter="0" w:footer="0" w:header="0"/>
        </w:sectPr>
      </w:pPr>
    </w:p>
    <w:bookmarkStart w:id="29" w:name="page30"/>
    <w:bookmarkEnd w:id="29"/>
    <w:p>
      <w:pPr>
        <w:ind w:left="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6600" cy="38100"/>
                    </a:xfrm>
                    <a:prstGeom prst="rect">
                      <a:avLst/>
                    </a:prstGeom>
                    <a:noFill/>
                  </pic:spPr>
                </pic:pic>
              </a:graphicData>
            </a:graphic>
          </wp:anchor>
        </w:drawing>
        <w:t>PART II OTHER INFORMATION</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Ordinary Shares</w:t>
      </w:r>
    </w:p>
    <w:p>
      <w:pPr>
        <w:spacing w:after="0" w:line="114" w:lineRule="exact"/>
        <w:rPr>
          <w:sz w:val="20"/>
          <w:szCs w:val="20"/>
          <w:color w:val="auto"/>
        </w:rPr>
      </w:pPr>
    </w:p>
    <w:p>
      <w:pPr>
        <w:ind w:left="6" w:right="180" w:firstLine="437"/>
        <w:spacing w:after="0" w:line="271"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December 31, 2018 of equity securities that are registered by us pursuant to Section 12 of the Exchange Act:</w:t>
      </w:r>
    </w:p>
    <w:p>
      <w:pPr>
        <w:spacing w:after="0" w:line="180"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(c)</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4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w w:val="93"/>
              </w:rPr>
              <w:t>Total Number of</w:t>
            </w:r>
          </w:p>
        </w:tc>
        <w:tc>
          <w:tcPr>
            <w:tcW w:w="520" w:type="dxa"/>
            <w:vAlign w:val="bottom"/>
          </w:tcPr>
          <w:p>
            <w:pPr>
              <w:spacing w:after="0"/>
              <w:rPr>
                <w:sz w:val="12"/>
                <w:szCs w:val="12"/>
                <w:color w:val="auto"/>
              </w:rPr>
            </w:pPr>
          </w:p>
        </w:tc>
        <w:tc>
          <w:tcPr>
            <w:tcW w:w="124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(a)</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4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vMerge w:val="restart"/>
          </w:tcPr>
          <w:p>
            <w:pPr>
              <w:jc w:val="right"/>
              <w:ind w:right="1500"/>
              <w:spacing w:after="0"/>
              <w:rPr>
                <w:sz w:val="20"/>
                <w:szCs w:val="20"/>
                <w:color w:val="auto"/>
              </w:rPr>
            </w:pPr>
            <w:r>
              <w:rPr>
                <w:rFonts w:ascii="Arial" w:cs="Arial" w:eastAsia="Arial" w:hAnsi="Arial"/>
                <w:sz w:val="14"/>
                <w:szCs w:val="14"/>
                <w:b w:val="1"/>
                <w:bCs w:val="1"/>
                <w:color w:val="auto"/>
              </w:rPr>
              <w:t>(b)</w:t>
            </w:r>
          </w:p>
        </w:tc>
        <w:tc>
          <w:tcPr>
            <w:tcW w:w="164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90"/>
              </w:rPr>
              <w:t>Purchased as Part</w:t>
            </w:r>
          </w:p>
        </w:tc>
        <w:tc>
          <w:tcPr>
            <w:tcW w:w="520" w:type="dxa"/>
            <w:vAlign w:val="bottom"/>
          </w:tcPr>
          <w:p>
            <w:pPr>
              <w:spacing w:after="0"/>
              <w:rPr>
                <w:sz w:val="12"/>
                <w:szCs w:val="12"/>
                <w:color w:val="auto"/>
              </w:rPr>
            </w:pPr>
          </w:p>
        </w:tc>
        <w:tc>
          <w:tcPr>
            <w:tcW w:w="124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4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4"/>
              </w:rPr>
              <w:t>Total Number of</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64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93"/>
              </w:rPr>
              <w:t>of Publicly</w:t>
            </w:r>
          </w:p>
        </w:tc>
        <w:tc>
          <w:tcPr>
            <w:tcW w:w="520" w:type="dxa"/>
            <w:vAlign w:val="bottom"/>
          </w:tcPr>
          <w:p>
            <w:pPr>
              <w:spacing w:after="0"/>
              <w:rPr>
                <w:sz w:val="12"/>
                <w:szCs w:val="12"/>
                <w:color w:val="auto"/>
              </w:rPr>
            </w:pPr>
          </w:p>
        </w:tc>
        <w:tc>
          <w:tcPr>
            <w:tcW w:w="124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2"/>
              </w:rPr>
              <w:t>Yet Be Purchased</w:t>
            </w:r>
          </w:p>
        </w:tc>
        <w:tc>
          <w:tcPr>
            <w:tcW w:w="0" w:type="dxa"/>
            <w:vAlign w:val="bottom"/>
          </w:tcPr>
          <w:p>
            <w:pPr>
              <w:spacing w:after="0"/>
              <w:rPr>
                <w:sz w:val="1"/>
                <w:szCs w:val="1"/>
                <w:color w:val="auto"/>
              </w:rPr>
            </w:pPr>
          </w:p>
        </w:tc>
      </w:tr>
      <w:tr>
        <w:trPr>
          <w:trHeight w:val="147"/>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2940" w:type="dxa"/>
            <w:vAlign w:val="bottom"/>
            <w:vMerge w:val="restart"/>
          </w:tcPr>
          <w:p>
            <w:pPr>
              <w:spacing w:after="0"/>
              <w:rPr>
                <w:sz w:val="12"/>
                <w:szCs w:val="12"/>
                <w:color w:val="auto"/>
              </w:rPr>
            </w:pPr>
          </w:p>
        </w:tc>
        <w:tc>
          <w:tcPr>
            <w:tcW w:w="104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89"/>
              </w:rPr>
              <w:t>Shares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tcPr>
          <w:p>
            <w:pPr>
              <w:jc w:val="right"/>
              <w:ind w:right="1160"/>
              <w:spacing w:after="0" w:line="147" w:lineRule="exact"/>
              <w:rPr>
                <w:sz w:val="20"/>
                <w:szCs w:val="20"/>
                <w:color w:val="auto"/>
              </w:rPr>
            </w:pPr>
            <w:r>
              <w:rPr>
                <w:rFonts w:ascii="Arial" w:cs="Arial" w:eastAsia="Arial" w:hAnsi="Arial"/>
                <w:sz w:val="14"/>
                <w:szCs w:val="14"/>
                <w:b w:val="1"/>
                <w:bCs w:val="1"/>
                <w:color w:val="auto"/>
                <w:w w:val="89"/>
              </w:rPr>
              <w:t>Average Price</w:t>
            </w:r>
          </w:p>
        </w:tc>
        <w:tc>
          <w:tcPr>
            <w:tcW w:w="164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89"/>
              </w:rPr>
              <w:t>Announced Plans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6"/>
        </w:trPr>
        <w:tc>
          <w:tcPr>
            <w:tcW w:w="400" w:type="dxa"/>
            <w:vAlign w:val="bottom"/>
            <w:tcBorders>
              <w:bottom w:val="single" w:sz="8" w:color="auto"/>
            </w:tcBorders>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104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89"/>
              </w:rPr>
              <w:t>Purchased</w:t>
            </w:r>
          </w:p>
        </w:tc>
        <w:tc>
          <w:tcPr>
            <w:tcW w:w="1020" w:type="dxa"/>
            <w:vAlign w:val="bottom"/>
          </w:tcPr>
          <w:p>
            <w:pPr>
              <w:spacing w:after="0"/>
              <w:rPr>
                <w:sz w:val="15"/>
                <w:szCs w:val="15"/>
                <w:color w:val="auto"/>
              </w:rPr>
            </w:pPr>
          </w:p>
        </w:tc>
        <w:tc>
          <w:tcPr>
            <w:tcW w:w="21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Paid per Share(1)</w:t>
            </w:r>
          </w:p>
        </w:tc>
        <w:tc>
          <w:tcPr>
            <w:tcW w:w="1640" w:type="dxa"/>
            <w:vAlign w:val="bottom"/>
            <w:gridSpan w:val="2"/>
          </w:tcPr>
          <w:p>
            <w:pPr>
              <w:jc w:val="center"/>
              <w:ind w:right="520"/>
              <w:spacing w:after="0" w:line="157" w:lineRule="exact"/>
              <w:rPr>
                <w:sz w:val="20"/>
                <w:szCs w:val="20"/>
                <w:color w:val="auto"/>
              </w:rPr>
            </w:pPr>
            <w:r>
              <w:rPr>
                <w:rFonts w:ascii="Arial" w:cs="Arial" w:eastAsia="Arial" w:hAnsi="Arial"/>
                <w:sz w:val="14"/>
                <w:szCs w:val="14"/>
                <w:b w:val="1"/>
                <w:bCs w:val="1"/>
                <w:color w:val="auto"/>
                <w:w w:val="91"/>
              </w:rPr>
              <w:t>or Programs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3"/>
              </w:rPr>
              <w:t>or Programs(2)</w:t>
            </w:r>
          </w:p>
        </w:tc>
        <w:tc>
          <w:tcPr>
            <w:tcW w:w="0" w:type="dxa"/>
            <w:vAlign w:val="bottom"/>
          </w:tcPr>
          <w:p>
            <w:pPr>
              <w:spacing w:after="0"/>
              <w:rPr>
                <w:sz w:val="1"/>
                <w:szCs w:val="1"/>
                <w:color w:val="auto"/>
              </w:rPr>
            </w:pPr>
          </w:p>
        </w:tc>
      </w:tr>
      <w:tr>
        <w:trPr>
          <w:trHeight w:val="201"/>
        </w:trPr>
        <w:tc>
          <w:tcPr>
            <w:tcW w:w="334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10/01/18-10/31/18</w:t>
            </w: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408,629</w:t>
            </w:r>
          </w:p>
        </w:tc>
        <w:tc>
          <w:tcPr>
            <w:tcW w:w="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63.34</w:t>
            </w:r>
          </w:p>
        </w:tc>
        <w:tc>
          <w:tcPr>
            <w:tcW w:w="10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408,629</w:t>
            </w: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611,244,191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340" w:type="dxa"/>
            <w:vAlign w:val="bottom"/>
            <w:gridSpan w:val="2"/>
          </w:tcPr>
          <w:p>
            <w:pPr>
              <w:spacing w:after="0"/>
              <w:rPr>
                <w:sz w:val="20"/>
                <w:szCs w:val="20"/>
                <w:color w:val="auto"/>
              </w:rPr>
            </w:pPr>
            <w:r>
              <w:rPr>
                <w:rFonts w:ascii="Arial" w:cs="Arial" w:eastAsia="Arial" w:hAnsi="Arial"/>
                <w:sz w:val="18"/>
                <w:szCs w:val="18"/>
                <w:color w:val="auto"/>
              </w:rPr>
              <w:t>11/01/18-11/30/18</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549,168</w:t>
            </w:r>
          </w:p>
        </w:tc>
        <w:tc>
          <w:tcPr>
            <w:tcW w:w="1120" w:type="dxa"/>
            <w:vAlign w:val="bottom"/>
            <w:gridSpan w:val="2"/>
          </w:tcPr>
          <w:p>
            <w:pPr>
              <w:ind w:left="102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1040"/>
              <w:spacing w:after="0"/>
              <w:rPr>
                <w:sz w:val="20"/>
                <w:szCs w:val="20"/>
                <w:color w:val="auto"/>
              </w:rPr>
            </w:pPr>
            <w:r>
              <w:rPr>
                <w:rFonts w:ascii="Arial" w:cs="Arial" w:eastAsia="Arial" w:hAnsi="Arial"/>
                <w:sz w:val="18"/>
                <w:szCs w:val="18"/>
                <w:color w:val="auto"/>
              </w:rPr>
              <w:t>64.82</w:t>
            </w: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549,168</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575,645,377</w:t>
            </w:r>
          </w:p>
        </w:tc>
        <w:tc>
          <w:tcPr>
            <w:tcW w:w="0" w:type="dxa"/>
            <w:vAlign w:val="bottom"/>
          </w:tcPr>
          <w:p>
            <w:pPr>
              <w:spacing w:after="0"/>
              <w:rPr>
                <w:sz w:val="1"/>
                <w:szCs w:val="1"/>
                <w:color w:val="auto"/>
              </w:rPr>
            </w:pPr>
          </w:p>
        </w:tc>
      </w:tr>
      <w:tr>
        <w:trPr>
          <w:trHeight w:val="214"/>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12/01/18-12/31/18</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621,986</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60.57</w:t>
            </w: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621,986</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537,969,723</w:t>
            </w:r>
          </w:p>
        </w:tc>
        <w:tc>
          <w:tcPr>
            <w:tcW w:w="0" w:type="dxa"/>
            <w:vAlign w:val="bottom"/>
          </w:tcPr>
          <w:p>
            <w:pPr>
              <w:spacing w:after="0"/>
              <w:rPr>
                <w:sz w:val="1"/>
                <w:szCs w:val="1"/>
                <w:color w:val="auto"/>
              </w:rPr>
            </w:pPr>
          </w:p>
        </w:tc>
      </w:tr>
      <w:tr>
        <w:trPr>
          <w:trHeight w:val="221"/>
        </w:trPr>
        <w:tc>
          <w:tcPr>
            <w:tcW w:w="3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1,579,783</w:t>
            </w:r>
          </w:p>
        </w:tc>
        <w:tc>
          <w:tcPr>
            <w:tcW w:w="20" w:type="dxa"/>
            <w:vAlign w:val="bottom"/>
            <w:tcBorders>
              <w:bottom w:val="single" w:sz="8" w:color="auto"/>
            </w:tcBorders>
          </w:tcPr>
          <w:p>
            <w:pPr>
              <w:spacing w:after="0"/>
              <w:rPr>
                <w:sz w:val="19"/>
                <w:szCs w:val="19"/>
                <w:color w:val="auto"/>
              </w:rPr>
            </w:pPr>
          </w:p>
        </w:tc>
        <w:tc>
          <w:tcPr>
            <w:tcW w:w="1120" w:type="dxa"/>
            <w:vAlign w:val="bottom"/>
            <w:gridSpan w:val="2"/>
          </w:tcPr>
          <w:p>
            <w:pPr>
              <w:ind w:left="102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1040"/>
              <w:spacing w:after="0"/>
              <w:rPr>
                <w:sz w:val="20"/>
                <w:szCs w:val="20"/>
                <w:color w:val="auto"/>
              </w:rPr>
            </w:pPr>
            <w:r>
              <w:rPr>
                <w:rFonts w:ascii="Arial" w:cs="Arial" w:eastAsia="Arial" w:hAnsi="Arial"/>
                <w:sz w:val="18"/>
                <w:szCs w:val="18"/>
                <w:color w:val="auto"/>
              </w:rPr>
              <w:t>62.77</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1,579,783</w:t>
            </w:r>
          </w:p>
        </w:tc>
        <w:tc>
          <w:tcPr>
            <w:tcW w:w="520" w:type="dxa"/>
            <w:vAlign w:val="bottom"/>
          </w:tcPr>
          <w:p>
            <w:pPr>
              <w:spacing w:after="0"/>
              <w:rPr>
                <w:sz w:val="19"/>
                <w:szCs w:val="19"/>
                <w:color w:val="auto"/>
              </w:rPr>
            </w:pP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537,969,723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26" w:hanging="426"/>
        <w:spacing w:after="0"/>
        <w:tabs>
          <w:tab w:leader="none" w:pos="426"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19" w:lineRule="exact"/>
        <w:rPr>
          <w:rFonts w:ascii="Arial" w:cs="Arial" w:eastAsia="Arial" w:hAnsi="Arial"/>
          <w:sz w:val="18"/>
          <w:szCs w:val="18"/>
          <w:color w:val="auto"/>
        </w:rPr>
      </w:pPr>
    </w:p>
    <w:p>
      <w:pPr>
        <w:ind w:left="426" w:right="220" w:hanging="426"/>
        <w:spacing w:after="0" w:line="252" w:lineRule="auto"/>
        <w:tabs>
          <w:tab w:leader="none" w:pos="426"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November 8, 2017, our Board of Directors adopted another share repurchase plan for the repurchase of up to an additional $800.0 million of our outstanding ordinary shares. The authorizations have no expiration date and permit us to purchase our ordinary shares in open market or privately negotiated transactions at times and prices we consider appropriate.</w:t>
      </w:r>
    </w:p>
    <w:p>
      <w:pPr>
        <w:spacing w:after="0" w:line="29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Item 2. Reports on Form 6-K</w:t>
      </w:r>
    </w:p>
    <w:p>
      <w:pPr>
        <w:spacing w:after="0" w:line="118" w:lineRule="exact"/>
        <w:rPr>
          <w:sz w:val="20"/>
          <w:szCs w:val="20"/>
          <w:color w:val="auto"/>
        </w:rPr>
      </w:pPr>
    </w:p>
    <w:p>
      <w:pPr>
        <w:ind w:left="446"/>
        <w:spacing w:after="0"/>
        <w:rPr>
          <w:sz w:val="20"/>
          <w:szCs w:val="20"/>
          <w:color w:val="auto"/>
        </w:rPr>
      </w:pPr>
      <w:r>
        <w:rPr>
          <w:rFonts w:ascii="Arial" w:cs="Arial" w:eastAsia="Arial" w:hAnsi="Arial"/>
          <w:sz w:val="18"/>
          <w:szCs w:val="18"/>
          <w:color w:val="auto"/>
        </w:rPr>
        <w:t>The Company furnished or filed the following reports on Form 6-K during the three months ended December 31, 2018:</w:t>
      </w:r>
    </w:p>
    <w:p>
      <w:pPr>
        <w:spacing w:after="0" w:line="114" w:lineRule="exact"/>
        <w:rPr>
          <w:sz w:val="20"/>
          <w:szCs w:val="20"/>
          <w:color w:val="auto"/>
        </w:rPr>
      </w:pPr>
    </w:p>
    <w:p>
      <w:pPr>
        <w:ind w:left="686" w:hanging="250"/>
        <w:spacing w:after="0"/>
        <w:tabs>
          <w:tab w:leader="none" w:pos="6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6-K dated November 9, 2018</w:t>
      </w:r>
    </w:p>
    <w:p>
      <w:pPr>
        <w:spacing w:after="0" w:line="114" w:lineRule="exact"/>
        <w:rPr>
          <w:rFonts w:ascii="Arial" w:cs="Arial" w:eastAsia="Arial" w:hAnsi="Arial"/>
          <w:sz w:val="18"/>
          <w:szCs w:val="18"/>
          <w:color w:val="auto"/>
        </w:rPr>
      </w:pPr>
    </w:p>
    <w:p>
      <w:pPr>
        <w:ind w:left="686" w:hanging="250"/>
        <w:spacing w:after="0"/>
        <w:tabs>
          <w:tab w:leader="none" w:pos="6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6-K dated December 11, 2018</w:t>
      </w:r>
    </w:p>
    <w:p>
      <w:pPr>
        <w:spacing w:after="0" w:line="114" w:lineRule="exact"/>
        <w:rPr>
          <w:rFonts w:ascii="Arial" w:cs="Arial" w:eastAsia="Arial" w:hAnsi="Arial"/>
          <w:sz w:val="18"/>
          <w:szCs w:val="18"/>
          <w:color w:val="auto"/>
        </w:rPr>
      </w:pPr>
    </w:p>
    <w:p>
      <w:pPr>
        <w:ind w:left="686" w:hanging="250"/>
        <w:spacing w:after="0"/>
        <w:tabs>
          <w:tab w:leader="none" w:pos="6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6-K dated December 20, 2018</w:t>
      </w:r>
    </w:p>
    <w:p>
      <w:pPr>
        <w:spacing w:after="0" w:line="154"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30</w:t>
      </w:r>
    </w:p>
    <w:p>
      <w:pPr>
        <w:sectPr>
          <w:pgSz w:w="12240" w:h="15840" w:orient="portrait"/>
          <w:cols w:equalWidth="0" w:num="1">
            <w:col w:w="10926"/>
          </w:cols>
          <w:pgMar w:left="654" w:top="128" w:right="660" w:bottom="1440" w:gutter="0" w:footer="0" w:header="0"/>
        </w:sectPr>
      </w:pPr>
    </w:p>
    <w:bookmarkStart w:id="30" w:name="page31"/>
    <w:bookmarkEnd w:id="30"/>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SIGNATURES</w:t>
      </w:r>
    </w:p>
    <w:p>
      <w:pPr>
        <w:spacing w:after="0" w:line="225" w:lineRule="exact"/>
        <w:rPr>
          <w:sz w:val="20"/>
          <w:szCs w:val="20"/>
          <w:color w:val="auto"/>
        </w:rPr>
      </w:pPr>
    </w:p>
    <w:p>
      <w:pPr>
        <w:ind w:firstLine="437"/>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AMDOCS LIMITED</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13335</wp:posOffset>
            </wp:positionV>
            <wp:extent cx="27705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Secretary and Authorized Signatory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2019</w:t>
      </w:r>
    </w:p>
    <w:p>
      <w:pPr>
        <w:spacing w:after="0" w:line="1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31</w:t>
      </w:r>
    </w:p>
    <w:sectPr>
      <w:pgSz w:w="12240" w:h="15840" w:orient="portrait"/>
      <w:cols w:equalWidth="0" w:num="1">
        <w:col w:w="10620"/>
      </w:cols>
      <w:pgMar w:left="660" w:top="128" w:right="9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2019-12-14T20:53:34Z</dcterms:created>
  <dcterms:modified xsi:type="dcterms:W3CDTF">2019-12-14T20:53:34Z</dcterms:modified>
</cp:coreProperties>
</file>