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Limited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Ordinary Shares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G0260210-3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Event Which Requires Filing of this Statement: 12/31/2002</w:t>
      </w:r>
    </w:p>
    <w:p>
      <w:pPr>
        <w:spacing w:after="0" w:line="200" w:lineRule="exact"/>
        <w:rPr>
          <w:sz w:val="24"/>
          <w:szCs w:val="24"/>
          <w:color w:val="auto"/>
        </w:rPr>
      </w:pPr>
    </w:p>
    <w:p>
      <w:pPr>
        <w:spacing w:after="0" w:line="226" w:lineRule="exact"/>
        <w:rPr>
          <w:sz w:val="24"/>
          <w:szCs w:val="24"/>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if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3259" w:firstLine="8"/>
        <w:spacing w:after="0" w:line="26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ind w:right="325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6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Management LLC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#75-3019302</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99" w:hanging="952"/>
        <w:spacing w:after="0" w:line="347"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Colorado</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960" w:right="7479" w:hanging="531"/>
        <w:spacing w:after="0" w:line="34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632,485**</w:t>
      </w:r>
    </w:p>
    <w:p>
      <w:pPr>
        <w:spacing w:after="0" w:line="18" w:lineRule="exact"/>
        <w:rPr>
          <w:rFonts w:ascii="Courier New" w:cs="Courier New" w:eastAsia="Courier New" w:hAnsi="Courier New"/>
          <w:sz w:val="18"/>
          <w:szCs w:val="18"/>
          <w:color w:val="auto"/>
        </w:rPr>
      </w:pPr>
    </w:p>
    <w:p>
      <w:pPr>
        <w:ind w:left="960" w:right="7259" w:hanging="531"/>
        <w:spacing w:after="0" w:line="34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8" w:lineRule="exact"/>
        <w:rPr>
          <w:rFonts w:ascii="Courier New" w:cs="Courier New" w:eastAsia="Courier New" w:hAnsi="Courier New"/>
          <w:sz w:val="18"/>
          <w:szCs w:val="18"/>
          <w:color w:val="auto"/>
        </w:rPr>
      </w:pPr>
    </w:p>
    <w:p>
      <w:pPr>
        <w:ind w:left="960" w:right="6939" w:hanging="531"/>
        <w:spacing w:after="0" w:line="34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632,485**</w:t>
      </w:r>
    </w:p>
    <w:p>
      <w:pPr>
        <w:spacing w:after="0" w:line="18" w:lineRule="exact"/>
        <w:rPr>
          <w:rFonts w:ascii="Courier New" w:cs="Courier New" w:eastAsia="Courier New" w:hAnsi="Courier New"/>
          <w:sz w:val="18"/>
          <w:szCs w:val="18"/>
          <w:color w:val="auto"/>
        </w:rPr>
      </w:pPr>
    </w:p>
    <w:p>
      <w:pPr>
        <w:ind w:left="960" w:right="6739" w:hanging="531"/>
        <w:spacing w:after="0" w:line="34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632,485**</w:t>
      </w:r>
    </w:p>
    <w:p>
      <w:pPr>
        <w:spacing w:after="0" w:line="169" w:lineRule="exact"/>
        <w:rPr>
          <w:rFonts w:ascii="Courier New" w:cs="Courier New" w:eastAsia="Courier New" w:hAnsi="Courier New"/>
          <w:sz w:val="18"/>
          <w:szCs w:val="18"/>
          <w:color w:val="auto"/>
        </w:rPr>
      </w:pPr>
    </w:p>
    <w:p>
      <w:pPr>
        <w:ind w:right="3679" w:firstLine="429"/>
        <w:spacing w:after="0" w:line="347"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7012" w:orient="portrait"/>
          <w:cols w:equalWidth="0" w:num="1">
            <w:col w:w="10219"/>
          </w:cols>
          <w:pgMar w:left="240" w:top="218" w:right="1440" w:bottom="0"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0" w:right="4619" w:hanging="412"/>
        <w:spacing w:after="0" w:line="34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0.3%**</w:t>
      </w:r>
    </w:p>
    <w:p>
      <w:pPr>
        <w:spacing w:after="0" w:line="18" w:lineRule="exact"/>
        <w:rPr>
          <w:rFonts w:ascii="Courier New" w:cs="Courier New" w:eastAsia="Courier New" w:hAnsi="Courier New"/>
          <w:sz w:val="18"/>
          <w:szCs w:val="18"/>
          <w:color w:val="auto"/>
        </w:rPr>
      </w:pPr>
    </w:p>
    <w:p>
      <w:pPr>
        <w:ind w:left="420" w:right="7259" w:hanging="412"/>
        <w:spacing w:after="0" w:line="34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18"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Amdocs Limited ("Amdocs Ltd.")</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Suite 5, Tower Hill House Le Bordage</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 Peter Port, Island of Guernsey, GY1 3QT Channel</w:t>
      </w:r>
    </w:p>
    <w:p>
      <w:pPr>
        <w:spacing w:after="0"/>
        <w:rPr>
          <w:sz w:val="20"/>
          <w:szCs w:val="20"/>
          <w:color w:val="auto"/>
        </w:rPr>
      </w:pPr>
      <w:r>
        <w:rPr>
          <w:rFonts w:ascii="Courier New" w:cs="Courier New" w:eastAsia="Courier New" w:hAnsi="Courier New"/>
          <w:sz w:val="18"/>
          <w:szCs w:val="18"/>
          <w:color w:val="auto"/>
        </w:rPr>
        <w:t>Islands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right="3259" w:firstLine="421"/>
        <w:spacing w:after="0" w:line="257" w:lineRule="auto"/>
        <w:rPr>
          <w:sz w:val="20"/>
          <w:szCs w:val="20"/>
          <w:color w:val="auto"/>
        </w:rPr>
      </w:pPr>
      <w:r>
        <w:rPr>
          <w:rFonts w:ascii="Courier New" w:cs="Courier New" w:eastAsia="Courier New" w:hAnsi="Courier New"/>
          <w:sz w:val="18"/>
          <w:szCs w:val="18"/>
          <w:color w:val="auto"/>
        </w:rPr>
        <w:t>(a).-(c). Name, Principal Business Address, and Citizenship of Persons</w:t>
      </w:r>
    </w:p>
    <w:p>
      <w:pPr>
        <w:ind w:left="1480"/>
        <w:spacing w:after="0"/>
        <w:rPr>
          <w:sz w:val="20"/>
          <w:szCs w:val="20"/>
          <w:color w:val="auto"/>
        </w:rPr>
      </w:pPr>
      <w:r>
        <w:rPr>
          <w:rFonts w:ascii="Courier New" w:cs="Courier New" w:eastAsia="Courier New" w:hAnsi="Courier New"/>
          <w:sz w:val="18"/>
          <w:szCs w:val="18"/>
          <w:color w:val="auto"/>
        </w:rPr>
        <w:t>Filing:</w:t>
      </w:r>
    </w:p>
    <w:p>
      <w:pPr>
        <w:spacing w:after="0" w:line="169" w:lineRule="exact"/>
        <w:rPr>
          <w:sz w:val="20"/>
          <w:szCs w:val="20"/>
          <w:color w:val="auto"/>
        </w:rPr>
      </w:pPr>
    </w:p>
    <w:p>
      <w:pPr>
        <w:ind w:left="1480" w:right="3899" w:hanging="524"/>
        <w:spacing w:after="0" w:line="257" w:lineRule="auto"/>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Management LLC ("Janus Capital") 100 Fillmore Street</w:t>
      </w:r>
    </w:p>
    <w:p>
      <w:pPr>
        <w:ind w:left="1480" w:right="57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Colorado</w:t>
      </w:r>
    </w:p>
    <w:p>
      <w:pPr>
        <w:spacing w:after="0" w:line="51"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Ordinary Shares</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G0260210-3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Capital, is an investment adviser in accordance with Section 240.13d-1(b)(ii)(E) as well as a parent holding company/control person in accordance with Section 240.13d-1(b)(ii)(G). See Item 4 for additional information.</w:t>
      </w:r>
    </w:p>
    <w:p>
      <w:pPr>
        <w:spacing w:after="0" w:line="9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in items 1 and 5 through 11 on the cover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Schedule 13G is hereby incorporated by reference.</w:t>
      </w:r>
    </w:p>
    <w:p>
      <w:pPr>
        <w:spacing w:after="0" w:line="169"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8"/>
          <w:szCs w:val="18"/>
          <w:color w:val="auto"/>
        </w:rPr>
        <w:t>Janus Capital has an indirect 100% ownership stake in Bay Isle Financial LLC ("Bay Isle") and an indirect 50.1% ownership stake in Enhanced Investment Technologies LLC ("INTECH"). Due to the above ownership structure, holdings for Janus Capital, Bay Isle and INTECH are aggregated for purposes of this filing. Janus Capital, Bay Isle and INTECH are registered investment advisers, each furnishing investment advice to various investment companies registered under Section 8 of the Investment Company Act of 1940 and to individual and institutional clients (collectively referred to herein as "Managed Portfolios").</w:t>
      </w:r>
    </w:p>
    <w:p>
      <w:pPr>
        <w:spacing w:after="0" w:line="104" w:lineRule="exact"/>
        <w:rPr>
          <w:sz w:val="20"/>
          <w:szCs w:val="20"/>
          <w:color w:val="auto"/>
        </w:rPr>
      </w:pPr>
    </w:p>
    <w:p>
      <w:pPr>
        <w:ind w:right="3359"/>
        <w:spacing w:after="0" w:line="253"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632,485 shares or 0.3% of the shares outstanding of Amdocs Ltd. Ordinary Shares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3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jc w:val="both"/>
        <w:ind w:right="335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This statement is being filed to report the fact that the reporting persons have ceased to be the beneficial owners of more than five percent of the class of securities.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shares were acquired in the ordinary course of business, and</w:t>
      </w:r>
    </w:p>
    <w:p>
      <w:pPr>
        <w:sectPr>
          <w:pgSz w:w="11900" w:h="16838" w:orient="portrait"/>
          <w:cols w:equalWidth="0" w:num="1">
            <w:col w:w="10219"/>
          </w:cols>
          <w:pgMar w:left="240" w:top="110" w:right="1440" w:bottom="0" w:gutter="0" w:footer="0" w:header="0"/>
        </w:sectPr>
      </w:pPr>
    </w:p>
    <w:bookmarkStart w:id="2" w:name="page3"/>
    <w:bookmarkEnd w:id="2"/>
    <w:p>
      <w:pPr>
        <w:ind w:right="3679"/>
        <w:spacing w:after="0" w:line="347" w:lineRule="auto"/>
        <w:rPr>
          <w:sz w:val="20"/>
          <w:szCs w:val="20"/>
          <w:color w:val="auto"/>
        </w:rPr>
      </w:pPr>
      <w:r>
        <w:rPr>
          <w:rFonts w:ascii="Courier New" w:cs="Courier New" w:eastAsia="Courier New" w:hAnsi="Courier New"/>
          <w:sz w:val="18"/>
          <w:szCs w:val="18"/>
          <w:color w:val="auto"/>
        </w:rPr>
        <w:t>not with the purpose of changing or influencing control of the Issuer.</w:t>
      </w:r>
    </w:p>
    <w:p>
      <w:pPr>
        <w:spacing w:after="0" w:line="18"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MANAGEMENT LLC</w:t>
      </w:r>
    </w:p>
    <w:p>
      <w:pPr>
        <w:sectPr>
          <w:pgSz w:w="11900" w:h="16838" w:orient="portrait"/>
          <w:cols w:equalWidth="0" w:num="1">
            <w:col w:w="10219"/>
          </w:cols>
          <w:pgMar w:left="240" w:top="11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tabs>
          <w:tab w:leader="none" w:pos="720" w:val="left"/>
          <w:tab w:leader="none" w:pos="4720" w:val="left"/>
        </w:tabs>
        <w:rPr>
          <w:sz w:val="20"/>
          <w:szCs w:val="20"/>
          <w:color w:val="auto"/>
        </w:rPr>
      </w:pPr>
      <w:r>
        <w:rPr>
          <w:rFonts w:ascii="Courier New" w:cs="Courier New" w:eastAsia="Courier New" w:hAnsi="Courier New"/>
          <w:sz w:val="18"/>
          <w:szCs w:val="18"/>
          <w:color w:val="auto"/>
        </w:rPr>
        <w:t>/s/</w:t>
        <w:tab/>
        <w:t>Heidi J. Walter</w:t>
      </w:r>
      <w:r>
        <w:rPr>
          <w:sz w:val="20"/>
          <w:szCs w:val="20"/>
          <w:color w:val="auto"/>
        </w:rPr>
        <w:tab/>
      </w:r>
      <w:r>
        <w:rPr>
          <w:rFonts w:ascii="Courier New" w:cs="Courier New" w:eastAsia="Courier New" w:hAnsi="Courier New"/>
          <w:sz w:val="16"/>
          <w:szCs w:val="16"/>
          <w:color w:val="auto"/>
        </w:rPr>
        <w:t>02/14/2003</w:t>
      </w:r>
    </w:p>
    <w:p>
      <w:pPr>
        <w:spacing w:after="0" w:line="29" w:lineRule="exact"/>
        <w:rPr>
          <w:sz w:val="20"/>
          <w:szCs w:val="20"/>
          <w:color w:val="auto"/>
        </w:rPr>
      </w:pPr>
    </w:p>
    <w:p>
      <w:pPr>
        <w:spacing w:after="0"/>
        <w:tabs>
          <w:tab w:leader="none" w:pos="4920" w:val="left"/>
        </w:tabs>
        <w:rPr>
          <w:sz w:val="20"/>
          <w:szCs w:val="20"/>
          <w:color w:val="auto"/>
        </w:rPr>
      </w:pPr>
      <w:r>
        <w:rPr>
          <w:rFonts w:ascii="Courier New" w:cs="Courier New" w:eastAsia="Courier New" w:hAnsi="Courier New"/>
          <w:sz w:val="18"/>
          <w:szCs w:val="18"/>
          <w:color w:val="auto"/>
        </w:rPr>
        <w:t>Heidi J. Walter,</w:t>
      </w:r>
      <w:r>
        <w:rPr>
          <w:sz w:val="20"/>
          <w:szCs w:val="20"/>
          <w:color w:val="auto"/>
        </w:rPr>
        <w:tab/>
      </w:r>
      <w:r>
        <w:rPr>
          <w:rFonts w:ascii="Courier New" w:cs="Courier New" w:eastAsia="Courier New" w:hAnsi="Courier New"/>
          <w:sz w:val="18"/>
          <w:szCs w:val="18"/>
          <w:color w:val="auto"/>
        </w:rPr>
        <w:t>Date</w:t>
      </w:r>
    </w:p>
    <w:p>
      <w:pPr>
        <w:ind w:left="200"/>
        <w:spacing w:after="0"/>
        <w:rPr>
          <w:sz w:val="20"/>
          <w:szCs w:val="20"/>
          <w:color w:val="auto"/>
        </w:rPr>
      </w:pPr>
      <w:r>
        <w:rPr>
          <w:rFonts w:ascii="Courier New" w:cs="Courier New" w:eastAsia="Courier New" w:hAnsi="Courier New"/>
          <w:sz w:val="18"/>
          <w:szCs w:val="18"/>
          <w:color w:val="auto"/>
        </w:rPr>
        <w:t>Vice President and Assistant General Counsel</w:t>
      </w:r>
    </w:p>
    <w:sectPr>
      <w:pgSz w:w="11900" w:h="16838" w:orient="portrait"/>
      <w:cols w:equalWidth="0" w:num="2">
        <w:col w:w="220" w:space="0"/>
        <w:col w:w="999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lvl w:ilvl="1">
      <w:lvlJc w:val="left"/>
      <w:lvlText w:val="%2."/>
      <w:numFmt w:val="lowerLetter"/>
      <w:start w:val="1"/>
    </w:lvl>
  </w:abstractNum>
  <w:abstractNum w:abstractNumId="4">
    <w:nsid w:val="41B71EFB"/>
    <w:multiLevelType w:val="hybridMultilevel"/>
    <w:lvl w:ilvl="0">
      <w:lvlJc w:val="left"/>
      <w:lvlText w:val="%1."/>
      <w:numFmt w:val="decimal"/>
      <w:start w:val="3"/>
    </w:lvl>
    <w:lvl w:ilvl="1">
      <w:lvlJc w:val="left"/>
      <w:lvlText w:val="%2"/>
      <w:numFmt w:val="lowerLetter"/>
      <w:start w:val="1"/>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2019-12-14T21:14:41Z</dcterms:created>
  <dcterms:modified xsi:type="dcterms:W3CDTF">2019-12-14T21:14:41Z</dcterms:modified>
</cp:coreProperties>
</file>