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2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0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0" w:type="dxa"/>
            <w:vAlign w:val="bottom"/>
            <w:gridSpan w:val="3"/>
          </w:tcPr>
          <w:p>
            <w:pPr>
              <w:jc w:val="center"/>
              <w:ind w:right="280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gridSpan w:val="5"/>
          </w:tcPr>
          <w:p>
            <w:pPr>
              <w:jc w:val="center"/>
              <w:ind w:right="194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60" w:type="dxa"/>
            <w:vAlign w:val="bottom"/>
            <w:gridSpan w:val="6"/>
          </w:tcPr>
          <w:p>
            <w:pPr>
              <w:jc w:val="center"/>
              <w:ind w:right="1660"/>
              <w:spacing w:after="0"/>
              <w:rPr>
                <w:sz w:val="20"/>
                <w:szCs w:val="20"/>
                <w:color w:val="auto"/>
              </w:rPr>
            </w:pPr>
            <w:r>
              <w:rPr>
                <w:rFonts w:ascii="Arial" w:cs="Arial" w:eastAsia="Arial" w:hAnsi="Arial"/>
                <w:sz w:val="18"/>
                <w:szCs w:val="18"/>
                <w:color w:val="auto"/>
                <w:w w:val="94"/>
              </w:rPr>
              <w:t>FOR THE QUARTER ENDED DECEMBER 31, 2015</w:t>
            </w:r>
          </w:p>
        </w:tc>
        <w:tc>
          <w:tcPr>
            <w:tcW w:w="19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2"/>
          </w:tcPr>
          <w:p>
            <w:pPr>
              <w:jc w:val="center"/>
              <w:ind w:right="302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4"/>
                <w:szCs w:val="24"/>
                <w:color w:val="auto"/>
              </w:rPr>
            </w:pPr>
          </w:p>
        </w:tc>
      </w:tr>
      <w:tr>
        <w:trPr>
          <w:trHeight w:val="419"/>
        </w:trPr>
        <w:tc>
          <w:tcPr>
            <w:tcW w:w="94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8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906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0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240" w:type="dxa"/>
            <w:vAlign w:val="bottom"/>
            <w:gridSpan w:val="7"/>
          </w:tcPr>
          <w:p>
            <w:pPr>
              <w:spacing w:after="0"/>
              <w:rPr>
                <w:sz w:val="16"/>
                <w:szCs w:val="16"/>
                <w:color w:val="auto"/>
              </w:rPr>
            </w:pPr>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76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2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460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38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340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Operating and Financial Review and Prospects</w:t>
              </w:r>
            </w:hyperlink>
          </w:p>
        </w:tc>
        <w:tc>
          <w:tcPr>
            <w:tcW w:w="512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PART II OTHER INFORMATION</w:t>
              </w:r>
            </w:hyperlink>
          </w:p>
        </w:tc>
        <w:tc>
          <w:tcPr>
            <w:tcW w:w="688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1.</w:t>
              </w:r>
            </w:hyperlink>
          </w:p>
        </w:tc>
        <w:tc>
          <w:tcPr>
            <w:tcW w:w="8520" w:type="dxa"/>
            <w:vAlign w:val="bottom"/>
            <w:gridSpan w:val="14"/>
          </w:tcPr>
          <w:p>
            <w:pPr>
              <w:ind w:left="2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Changes in Securities, Use of Proceeds and Issuer Purchases of Equity Securities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Item 2.</w:t>
              </w:r>
            </w:hyperlink>
          </w:p>
        </w:tc>
        <w:tc>
          <w:tcPr>
            <w:tcW w:w="586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Reports on Form 6-K</w:t>
              </w:r>
            </w:hyperlink>
          </w:p>
        </w:tc>
        <w:tc>
          <w:tcPr>
            <w:tcW w:w="266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2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12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91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865,893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1,035,573</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319,963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318,439</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714,784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150,733</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158,633</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2,097,762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2,378,162</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309,320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130,864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80,130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2,040,173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2,049,093</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229,124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252,517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255,430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5,053,605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5,324,652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114,624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111,974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616,699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608,827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224,232</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198,470</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1,168,805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1,363,503</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305,985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248,322</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1,627,021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1,917,810</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20" w:type="dxa"/>
            <w:vAlign w:val="bottom"/>
          </w:tcPr>
          <w:p>
            <w:pPr>
              <w:ind w:left="360"/>
              <w:spacing w:after="0" w:line="201" w:lineRule="exact"/>
              <w:rPr>
                <w:sz w:val="20"/>
                <w:szCs w:val="20"/>
                <w:color w:val="auto"/>
              </w:rPr>
            </w:pPr>
            <w:r>
              <w:rPr>
                <w:rFonts w:ascii="Arial" w:cs="Arial" w:eastAsia="Arial" w:hAnsi="Arial"/>
                <w:sz w:val="18"/>
                <w:szCs w:val="18"/>
                <w:color w:val="auto"/>
                <w:w w:val="98"/>
              </w:rPr>
              <w:t>Ordinary Shares — Authorized 700,000 shares; £0.01 par value; 268,748 and 267,777 issued and 150,360 and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20" w:type="dxa"/>
            <w:vAlign w:val="bottom"/>
          </w:tcPr>
          <w:p>
            <w:pPr>
              <w:ind w:left="540"/>
              <w:spacing w:after="0"/>
              <w:rPr>
                <w:sz w:val="20"/>
                <w:szCs w:val="20"/>
                <w:color w:val="auto"/>
              </w:rPr>
            </w:pPr>
            <w:r>
              <w:rPr>
                <w:rFonts w:ascii="Arial" w:cs="Arial" w:eastAsia="Arial" w:hAnsi="Arial"/>
                <w:sz w:val="18"/>
                <w:szCs w:val="18"/>
                <w:color w:val="auto"/>
              </w:rPr>
              <w:t>151,150 outstanding, respectively</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4,331</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3,222,855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3,182,573</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Treasury stock, at cost 118,388 and 116,627 ordinary shares, respectively</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(3,711,069)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(3,611,105)</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(16,753)</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3,923,073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3,847,796</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3,426,584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3,406,842</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5,053,605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5,324,652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921,505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595,568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62,487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63,641</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119,548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113,580</w:t>
            </w:r>
          </w:p>
        </w:tc>
        <w:tc>
          <w:tcPr>
            <w:tcW w:w="0" w:type="dxa"/>
            <w:vAlign w:val="bottom"/>
          </w:tcPr>
          <w:p>
            <w:pPr>
              <w:spacing w:after="0"/>
              <w:rPr>
                <w:sz w:val="1"/>
                <w:szCs w:val="1"/>
                <w:color w:val="auto"/>
              </w:rPr>
            </w:pPr>
          </w:p>
        </w:tc>
      </w:tr>
      <w:tr>
        <w:trPr>
          <w:trHeight w:val="223"/>
        </w:trPr>
        <w:tc>
          <w:tcPr>
            <w:tcW w:w="96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801,970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119,535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117,870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143,065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100,842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$100,842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(1,015)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104,974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$(983) and $3,260 for the three months ended December 31, 2015 and 2014, respectively.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$10 and $8 for the three months ended December 31, 2015 and 2014,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100,842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51,127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Loss (gain) from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4,518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(327,249)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(169,680)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865,893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951,439</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15,184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entertainment and media industry service providers. The Company and its subsidiaries operate in one segment, providing integrated products and services. The Company designs, develops, markets, supports, implements and operates customer experience solutions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2015, set forth in the Company’s Annual Report on Form 20-F filed on December 10, 2015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 The Company’s prior year consolidated balance sheet as of September 30, 2015 reflects the reclassification of taxes receivable to prepaid expenses and other current assets, as well as current taxes payable to accrued expenses and other current liabilities to conform with the current period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January 2016, the Financial Accounting Standards Board, or FASB, issued an Accounting Standard Update, or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substantive content of its consolidated financial statements.</w:t>
      </w:r>
    </w:p>
    <w:p>
      <w:pPr>
        <w:spacing w:after="0" w:line="188"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May 2014, the FASB issued an ASU on revenue from contracts with customers,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The Company is evaluating the methods and timing of its adoption, as well as the effect that adoption of this ASU will have on its consolidated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will be effective for public business entities in fiscal years beginning after December 15, 2016, including interim periods within those years, and early adoption is permitted. The Company prospectively adopted this ASU effective October 1, 2015 and, as such, the Company’s consolidated balance sheet as of September 30, 2015 does not reflect the reclassification of current deferred tax assets and liabilities as noncurrent amounts.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supported by little or no market activity that is significant to the fair value of the assets or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As of December 31, 2015</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Level 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20" w:type="dxa"/>
            <w:vAlign w:val="bottom"/>
            <w:gridSpan w:val="5"/>
          </w:tcPr>
          <w:p>
            <w:pPr>
              <w:jc w:val="right"/>
              <w:ind w:right="40"/>
              <w:spacing w:after="0"/>
              <w:rPr>
                <w:sz w:val="20"/>
                <w:szCs w:val="20"/>
                <w:color w:val="auto"/>
              </w:rPr>
            </w:pPr>
            <w:r>
              <w:rPr>
                <w:rFonts w:ascii="Arial" w:cs="Arial" w:eastAsia="Arial" w:hAnsi="Arial"/>
                <w:sz w:val="18"/>
                <w:szCs w:val="18"/>
                <w:color w:val="auto"/>
              </w:rPr>
              <w:t>$319,982</w:t>
            </w:r>
          </w:p>
        </w:tc>
        <w:tc>
          <w:tcPr>
            <w:tcW w:w="520" w:type="dxa"/>
            <w:vAlign w:val="bottom"/>
            <w:gridSpan w:val="3"/>
          </w:tcPr>
          <w:p>
            <w:pPr>
              <w:jc w:val="center"/>
              <w:ind w:left="333"/>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$319,982</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treasuries</w:t>
            </w:r>
          </w:p>
        </w:tc>
        <w:tc>
          <w:tcPr>
            <w:tcW w:w="3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110,893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110,893</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w w:val="89"/>
              </w:rPr>
              <w:t>110,566</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110,566</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39,070</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39,070</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Asset backed obligations</w:t>
            </w: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30,684</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30,684</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and certificates of deposit</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26,466</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26,466</w:t>
            </w:r>
          </w:p>
        </w:tc>
        <w:tc>
          <w:tcPr>
            <w:tcW w:w="80" w:type="dxa"/>
            <w:vAlign w:val="bottom"/>
            <w:shd w:val="clear" w:color="auto" w:fill="CCEEFF"/>
          </w:tcPr>
          <w:p>
            <w:pPr>
              <w:spacing w:after="0"/>
              <w:rPr>
                <w:sz w:val="18"/>
                <w:szCs w:val="18"/>
                <w:color w:val="auto"/>
              </w:rPr>
            </w:pP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color w:val="auto"/>
              </w:rPr>
              <w:t>Supranational and sovereign debt</w:t>
            </w: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10,166</w:t>
            </w:r>
          </w:p>
        </w:tc>
        <w:tc>
          <w:tcPr>
            <w:tcW w:w="4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430,875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9"/>
              </w:rPr>
              <w:t>216,952</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647,827</w:t>
            </w:r>
          </w:p>
        </w:tc>
        <w:tc>
          <w:tcPr>
            <w:tcW w:w="80" w:type="dxa"/>
            <w:vAlign w:val="bottom"/>
            <w:shd w:val="clear" w:color="auto" w:fill="CCEEFF"/>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(5,648)</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430,875</w:t>
            </w:r>
          </w:p>
        </w:tc>
        <w:tc>
          <w:tcPr>
            <w:tcW w:w="1580" w:type="dxa"/>
            <w:vAlign w:val="bottom"/>
            <w:gridSpan w:val="6"/>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211,304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642,179</w:t>
            </w:r>
          </w:p>
        </w:tc>
        <w:tc>
          <w:tcPr>
            <w:tcW w:w="8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4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As of September 30, 2015</w:t>
            </w: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2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440" w:type="dxa"/>
            <w:vAlign w:val="bottom"/>
            <w:gridSpan w:val="5"/>
          </w:tcPr>
          <w:p>
            <w:pPr>
              <w:jc w:val="center"/>
              <w:ind w:right="760"/>
              <w:spacing w:after="0" w:line="142"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2"/>
                <w:szCs w:val="12"/>
                <w:color w:val="auto"/>
              </w:rPr>
            </w:pPr>
          </w:p>
        </w:tc>
        <w:tc>
          <w:tcPr>
            <w:tcW w:w="7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980" w:type="dxa"/>
            <w:vAlign w:val="bottom"/>
            <w:gridSpan w:val="4"/>
          </w:tcPr>
          <w:p>
            <w:pPr>
              <w:jc w:val="right"/>
              <w:ind w:right="494"/>
              <w:spacing w:after="0"/>
              <w:rPr>
                <w:sz w:val="20"/>
                <w:szCs w:val="20"/>
                <w:color w:val="auto"/>
              </w:rPr>
            </w:pPr>
            <w:r>
              <w:rPr>
                <w:rFonts w:ascii="Arial" w:cs="Arial" w:eastAsia="Arial" w:hAnsi="Arial"/>
                <w:sz w:val="18"/>
                <w:szCs w:val="18"/>
                <w:color w:val="auto"/>
              </w:rPr>
              <w:t>$470,286</w:t>
            </w:r>
          </w:p>
        </w:tc>
        <w:tc>
          <w:tcPr>
            <w:tcW w:w="40" w:type="dxa"/>
            <w:vAlign w:val="bottom"/>
          </w:tcPr>
          <w:p>
            <w:pPr>
              <w:spacing w:after="0"/>
              <w:rPr>
                <w:sz w:val="18"/>
                <w:szCs w:val="18"/>
                <w:color w:val="auto"/>
              </w:rPr>
            </w:pPr>
          </w:p>
        </w:tc>
        <w:tc>
          <w:tcPr>
            <w:tcW w:w="4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w w:val="90"/>
              </w:rPr>
              <w:t>$470,286</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treasuries</w:t>
            </w:r>
          </w:p>
        </w:tc>
        <w:tc>
          <w:tcPr>
            <w:tcW w:w="2980" w:type="dxa"/>
            <w:vAlign w:val="bottom"/>
            <w:gridSpan w:val="4"/>
            <w:shd w:val="clear" w:color="auto" w:fill="CCEEFF"/>
          </w:tcPr>
          <w:p>
            <w:pPr>
              <w:jc w:val="right"/>
              <w:ind w:right="494"/>
              <w:spacing w:after="0"/>
              <w:rPr>
                <w:sz w:val="20"/>
                <w:szCs w:val="20"/>
                <w:color w:val="auto"/>
              </w:rPr>
            </w:pPr>
            <w:r>
              <w:rPr>
                <w:rFonts w:ascii="Arial" w:cs="Arial" w:eastAsia="Arial" w:hAnsi="Arial"/>
                <w:sz w:val="18"/>
                <w:szCs w:val="18"/>
                <w:color w:val="auto"/>
              </w:rPr>
              <w:t>117,452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117,452</w:t>
            </w: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1700" w:type="dxa"/>
            <w:vAlign w:val="bottom"/>
          </w:tcPr>
          <w:p>
            <w:pPr>
              <w:spacing w:after="0"/>
              <w:rPr>
                <w:sz w:val="18"/>
                <w:szCs w:val="18"/>
                <w:color w:val="auto"/>
              </w:rPr>
            </w:pPr>
          </w:p>
        </w:tc>
        <w:tc>
          <w:tcPr>
            <w:tcW w:w="132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gridSpan w:val="5"/>
          </w:tcPr>
          <w:p>
            <w:pPr>
              <w:jc w:val="right"/>
              <w:ind w:right="210"/>
              <w:spacing w:after="0"/>
              <w:rPr>
                <w:sz w:val="20"/>
                <w:szCs w:val="20"/>
                <w:color w:val="auto"/>
              </w:rPr>
            </w:pPr>
            <w:r>
              <w:rPr>
                <w:rFonts w:ascii="Arial" w:cs="Arial" w:eastAsia="Arial" w:hAnsi="Arial"/>
                <w:sz w:val="18"/>
                <w:szCs w:val="18"/>
                <w:color w:val="auto"/>
              </w:rPr>
              <w:t>101,603</w:t>
            </w:r>
          </w:p>
        </w:tc>
        <w:tc>
          <w:tcPr>
            <w:tcW w:w="46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101,603</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17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210"/>
              <w:spacing w:after="0"/>
              <w:rPr>
                <w:sz w:val="20"/>
                <w:szCs w:val="20"/>
                <w:color w:val="auto"/>
              </w:rPr>
            </w:pPr>
            <w:r>
              <w:rPr>
                <w:rFonts w:ascii="Arial" w:cs="Arial" w:eastAsia="Arial" w:hAnsi="Arial"/>
                <w:sz w:val="18"/>
                <w:szCs w:val="18"/>
                <w:color w:val="auto"/>
              </w:rPr>
              <w:t>45,181</w:t>
            </w:r>
          </w:p>
        </w:tc>
        <w:tc>
          <w:tcPr>
            <w:tcW w:w="4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45,181</w:t>
            </w:r>
          </w:p>
        </w:tc>
      </w:tr>
      <w:tr>
        <w:trPr>
          <w:trHeight w:val="365"/>
        </w:trPr>
        <w:tc>
          <w:tcPr>
            <w:tcW w:w="4180" w:type="dxa"/>
            <w:vAlign w:val="bottom"/>
          </w:tcPr>
          <w:p>
            <w:pPr>
              <w:spacing w:after="0"/>
              <w:rPr>
                <w:sz w:val="24"/>
                <w:szCs w:val="24"/>
                <w:color w:val="auto"/>
              </w:rPr>
            </w:pPr>
          </w:p>
        </w:tc>
        <w:tc>
          <w:tcPr>
            <w:tcW w:w="1700" w:type="dxa"/>
            <w:vAlign w:val="bottom"/>
          </w:tcPr>
          <w:p>
            <w:pPr>
              <w:jc w:val="right"/>
              <w:ind w:right="95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As of September 30, 2015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2"/>
                <w:szCs w:val="12"/>
                <w:color w:val="auto"/>
              </w:rPr>
            </w:pPr>
          </w:p>
        </w:tc>
        <w:tc>
          <w:tcPr>
            <w:tcW w:w="134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Level 2</w:t>
            </w: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 backed obligations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960" w:type="dxa"/>
            <w:vAlign w:val="bottom"/>
            <w:gridSpan w:val="3"/>
          </w:tcPr>
          <w:p>
            <w:pPr>
              <w:jc w:val="right"/>
              <w:ind w:right="640"/>
              <w:spacing w:after="0"/>
              <w:rPr>
                <w:sz w:val="20"/>
                <w:szCs w:val="20"/>
                <w:color w:val="auto"/>
              </w:rPr>
            </w:pPr>
            <w:r>
              <w:rPr>
                <w:rFonts w:ascii="Arial" w:cs="Arial" w:eastAsia="Arial" w:hAnsi="Arial"/>
                <w:sz w:val="18"/>
                <w:szCs w:val="18"/>
                <w:color w:val="auto"/>
              </w:rPr>
              <w:t>25,487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27,502</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10,443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10,443</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589,753</w:t>
            </w:r>
          </w:p>
        </w:tc>
        <w:tc>
          <w:tcPr>
            <w:tcW w:w="6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211,929</w:t>
            </w:r>
          </w:p>
        </w:tc>
        <w:tc>
          <w:tcPr>
            <w:tcW w:w="6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801,682</w:t>
            </w:r>
          </w:p>
        </w:tc>
        <w:tc>
          <w:tcPr>
            <w:tcW w:w="10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(13,097)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(13,097)</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589,753</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198,832</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788,585</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$319,982</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111,177</w:t>
            </w:r>
          </w:p>
        </w:tc>
        <w:tc>
          <w:tcPr>
            <w:tcW w:w="1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110,893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110,842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110,566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39,120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39,070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26,466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26,466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3"/>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648,529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48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2015, $319,963 of securities were classified as short-term interest-bearing investments and $327,864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0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$470,286</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117,235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117,452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101,613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101,603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45,105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45,181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29,195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27,502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27,502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23"/>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801,359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2015, $318,439 of securities were classified as short-term interest-bearing investments and $483,243 of securities were classified as cash and cash equivalents.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December 31, 2015,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three months ended December 31, 2015 and 2014. Realized gains and losses on available-for-sale securities are included in earnings and are derived using the first-in-first-out (FIFO) method for determining the cost of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116,198</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16,497</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647,827</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$4,874 as of December 31, 2015.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2015. Notional values are in U.S. dollars and are translated and calculated based on forward rates as of December 31, 2015 for forward contracts, and based on spot rates as of December 31, 2015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1,324,416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December 31, 2015 and September 30, 2015,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(10,549)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(14,640)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(3,990)</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(2,028)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(3,139)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(5,648)</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(13,097)</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two years. A significant portion of the forward and option contracts outstanding as of December 31, 2015 is scheduled to mature within the next 12 months.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months ended December 31, 2015 and 2014, respectively, which partially offsets the foreign currency impact from the underlying exposures, is summarized as follows:</w:t>
      </w:r>
    </w:p>
    <w:p>
      <w:pPr>
        <w:spacing w:after="0" w:line="165"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(Losses) Gains Reclassified from</w:t>
      </w:r>
    </w:p>
    <w:p>
      <w:pPr>
        <w:jc w:val="center"/>
        <w:ind w:left="5740"/>
        <w:spacing w:after="0" w:line="226" w:lineRule="auto"/>
        <w:rPr>
          <w:sz w:val="20"/>
          <w:szCs w:val="20"/>
          <w:color w:val="auto"/>
        </w:rPr>
      </w:pPr>
      <w:r>
        <w:rPr>
          <w:rFonts w:ascii="Arial" w:cs="Arial" w:eastAsia="Arial" w:hAnsi="Arial"/>
          <w:sz w:val="14"/>
          <w:szCs w:val="14"/>
          <w:b w:val="1"/>
          <w:bCs w:val="1"/>
          <w:color w:val="auto"/>
        </w:rPr>
        <w:t>Other Comprehensive Income</w:t>
      </w:r>
    </w:p>
    <w:p>
      <w:pPr>
        <w:jc w:val="center"/>
        <w:ind w:left="5740"/>
        <w:spacing w:after="0" w:line="222" w:lineRule="auto"/>
        <w:rPr>
          <w:sz w:val="20"/>
          <w:szCs w:val="20"/>
          <w:color w:val="auto"/>
        </w:rPr>
      </w:pPr>
      <w:r>
        <w:rPr>
          <w:rFonts w:ascii="Arial" w:cs="Arial" w:eastAsia="Arial" w:hAnsi="Arial"/>
          <w:sz w:val="14"/>
          <w:szCs w:val="14"/>
          <w:b w:val="1"/>
          <w:bCs w:val="1"/>
          <w:color w:val="auto"/>
        </w:rPr>
        <w:t>(Loss) (Effective Portion)</w:t>
      </w:r>
    </w:p>
    <w:p>
      <w:pPr>
        <w:ind w:left="7520"/>
        <w:spacing w:after="0" w:line="231"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1380" w:type="dxa"/>
        <w:tblCellMar>
          <w:top w:w="0" w:type="dxa"/>
          <w:left w:w="0" w:type="dxa"/>
          <w:bottom w:w="0" w:type="dxa"/>
          <w:right w:w="0" w:type="dxa"/>
        </w:tblCellMar>
      </w:tblPr>
      <w:tr>
        <w:trPr>
          <w:trHeight w:val="142"/>
        </w:trPr>
        <w:tc>
          <w:tcPr>
            <w:tcW w:w="38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Revenue</w:t>
            </w:r>
          </w:p>
        </w:tc>
        <w:tc>
          <w:tcPr>
            <w:tcW w:w="21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460" w:type="dxa"/>
            <w:vAlign w:val="bottom"/>
          </w:tcPr>
          <w:p>
            <w:pPr>
              <w:spacing w:after="0"/>
              <w:rPr>
                <w:sz w:val="18"/>
                <w:szCs w:val="18"/>
                <w:color w:val="auto"/>
              </w:rPr>
            </w:pPr>
          </w:p>
        </w:tc>
        <w:tc>
          <w:tcPr>
            <w:tcW w:w="6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(283)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80" w:type="dxa"/>
            <w:vAlign w:val="bottom"/>
            <w:vMerge w:val="restart"/>
          </w:tcPr>
          <w:p>
            <w:pPr>
              <w:jc w:val="right"/>
              <w:ind w:right="133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activity related to the changes in net unrealized losses on cash flow hedges recorded in accumulated other comprehensive loss, net of tax, is as follows:</w:t>
      </w:r>
    </w:p>
    <w:p>
      <w:pPr>
        <w:spacing w:after="0" w:line="189"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jc w:val="center"/>
        <w:ind w:left="8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8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 on cash flow hedges, net of tax,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(12,152)</w:t>
            </w:r>
          </w:p>
        </w:tc>
        <w:tc>
          <w:tcPr>
            <w:tcW w:w="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(5,522)</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3,939</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(19,887)</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losses into earnings, net of tax</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4,997</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unrealized losses on cash flow hedges, net of tax, end of period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(20,412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gains (losses) from cash flow hedges recognized in other comprehensive income (loss) were $4,766 and $(23,960), or $3,939 and $(19,887) net of taxes, during the three months ended December 31, 2015 and 2014, respectively.</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Of the net losses related to derivatives designated as cash flow hedges and recorded in accumulated other comprehensive loss as of December 31, 2015, a net loss of $5,255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2015 and 2014,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2015 and 2014, respectively, which partially offsets the foreign currency impact from the underlying exposure, is summarized as follows:</w:t>
      </w:r>
    </w:p>
    <w:p>
      <w:pPr>
        <w:spacing w:after="0" w:line="200"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Gains (Losses)</w:t>
      </w:r>
    </w:p>
    <w:p>
      <w:pPr>
        <w:jc w:val="center"/>
        <w:ind w:left="572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5720"/>
        <w:spacing w:after="0" w:line="232" w:lineRule="auto"/>
        <w:rPr>
          <w:sz w:val="20"/>
          <w:szCs w:val="20"/>
          <w:color w:val="auto"/>
        </w:rPr>
      </w:pPr>
      <w:r>
        <w:rPr>
          <w:rFonts w:ascii="Arial" w:cs="Arial" w:eastAsia="Arial" w:hAnsi="Arial"/>
          <w:sz w:val="14"/>
          <w:szCs w:val="14"/>
          <w:b w:val="1"/>
          <w:bCs w:val="1"/>
          <w:color w:val="auto"/>
        </w:rPr>
        <w:t>Three months ended December 31,</w:t>
      </w:r>
    </w:p>
    <w:tbl>
      <w:tblPr>
        <w:tblLayout w:type="fixed"/>
        <w:tblInd w:w="1380" w:type="dxa"/>
        <w:tblCellMar>
          <w:top w:w="0" w:type="dxa"/>
          <w:left w:w="0" w:type="dxa"/>
          <w:bottom w:w="0" w:type="dxa"/>
          <w:right w:w="0" w:type="dxa"/>
        </w:tblCellMar>
      </w:tblPr>
      <w:tr>
        <w:trPr>
          <w:trHeight w:val="142"/>
        </w:trPr>
        <w:tc>
          <w:tcPr>
            <w:tcW w:w="386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Revenue</w:t>
            </w:r>
          </w:p>
        </w:tc>
        <w:tc>
          <w:tcPr>
            <w:tcW w:w="21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Interest and other (expense) income, net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60" w:type="dxa"/>
            <w:vAlign w:val="bottom"/>
            <w:vMerge w:val="restart"/>
          </w:tcPr>
          <w:p>
            <w:pPr>
              <w:jc w:val="right"/>
              <w:ind w:right="13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0" w:type="dxa"/>
            <w:vAlign w:val="bottom"/>
            <w:gridSpan w:val="4"/>
          </w:tcPr>
          <w:p>
            <w:pPr>
              <w:jc w:val="center"/>
              <w:ind w:left="45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687,850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82,251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(42,042)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(33,837)</w:t>
            </w:r>
          </w:p>
        </w:tc>
        <w:tc>
          <w:tcPr>
            <w:tcW w:w="0" w:type="dxa"/>
            <w:vAlign w:val="bottom"/>
          </w:tcPr>
          <w:p>
            <w:pPr>
              <w:spacing w:after="0"/>
              <w:rPr>
                <w:sz w:val="1"/>
                <w:szCs w:val="1"/>
                <w:color w:val="auto"/>
              </w:rPr>
            </w:pPr>
          </w:p>
        </w:tc>
      </w:tr>
      <w:tr>
        <w:trPr>
          <w:trHeight w:val="223"/>
        </w:trPr>
        <w:tc>
          <w:tcPr>
            <w:tcW w:w="6340" w:type="dxa"/>
            <w:vAlign w:val="bottom"/>
            <w:gridSpan w:val="2"/>
          </w:tcPr>
          <w:p>
            <w:pPr>
              <w:ind w:left="1380"/>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728,059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12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193,747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Taxes payable</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68,766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316,044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1260" w:type="dxa"/>
            <w:vAlign w:val="bottom"/>
            <w:gridSpan w:val="2"/>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616,699</w:t>
            </w:r>
          </w:p>
        </w:tc>
        <w:tc>
          <w:tcPr>
            <w:tcW w:w="1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608,827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8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$ 27,625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Deferred</w:t>
            </w:r>
          </w:p>
        </w:tc>
        <w:tc>
          <w:tcPr>
            <w:tcW w:w="28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(10,597)</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(23,761)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$ 17,028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Three months ended</w:t>
      </w:r>
    </w:p>
    <w:p>
      <w:pPr>
        <w:jc w:val="center"/>
        <w:ind w:left="64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Foreign taxes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19"/>
                <w:szCs w:val="19"/>
                <w:color w:val="auto"/>
              </w:rPr>
            </w:pP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Foreign taxes in the three months ended December 31, 2014 included a net benefit of $7,594 due to settlements of tax audits in certain jurisdictions that resulted in a reduction to the Company’s provision for gross unrecognized tax benefits, partially offset by an increase to the Company’s taxes payable. Foreign taxes in the three months ended December 31, 2014 also included a net benefit of $13,050 resulting from the release of valuation allowances on deferred tax assets at one of the Company’s subsidiaries, which will, more likely than not, be realized based on the Company’s projections of future taxable income.</w:t>
      </w:r>
    </w:p>
    <w:p>
      <w:pPr>
        <w:spacing w:after="0" w:line="188"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As of December 31, 2015, deferred tax assets of $99,269, derived primarily from tax credits, net capital and operating loss carry forwards related to some of the Company’s subsidiaries, were offset by valuation allowances related to the uncertainty of realizing tax benefit for such credits and losses.</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$136,285 as of December 31, 2015, all of which would affect the effective tax rate if realized.</w:t>
      </w:r>
    </w:p>
    <w:p>
      <w:pPr>
        <w:sectPr>
          <w:pgSz w:w="11900" w:h="16838" w:orient="portrait"/>
          <w:cols w:equalWidth="0" w:num="1">
            <w:col w:w="11380"/>
          </w:cols>
          <w:pgMar w:left="240" w:top="459" w:right="279" w:bottom="144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45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2015, the Company had accrued $22,930 in income taxes payable for interest and penalties relating to unrecognized tax benefits.</w:t>
      </w:r>
    </w:p>
    <w:p>
      <w:pPr>
        <w:spacing w:after="0" w:line="248"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jc w:val="center"/>
        <w:ind w:left="8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8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100,842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130,990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150,631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155,897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149,155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151,577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December 31, 2015 and 2014, 909 and 812 shares, respectively, on a weighted average basis, were attributable to antidilutive outstanding stock options and therefore were not included in the calculation of diluted earnings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time to time, the Company’s Board of Directors has adopted share repurchase plans authorizing the repurchase of the Company’s outstanding ordinary shares. The Company’s Board of Directors adopted a share repurchase plan on April 30, 2014, for the repurchase of up to $750,000 of the Company’s outstanding ordinary shares with no expiration date. In the three months ended December 31, 2015, the Company repurchased approximately 1,761 ordinary shares at an average price of $56.75 per share (excluding broker and transaction fees), and as of December 31, 2015, the Company had remaining authority to repurchase up to $160,151 of its outstanding ordinary shares. On February 2, 2016, the Company’s Board of Directors adopted another share repurchase plan for the repurchase of up to an additional $750,000 of its outstanding ordinary shares with no expiration date. Each of the share repurchase plans permits the Company to purchase its ordinary shares in open market or privately negotiated transactions at times and prices that it considers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September 2015, the Company borrowed an aggregate of $220,000 under its unsecured $500,000 five-year revolving credit facility with a syndicate of banks and repaid it in October 2015. As of December 31, 2015, the Company was in compliance with the financial covenants under the revolving credit facility and had no outstanding borrowings under this facility.</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December 31, 2015, the Company had additional uncommitted lines of credit available for general corporate and other specific purposes and had outstanding letters of credit and bank guarantees from various banks totaling $74,681. These were supported by a combination of the uncommitted lines of credit that the Company maintains with various banks.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January 1998, the Company adopted the 1998 Stock Option and Incentive Plan, or Equity Incentive Plan, which provides for the grant of restricted stock awards, stock options and other equity-based awards to employees, officers, directors, and consultants. Awards granted under the Equity Incentive Plan generally vest over a period of four years and stock options have a term of ten years.</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three months ended December 31, 2015, the Company granted 289 restricted shares and options to purchase 885 ordinary shares. The weighted average fair values associated with these grants were $55.04 per restricted share and $8.04 per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months ended December 31, 2015 and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560" w:type="dxa"/>
            <w:vAlign w:val="bottom"/>
            <w:tcBorders>
              <w:top w:val="single" w:sz="8" w:color="auto"/>
            </w:tcBorders>
            <w:gridSpan w:val="3"/>
          </w:tcPr>
          <w:p>
            <w:pPr>
              <w:ind w:left="7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13,898</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As of December 31, 2015, there was $49,651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88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40" w:type="dxa"/>
            <w:vAlign w:val="bottom"/>
          </w:tcPr>
          <w:p>
            <w:pPr>
              <w:spacing w:after="0"/>
              <w:rPr>
                <w:sz w:val="14"/>
                <w:szCs w:val="14"/>
                <w:color w:val="auto"/>
              </w:rPr>
            </w:pPr>
          </w:p>
        </w:tc>
        <w:tc>
          <w:tcPr>
            <w:tcW w:w="290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Record Date</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24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240" w:type="dxa"/>
            <w:vAlign w:val="bottom"/>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November 10,</w:t>
            </w:r>
          </w:p>
        </w:tc>
        <w:tc>
          <w:tcPr>
            <w:tcW w:w="1300" w:type="dxa"/>
            <w:vAlign w:val="bottom"/>
            <w:tcBorders>
              <w:top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4"/>
              </w:rPr>
              <w:t>2015</w:t>
            </w: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0.170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25,565</w:t>
            </w:r>
          </w:p>
        </w:tc>
        <w:tc>
          <w:tcPr>
            <w:tcW w:w="5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15, 2016</w:t>
            </w: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0.155</w:t>
            </w:r>
          </w:p>
        </w:tc>
        <w:tc>
          <w:tcPr>
            <w:tcW w:w="3140" w:type="dxa"/>
            <w:vAlign w:val="bottom"/>
            <w:gridSpan w:val="3"/>
          </w:tcPr>
          <w:p>
            <w:pPr>
              <w:ind w:left="240"/>
              <w:spacing w:after="0"/>
              <w:rPr>
                <w:sz w:val="20"/>
                <w:szCs w:val="20"/>
                <w:color w:val="auto"/>
              </w:rPr>
            </w:pPr>
            <w:r>
              <w:rPr>
                <w:rFonts w:ascii="Arial" w:cs="Arial" w:eastAsia="Arial" w:hAnsi="Arial"/>
                <w:sz w:val="18"/>
                <w:szCs w:val="18"/>
                <w:color w:val="auto"/>
              </w:rPr>
              <w:t>December 31, 2014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24,086</w:t>
            </w:r>
          </w:p>
        </w:tc>
        <w:tc>
          <w:tcPr>
            <w:tcW w:w="2480" w:type="dxa"/>
            <w:vAlign w:val="bottom"/>
          </w:tcPr>
          <w:p>
            <w:pPr>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payable as a result of the November 10, 2015 declaration was included in accrued expenses and other current liabilities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February 2, 2016, the Company’s Board of Directors approved the next quarterly dividend payment and set March 31, 2016 as the record date for determining the shareholders entitled to receive the dividend, which is payable on April 15, 2016. On February 3, 2016, at the annual general meeting of shareholders, the Company’s shareholders approved an increase in the rate of the quarterly cash dividend from $0.170 per share to $0.195 per share. As a result, the April 15, 2016 cash dividend will be paid at the increased rate of $0.195 per share.</w:t>
      </w:r>
    </w:p>
    <w:p>
      <w:pPr>
        <w:spacing w:after="0" w:line="291" w:lineRule="exact"/>
        <w:rPr>
          <w:sz w:val="20"/>
          <w:szCs w:val="20"/>
          <w:color w:val="auto"/>
        </w:rPr>
      </w:pPr>
    </w:p>
    <w:p>
      <w:pPr>
        <w:ind w:left="460" w:right="9600" w:hanging="452"/>
        <w:spacing w:after="0" w:line="425" w:lineRule="auto"/>
        <w:tabs>
          <w:tab w:leader="none" w:pos="27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three months ended December 31, 2015 and 2014.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of intellectual property infringement made by third parties arising from the use of the Company’s software. To date, the Company has incurred and recorded immaterial costs as a result of such obligations in its consolidated financial statements.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2015, filed on December 10, 2015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Amdocs is a leading provider of software and services for communications, entertainment and media industry service providers in developed countries and emerging markets. We develop, implement and manage software and services associated with business support systems (BSS), operational support systems (OSS) and network operations to enable service providers to efficiently and cost-effectively introduce new products and services, such as mobile financial services, process orders more efficiently, monetize data,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the demand for our customer experience solutions is driven by the desire of service providers to help their consumer and business customers navigate the increasing number of devices, services and plans available in today’s communications world and the need of service providers to cope with the rapidly growing demand for data that these new devices and services have created.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and valuable at every point of interaction.</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Amdocs CES (customer experience solutions) enables service providers to respond to the multidimensional demands of customers, as a result of which service providers are expected to offer innovative and personalized services that are delivered consistently across channels and with a seamless network experience. In the first quarter of fiscal 2016, we released Amdocs Kenan AX3.1 and C1 3.7.8, based on the BSS assets we acquired from Comverse. Amdocs Kenan AX3.1 provides ad-hoc or subscription-based enterprise-grade billing and is available for deployment on public or private cloud environments. Amdocs C1 3.7.8 supports complete BSS convergence and online charging into existing postpaid environments.</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also offer advertising and media products and services for media publishers, advertising agencies, advertising service providers and directory publishers. These offerings enable the management of media selling, fulfillment, operations, consumer experiences and financial processes across digital and print media.</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entertainment and media industry. In the three months ended December 31, 2015, customers in North America accounted for 62.6% of our revenue, while customers in Europe and the rest of the world accounted for 14.0% and 23.4%, respectively. We maintain development facilities in Brazil, Canada, Cyprus, India, Ireland, Israel, Mexico, the Philippines, the United Kingdom and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Revenue generated in connection with managed services arrangements is a significant part of our business, generating substantial, long-term recurring revenue streams and cash flow. Revenue from managed services arrangements accounted for approximately $487.6 million and $467.1 million in the three months ended December 31, 2015 and 2014,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January 2016, the Financial Accounting Standards Board, or FASB, issued an Accounting Standard Update, or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us on October 1, 2018, and early adoption is permitted. We expect adoption of this ASU may result in changes in our financial statements presentation but will not affect the substantive content of our consolidated financial statements.</w:t>
      </w:r>
    </w:p>
    <w:p>
      <w:pPr>
        <w:spacing w:after="0" w:line="188"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May 2014, the FASB issued an ASU on revenue from contracts with customers,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We are evaluating the methods and timing of our adoption, as well as the effect that adoption of this ASU will have on our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will be effective for public business entities in fiscal years beginning after December 15, 2016, including interim periods within those years and early adoption is permitted. We prospectively adopted this ASU effective October 1, 2015 and, as such, our consolidated balance sheet as of September 30, 2015 does not reflect the reclassification of current deferred tax assets and liabilities as noncurrent amounts.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sets forth for the three months ended December 31, 2015 and 2014, certain items in our consolidated statements of income reflected as a percentage of total revenue:</w:t>
      </w:r>
    </w:p>
    <w:p>
      <w:pPr>
        <w:spacing w:after="0" w:line="189"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Three months ended</w:t>
      </w:r>
    </w:p>
    <w:p>
      <w:pPr>
        <w:jc w:val="center"/>
        <w:ind w:left="6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2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w w:val="89"/>
              </w:rPr>
              <w:t>Amortization of purchased intangible assets and other</w:t>
            </w:r>
          </w:p>
        </w:tc>
        <w:tc>
          <w:tcPr>
            <w:tcW w:w="27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5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3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00" w:type="dxa"/>
            <w:vAlign w:val="bottom"/>
            <w:vMerge w:val="restart"/>
          </w:tcPr>
          <w:p>
            <w:pPr>
              <w:jc w:val="right"/>
              <w:ind w:right="2430"/>
              <w:spacing w:after="0"/>
              <w:rPr>
                <w:sz w:val="20"/>
                <w:szCs w:val="20"/>
                <w:color w:val="auto"/>
              </w:rPr>
            </w:pPr>
            <w:r>
              <w:rPr>
                <w:rFonts w:ascii="Arial" w:cs="Arial" w:eastAsia="Arial" w:hAnsi="Arial"/>
                <w:sz w:val="18"/>
                <w:szCs w:val="18"/>
                <w:color w:val="auto"/>
                <w:w w:val="79"/>
              </w:rPr>
              <w:t>19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2015 and 2014</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2015 compared to the three months ended December 31, 2014.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20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$921,505</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$906,287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$ 15,218</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595,568</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573,446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22,122</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62,487</w:t>
            </w:r>
          </w:p>
        </w:tc>
        <w:tc>
          <w:tcPr>
            <w:tcW w:w="16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63,641</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(1,154)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119,548</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113,580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24,367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14,099</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10,268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764,766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37,204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(21,986)</w:t>
            </w:r>
          </w:p>
        </w:tc>
        <w:tc>
          <w:tcPr>
            <w:tcW w:w="4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1,544</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(3,209)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(207.8)</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143,065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(25,195)</w:t>
            </w:r>
          </w:p>
        </w:tc>
        <w:tc>
          <w:tcPr>
            <w:tcW w:w="4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17,028</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100,842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130,990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(30,148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$15.2 million, or 1.7%, to $921.5 million in the three months ended December 31, 2015, from $906.3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2014. The increase in revenue was primarily attributable to increased activity in the rest of the world and, to a lesser extent, in Europe, partially offset by lower revenue from North America. The 1.7% increase in revenue was net of a decrease of approximately 3.5% from foreign exchange fluctuations.</w:t>
      </w:r>
    </w:p>
    <w:p>
      <w:pPr>
        <w:spacing w:after="0" w:line="18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Revenue attributable to the sale of customer experience solutions increased by $12.0 million, or 1.4%, to $894.4 million in the three months ended December 31, 2015, from $882.4 million in the three months ended December 31, 2014. The increase in revenue was primarily attributable to increased activity in the rest of the world and, to a lesser extent, in Europe, partially offset by lower revenue from North America. Revenue resulting from the sale of customer experience solutions represented 97.1% and 97.4% of our total revenue in the three months ended December 31, 2015 and 2014, respectively.</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Revenue attributable to the sale of directory systems increased by $3.2 million, or 13.4%, to $27.1 million in the three months ended December 31, 2015, from $23.9 million in the three months ended December 31, 2014. Due to the continued slowness in the directory systems market, we expect that directory revenue will continue to decline in fiscal 2016. Revenue from the sale of directory systems represented 2.9% and 2.6% of our total revenue in the three months ended December 31, 2015 and 2014, respectively.</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three months ended December 31, 2015, revenue from customers in North America, Europe and the rest of the world accounted for 62.6%, 14.0% and 23.4%, respectively, of total revenue, compared to 72.7%, 11.8% and 15.5%, respectively, in the three months ended December 31, 2014. The decrease in the percentage of revenue from customers in North America was primarily driven by AT&amp;T’s continued slow pace of discretionary spending. The increase in the percentage of revenue from customers in Europe was attributable to expanding our business relations with new and existing customers. Revenue from customers in the rest of the world increased as a percentage of total revenue as a result of our progress in implementing complex modernization projects in both Latin America and Asia-Pacific for new and existing customers, while capitalizing on the sustained business momentum with former Comverse customers.</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third-party products, as well as fee and royalty payments to software suppliers. Cost of revenue increased by $22.1 million, or 3.9%, to $595.6 million in the three months ended December 31, 2015, from $573.4 million in the three months ended December 31, 2014. As a percentage of revenue, cost of revenue increased to 64.6% in the three months ended December 31, 2015, from 63.3% in the three months ended December 31, 2014. The reduction in the gross margin in the three months ended December 31, 2015 was primarily attributable to our increased activity outside of North America, where we continued our penetration efforts in order to expand our business into those markets.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$1.2 million, or 1.8%, to $62.5 million in the three months ended December 31, 2015, from $63.6 million in the three months ended December 31, 2014. Research and development expense decreased as a percentage of revenue from 7.0% in the three months ended December 31, 2014, to</w:t>
      </w:r>
    </w:p>
    <w:p>
      <w:pPr>
        <w:ind w:right="120"/>
        <w:spacing w:after="0" w:line="277" w:lineRule="auto"/>
        <w:rPr>
          <w:sz w:val="20"/>
          <w:szCs w:val="20"/>
          <w:color w:val="auto"/>
        </w:rPr>
      </w:pPr>
      <w:r>
        <w:rPr>
          <w:rFonts w:ascii="Arial" w:cs="Arial" w:eastAsia="Arial" w:hAnsi="Arial"/>
          <w:sz w:val="17"/>
          <w:szCs w:val="17"/>
          <w:color w:val="auto"/>
        </w:rPr>
        <w:t>6.8% in the three months ended December 31, 2015.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$6.0 million, or 5.3%, to $119.5 million in the three months ended December 31, 2015, from $113.6 million in the three months ended December 31, 2014. The increase in selling, general and administrative expense was primarily attributable to an increase in the allowance for doubtful accounts.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increased by $10.3 million to $24.4 million from $14.1 million in the three months ended December 31, 2014. The increase in amortization of purchased intangible assets and other was primarily attributable to an increase in amortization of intangible assets due to the acquisition of the BSS assets of Comverse.</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$22.0 million, or 15.5%, in the three months ended December 31, 2015, to $119.5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13.0% of revenue, from $141.5 million, or 15.6% of revenue, in the three months ended December 31, 2014. The decrease in operating income as a percentage of revenue was primarily attributable to the reduction in our gross margin, as well as to the increase in amortization of purchased intangible assets and other. Positive foreign exchange impacts on our operating expenses were partially offset by the negative foreign exchange impacts on our revenue, resulting in a minor positive impact on our operating income.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(Expense) Income, Net. </w:t>
      </w:r>
      <w:r>
        <w:rPr>
          <w:rFonts w:ascii="Arial" w:cs="Arial" w:eastAsia="Arial" w:hAnsi="Arial"/>
          <w:sz w:val="18"/>
          <w:szCs w:val="18"/>
          <w:color w:val="auto"/>
        </w:rPr>
        <w:t>Interest and other (expense) income, net, changed from a net gain of $1.5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to a net loss of $1.7 million in the three months ended December 31, 2015. This change in interest and other (expense) income, net, was primarily attributable to a financing gain, resulting from changes in fair value of certain acquisition-related liabilities recognized in the three months ended December 31, 2014.</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2015 were $17.0 million on pre-tax income of $117.9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14.4%, compared to 8.4% in the three months ended December 31, 2014. The lower tax rate in the three months ended December 31, 2014 was attributable to a benefit from a release of valuation allowances on deferred tax assets during the three months ended December 31, 2014, coupled with a benefit due to a decrease in the amount of the provision for gross unrecognized tax benefits as a result of tax positions that were settled during the three months ended December 31, 2014. These items were partially offset by an increase in the effective tax rate attributable to the geographical distribution of earnings from global operations. Our effective tax rate may fluctuate between periods as a result of discrete items that may affect a particular period. Please see Note 9 to our consolidated financial statements.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$30.1 million, or 23.0%, to $100.8 million in the three months ended December 31, 2015, from $131.0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2014. The decrease in net income was attributable to the decrease in operating income and, to a lesser extent, the increase in income taxes coupled with the change in interest and other (expense) income, net.</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decreased by $0.17, or 20.5%, to $0.66 in the three months ended December 31, 2015,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$0.83 in the three months ended December 31, 2014. The decrease in diluted earnings per share was primarily attributable to the decrease in net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net of short-term debt, totaled $1.19 billion as of December 31, 2015, compared to $1.13 billion as of September 30, 2015. The increase was mainly attributable to $198.8 million in positive cash flow from operations and $15.5 million of proceeds from stock option exercises, partially offset by $100.0 million used to repurchase our ordinary shares, $38.3 million for capital expenditures, net, and $25.7 million of cash dividend payments. Net cash provided by operating activities amounted to $198.8 million and $208.4 million in the three months ended December 31, 2015 and 2014,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2015 and 2014, we did not recognize any credit losses. Please see Notes 4 and 5 to the consolidated financial statements.</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2015, we borrowed an aggregate of $220.0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October 2015. As of December 31, 2015, we were in compliance with the financial covenants under the revolving credit facility and had no outstanding borrowings under this facility.</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December 31, 2015, we had additional uncommitted lines of credit available for general corporate and other specific purposes and had outstanding letters of credit and bank guarantees from various banks totaling $74.7 million. These were supported by a combination of the uncommitted lines of credit that we maintain with various banks.</w:t>
      </w:r>
    </w:p>
    <w:p>
      <w:pPr>
        <w:spacing w:after="0" w:line="18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2015, filed on December 10, 2015 with the SEC. Since September 30, 2015, there have been no material changes in our aggregate contractual obligations.</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$38.3 million in the three months ended December 31, 2015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has adopted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Our Board of Directors adopted a share repurchase plan in April 2014 for the repurchase of up to $750.0 million of our outstanding ordinary shares with no expiration date. In the three months ended December 31, 2015, we repurchased 1.8 million ordinary shares at an average price of $56.75 per share (excluding broker and transaction fees), and as of December 31, 2015, we had remaining authority to repurchase up to $160.2 million of our outstanding ordinary shares. On February 2, 2016, our Board of Directors adopted another share repurchase plan for the repurchase of up to an additional $750.0 million of our outstanding ordinary shares with no expiration date. Each of the share repurchase plans permits us to purchase our ordinary shares in open market or privately negotiated transactions at times and prices that we consider appropriate.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94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8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Record Date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4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4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2840" w:type="dxa"/>
            <w:vAlign w:val="bottom"/>
            <w:gridSpan w:val="2"/>
            <w:vMerge w:val="continue"/>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November 10,</w:t>
            </w:r>
          </w:p>
        </w:tc>
        <w:tc>
          <w:tcPr>
            <w:tcW w:w="1360" w:type="dxa"/>
            <w:vAlign w:val="bottom"/>
            <w:tcBorders>
              <w:top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4"/>
              </w:rPr>
              <w:t>2015</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0.170</w:t>
            </w:r>
          </w:p>
        </w:tc>
        <w:tc>
          <w:tcPr>
            <w:tcW w:w="5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15, 2016</w:t>
            </w: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0.155</w:t>
            </w:r>
          </w:p>
        </w:tc>
        <w:tc>
          <w:tcPr>
            <w:tcW w:w="284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24.1</w:t>
            </w:r>
          </w:p>
        </w:tc>
        <w:tc>
          <w:tcPr>
            <w:tcW w:w="2420" w:type="dxa"/>
            <w:vAlign w:val="bottom"/>
          </w:tcPr>
          <w:p>
            <w:pPr>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r>
        <w:trPr>
          <w:trHeight w:val="350"/>
        </w:trPr>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ind w:left="80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2, 2016, our Board of Directors approved the next quarterly dividend payment and set March 31, 2016 as the record date for determining the shareholders entitled to receive the dividend, which is payable on April 15, 2016. On February 3, 2016, at the annual general meeting of shareholders, our shareholders approved an increase in the rate of the quarterly cash dividend from $0.170 per share to $0.195 per share. As a result, the April 15, 2016 cash dividend will be paid at the increased rate of $0.195 per share.</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During the three months ended December 31, 2015 and 2014,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 We periodically assess the applicability of the U.S. dollar as our functional currency by reviewing the salient indicators.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2015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820" w:type="dxa"/>
            <w:vAlign w:val="bottom"/>
            <w:gridSpan w:val="2"/>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20" w:type="dxa"/>
            <w:vAlign w:val="bottom"/>
            <w:vMerge w:val="continue"/>
          </w:tcPr>
          <w:p>
            <w:pPr>
              <w:spacing w:after="0"/>
              <w:rPr>
                <w:sz w:val="14"/>
                <w:szCs w:val="14"/>
                <w:color w:val="auto"/>
              </w:rPr>
            </w:pPr>
          </w:p>
        </w:tc>
        <w:tc>
          <w:tcPr>
            <w:tcW w:w="482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5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Paid per Share(1)</w:t>
            </w: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10/01/15-10/31/15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375,700</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4"/>
              </w:rPr>
              <w:t>58.38</w:t>
            </w:r>
          </w:p>
        </w:tc>
        <w:tc>
          <w:tcPr>
            <w:tcW w:w="5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375,700</w:t>
            </w: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238,154,601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11/01/15-11/30/15</w:t>
            </w:r>
          </w:p>
        </w:tc>
        <w:tc>
          <w:tcPr>
            <w:tcW w:w="1040" w:type="dxa"/>
            <w:vAlign w:val="bottom"/>
          </w:tcPr>
          <w:p>
            <w:pPr>
              <w:jc w:val="right"/>
              <w:spacing w:after="0"/>
              <w:rPr>
                <w:sz w:val="20"/>
                <w:szCs w:val="20"/>
                <w:color w:val="auto"/>
              </w:rPr>
            </w:pPr>
            <w:r>
              <w:rPr>
                <w:rFonts w:ascii="Arial" w:cs="Arial" w:eastAsia="Arial" w:hAnsi="Arial"/>
                <w:sz w:val="18"/>
                <w:szCs w:val="18"/>
                <w:color w:val="auto"/>
              </w:rPr>
              <w:t>876,548</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56.47</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876,548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188,656,108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12/01/15-12/31/15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508,822</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56.02</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508,822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160,150,711</w:t>
            </w:r>
          </w:p>
        </w:tc>
        <w:tc>
          <w:tcPr>
            <w:tcW w:w="0" w:type="dxa"/>
            <w:vAlign w:val="bottom"/>
          </w:tcPr>
          <w:p>
            <w:pPr>
              <w:spacing w:after="0"/>
              <w:rPr>
                <w:sz w:val="1"/>
                <w:szCs w:val="1"/>
                <w:color w:val="auto"/>
              </w:rPr>
            </w:pPr>
          </w:p>
        </w:tc>
      </w:tr>
      <w:tr>
        <w:trPr>
          <w:trHeight w:val="223"/>
        </w:trPr>
        <w:tc>
          <w:tcPr>
            <w:tcW w:w="5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1,761,070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56.75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1,761,070</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160,150,711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right="240" w:hanging="452"/>
        <w:spacing w:after="0" w:line="29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April 2014, our Board of Directors adopted a share repurchase plan authorizing the repurchase of up to $750.0 million of our outstanding ordinary shares, which has no expiration date. In February 2016, our Board of Directors adopted another share repurchase plan for the repurchase of up to an additional $750.0 million of our outstanding ordinary shares with no expiration date. Each of the share repurchase plans permits us to purchase our ordinary shares in open market or privately negotiated transactions at times and prices we consider appropriate.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During the three months ended December 31, 2015, we issued an aggregate of 8,538 ordinary shares upon the conversion of certain of our convertible notes due 2024. Pursuant to the indenture governing the notes, the notes are currently convertible into our ordinary shares, and as of December 31, 2015, $0.2 million principal amount of the notes remained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2015:</w:t>
      </w:r>
    </w:p>
    <w:p>
      <w:pPr>
        <w:spacing w:after="0" w:line="117"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November 10, 2015</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December 16, 2015</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December 31,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5"/>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2019-12-06T22:08:23Z</dcterms:created>
  <dcterms:modified xsi:type="dcterms:W3CDTF">2019-12-06T22:08:23Z</dcterms:modified>
</cp:coreProperties>
</file>