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8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month of January, 2018</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0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90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-10160</wp:posOffset>
            </wp:positionV>
            <wp:extent cx="342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1">
            <w:col w:w="10580"/>
          </w:cols>
          <w:pgMar w:left="240" w:top="368" w:right="10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Voting Results.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At the 2018 Annual General Meeting of Shareholders of Amdocs Limited (the “Company”) held on January 26, 2018, the proposals listed below were submitted to a vote of the Company’s shareholders. The proposals are described in the Company’s proxy statement for the 2018 Annual General Meeting of Shareholders.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Proposal 1 – The election of eleven nominees to the Company’s Board of Directors each for a term of one year.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11 nominees named in the proxy statement were elected to serve as directors until the Company’s 2018 Annual General Meeting of Shareholders.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Information as to the vote on each director standing for election is provided below:</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Nominee</w:t>
            </w:r>
          </w:p>
        </w:tc>
        <w:tc>
          <w:tcPr>
            <w:tcW w:w="14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Votes For</w:t>
            </w: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7"/>
              </w:rPr>
              <w:t>Votes Against</w:t>
            </w:r>
          </w:p>
        </w:tc>
        <w:tc>
          <w:tcPr>
            <w:tcW w:w="15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Votes Abstaining</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Broker Non-Votes</w:t>
            </w:r>
          </w:p>
        </w:tc>
      </w:tr>
      <w:tr>
        <w:trPr>
          <w:trHeight w:val="210"/>
        </w:trPr>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Robert</w:t>
            </w: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 Minicucci</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117,063,724</w:t>
            </w:r>
          </w:p>
        </w:tc>
        <w:tc>
          <w:tcPr>
            <w:tcW w:w="5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3,653,575</w:t>
            </w:r>
          </w:p>
        </w:tc>
        <w:tc>
          <w:tcPr>
            <w:tcW w:w="5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326,198</w:t>
            </w:r>
          </w:p>
        </w:tc>
        <w:tc>
          <w:tcPr>
            <w:tcW w:w="5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53,124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Adrian Gardner</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116,453,938</w:t>
            </w:r>
          </w:p>
        </w:tc>
        <w:tc>
          <w:tcPr>
            <w:tcW w:w="840" w:type="dxa"/>
            <w:vAlign w:val="bottom"/>
          </w:tcPr>
          <w:p>
            <w:pPr>
              <w:jc w:val="right"/>
              <w:spacing w:after="0"/>
              <w:rPr>
                <w:sz w:val="20"/>
                <w:szCs w:val="20"/>
                <w:color w:val="auto"/>
              </w:rPr>
            </w:pPr>
            <w:r>
              <w:rPr>
                <w:rFonts w:ascii="Arial" w:cs="Arial" w:eastAsia="Arial" w:hAnsi="Arial"/>
                <w:sz w:val="18"/>
                <w:szCs w:val="18"/>
                <w:color w:val="auto"/>
              </w:rPr>
              <w:t>4,453,165</w:t>
            </w:r>
          </w:p>
        </w:tc>
        <w:tc>
          <w:tcPr>
            <w:tcW w:w="50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136,394</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53,124</w:t>
            </w: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T. McLennan</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116,793,179</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4,111,896</w:t>
            </w: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138,422</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53,124</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Zohar Zisapel</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117,554,230</w:t>
            </w:r>
          </w:p>
        </w:tc>
        <w:tc>
          <w:tcPr>
            <w:tcW w:w="840" w:type="dxa"/>
            <w:vAlign w:val="bottom"/>
          </w:tcPr>
          <w:p>
            <w:pPr>
              <w:jc w:val="right"/>
              <w:spacing w:after="0"/>
              <w:rPr>
                <w:sz w:val="20"/>
                <w:szCs w:val="20"/>
                <w:color w:val="auto"/>
              </w:rPr>
            </w:pPr>
            <w:r>
              <w:rPr>
                <w:rFonts w:ascii="Arial" w:cs="Arial" w:eastAsia="Arial" w:hAnsi="Arial"/>
                <w:sz w:val="18"/>
                <w:szCs w:val="18"/>
                <w:color w:val="auto"/>
              </w:rPr>
              <w:t>3,353,839</w:t>
            </w:r>
          </w:p>
        </w:tc>
        <w:tc>
          <w:tcPr>
            <w:tcW w:w="50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135,428</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53,124</w:t>
            </w: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Julian A. Brodsky</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117,363,154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3,544,873</w:t>
            </w:r>
          </w:p>
        </w:tc>
        <w:tc>
          <w:tcPr>
            <w:tcW w:w="5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135,470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53,124</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Eli Gelman</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118,893,858</w:t>
            </w:r>
          </w:p>
        </w:tc>
        <w:tc>
          <w:tcPr>
            <w:tcW w:w="840" w:type="dxa"/>
            <w:vAlign w:val="bottom"/>
          </w:tcPr>
          <w:p>
            <w:pPr>
              <w:jc w:val="right"/>
              <w:spacing w:after="0"/>
              <w:rPr>
                <w:sz w:val="20"/>
                <w:szCs w:val="20"/>
                <w:color w:val="auto"/>
              </w:rPr>
            </w:pPr>
            <w:r>
              <w:rPr>
                <w:rFonts w:ascii="Arial" w:cs="Arial" w:eastAsia="Arial" w:hAnsi="Arial"/>
                <w:sz w:val="18"/>
                <w:szCs w:val="18"/>
                <w:color w:val="auto"/>
              </w:rPr>
              <w:t>2,015,549</w:t>
            </w:r>
          </w:p>
        </w:tc>
        <w:tc>
          <w:tcPr>
            <w:tcW w:w="50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134,090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53,124</w:t>
            </w: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S. Kahan</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115,027,119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5,877,500</w:t>
            </w:r>
          </w:p>
        </w:tc>
        <w:tc>
          <w:tcPr>
            <w:tcW w:w="5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138,878</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53,124</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Richard T.C. LeFave</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119,526,879</w:t>
            </w:r>
          </w:p>
        </w:tc>
        <w:tc>
          <w:tcPr>
            <w:tcW w:w="840" w:type="dxa"/>
            <w:vAlign w:val="bottom"/>
          </w:tcPr>
          <w:p>
            <w:pPr>
              <w:jc w:val="right"/>
              <w:spacing w:after="0"/>
              <w:rPr>
                <w:sz w:val="20"/>
                <w:szCs w:val="20"/>
                <w:color w:val="auto"/>
              </w:rPr>
            </w:pPr>
            <w:r>
              <w:rPr>
                <w:rFonts w:ascii="Arial" w:cs="Arial" w:eastAsia="Arial" w:hAnsi="Arial"/>
                <w:sz w:val="18"/>
                <w:szCs w:val="18"/>
                <w:color w:val="auto"/>
              </w:rPr>
              <w:t>1,380,093</w:t>
            </w:r>
          </w:p>
        </w:tc>
        <w:tc>
          <w:tcPr>
            <w:tcW w:w="50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136,525</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53,124</w:t>
            </w: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Giora Yaron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120,828,500</w:t>
            </w: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78,389</w:t>
            </w: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136,608</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53,124</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Ariane de Rothschild</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120,847,819</w:t>
            </w:r>
          </w:p>
        </w:tc>
        <w:tc>
          <w:tcPr>
            <w:tcW w:w="50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57,664</w:t>
            </w: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138,014</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53,124</w:t>
            </w: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Rafael de la Vega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120,825,862</w:t>
            </w: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81,979</w:t>
            </w: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135,656</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53,124</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Proposal 2 – The approval of an increase in the dividend rate under the Company’s quarterly cash dividend program from $0.22 per share to $0.25 per share.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shareholders approved an increase in the dividend rate under the Company’s quarterly cash dividend program from $0.22 per share to $0.25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voting results were as follows: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Votes For</w:t>
            </w:r>
          </w:p>
        </w:tc>
        <w:tc>
          <w:tcPr>
            <w:tcW w:w="3420" w:type="dxa"/>
            <w:vAlign w:val="bottom"/>
            <w:gridSpan w:val="2"/>
          </w:tcPr>
          <w:p>
            <w:pPr>
              <w:jc w:val="center"/>
              <w:ind w:right="2520"/>
              <w:spacing w:after="0"/>
              <w:rPr>
                <w:sz w:val="20"/>
                <w:szCs w:val="20"/>
                <w:color w:val="auto"/>
              </w:rPr>
            </w:pPr>
            <w:r>
              <w:rPr>
                <w:rFonts w:ascii="Arial" w:cs="Arial" w:eastAsia="Arial" w:hAnsi="Arial"/>
                <w:sz w:val="14"/>
                <w:szCs w:val="14"/>
                <w:b w:val="1"/>
                <w:bCs w:val="1"/>
                <w:color w:val="auto"/>
                <w:w w:val="87"/>
              </w:rPr>
              <w:t>Votes Against</w:t>
            </w:r>
          </w:p>
        </w:tc>
        <w:tc>
          <w:tcPr>
            <w:tcW w:w="3620" w:type="dxa"/>
            <w:vAlign w:val="bottom"/>
            <w:gridSpan w:val="2"/>
          </w:tcPr>
          <w:p>
            <w:pPr>
              <w:jc w:val="center"/>
              <w:ind w:right="2520"/>
              <w:spacing w:after="0"/>
              <w:rPr>
                <w:sz w:val="20"/>
                <w:szCs w:val="20"/>
                <w:color w:val="auto"/>
              </w:rPr>
            </w:pPr>
            <w:r>
              <w:rPr>
                <w:rFonts w:ascii="Arial" w:cs="Arial" w:eastAsia="Arial" w:hAnsi="Arial"/>
                <w:sz w:val="14"/>
                <w:szCs w:val="14"/>
                <w:b w:val="1"/>
                <w:bCs w:val="1"/>
                <w:color w:val="auto"/>
                <w:w w:val="89"/>
              </w:rPr>
              <w:t>Votes Abstaining</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4"/>
              </w:rPr>
              <w:t>120,910,937</w:t>
            </w:r>
          </w:p>
        </w:tc>
        <w:tc>
          <w:tcPr>
            <w:tcW w:w="14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2,886</w:t>
            </w:r>
          </w:p>
        </w:tc>
        <w:tc>
          <w:tcPr>
            <w:tcW w:w="25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129,674</w:t>
            </w:r>
          </w:p>
        </w:tc>
        <w:tc>
          <w:tcPr>
            <w:tcW w:w="25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53,124</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Proposal 3 – The approval of the Company’s Consolidated Financial Statements for the fiscal year ended September 30, 2017.</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shareholders approved the Company’s Consolidated Financial Statements for the fiscal year ended September 30, 2017. The voting results were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Votes For</w:t>
            </w:r>
          </w:p>
        </w:tc>
        <w:tc>
          <w:tcPr>
            <w:tcW w:w="3420" w:type="dxa"/>
            <w:vAlign w:val="bottom"/>
            <w:gridSpan w:val="2"/>
          </w:tcPr>
          <w:p>
            <w:pPr>
              <w:jc w:val="center"/>
              <w:ind w:right="2520"/>
              <w:spacing w:after="0"/>
              <w:rPr>
                <w:sz w:val="20"/>
                <w:szCs w:val="20"/>
                <w:color w:val="auto"/>
              </w:rPr>
            </w:pPr>
            <w:r>
              <w:rPr>
                <w:rFonts w:ascii="Arial" w:cs="Arial" w:eastAsia="Arial" w:hAnsi="Arial"/>
                <w:sz w:val="14"/>
                <w:szCs w:val="14"/>
                <w:b w:val="1"/>
                <w:bCs w:val="1"/>
                <w:color w:val="auto"/>
                <w:w w:val="87"/>
              </w:rPr>
              <w:t>Votes Against</w:t>
            </w:r>
          </w:p>
        </w:tc>
        <w:tc>
          <w:tcPr>
            <w:tcW w:w="3620" w:type="dxa"/>
            <w:vAlign w:val="bottom"/>
            <w:gridSpan w:val="2"/>
          </w:tcPr>
          <w:p>
            <w:pPr>
              <w:jc w:val="center"/>
              <w:ind w:right="2520"/>
              <w:spacing w:after="0"/>
              <w:rPr>
                <w:sz w:val="20"/>
                <w:szCs w:val="20"/>
                <w:color w:val="auto"/>
              </w:rPr>
            </w:pPr>
            <w:r>
              <w:rPr>
                <w:rFonts w:ascii="Arial" w:cs="Arial" w:eastAsia="Arial" w:hAnsi="Arial"/>
                <w:sz w:val="14"/>
                <w:szCs w:val="14"/>
                <w:b w:val="1"/>
                <w:bCs w:val="1"/>
                <w:color w:val="auto"/>
                <w:w w:val="89"/>
              </w:rPr>
              <w:t>Votes Abstaining</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4"/>
              </w:rPr>
              <w:t>120,435,863</w:t>
            </w:r>
          </w:p>
        </w:tc>
        <w:tc>
          <w:tcPr>
            <w:tcW w:w="14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12,369</w:t>
            </w:r>
          </w:p>
        </w:tc>
        <w:tc>
          <w:tcPr>
            <w:tcW w:w="25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595,265</w:t>
            </w:r>
          </w:p>
        </w:tc>
        <w:tc>
          <w:tcPr>
            <w:tcW w:w="25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53,124</w:t>
            </w:r>
          </w:p>
        </w:tc>
      </w:tr>
    </w:tbl>
    <w:p>
      <w:pPr>
        <w:spacing w:after="0" w:line="31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u w:val="single" w:color="auto"/>
          <w:color w:val="auto"/>
        </w:rPr>
        <w:t>Proposal 4 – The ratification and approval of the appointment of Ernst &amp; Young LLP as the Company’s independent registered public accounting firm for the fiscal year ending September 30, 2018, and until the next annual general meeting, and authorization of the Audit Committee of the Board of Directors to fix the remuneration of such independent registered public accounting firm in accordance with the nature and extent of its services.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shareholders ratified and approved the appointment of Ernst &amp; Young LLP as the Company’s independent registered public accounting firm for the fiscal year ending September 30, 2018, and until the next annual general meeting, and authorized the Audit Committee of the Board of Directors to fix the remuneration of such independent registered public accounting firm in accordance with the nature and extent of its services. The voting results were as follows:</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60" w:type="dxa"/>
            <w:vAlign w:val="bottom"/>
          </w:tcPr>
          <w:p>
            <w:pPr>
              <w:spacing w:after="0"/>
              <w:rPr>
                <w:sz w:val="14"/>
                <w:szCs w:val="14"/>
                <w:color w:val="auto"/>
              </w:rPr>
            </w:pPr>
          </w:p>
        </w:tc>
        <w:tc>
          <w:tcPr>
            <w:tcW w:w="2020" w:type="dxa"/>
            <w:vAlign w:val="bottom"/>
            <w:gridSpan w:val="2"/>
          </w:tcPr>
          <w:p>
            <w:pPr>
              <w:jc w:val="right"/>
              <w:ind w:right="1420"/>
              <w:spacing w:after="0"/>
              <w:rPr>
                <w:sz w:val="20"/>
                <w:szCs w:val="20"/>
                <w:color w:val="auto"/>
              </w:rPr>
            </w:pPr>
            <w:r>
              <w:rPr>
                <w:rFonts w:ascii="Arial" w:cs="Arial" w:eastAsia="Arial" w:hAnsi="Arial"/>
                <w:sz w:val="14"/>
                <w:szCs w:val="14"/>
                <w:b w:val="1"/>
                <w:bCs w:val="1"/>
                <w:color w:val="auto"/>
                <w:w w:val="89"/>
              </w:rPr>
              <w:t>Votes For</w:t>
            </w:r>
          </w:p>
        </w:tc>
        <w:tc>
          <w:tcPr>
            <w:tcW w:w="3480" w:type="dxa"/>
            <w:vAlign w:val="bottom"/>
            <w:gridSpan w:val="2"/>
          </w:tcPr>
          <w:p>
            <w:pPr>
              <w:jc w:val="center"/>
              <w:ind w:right="2620"/>
              <w:spacing w:after="0"/>
              <w:rPr>
                <w:sz w:val="20"/>
                <w:szCs w:val="20"/>
                <w:color w:val="auto"/>
              </w:rPr>
            </w:pPr>
            <w:r>
              <w:rPr>
                <w:rFonts w:ascii="Arial" w:cs="Arial" w:eastAsia="Arial" w:hAnsi="Arial"/>
                <w:sz w:val="14"/>
                <w:szCs w:val="14"/>
                <w:b w:val="1"/>
                <w:bCs w:val="1"/>
                <w:color w:val="auto"/>
                <w:w w:val="87"/>
              </w:rPr>
              <w:t>Votes Against</w:t>
            </w:r>
          </w:p>
        </w:tc>
        <w:tc>
          <w:tcPr>
            <w:tcW w:w="3680" w:type="dxa"/>
            <w:vAlign w:val="bottom"/>
            <w:gridSpan w:val="2"/>
          </w:tcPr>
          <w:p>
            <w:pPr>
              <w:jc w:val="center"/>
              <w:ind w:right="2620"/>
              <w:spacing w:after="0"/>
              <w:rPr>
                <w:sz w:val="20"/>
                <w:szCs w:val="20"/>
                <w:color w:val="auto"/>
              </w:rPr>
            </w:pPr>
            <w:r>
              <w:rPr>
                <w:rFonts w:ascii="Arial" w:cs="Arial" w:eastAsia="Arial" w:hAnsi="Arial"/>
                <w:sz w:val="14"/>
                <w:szCs w:val="14"/>
                <w:b w:val="1"/>
                <w:bCs w:val="1"/>
                <w:color w:val="auto"/>
                <w:w w:val="89"/>
              </w:rPr>
              <w:t>Votes Abstaining</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10"/>
        </w:trPr>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4"/>
              </w:rPr>
              <w:t>118,228,678</w:t>
            </w:r>
          </w:p>
        </w:tc>
        <w:tc>
          <w:tcPr>
            <w:tcW w:w="1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2,737,922</w:t>
            </w:r>
          </w:p>
        </w:tc>
        <w:tc>
          <w:tcPr>
            <w:tcW w:w="26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130,021</w:t>
            </w:r>
          </w:p>
        </w:tc>
        <w:tc>
          <w:tcPr>
            <w:tcW w:w="26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1">
            <w:col w:w="11400"/>
          </w:cols>
          <w:pgMar w:left="240" w:top="270" w:right="25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26, 2018</w:t>
      </w:r>
    </w:p>
    <w:sectPr>
      <w:pgSz w:w="11900" w:h="16838" w:orient="portrait"/>
      <w:cols w:equalWidth="0" w:num="1">
        <w:col w:w="11260"/>
      </w:cols>
      <w:pgMar w:left="240" w:top="27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2019-12-06T12:36:48Z</dcterms:created>
  <dcterms:modified xsi:type="dcterms:W3CDTF">2019-12-06T12:36:48Z</dcterms:modified>
</cp:coreProperties>
</file>