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3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50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PURSUANT TO RULE 13a-16 OR 15d-16</w:t>
      </w:r>
    </w:p>
    <w:p>
      <w:pPr>
        <w:jc w:val="center"/>
        <w:ind w:right="-8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For the month of May, 2017</w:t>
      </w:r>
    </w:p>
    <w:p>
      <w:pPr>
        <w:spacing w:after="0" w:line="22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left="3740"/>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262255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Hirzel House, Smith Street,</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30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4900"/>
        <w:spacing w:after="0" w:line="207" w:lineRule="exact"/>
        <w:tabs>
          <w:tab w:leader="none" w:pos="60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80"/>
          </w:cols>
          <w:pgMar w:left="240" w:top="368" w:right="1079" w:bottom="1440" w:gutter="0" w:footer="0" w:header="0"/>
        </w:sectPr>
      </w:pPr>
    </w:p>
    <w:bookmarkStart w:id="1" w:name="page2"/>
    <w:bookmarkEnd w:id="1"/>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May 9, 2017, Amdocs Limited (“Amdocs”) issued a press release announcing financial results for the quarter ended March 31, 2017. A copy of the press release is furnished as Exhibit 99.1 to this Report of Foreign Private Issuer on Form 6-K.</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1380"/>
          </w:cols>
          <w:pgMar w:left="240" w:top="274" w:right="27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Matthew E. Smith</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Secretary and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9, 2017</w:t>
      </w:r>
    </w:p>
    <w:p>
      <w:pPr>
        <w:sectPr>
          <w:pgSz w:w="11900" w:h="16838" w:orient="portrait"/>
          <w:cols w:equalWidth="0" w:num="1">
            <w:col w:w="11260"/>
          </w:cols>
          <w:pgMar w:left="240" w:top="270" w:right="399" w:bottom="1440" w:gutter="0" w:footer="0" w:header="0"/>
        </w:sectPr>
      </w:pPr>
    </w:p>
    <w:bookmarkStart w:id="3" w:name="page4"/>
    <w:bookmarkEnd w:id="3"/>
    <w:p>
      <w:pPr>
        <w:jc w:val="right"/>
        <w:ind w:right="38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7"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EXHIBIT</w:t>
      </w:r>
    </w:p>
    <w:p>
      <w:pPr>
        <w:ind w:left="180"/>
        <w:spacing w:after="0"/>
        <w:tabs>
          <w:tab w:leader="none" w:pos="124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3689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8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Amdocs Limited Press Release dated May 9, 2017.</w:t>
      </w:r>
    </w:p>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6963410" cy="16554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63410" cy="165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Amdocs Limited Reports Second Quarter Fiscal 2017 Results</w:t>
      </w:r>
    </w:p>
    <w:p>
      <w:pPr>
        <w:jc w:val="center"/>
        <w:spacing w:after="0" w:line="238" w:lineRule="auto"/>
        <w:rPr>
          <w:sz w:val="20"/>
          <w:szCs w:val="20"/>
          <w:color w:val="auto"/>
        </w:rPr>
      </w:pPr>
      <w:r>
        <w:rPr>
          <w:rFonts w:ascii="Arial" w:cs="Arial" w:eastAsia="Arial" w:hAnsi="Arial"/>
          <w:sz w:val="22"/>
          <w:szCs w:val="22"/>
          <w:b w:val="1"/>
          <w:bCs w:val="1"/>
          <w:i w:val="1"/>
          <w:iCs w:val="1"/>
          <w:color w:val="auto"/>
        </w:rPr>
        <w:t>Record Quarterly Revenue of $966M</w:t>
      </w:r>
    </w:p>
    <w:p>
      <w:pPr>
        <w:jc w:val="center"/>
        <w:spacing w:after="0" w:line="230" w:lineRule="auto"/>
        <w:rPr>
          <w:sz w:val="20"/>
          <w:szCs w:val="20"/>
          <w:color w:val="auto"/>
        </w:rPr>
      </w:pPr>
      <w:r>
        <w:rPr>
          <w:rFonts w:ascii="Arial" w:cs="Arial" w:eastAsia="Arial" w:hAnsi="Arial"/>
          <w:sz w:val="22"/>
          <w:szCs w:val="22"/>
          <w:b w:val="1"/>
          <w:bCs w:val="1"/>
          <w:i w:val="1"/>
          <w:iCs w:val="1"/>
          <w:color w:val="auto"/>
        </w:rPr>
        <w:t>Expects Fiscal 2017 Revenue Growth of 3.5-5.5% YoY in Constant Currency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Reiterates Fiscal 2017 Non-GAAP Diluted EPS Growth Outlook of 4.5-8.5% YoY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Fiscal 2017 Highlights</w:t>
      </w:r>
    </w:p>
    <w:p>
      <w:pPr>
        <w:spacing w:after="0" w:line="135" w:lineRule="exact"/>
        <w:rPr>
          <w:sz w:val="20"/>
          <w:szCs w:val="20"/>
          <w:color w:val="auto"/>
        </w:rPr>
      </w:pPr>
    </w:p>
    <w:p>
      <w:pPr>
        <w:ind w:left="900" w:right="62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Revenue of $966 million, above the midpoint of the $940-$980 million guidance range including a positive impact from foreign currency movements of approximately $3 million relative to the first quarter of fiscal 2017</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Diluted GAAP EPS of $0.76, above the $0.66-$0.74 guidance range mainly due to gains as a result of changes in fair value of certain acquisition-related liabilities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Diluted non-GAAP EPS of $0.94, above the midpoint of the $0.90-$0.96 guidance range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GAAP operating income of $134 million; GAAP operating margin of 13.8%</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Non-GAAP operating income of $166 million; non-GAAP operating margin of 17.2%</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Free cash flow of $81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Twelve-month backlog of $3.21 billion, up $30 million sequentially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cash dividend of $0.22 per share to be paid on July 14,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 LOUIS – May 9, 2017 </w:t>
      </w:r>
      <w:r>
        <w:rPr>
          <w:rFonts w:ascii="Arial" w:cs="Arial" w:eastAsia="Arial" w:hAnsi="Arial"/>
          <w:sz w:val="18"/>
          <w:szCs w:val="18"/>
          <w:color w:val="auto"/>
        </w:rPr>
        <w:t>– Amdocs Limited (NASDAQ: DOX) today reported operating results for the three months ended March 31, 2017.</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are pleased with our performance in the second fiscal quarter, during which we maintained our relentless focus on execution to produce record revenue and stable profitability. Indeed, we successfully delivered on dozens of transformation project</w:t>
      </w:r>
    </w:p>
    <w:p>
      <w:pPr>
        <w:sectPr>
          <w:pgSz w:w="11900" w:h="16838" w:orient="portrait"/>
          <w:cols w:equalWidth="0" w:num="1">
            <w:col w:w="11420"/>
          </w:cols>
          <w:pgMar w:left="240" w:top="121" w:right="239" w:bottom="1440" w:gutter="0" w:footer="0" w:header="0"/>
        </w:sectPr>
      </w:pPr>
    </w:p>
    <w:bookmarkStart w:id="5" w:name="page6"/>
    <w:bookmarkEnd w:id="5"/>
    <w:p>
      <w:pPr>
        <w:ind w:right="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milestones during Q2, a key highlight of which was the go-live of a single real-time convergent charging system for KT Corporation, South Korea’s largest quad-play service provider. At the same time, we continued to see healthy rates of service renewals among long-standing Amdocs and former Comverse customers, which we believe demonstrates the unique combination of industry-leading innovation and dependability we have consistently brought to service providers over the years,” said Eli Gelman, president and chief executive officer of Amdocs Management Limited.</w:t>
      </w:r>
    </w:p>
    <w:p>
      <w:pPr>
        <w:spacing w:after="0" w:line="17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Gelman continued, “Regarding our strategic growth engines, we have made important additional progress in network functions virtualization (NFV), an area in which Amdocs is one of the first technology companies to invest and lead. Earlier in Q2, Linux Foundation announced the creation of the Open Network Automation Platform (ONAP), a majority of which is based on open ECOMP code that Amdocs co-developed in collaboration with AT&amp;T. Moreover, we believe ONAP is fast becoming the de facto standard for NFV which will help to accelerate industry adoption by communication service providers. Along these lines, we are today excited to report that Amdocs has been selected by Bell Canada as the strategic partner to co-develop its Network Service Orchestrator (NSO) platform and to help integrate ONAP components into Bell’s NSO platform. This partnership supports Bell Canada’s focus on leading broadband service innovation and reducing time to market for new virtual enterprise services.”</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Gelman concluded, “We enter the second fiscal half with a demonstrated ability to bring customer value through the strength of our unique business model. With the visibility provided by our record 12-month backlog we are on-track to meet our financial targets for the full fiscal year. These include free cash flow generation of approximately $500 million, a majority of which we still plan to return to shareholders in fiscal 2017 while retaining capacity for M&amp;A as opportunities arise.”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Revenue for the second fiscal quarter ended March 31, 2017 was $966.0 million, up 1.2% or $11.3 million sequentially from the first fiscal quarter of 2017 and up 4.3% as compared</w:t>
      </w:r>
    </w:p>
    <w:p>
      <w:pPr>
        <w:sectPr>
          <w:pgSz w:w="11900" w:h="16838" w:orient="portrait"/>
          <w:cols w:equalWidth="0" w:num="1">
            <w:col w:w="11340"/>
          </w:cols>
          <w:pgMar w:left="240" w:top="274" w:right="319" w:bottom="1440" w:gutter="0" w:footer="0" w:header="0"/>
        </w:sectPr>
      </w:pPr>
    </w:p>
    <w:bookmarkStart w:id="6" w:name="page7"/>
    <w:bookmarkEnd w:id="6"/>
    <w:p>
      <w:pPr>
        <w:ind w:right="7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last year’s second fiscal quarter. Revenue for the second fiscal quarter of 2017 includes a positive impact from foreign currency movements of approximately $3 million relative to the first quarter of fiscal 2017. Revenue was at the midpoint of Amdocs’ guidance, excluding foreign currency movements.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and Earnings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Company’s GAAP net income for the second quarter of fiscal 2017 was $112.6 million, or $0.76 per diluted share, compared to GAAP net income of</w:t>
      </w:r>
    </w:p>
    <w:p>
      <w:pPr>
        <w:spacing w:after="0" w:line="4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$107.7 million, or $0.71 per diluted share, in the prior fiscal year’s second quarter. Net income on a non-GAAP basis was $139.2 million, or $0.94 per diluted share, compared to non-GAAP net income of $140.2 million, or $0.92 per diluted share, in the second quarter of fiscal 2016.</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Returning Cash to Shareholders</w:t>
      </w:r>
    </w:p>
    <w:p>
      <w:pPr>
        <w:spacing w:after="0" w:line="135" w:lineRule="exact"/>
        <w:rPr>
          <w:sz w:val="20"/>
          <w:szCs w:val="20"/>
          <w:color w:val="auto"/>
        </w:rPr>
      </w:pPr>
    </w:p>
    <w:p>
      <w:pPr>
        <w:ind w:left="900" w:right="20" w:hanging="325"/>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Quarterly Cash Dividend Program: </w:t>
      </w:r>
      <w:r>
        <w:rPr>
          <w:rFonts w:ascii="Arial" w:cs="Arial" w:eastAsia="Arial" w:hAnsi="Arial"/>
          <w:sz w:val="18"/>
          <w:szCs w:val="18"/>
          <w:color w:val="auto"/>
        </w:rPr>
        <w:t>On May 9, 2017, the Board approved the Company’s next quarterly cash dividend payment of $0.22 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and set June 30, 2017 as the record date for determining the shareholders entitled to receive the dividend, which will be payable on July 14, 2017.</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Share Repurchase Activity: </w:t>
      </w:r>
      <w:r>
        <w:rPr>
          <w:rFonts w:ascii="Arial" w:cs="Arial" w:eastAsia="Arial" w:hAnsi="Arial"/>
          <w:sz w:val="18"/>
          <w:szCs w:val="18"/>
          <w:color w:val="auto"/>
        </w:rPr>
        <w:t>Repurchased $80 million of ordinary shares during the second quarter of fiscal 2017.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Twelve-month Backlog</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Twelve-month backlog, which includes anticipated revenue related to contracts, estimated revenue from managed services contracts, letters of intent, maintenance and estimated on-going support activities, was $3.21 billion at the end of the second quarter of fiscal 2017, up $30 million from the end of the prior quarter.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fiscal 2017 Outlook</w:t>
      </w:r>
    </w:p>
    <w:p>
      <w:pPr>
        <w:spacing w:after="0" w:line="135" w:lineRule="exact"/>
        <w:rPr>
          <w:sz w:val="20"/>
          <w:szCs w:val="20"/>
          <w:color w:val="auto"/>
        </w:rPr>
      </w:pPr>
    </w:p>
    <w:p>
      <w:pPr>
        <w:ind w:left="900" w:right="14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of approximately $945-$985 million, including an immaterial sequential impact from foreign currency fluctuations as compared to the second quarter of fiscal 2017</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Diluted GAAP EPS of approximately $0.69-$0.77</w:t>
      </w:r>
    </w:p>
    <w:p>
      <w:pPr>
        <w:sectPr>
          <w:pgSz w:w="11900" w:h="16838" w:orient="portrait"/>
          <w:cols w:equalWidth="0" w:num="1">
            <w:col w:w="11380"/>
          </w:cols>
          <w:pgMar w:left="240" w:top="274" w:right="279" w:bottom="1440" w:gutter="0" w:footer="0" w:header="0"/>
        </w:sectPr>
      </w:pPr>
    </w:p>
    <w:bookmarkStart w:id="7" w:name="page8"/>
    <w:bookmarkEnd w:id="7"/>
    <w:p>
      <w:pPr>
        <w:ind w:left="900" w:right="8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Diluted non-GAAP EPS of approximately $0.93-$0.99, excluding amortization of purchased intangible assets and other acquisition-related costs and approximately $0.06-$0.07 per share of equity-based compensation expense, net of related tax effects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Fiscal 2017 Outlook</w:t>
      </w:r>
    </w:p>
    <w:p>
      <w:pPr>
        <w:spacing w:after="0" w:line="135"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Expects revenue growth of 3.5-5.5% year-over-year on a constant currency basis compared with previous guidance of 2.5-6.5% year-over-year</w:t>
      </w:r>
    </w:p>
    <w:p>
      <w:pPr>
        <w:spacing w:after="0" w:line="153" w:lineRule="exact"/>
        <w:rPr>
          <w:rFonts w:ascii="Arial" w:cs="Arial" w:eastAsia="Arial" w:hAnsi="Arial"/>
          <w:sz w:val="16"/>
          <w:szCs w:val="16"/>
          <w:color w:val="auto"/>
        </w:rPr>
      </w:pPr>
    </w:p>
    <w:p>
      <w:pPr>
        <w:jc w:val="both"/>
        <w:ind w:left="900" w:right="220" w:hanging="325"/>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Expects revenue growth of 3.0-5.0% year-over-year as reported, including an anticipated negative impact from foreign currency movements of approximately 0.5% year-over-year and compared with previous guidance of 1.5-5.5% year-over-year, which included an anticipated negative impact from foreign currency movements of approximately 1.0% year-over-year</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GAAP diluted earnings per share growth of roughly 5.0-11.0% year-over-year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Non-GAAP diluted earnings per share growth of roughly 4.5-8.5% year-over-year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third fiscal quarter 2017 and full year fiscal 2017 outlook takes into consideration the company’s expectations regarding macro and industry specific risks and various uncertainties and certain assumptions that we will discuss on our earnings conference call. However, Amdocs notes market dynamics continue to shift rapidly and that it cannot predict all possible outcomes, including those resulting from AT&amp;T’s proposed merger with Time Warner or from other current and potential customer consolidation activity in North America.</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12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Amdocs will host a conference call on May 9, 2017 at 5:00 p.m. Eastern Time to discuss the Company’s second quarter of fiscal 2017 results. To participate, please dial +1 (844) 513-7152, or +1 (508) 637-5600 outside the United States, approximately 15 minutes before the call and enter passcode 98211383. The call will also be carried live on the Internet via the Amdocs website, www.amdocs.com.</w:t>
      </w:r>
    </w:p>
    <w:p>
      <w:pPr>
        <w:sectPr>
          <w:pgSz w:w="11900" w:h="16838" w:orient="portrait"/>
          <w:cols w:equalWidth="0" w:num="1">
            <w:col w:w="11400"/>
          </w:cols>
          <w:pgMar w:left="240" w:top="274"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Non-GAAP Financial Measures</w:t>
      </w:r>
    </w:p>
    <w:p>
      <w:pPr>
        <w:spacing w:after="0" w:line="12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This release includes non-GAAP diluted earnings per share and other non-GAAP financial measures, including free cash flow, non-GAAP cost of revenue, non-GAAP research and development, non-GAAP selling, general and administrative, non-GAAP operating income, non-GAAP operating margin, non-GAAP income taxes, non-GAAP net income and non-GAAP diluted earnings per share growth. These non-GAAP measures exclude the following items:</w:t>
      </w:r>
    </w:p>
    <w:p>
      <w:pPr>
        <w:spacing w:after="0" w:line="52"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amortization of purchased intangible assets and other acquisition-related costs;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fair value of certain acquisition-related liabilities;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equity-based compensation expense;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tax effects related to the above.</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Amdocs believes that the presentation of non-GAAP diluted earnings per share and other financial measures, including free cash flow, non-GAAP cost of revenue, non-GAAP research and development, non-GAAP selling, general and administrative, non-GAAP operating income, non-GAAP operating margin, non-GAAP income taxes, non-GAAP net income and non-GAAP diluted earnings per share growth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ectPr>
          <w:pgSz w:w="11900" w:h="16838" w:orient="portrait"/>
          <w:cols w:equalWidth="0" w:num="1">
            <w:col w:w="11280"/>
          </w:cols>
          <w:pgMar w:left="240" w:top="270" w:right="379" w:bottom="1440" w:gutter="0" w:footer="0" w:header="0"/>
        </w:sectPr>
      </w:pPr>
    </w:p>
    <w:bookmarkStart w:id="9" w:name="page10"/>
    <w:bookmarkEnd w:id="9"/>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its internal budgeting process and in monitoring the results of the business, Amdocs’ management uses financial statements that do not include amortization of purchased intangible assets and other acquisition-related costs, changes in fair value of certain acquisition-related liabilities, equity-based compensation expense and related tax effects. Amdocs’ management also uses the foregoing non-GAAP financial measures, in addition to the corresponding GAAP measures, in reviewing the financial results of Amdocs. In addition, Amdocs believes that significant groups of investors exclude these items in reviewing its results and those of its competitors, because the amounts of the items between companies can vary greatly depending on the assumptions used by an individual company in determining the amounts of the items.</w:t>
      </w:r>
    </w:p>
    <w:p>
      <w:pPr>
        <w:spacing w:after="0" w:line="19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Amdocs further believes that, where the adjustments used in calculating non-GAAP diluted earnings per share are based on specific, identified amounts that impact different line items in the Consolidated Statements of Income (including cost of revenue, research and development, selling, general and administrative, operating income, income taxes and net income), it is useful to investors to understand how these specific line items in the Consolidated Statements of Income are affected by these adjustments. Please refer to the Reconciliation of Selected Financial Metrics from GAAP to Non-GAAP tables below.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Supporting Resources</w:t>
      </w:r>
    </w:p>
    <w:p>
      <w:pPr>
        <w:spacing w:after="0" w:line="135" w:lineRule="exact"/>
        <w:rPr>
          <w:sz w:val="20"/>
          <w:szCs w:val="20"/>
          <w:color w:val="auto"/>
        </w:rPr>
      </w:pPr>
    </w:p>
    <w:p>
      <w:pPr>
        <w:ind w:left="440" w:hanging="324"/>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Learn more about </w:t>
      </w:r>
      <w:r>
        <w:rPr>
          <w:rFonts w:ascii="Arial" w:cs="Arial" w:eastAsia="Arial" w:hAnsi="Arial"/>
          <w:sz w:val="18"/>
          <w:szCs w:val="18"/>
          <w:u w:val="single" w:color="auto"/>
          <w:color w:val="auto"/>
        </w:rPr>
        <w:t>https://www.amdocs.com/open-network/nfv-powered-by-ecomp</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Keep up with Amdocs news by visiting the company’s </w:t>
      </w:r>
      <w:r>
        <w:rPr>
          <w:rFonts w:ascii="Arial" w:cs="Arial" w:eastAsia="Arial" w:hAnsi="Arial"/>
          <w:sz w:val="18"/>
          <w:szCs w:val="18"/>
          <w:u w:val="single" w:color="auto"/>
          <w:color w:val="auto"/>
        </w:rPr>
        <w:t>website</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Subscribe to Amdocs’ </w:t>
      </w:r>
      <w:r>
        <w:rPr>
          <w:rFonts w:ascii="Arial" w:cs="Arial" w:eastAsia="Arial" w:hAnsi="Arial"/>
          <w:sz w:val="18"/>
          <w:szCs w:val="18"/>
          <w:u w:val="single" w:color="auto"/>
          <w:color w:val="auto"/>
        </w:rPr>
        <w:t>RSS Feed</w:t>
      </w:r>
      <w:r>
        <w:rPr>
          <w:rFonts w:ascii="Arial" w:cs="Arial" w:eastAsia="Arial" w:hAnsi="Arial"/>
          <w:sz w:val="18"/>
          <w:szCs w:val="18"/>
          <w:color w:val="auto"/>
        </w:rPr>
        <w:t xml:space="preserve"> and follow us on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Facebook</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YouTube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Amdocs</w:t>
      </w:r>
    </w:p>
    <w:p>
      <w:pPr>
        <w:spacing w:after="0" w:line="12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Amdocs is a leading software and services provider to the world’s most successful communications and media companies. As our customers reinvent themselves, we enable their digital and network transformation through innovative solutions, delivery expertise and intelligent operations. Amdocs and its 25,000 employees serve customers in over 85 countries. Listed on the NASDAQ Global Select Market, Amdocs had revenue of $3.7 billion in fiscal 2016.</w:t>
      </w:r>
    </w:p>
    <w:p>
      <w:pPr>
        <w:sectPr>
          <w:pgSz w:w="11900" w:h="16838" w:orient="portrait"/>
          <w:cols w:equalWidth="0" w:num="1">
            <w:col w:w="11300"/>
          </w:cols>
          <w:pgMar w:left="240" w:top="274"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For more information, visit Amdocs at </w:t>
      </w:r>
      <w:r>
        <w:rPr>
          <w:rFonts w:ascii="Arial" w:cs="Arial" w:eastAsia="Arial" w:hAnsi="Arial"/>
          <w:sz w:val="18"/>
          <w:szCs w:val="18"/>
          <w:u w:val="single" w:color="auto"/>
          <w:color w:val="auto"/>
        </w:rPr>
        <w:t>www.amdocs.com</w:t>
      </w:r>
      <w:r>
        <w:rPr>
          <w:rFonts w:ascii="Arial" w:cs="Arial" w:eastAsia="Arial" w:hAnsi="Arial"/>
          <w:sz w:val="18"/>
          <w:szCs w:val="18"/>
          <w:color w:val="auto"/>
        </w:rPr>
        <w:t>.</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Amdocs specifically disclaims any obligation to do so. These and other risks are discussed at greater length in Amdocs’ filings with the Securities and Exchange Commission, including in our Annual Report on Form 20-F for the fiscal year ended September 30, 2016 filed on December 12, 2016 and our Form 6-K furnished for the first quarter of fiscal 2017 on February 13, 2017.</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Matthew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Amdocs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314-212-8328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dox_info@amdocs.com</w:t>
      </w:r>
    </w:p>
    <w:p>
      <w:pPr>
        <w:sectPr>
          <w:pgSz w:w="11900" w:h="16838" w:orient="portrait"/>
          <w:cols w:equalWidth="0" w:num="1">
            <w:col w:w="11280"/>
          </w:cols>
          <w:pgMar w:left="240" w:top="274" w:right="37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Pr>
          <w:p>
            <w:pPr>
              <w:spacing w:after="0"/>
              <w:rPr>
                <w:sz w:val="14"/>
                <w:szCs w:val="14"/>
                <w:color w:val="auto"/>
              </w:rPr>
            </w:pPr>
          </w:p>
        </w:tc>
        <w:tc>
          <w:tcPr>
            <w:tcW w:w="19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7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9"/>
              </w:rPr>
              <w:t>March 31,</w:t>
            </w:r>
          </w:p>
        </w:tc>
        <w:tc>
          <w:tcPr>
            <w:tcW w:w="100" w:type="dxa"/>
            <w:vAlign w:val="bottom"/>
          </w:tcPr>
          <w:p>
            <w:pPr>
              <w:spacing w:after="0"/>
              <w:rPr>
                <w:sz w:val="14"/>
                <w:szCs w:val="14"/>
                <w:color w:val="auto"/>
              </w:rPr>
            </w:pPr>
          </w:p>
        </w:tc>
        <w:tc>
          <w:tcPr>
            <w:tcW w:w="198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7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966,009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925,935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1,920,736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1,847,440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621,737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600,116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1,242,571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1,195,684</w:t>
            </w:r>
          </w:p>
        </w:tc>
        <w:tc>
          <w:tcPr>
            <w:tcW w:w="0" w:type="dxa"/>
            <w:vAlign w:val="bottom"/>
          </w:tcPr>
          <w:p>
            <w:pPr>
              <w:spacing w:after="0"/>
              <w:rPr>
                <w:sz w:val="1"/>
                <w:szCs w:val="1"/>
                <w:color w:val="auto"/>
              </w:rPr>
            </w:pP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67,303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63,711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127,293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126,198</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114,465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114,474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238,544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234,022</w:t>
            </w:r>
          </w:p>
        </w:tc>
        <w:tc>
          <w:tcPr>
            <w:tcW w:w="0" w:type="dxa"/>
            <w:vAlign w:val="bottom"/>
          </w:tcPr>
          <w:p>
            <w:pPr>
              <w:spacing w:after="0"/>
              <w:rPr>
                <w:sz w:val="1"/>
                <w:szCs w:val="1"/>
                <w:color w:val="auto"/>
              </w:rPr>
            </w:pP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28,723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27,487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56,954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51,854</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832,228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805,788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1,665,362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1,607,758</w:t>
            </w:r>
          </w:p>
        </w:tc>
        <w:tc>
          <w:tcPr>
            <w:tcW w:w="0" w:type="dxa"/>
            <w:vAlign w:val="bottom"/>
          </w:tcPr>
          <w:p>
            <w:pPr>
              <w:spacing w:after="0"/>
              <w:rPr>
                <w:sz w:val="1"/>
                <w:szCs w:val="1"/>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133,781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120,147</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255,374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239,682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income,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1,460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133,313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121,607</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252,143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239,477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13,887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41,790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30,915</w:t>
            </w:r>
          </w:p>
        </w:tc>
        <w:tc>
          <w:tcPr>
            <w:tcW w:w="0" w:type="dxa"/>
            <w:vAlign w:val="bottom"/>
          </w:tcPr>
          <w:p>
            <w:pPr>
              <w:spacing w:after="0"/>
              <w:rPr>
                <w:sz w:val="1"/>
                <w:szCs w:val="1"/>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112,560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107,720</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210,353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208,562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0.71</w:t>
            </w: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146,595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149,924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146,706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150,279</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147,954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151,948</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148,168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0.220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0.415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0.365</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Metrics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8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7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tcPr>
          <w:p>
            <w:pPr>
              <w:ind w:left="42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18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5780" w:type="dxa"/>
            <w:vAlign w:val="bottom"/>
            <w:tcBorders>
              <w:bottom w:val="single" w:sz="8" w:color="CCEEFF"/>
            </w:tcBorders>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966,009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925,935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1,920,736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1,847,440</w:t>
            </w:r>
          </w:p>
        </w:tc>
        <w:tc>
          <w:tcPr>
            <w:tcW w:w="6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Non-GAAP operating income</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165,997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157,950</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330,082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314,822</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139,164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140,165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272,731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272,185</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Non-GAAP diluted earnings per share</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0.94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0.92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1.84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1.78</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147,954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151,948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148,168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152,502</w:t>
            </w:r>
          </w:p>
        </w:tc>
      </w:tr>
    </w:tbl>
    <w:p>
      <w:pPr>
        <w:sectPr>
          <w:pgSz w:w="11900" w:h="16838" w:orient="portrait"/>
          <w:cols w:equalWidth="0" w:num="1">
            <w:col w:w="11420"/>
          </w:cols>
          <w:pgMar w:left="240" w:top="27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w w:val="91"/>
              </w:rPr>
              <w:t>Three months ended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7"/>
          </w:tcPr>
          <w:p>
            <w:pPr>
              <w:jc w:val="center"/>
              <w:ind w:right="680"/>
              <w:spacing w:after="0"/>
              <w:rPr>
                <w:sz w:val="20"/>
                <w:szCs w:val="20"/>
                <w:color w:val="auto"/>
              </w:rPr>
            </w:pPr>
            <w:r>
              <w:rPr>
                <w:rFonts w:ascii="Arial" w:cs="Arial" w:eastAsia="Arial" w:hAnsi="Arial"/>
                <w:sz w:val="14"/>
                <w:szCs w:val="14"/>
                <w:b w:val="1"/>
                <w:bCs w:val="1"/>
                <w:color w:val="auto"/>
                <w:w w:val="92"/>
              </w:rPr>
              <w:t>March 31, 2017</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8"/>
          </w:tcPr>
          <w:p>
            <w:pPr>
              <w:jc w:val="center"/>
              <w:ind w:right="360"/>
              <w:spacing w:after="0" w:line="142" w:lineRule="exact"/>
              <w:rPr>
                <w:sz w:val="20"/>
                <w:szCs w:val="20"/>
                <w:color w:val="auto"/>
              </w:rPr>
            </w:pPr>
            <w:r>
              <w:rPr>
                <w:rFonts w:ascii="Arial" w:cs="Arial" w:eastAsia="Arial" w:hAnsi="Arial"/>
                <w:sz w:val="14"/>
                <w:szCs w:val="14"/>
                <w:b w:val="1"/>
                <w:bCs w:val="1"/>
                <w:color w:val="auto"/>
                <w:w w:val="91"/>
              </w:rPr>
              <w:t>Reconciliation items</w:t>
            </w: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gridSpan w:val="5"/>
            <w:vMerge w:val="restart"/>
          </w:tcPr>
          <w:p>
            <w:pPr>
              <w:jc w:val="center"/>
              <w:ind w:right="12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4"/>
          </w:tcPr>
          <w:p>
            <w:pPr>
              <w:jc w:val="center"/>
              <w:ind w:right="120"/>
              <w:spacing w:after="0" w:line="119" w:lineRule="exact"/>
              <w:rPr>
                <w:sz w:val="20"/>
                <w:szCs w:val="20"/>
                <w:color w:val="auto"/>
              </w:rPr>
            </w:pPr>
            <w:r>
              <w:rPr>
                <w:rFonts w:ascii="Arial" w:cs="Arial" w:eastAsia="Arial" w:hAnsi="Arial"/>
                <w:sz w:val="13"/>
                <w:szCs w:val="13"/>
                <w:b w:val="1"/>
                <w:bCs w:val="1"/>
                <w:color w:val="auto"/>
                <w:w w:val="96"/>
              </w:rPr>
              <w:t>Changes in</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5"/>
            <w:vMerge w:val="continue"/>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fair value</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 purchased</w:t>
            </w:r>
          </w:p>
        </w:tc>
        <w:tc>
          <w:tcPr>
            <w:tcW w:w="200" w:type="dxa"/>
            <w:vAlign w:val="bottom"/>
          </w:tcPr>
          <w:p>
            <w:pPr>
              <w:spacing w:after="0"/>
              <w:rPr>
                <w:sz w:val="12"/>
                <w:szCs w:val="12"/>
                <w:color w:val="auto"/>
              </w:rPr>
            </w:pPr>
          </w:p>
        </w:tc>
        <w:tc>
          <w:tcPr>
            <w:tcW w:w="960" w:type="dxa"/>
            <w:vAlign w:val="bottom"/>
            <w:gridSpan w:val="3"/>
            <w:vMerge w:val="restart"/>
          </w:tcPr>
          <w:p>
            <w:pPr>
              <w:jc w:val="right"/>
              <w:ind w:right="68"/>
              <w:spacing w:after="0"/>
              <w:rPr>
                <w:sz w:val="20"/>
                <w:szCs w:val="20"/>
                <w:color w:val="auto"/>
              </w:rPr>
            </w:pPr>
            <w:r>
              <w:rPr>
                <w:rFonts w:ascii="Arial" w:cs="Arial" w:eastAsia="Arial" w:hAnsi="Arial"/>
                <w:sz w:val="14"/>
                <w:szCs w:val="14"/>
                <w:b w:val="1"/>
                <w:bCs w:val="1"/>
                <w:color w:val="auto"/>
                <w:w w:val="91"/>
              </w:rPr>
              <w:t>Equity based</w:t>
            </w:r>
          </w:p>
        </w:tc>
        <w:tc>
          <w:tcPr>
            <w:tcW w:w="200" w:type="dxa"/>
            <w:vAlign w:val="bottom"/>
          </w:tcPr>
          <w:p>
            <w:pPr>
              <w:spacing w:after="0"/>
              <w:rPr>
                <w:sz w:val="12"/>
                <w:szCs w:val="12"/>
                <w:color w:val="auto"/>
              </w:rPr>
            </w:pPr>
          </w:p>
        </w:tc>
        <w:tc>
          <w:tcPr>
            <w:tcW w:w="84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of certain</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intangible</w:t>
            </w:r>
          </w:p>
        </w:tc>
        <w:tc>
          <w:tcPr>
            <w:tcW w:w="2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99"/>
              </w:rPr>
              <w:t>Tax</w:t>
            </w:r>
          </w:p>
        </w:tc>
        <w:tc>
          <w:tcPr>
            <w:tcW w:w="7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Non-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GAAP</w:t>
            </w:r>
          </w:p>
        </w:tc>
        <w:tc>
          <w:tcPr>
            <w:tcW w:w="94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assets and</w:t>
            </w:r>
          </w:p>
        </w:tc>
        <w:tc>
          <w:tcPr>
            <w:tcW w:w="20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compensation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related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other</w:t>
            </w:r>
          </w:p>
        </w:tc>
        <w:tc>
          <w:tcPr>
            <w:tcW w:w="200" w:type="dxa"/>
            <w:vAlign w:val="bottom"/>
          </w:tcPr>
          <w:p>
            <w:pPr>
              <w:spacing w:after="0"/>
              <w:rPr>
                <w:sz w:val="14"/>
                <w:szCs w:val="14"/>
                <w:color w:val="auto"/>
              </w:rPr>
            </w:pPr>
          </w:p>
        </w:tc>
        <w:tc>
          <w:tcPr>
            <w:tcW w:w="96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expense</w:t>
            </w:r>
          </w:p>
        </w:tc>
        <w:tc>
          <w:tcPr>
            <w:tcW w:w="200" w:type="dxa"/>
            <w:vAlign w:val="bottom"/>
          </w:tcPr>
          <w:p>
            <w:pPr>
              <w:spacing w:after="0"/>
              <w:rPr>
                <w:sz w:val="14"/>
                <w:szCs w:val="14"/>
                <w:color w:val="auto"/>
              </w:rPr>
            </w:pPr>
          </w:p>
        </w:tc>
        <w:tc>
          <w:tcPr>
            <w:tcW w:w="8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liabilities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0"/>
              </w:rPr>
              <w:t>effect</w:t>
            </w: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GAAP</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7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right w:val="single" w:sz="8" w:color="CCEEFF"/>
            </w:tcBorders>
            <w:shd w:val="clear" w:color="auto" w:fill="CCEEFF"/>
          </w:tcPr>
          <w:p>
            <w:pPr>
              <w:spacing w:after="0"/>
              <w:rPr>
                <w:sz w:val="17"/>
                <w:szCs w:val="17"/>
                <w:color w:val="auto"/>
              </w:rPr>
            </w:pPr>
          </w:p>
        </w:tc>
        <w:tc>
          <w:tcPr>
            <w:tcW w:w="44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Cost of revenue</w:t>
            </w:r>
          </w:p>
        </w:tc>
        <w:tc>
          <w:tcPr>
            <w:tcW w:w="1680" w:type="dxa"/>
            <w:vAlign w:val="bottom"/>
            <w:gridSpan w:val="4"/>
          </w:tcPr>
          <w:p>
            <w:pPr>
              <w:jc w:val="right"/>
              <w:ind w:right="260"/>
              <w:spacing w:after="0"/>
              <w:rPr>
                <w:sz w:val="20"/>
                <w:szCs w:val="20"/>
                <w:color w:val="auto"/>
              </w:rPr>
            </w:pPr>
            <w:r>
              <w:rPr>
                <w:rFonts w:ascii="Arial" w:cs="Arial" w:eastAsia="Arial" w:hAnsi="Arial"/>
                <w:sz w:val="18"/>
                <w:szCs w:val="18"/>
                <w:color w:val="auto"/>
              </w:rPr>
              <w:t>$621,737</w:t>
            </w:r>
          </w:p>
        </w:tc>
        <w:tc>
          <w:tcPr>
            <w:tcW w:w="180" w:type="dxa"/>
            <w:vAlign w:val="bottom"/>
          </w:tcPr>
          <w:p>
            <w:pPr>
              <w:jc w:val="right"/>
              <w:ind w:right="2"/>
              <w:spacing w:after="0"/>
              <w:rPr>
                <w:sz w:val="20"/>
                <w:szCs w:val="20"/>
                <w:color w:val="auto"/>
              </w:rPr>
            </w:pPr>
            <w:r>
              <w:rPr>
                <w:rFonts w:ascii="Arial" w:cs="Arial" w:eastAsia="Arial" w:hAnsi="Arial"/>
                <w:sz w:val="18"/>
                <w:szCs w:val="18"/>
                <w:color w:val="auto"/>
                <w:w w:val="79"/>
              </w:rPr>
              <w:t>$</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4"/>
              </w:rPr>
              <w:t>(4,973)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6,691</w:t>
            </w:r>
          </w:p>
        </w:tc>
        <w:tc>
          <w:tcPr>
            <w:tcW w:w="300" w:type="dxa"/>
            <w:vAlign w:val="bottom"/>
            <w:gridSpan w:val="3"/>
          </w:tcPr>
          <w:p>
            <w:pPr>
              <w:ind w:left="200"/>
              <w:spacing w:after="0"/>
              <w:rPr>
                <w:sz w:val="20"/>
                <w:szCs w:val="20"/>
                <w:color w:val="auto"/>
              </w:rPr>
            </w:pPr>
            <w:r>
              <w:rPr>
                <w:rFonts w:ascii="Arial" w:cs="Arial" w:eastAsia="Arial" w:hAnsi="Arial"/>
                <w:sz w:val="18"/>
                <w:szCs w:val="18"/>
                <w:color w:val="auto"/>
                <w:w w:val="79"/>
              </w:rPr>
              <w:t>$</w:t>
            </w:r>
          </w:p>
        </w:tc>
        <w:tc>
          <w:tcPr>
            <w:tcW w:w="7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$623,455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Research and</w:t>
            </w: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development</w:t>
            </w:r>
          </w:p>
        </w:tc>
        <w:tc>
          <w:tcPr>
            <w:tcW w:w="16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67,303</w:t>
            </w: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400" w:type="dxa"/>
            <w:vAlign w:val="bottom"/>
            <w:tcBorders>
              <w:right w:val="single" w:sz="8" w:color="CCEEFF"/>
            </w:tcBorders>
            <w:shd w:val="clear" w:color="auto" w:fill="CCEEFF"/>
          </w:tcPr>
          <w:p>
            <w:pPr>
              <w:spacing w:after="0"/>
              <w:rPr>
                <w:sz w:val="21"/>
                <w:szCs w:val="21"/>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1680" w:type="dxa"/>
            <w:vAlign w:val="bottom"/>
            <w:gridSpan w:val="4"/>
          </w:tcPr>
          <w:p>
            <w:pPr>
              <w:jc w:val="right"/>
              <w:ind w:right="260"/>
              <w:spacing w:after="0"/>
              <w:rPr>
                <w:sz w:val="20"/>
                <w:szCs w:val="20"/>
                <w:color w:val="auto"/>
              </w:rPr>
            </w:pPr>
            <w:r>
              <w:rPr>
                <w:rFonts w:ascii="Arial" w:cs="Arial" w:eastAsia="Arial" w:hAnsi="Arial"/>
                <w:sz w:val="18"/>
                <w:szCs w:val="18"/>
                <w:color w:val="auto"/>
              </w:rPr>
              <w:t>114,465</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4"/>
              </w:rPr>
              <w:t>(4,310)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110,155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purchased intangible assets and other</w:t>
            </w:r>
          </w:p>
        </w:tc>
        <w:tc>
          <w:tcPr>
            <w:tcW w:w="16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28,723</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5"/>
              </w:rPr>
              <w:t>(28,723)</w:t>
            </w:r>
          </w:p>
        </w:tc>
        <w:tc>
          <w:tcPr>
            <w:tcW w:w="20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720" w:type="dxa"/>
            <w:vAlign w:val="bottom"/>
          </w:tcPr>
          <w:p>
            <w:pPr>
              <w:spacing w:after="0"/>
              <w:rPr>
                <w:sz w:val="20"/>
                <w:szCs w:val="20"/>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832,228</w:t>
            </w: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(28,723)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(10,184)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6,691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800,012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133,781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28,723</w:t>
            </w:r>
          </w:p>
        </w:tc>
        <w:tc>
          <w:tcPr>
            <w:tcW w:w="20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76"/>
              </w:rPr>
              <w:t>10,184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(6,691)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165,997</w:t>
            </w:r>
          </w:p>
        </w:tc>
        <w:tc>
          <w:tcPr>
            <w:tcW w:w="0" w:type="dxa"/>
            <w:vAlign w:val="bottom"/>
          </w:tcPr>
          <w:p>
            <w:pPr>
              <w:spacing w:after="0"/>
              <w:rPr>
                <w:sz w:val="1"/>
                <w:szCs w:val="1"/>
                <w:color w:val="auto"/>
              </w:rPr>
            </w:pPr>
          </w:p>
        </w:tc>
      </w:t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720" w:type="dxa"/>
            <w:vAlign w:val="bottom"/>
          </w:tcPr>
          <w:p>
            <w:pPr>
              <w:spacing w:after="0"/>
              <w:rPr>
                <w:sz w:val="20"/>
                <w:szCs w:val="20"/>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20,753</w:t>
            </w: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5,612</w:t>
            </w:r>
          </w:p>
        </w:tc>
        <w:tc>
          <w:tcPr>
            <w:tcW w:w="3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26,365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112,560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28,723</w:t>
            </w:r>
          </w:p>
        </w:tc>
        <w:tc>
          <w:tcPr>
            <w:tcW w:w="60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76"/>
              </w:rPr>
              <w:t>10,184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(6,691)</w:t>
            </w:r>
          </w:p>
        </w:tc>
        <w:tc>
          <w:tcPr>
            <w:tcW w:w="1080" w:type="dxa"/>
            <w:vAlign w:val="bottom"/>
            <w:gridSpan w:val="6"/>
            <w:shd w:val="clear" w:color="auto" w:fill="CCEEFF"/>
          </w:tcPr>
          <w:p>
            <w:pPr>
              <w:ind w:lef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(5,612)</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139,164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0" w:type="dxa"/>
            <w:vAlign w:val="bottom"/>
            <w:gridSpan w:val="7"/>
          </w:tcPr>
          <w:p>
            <w:pPr>
              <w:ind w:left="2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7"/>
          </w:tcPr>
          <w:p>
            <w:pPr>
              <w:ind w:left="180"/>
              <w:spacing w:after="0"/>
              <w:rPr>
                <w:sz w:val="20"/>
                <w:szCs w:val="20"/>
                <w:color w:val="auto"/>
              </w:rPr>
            </w:pPr>
            <w:r>
              <w:rPr>
                <w:rFonts w:ascii="Arial" w:cs="Arial" w:eastAsia="Arial" w:hAnsi="Arial"/>
                <w:sz w:val="14"/>
                <w:szCs w:val="14"/>
                <w:b w:val="1"/>
                <w:bCs w:val="1"/>
                <w:color w:val="auto"/>
              </w:rPr>
              <w:t>March 31, 2016</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7"/>
          </w:tcPr>
          <w:p>
            <w:pPr>
              <w:spacing w:after="0" w:line="142" w:lineRule="exact"/>
              <w:rPr>
                <w:sz w:val="20"/>
                <w:szCs w:val="20"/>
                <w:color w:val="auto"/>
              </w:rPr>
            </w:pPr>
            <w:r>
              <w:rPr>
                <w:rFonts w:ascii="Arial" w:cs="Arial" w:eastAsia="Arial" w:hAnsi="Arial"/>
                <w:sz w:val="14"/>
                <w:szCs w:val="14"/>
                <w:b w:val="1"/>
                <w:bCs w:val="1"/>
                <w:color w:val="auto"/>
              </w:rPr>
              <w:t>Reconciliation items</w:t>
            </w: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gridSpan w:val="4"/>
          </w:tcPr>
          <w:p>
            <w:pPr>
              <w:jc w:val="right"/>
              <w:ind w:right="19"/>
              <w:spacing w:after="0" w:line="119" w:lineRule="exact"/>
              <w:rPr>
                <w:sz w:val="20"/>
                <w:szCs w:val="20"/>
                <w:color w:val="auto"/>
              </w:rPr>
            </w:pPr>
            <w:r>
              <w:rPr>
                <w:rFonts w:ascii="Arial" w:cs="Arial" w:eastAsia="Arial" w:hAnsi="Arial"/>
                <w:sz w:val="13"/>
                <w:szCs w:val="13"/>
                <w:b w:val="1"/>
                <w:bCs w:val="1"/>
                <w:color w:val="auto"/>
              </w:rPr>
              <w:t>Amortization</w:t>
            </w:r>
          </w:p>
        </w:tc>
        <w:tc>
          <w:tcPr>
            <w:tcW w:w="440" w:type="dxa"/>
            <w:vAlign w:val="bottom"/>
          </w:tcPr>
          <w:p>
            <w:pPr>
              <w:spacing w:after="0"/>
              <w:rPr>
                <w:sz w:val="10"/>
                <w:szCs w:val="10"/>
                <w:color w:val="auto"/>
              </w:rPr>
            </w:pPr>
          </w:p>
        </w:tc>
        <w:tc>
          <w:tcPr>
            <w:tcW w:w="1160" w:type="dxa"/>
            <w:vAlign w:val="bottom"/>
            <w:gridSpan w:val="6"/>
            <w:vMerge w:val="restart"/>
          </w:tcPr>
          <w:p>
            <w:pPr>
              <w:jc w:val="center"/>
              <w:ind w:right="360"/>
              <w:spacing w:after="0"/>
              <w:rPr>
                <w:sz w:val="20"/>
                <w:szCs w:val="20"/>
                <w:color w:val="auto"/>
              </w:rPr>
            </w:pPr>
            <w:r>
              <w:rPr>
                <w:rFonts w:ascii="Arial" w:cs="Arial" w:eastAsia="Arial" w:hAnsi="Arial"/>
                <w:sz w:val="14"/>
                <w:szCs w:val="14"/>
                <w:b w:val="1"/>
                <w:bCs w:val="1"/>
                <w:color w:val="auto"/>
                <w:w w:val="91"/>
              </w:rPr>
              <w:t>Equity based</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gridSpan w:val="4"/>
          </w:tcPr>
          <w:p>
            <w:pPr>
              <w:jc w:val="right"/>
              <w:ind w:right="19"/>
              <w:spacing w:after="0" w:line="149" w:lineRule="exact"/>
              <w:rPr>
                <w:sz w:val="20"/>
                <w:szCs w:val="20"/>
                <w:color w:val="auto"/>
              </w:rPr>
            </w:pPr>
            <w:r>
              <w:rPr>
                <w:rFonts w:ascii="Arial" w:cs="Arial" w:eastAsia="Arial" w:hAnsi="Arial"/>
                <w:sz w:val="14"/>
                <w:szCs w:val="14"/>
                <w:b w:val="1"/>
                <w:bCs w:val="1"/>
                <w:color w:val="auto"/>
              </w:rPr>
              <w:t>of purchased</w:t>
            </w:r>
          </w:p>
        </w:tc>
        <w:tc>
          <w:tcPr>
            <w:tcW w:w="440" w:type="dxa"/>
            <w:vAlign w:val="bottom"/>
          </w:tcPr>
          <w:p>
            <w:pPr>
              <w:spacing w:after="0"/>
              <w:rPr>
                <w:sz w:val="12"/>
                <w:szCs w:val="12"/>
                <w:color w:val="auto"/>
              </w:rPr>
            </w:pPr>
          </w:p>
        </w:tc>
        <w:tc>
          <w:tcPr>
            <w:tcW w:w="1160" w:type="dxa"/>
            <w:vAlign w:val="bottom"/>
            <w:gridSpan w:val="6"/>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Non-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GAAP</w:t>
            </w:r>
          </w:p>
        </w:tc>
        <w:tc>
          <w:tcPr>
            <w:tcW w:w="320" w:type="dxa"/>
            <w:vAlign w:val="bottom"/>
          </w:tcPr>
          <w:p>
            <w:pPr>
              <w:spacing w:after="0"/>
              <w:rPr>
                <w:sz w:val="12"/>
                <w:szCs w:val="12"/>
                <w:color w:val="auto"/>
              </w:rPr>
            </w:pPr>
          </w:p>
        </w:tc>
        <w:tc>
          <w:tcPr>
            <w:tcW w:w="10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84"/>
              </w:rPr>
              <w:t>intangible assets</w:t>
            </w:r>
          </w:p>
        </w:tc>
        <w:tc>
          <w:tcPr>
            <w:tcW w:w="440" w:type="dxa"/>
            <w:vAlign w:val="bottom"/>
          </w:tcPr>
          <w:p>
            <w:pPr>
              <w:spacing w:after="0"/>
              <w:rPr>
                <w:sz w:val="12"/>
                <w:szCs w:val="12"/>
                <w:color w:val="auto"/>
              </w:rPr>
            </w:pPr>
          </w:p>
        </w:tc>
        <w:tc>
          <w:tcPr>
            <w:tcW w:w="1160" w:type="dxa"/>
            <w:vAlign w:val="bottom"/>
            <w:gridSpan w:val="6"/>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60" w:type="dxa"/>
            <w:vAlign w:val="bottom"/>
          </w:tcPr>
          <w:p>
            <w:pPr>
              <w:spacing w:after="0"/>
              <w:rPr>
                <w:sz w:val="12"/>
                <w:szCs w:val="12"/>
                <w:color w:val="auto"/>
              </w:rPr>
            </w:pPr>
          </w:p>
        </w:tc>
        <w:tc>
          <w:tcPr>
            <w:tcW w:w="10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Tax effect</w:t>
            </w: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gridSpan w:val="4"/>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gridSpan w:val="4"/>
          </w:tcPr>
          <w:p>
            <w:pPr>
              <w:jc w:val="right"/>
              <w:ind w:right="119"/>
              <w:spacing w:after="0"/>
              <w:rPr>
                <w:sz w:val="20"/>
                <w:szCs w:val="20"/>
                <w:color w:val="auto"/>
              </w:rPr>
            </w:pPr>
            <w:r>
              <w:rPr>
                <w:rFonts w:ascii="Arial" w:cs="Arial" w:eastAsia="Arial" w:hAnsi="Arial"/>
                <w:sz w:val="14"/>
                <w:szCs w:val="14"/>
                <w:b w:val="1"/>
                <w:bCs w:val="1"/>
                <w:color w:val="auto"/>
              </w:rPr>
              <w:t>and other</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85"/>
              </w:rPr>
              <w:t>expense</w:t>
            </w:r>
          </w:p>
        </w:tc>
        <w:tc>
          <w:tcPr>
            <w:tcW w:w="6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GAAP</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7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right w:val="single" w:sz="8" w:color="CCEEFF"/>
            </w:tcBorders>
            <w:shd w:val="clear" w:color="auto" w:fill="CCEEFF"/>
          </w:tcPr>
          <w:p>
            <w:pPr>
              <w:spacing w:after="0"/>
              <w:rPr>
                <w:sz w:val="17"/>
                <w:szCs w:val="17"/>
                <w:color w:val="auto"/>
              </w:rPr>
            </w:pPr>
          </w:p>
        </w:tc>
        <w:tc>
          <w:tcPr>
            <w:tcW w:w="44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Cost of revenue</w:t>
            </w:r>
          </w:p>
        </w:tc>
        <w:tc>
          <w:tcPr>
            <w:tcW w:w="1900" w:type="dxa"/>
            <w:vAlign w:val="bottom"/>
            <w:gridSpan w:val="6"/>
          </w:tcPr>
          <w:p>
            <w:pPr>
              <w:jc w:val="right"/>
              <w:ind w:right="40"/>
              <w:spacing w:after="0"/>
              <w:rPr>
                <w:sz w:val="20"/>
                <w:szCs w:val="20"/>
                <w:color w:val="auto"/>
              </w:rPr>
            </w:pPr>
            <w:r>
              <w:rPr>
                <w:rFonts w:ascii="Arial" w:cs="Arial" w:eastAsia="Arial" w:hAnsi="Arial"/>
                <w:sz w:val="18"/>
                <w:szCs w:val="18"/>
                <w:color w:val="auto"/>
              </w:rPr>
              <w:t>$ 600,116</w:t>
            </w: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center"/>
              <w:ind w:left="256"/>
              <w:spacing w:after="0"/>
              <w:rPr>
                <w:sz w:val="20"/>
                <w:szCs w:val="20"/>
                <w:color w:val="auto"/>
              </w:rPr>
            </w:pPr>
            <w:r>
              <w:rPr>
                <w:rFonts w:ascii="Arial" w:cs="Arial" w:eastAsia="Arial" w:hAnsi="Arial"/>
                <w:sz w:val="18"/>
                <w:szCs w:val="18"/>
                <w:color w:val="auto"/>
                <w:w w:val="99"/>
              </w:rPr>
              <w:t>$</w:t>
            </w:r>
          </w:p>
        </w:tc>
        <w:tc>
          <w:tcPr>
            <w:tcW w:w="920" w:type="dxa"/>
            <w:vAlign w:val="bottom"/>
            <w:gridSpan w:val="4"/>
          </w:tcPr>
          <w:p>
            <w:pPr>
              <w:jc w:val="right"/>
              <w:ind w:right="160"/>
              <w:spacing w:after="0"/>
              <w:rPr>
                <w:sz w:val="20"/>
                <w:szCs w:val="20"/>
                <w:color w:val="auto"/>
              </w:rPr>
            </w:pPr>
            <w:r>
              <w:rPr>
                <w:rFonts w:ascii="Arial" w:cs="Arial" w:eastAsia="Arial" w:hAnsi="Arial"/>
                <w:sz w:val="18"/>
                <w:szCs w:val="18"/>
                <w:color w:val="auto"/>
              </w:rPr>
              <w:t>(4,917)</w:t>
            </w:r>
          </w:p>
        </w:tc>
        <w:tc>
          <w:tcPr>
            <w:tcW w:w="120" w:type="dxa"/>
            <w:vAlign w:val="bottom"/>
          </w:tcPr>
          <w:p>
            <w:pPr>
              <w:spacing w:after="0"/>
              <w:rPr>
                <w:sz w:val="18"/>
                <w:szCs w:val="18"/>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3"/>
          </w:tcPr>
          <w:p>
            <w:pPr>
              <w:jc w:val="center"/>
              <w:ind w:right="40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$595,199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90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63,711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(1,018)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1900" w:type="dxa"/>
            <w:vAlign w:val="bottom"/>
            <w:gridSpan w:val="6"/>
          </w:tcPr>
          <w:p>
            <w:pPr>
              <w:jc w:val="right"/>
              <w:ind w:right="40"/>
              <w:spacing w:after="0"/>
              <w:rPr>
                <w:sz w:val="20"/>
                <w:szCs w:val="20"/>
                <w:color w:val="auto"/>
              </w:rPr>
            </w:pPr>
            <w:r>
              <w:rPr>
                <w:rFonts w:ascii="Arial" w:cs="Arial" w:eastAsia="Arial" w:hAnsi="Arial"/>
                <w:sz w:val="18"/>
                <w:szCs w:val="18"/>
                <w:color w:val="auto"/>
              </w:rPr>
              <w:t>114,474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4"/>
          </w:tcPr>
          <w:p>
            <w:pPr>
              <w:jc w:val="right"/>
              <w:ind w:right="160"/>
              <w:spacing w:after="0"/>
              <w:rPr>
                <w:sz w:val="20"/>
                <w:szCs w:val="20"/>
                <w:color w:val="auto"/>
              </w:rPr>
            </w:pPr>
            <w:r>
              <w:rPr>
                <w:rFonts w:ascii="Arial" w:cs="Arial" w:eastAsia="Arial" w:hAnsi="Arial"/>
                <w:sz w:val="18"/>
                <w:szCs w:val="18"/>
                <w:color w:val="auto"/>
              </w:rPr>
              <w:t>(4,381)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center"/>
              <w:ind w:right="40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110,093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purchased intangible assets and other</w:t>
            </w:r>
          </w:p>
        </w:tc>
        <w:tc>
          <w:tcPr>
            <w:tcW w:w="190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27,487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3"/>
            <w:shd w:val="clear" w:color="auto" w:fill="CCEEFF"/>
          </w:tcPr>
          <w:p>
            <w:pPr>
              <w:jc w:val="right"/>
              <w:ind w:right="296"/>
              <w:spacing w:after="0"/>
              <w:rPr>
                <w:sz w:val="20"/>
                <w:szCs w:val="20"/>
                <w:color w:val="auto"/>
              </w:rPr>
            </w:pPr>
            <w:r>
              <w:rPr>
                <w:rFonts w:ascii="Arial" w:cs="Arial" w:eastAsia="Arial" w:hAnsi="Arial"/>
                <w:sz w:val="18"/>
                <w:szCs w:val="18"/>
                <w:color w:val="auto"/>
                <w:w w:val="95"/>
              </w:rPr>
              <w:t>(27,487)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180" w:type="dxa"/>
            <w:vAlign w:val="bottom"/>
            <w:gridSpan w:val="2"/>
          </w:tcPr>
          <w:p>
            <w:pPr>
              <w:spacing w:after="0"/>
              <w:rPr>
                <w:sz w:val="20"/>
                <w:szCs w:val="20"/>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805,788</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(27,487)</w:t>
            </w:r>
          </w:p>
        </w:tc>
        <w:tc>
          <w:tcPr>
            <w:tcW w:w="4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(10,316)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767,985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90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120,147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27,487</w:t>
            </w:r>
          </w:p>
        </w:tc>
        <w:tc>
          <w:tcPr>
            <w:tcW w:w="4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10,316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157,950</w:t>
            </w:r>
          </w:p>
        </w:tc>
        <w:tc>
          <w:tcPr>
            <w:tcW w:w="0" w:type="dxa"/>
            <w:vAlign w:val="bottom"/>
          </w:tcPr>
          <w:p>
            <w:pPr>
              <w:spacing w:after="0"/>
              <w:rPr>
                <w:sz w:val="1"/>
                <w:szCs w:val="1"/>
                <w:color w:val="auto"/>
              </w:rPr>
            </w:pPr>
          </w:p>
        </w:tc>
      </w:t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180" w:type="dxa"/>
            <w:vAlign w:val="bottom"/>
            <w:gridSpan w:val="2"/>
          </w:tcPr>
          <w:p>
            <w:pPr>
              <w:spacing w:after="0"/>
              <w:rPr>
                <w:sz w:val="20"/>
                <w:szCs w:val="20"/>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13,887</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5,358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19,245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90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107,720</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27,487</w:t>
            </w:r>
          </w:p>
        </w:tc>
        <w:tc>
          <w:tcPr>
            <w:tcW w:w="560" w:type="dxa"/>
            <w:vAlign w:val="bottom"/>
            <w:gridSpan w:val="2"/>
            <w:shd w:val="clear" w:color="auto" w:fill="CCEEFF"/>
          </w:tcPr>
          <w:p>
            <w:pPr>
              <w:jc w:val="center"/>
              <w:ind w:left="256"/>
              <w:spacing w:after="0"/>
              <w:rPr>
                <w:sz w:val="20"/>
                <w:szCs w:val="20"/>
                <w:color w:val="auto"/>
              </w:rPr>
            </w:pPr>
            <w:r>
              <w:rPr>
                <w:rFonts w:ascii="Arial" w:cs="Arial" w:eastAsia="Arial" w:hAnsi="Arial"/>
                <w:sz w:val="18"/>
                <w:szCs w:val="18"/>
                <w:color w:val="auto"/>
                <w:w w:val="99"/>
              </w:rPr>
              <w:t>$</w:t>
            </w:r>
          </w:p>
        </w:tc>
        <w:tc>
          <w:tcPr>
            <w:tcW w:w="9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10,316</w:t>
            </w:r>
          </w:p>
        </w:tc>
        <w:tc>
          <w:tcPr>
            <w:tcW w:w="12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99"/>
              </w:rPr>
              <w:t>$ (5,358)</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140,165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9"/>
          </w:tcPr>
          <w:p>
            <w:pPr>
              <w:jc w:val="center"/>
              <w:ind w:right="480"/>
              <w:spacing w:after="0"/>
              <w:rPr>
                <w:sz w:val="20"/>
                <w:szCs w:val="20"/>
                <w:color w:val="auto"/>
              </w:rPr>
            </w:pPr>
            <w:r>
              <w:rPr>
                <w:rFonts w:ascii="Arial" w:cs="Arial" w:eastAsia="Arial" w:hAnsi="Arial"/>
                <w:sz w:val="14"/>
                <w:szCs w:val="14"/>
                <w:b w:val="1"/>
                <w:bCs w:val="1"/>
                <w:color w:val="auto"/>
                <w:w w:val="91"/>
              </w:rPr>
              <w:t>Six months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9"/>
          </w:tcPr>
          <w:p>
            <w:pPr>
              <w:jc w:val="center"/>
              <w:ind w:right="480"/>
              <w:spacing w:after="0"/>
              <w:rPr>
                <w:sz w:val="20"/>
                <w:szCs w:val="20"/>
                <w:color w:val="auto"/>
              </w:rPr>
            </w:pPr>
            <w:r>
              <w:rPr>
                <w:rFonts w:ascii="Arial" w:cs="Arial" w:eastAsia="Arial" w:hAnsi="Arial"/>
                <w:sz w:val="14"/>
                <w:szCs w:val="14"/>
                <w:b w:val="1"/>
                <w:bCs w:val="1"/>
                <w:color w:val="auto"/>
                <w:w w:val="94"/>
              </w:rPr>
              <w:t>March 31, 2017</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9"/>
          </w:tcPr>
          <w:p>
            <w:pPr>
              <w:jc w:val="center"/>
              <w:ind w:right="500"/>
              <w:spacing w:after="0" w:line="142" w:lineRule="exact"/>
              <w:rPr>
                <w:sz w:val="20"/>
                <w:szCs w:val="20"/>
                <w:color w:val="auto"/>
              </w:rPr>
            </w:pPr>
            <w:r>
              <w:rPr>
                <w:rFonts w:ascii="Arial" w:cs="Arial" w:eastAsia="Arial" w:hAnsi="Arial"/>
                <w:sz w:val="14"/>
                <w:szCs w:val="14"/>
                <w:b w:val="1"/>
                <w:bCs w:val="1"/>
                <w:color w:val="auto"/>
                <w:w w:val="91"/>
              </w:rPr>
              <w:t>Reconciliation items</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gridSpan w:val="5"/>
            <w:vMerge w:val="restart"/>
          </w:tcPr>
          <w:p>
            <w:pPr>
              <w:jc w:val="center"/>
              <w:ind w:right="49"/>
              <w:spacing w:after="0"/>
              <w:rPr>
                <w:sz w:val="20"/>
                <w:szCs w:val="20"/>
                <w:color w:val="auto"/>
              </w:rPr>
            </w:pPr>
            <w:r>
              <w:rPr>
                <w:rFonts w:ascii="Arial" w:cs="Arial" w:eastAsia="Arial" w:hAnsi="Arial"/>
                <w:sz w:val="14"/>
                <w:szCs w:val="14"/>
                <w:b w:val="1"/>
                <w:bCs w:val="1"/>
                <w:color w:val="auto"/>
                <w:w w:val="95"/>
              </w:rPr>
              <w:t>Amortization</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4"/>
          </w:tcPr>
          <w:p>
            <w:pPr>
              <w:jc w:val="center"/>
              <w:ind w:right="200"/>
              <w:spacing w:after="0" w:line="119" w:lineRule="exact"/>
              <w:rPr>
                <w:sz w:val="20"/>
                <w:szCs w:val="20"/>
                <w:color w:val="auto"/>
              </w:rPr>
            </w:pPr>
            <w:r>
              <w:rPr>
                <w:rFonts w:ascii="Arial" w:cs="Arial" w:eastAsia="Arial" w:hAnsi="Arial"/>
                <w:sz w:val="13"/>
                <w:szCs w:val="13"/>
                <w:b w:val="1"/>
                <w:bCs w:val="1"/>
                <w:color w:val="auto"/>
                <w:w w:val="96"/>
              </w:rPr>
              <w:t>Changes in</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fair value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5"/>
          </w:tcPr>
          <w:p>
            <w:pPr>
              <w:jc w:val="center"/>
              <w:ind w:right="69"/>
              <w:spacing w:after="0" w:line="149" w:lineRule="exact"/>
              <w:rPr>
                <w:sz w:val="20"/>
                <w:szCs w:val="20"/>
                <w:color w:val="auto"/>
              </w:rPr>
            </w:pPr>
            <w:r>
              <w:rPr>
                <w:rFonts w:ascii="Arial" w:cs="Arial" w:eastAsia="Arial" w:hAnsi="Arial"/>
                <w:sz w:val="14"/>
                <w:szCs w:val="14"/>
                <w:b w:val="1"/>
                <w:bCs w:val="1"/>
                <w:color w:val="auto"/>
                <w:w w:val="90"/>
              </w:rPr>
              <w:t>of purchased</w:t>
            </w:r>
          </w:p>
        </w:tc>
        <w:tc>
          <w:tcPr>
            <w:tcW w:w="180" w:type="dxa"/>
            <w:vAlign w:val="bottom"/>
          </w:tcPr>
          <w:p>
            <w:pPr>
              <w:spacing w:after="0"/>
              <w:rPr>
                <w:sz w:val="12"/>
                <w:szCs w:val="12"/>
                <w:color w:val="auto"/>
              </w:rPr>
            </w:pPr>
          </w:p>
        </w:tc>
        <w:tc>
          <w:tcPr>
            <w:tcW w:w="8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1"/>
              </w:rPr>
              <w:t>Equity based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of certain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4"/>
          </w:tcPr>
          <w:p>
            <w:pPr>
              <w:jc w:val="center"/>
              <w:ind w:right="129"/>
              <w:spacing w:after="0" w:line="149" w:lineRule="exact"/>
              <w:rPr>
                <w:sz w:val="20"/>
                <w:szCs w:val="20"/>
                <w:color w:val="auto"/>
              </w:rPr>
            </w:pPr>
            <w:r>
              <w:rPr>
                <w:rFonts w:ascii="Arial" w:cs="Arial" w:eastAsia="Arial" w:hAnsi="Arial"/>
                <w:sz w:val="14"/>
                <w:szCs w:val="14"/>
                <w:b w:val="1"/>
                <w:bCs w:val="1"/>
                <w:color w:val="auto"/>
                <w:w w:val="93"/>
              </w:rPr>
              <w:t>intangible</w:t>
            </w:r>
          </w:p>
        </w:tc>
        <w:tc>
          <w:tcPr>
            <w:tcW w:w="18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GAAP</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4"/>
          </w:tcPr>
          <w:p>
            <w:pPr>
              <w:jc w:val="center"/>
              <w:ind w:right="129"/>
              <w:spacing w:after="0" w:line="149" w:lineRule="exact"/>
              <w:rPr>
                <w:sz w:val="20"/>
                <w:szCs w:val="20"/>
                <w:color w:val="auto"/>
              </w:rPr>
            </w:pPr>
            <w:r>
              <w:rPr>
                <w:rFonts w:ascii="Arial" w:cs="Arial" w:eastAsia="Arial" w:hAnsi="Arial"/>
                <w:sz w:val="14"/>
                <w:szCs w:val="14"/>
                <w:b w:val="1"/>
                <w:bCs w:val="1"/>
                <w:color w:val="auto"/>
                <w:w w:val="85"/>
              </w:rPr>
              <w:t>assets and</w:t>
            </w:r>
          </w:p>
        </w:tc>
        <w:tc>
          <w:tcPr>
            <w:tcW w:w="180" w:type="dxa"/>
            <w:vAlign w:val="bottom"/>
          </w:tcPr>
          <w:p>
            <w:pPr>
              <w:spacing w:after="0"/>
              <w:rPr>
                <w:sz w:val="12"/>
                <w:szCs w:val="12"/>
                <w:color w:val="auto"/>
              </w:rPr>
            </w:pPr>
          </w:p>
        </w:tc>
        <w:tc>
          <w:tcPr>
            <w:tcW w:w="8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related</w:t>
            </w:r>
          </w:p>
        </w:tc>
        <w:tc>
          <w:tcPr>
            <w:tcW w:w="80" w:type="dxa"/>
            <w:vAlign w:val="bottom"/>
          </w:tcPr>
          <w:p>
            <w:pPr>
              <w:spacing w:after="0"/>
              <w:rPr>
                <w:sz w:val="12"/>
                <w:szCs w:val="12"/>
                <w:color w:val="auto"/>
              </w:rPr>
            </w:pPr>
          </w:p>
        </w:tc>
        <w:tc>
          <w:tcPr>
            <w:tcW w:w="9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Tax effect</w:t>
            </w:r>
          </w:p>
        </w:tc>
        <w:tc>
          <w:tcPr>
            <w:tcW w:w="88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4"/>
          </w:tcPr>
          <w:p>
            <w:pPr>
              <w:jc w:val="center"/>
              <w:ind w:right="149"/>
              <w:spacing w:after="0"/>
              <w:rPr>
                <w:sz w:val="20"/>
                <w:szCs w:val="20"/>
                <w:color w:val="auto"/>
              </w:rPr>
            </w:pPr>
            <w:r>
              <w:rPr>
                <w:rFonts w:ascii="Arial" w:cs="Arial" w:eastAsia="Arial" w:hAnsi="Arial"/>
                <w:sz w:val="14"/>
                <w:szCs w:val="14"/>
                <w:b w:val="1"/>
                <w:bCs w:val="1"/>
                <w:color w:val="auto"/>
                <w:w w:val="91"/>
              </w:rPr>
              <w:t>other</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b w:val="1"/>
                <w:bCs w:val="1"/>
                <w:color w:val="auto"/>
              </w:rPr>
              <w:t>expense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liabilities</w:t>
            </w:r>
          </w:p>
        </w:tc>
        <w:tc>
          <w:tcPr>
            <w:tcW w:w="80" w:type="dxa"/>
            <w:vAlign w:val="bottom"/>
          </w:tcPr>
          <w:p>
            <w:pPr>
              <w:spacing w:after="0"/>
              <w:rPr>
                <w:sz w:val="14"/>
                <w:szCs w:val="14"/>
                <w:color w:val="auto"/>
              </w:rPr>
            </w:pPr>
          </w:p>
        </w:tc>
        <w:tc>
          <w:tcPr>
            <w:tcW w:w="980" w:type="dxa"/>
            <w:vAlign w:val="bottom"/>
            <w:gridSpan w:val="4"/>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5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Cost of revenue</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$1,242,571</w:t>
            </w:r>
          </w:p>
        </w:tc>
        <w:tc>
          <w:tcPr>
            <w:tcW w:w="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149"/>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center"/>
              <w:ind w:left="53"/>
              <w:spacing w:after="0"/>
              <w:rPr>
                <w:sz w:val="20"/>
                <w:szCs w:val="20"/>
                <w:color w:val="auto"/>
              </w:rPr>
            </w:pPr>
            <w:r>
              <w:rPr>
                <w:rFonts w:ascii="Arial" w:cs="Arial" w:eastAsia="Arial" w:hAnsi="Arial"/>
                <w:sz w:val="18"/>
                <w:szCs w:val="18"/>
                <w:color w:val="auto"/>
                <w:w w:val="99"/>
              </w:rPr>
              <w:t>$</w:t>
            </w:r>
          </w:p>
        </w:tc>
        <w:tc>
          <w:tcPr>
            <w:tcW w:w="880" w:type="dxa"/>
            <w:vAlign w:val="bottom"/>
            <w:gridSpan w:val="4"/>
          </w:tcPr>
          <w:p>
            <w:pPr>
              <w:jc w:val="right"/>
              <w:ind w:right="19"/>
              <w:spacing w:after="0"/>
              <w:rPr>
                <w:sz w:val="20"/>
                <w:szCs w:val="20"/>
                <w:color w:val="auto"/>
              </w:rPr>
            </w:pPr>
            <w:r>
              <w:rPr>
                <w:rFonts w:ascii="Arial" w:cs="Arial" w:eastAsia="Arial" w:hAnsi="Arial"/>
                <w:sz w:val="18"/>
                <w:szCs w:val="18"/>
                <w:color w:val="auto"/>
              </w:rPr>
              <w:t>(9,971)</w:t>
            </w:r>
          </w:p>
        </w:tc>
        <w:tc>
          <w:tcPr>
            <w:tcW w:w="240" w:type="dxa"/>
            <w:vAlign w:val="bottom"/>
            <w:gridSpan w:val="2"/>
          </w:tcPr>
          <w:p>
            <w:pPr>
              <w:jc w:val="center"/>
              <w:ind w:left="53"/>
              <w:spacing w:after="0"/>
              <w:rPr>
                <w:sz w:val="20"/>
                <w:szCs w:val="20"/>
                <w:color w:val="auto"/>
              </w:rPr>
            </w:pPr>
            <w:r>
              <w:rPr>
                <w:rFonts w:ascii="Arial" w:cs="Arial" w:eastAsia="Arial" w:hAnsi="Arial"/>
                <w:sz w:val="18"/>
                <w:szCs w:val="18"/>
                <w:color w:val="auto"/>
                <w:w w:val="99"/>
              </w:rPr>
              <w:t>$</w:t>
            </w: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6,691</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w w:val="88"/>
              </w:rPr>
              <w:t>$1,239,291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Research and</w:t>
            </w: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development</w:t>
            </w:r>
          </w:p>
        </w:tc>
        <w:tc>
          <w:tcPr>
            <w:tcW w:w="14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127,293</w:t>
            </w: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149"/>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gridSpan w:val="4"/>
            <w:shd w:val="clear" w:color="auto" w:fill="CCEEFF"/>
          </w:tcPr>
          <w:p>
            <w:pPr>
              <w:jc w:val="right"/>
              <w:ind w:right="19"/>
              <w:spacing w:after="0"/>
              <w:rPr>
                <w:sz w:val="20"/>
                <w:szCs w:val="20"/>
                <w:color w:val="auto"/>
              </w:rPr>
            </w:pPr>
            <w:r>
              <w:rPr>
                <w:rFonts w:ascii="Arial" w:cs="Arial" w:eastAsia="Arial" w:hAnsi="Arial"/>
                <w:sz w:val="18"/>
                <w:szCs w:val="18"/>
                <w:color w:val="auto"/>
              </w:rPr>
              <w:t>(1,800)</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1400" w:type="dxa"/>
            <w:vAlign w:val="bottom"/>
            <w:gridSpan w:val="4"/>
          </w:tcPr>
          <w:p>
            <w:pPr>
              <w:jc w:val="right"/>
              <w:ind w:right="40"/>
              <w:spacing w:after="0"/>
              <w:rPr>
                <w:sz w:val="20"/>
                <w:szCs w:val="20"/>
                <w:color w:val="auto"/>
              </w:rPr>
            </w:pPr>
            <w:r>
              <w:rPr>
                <w:rFonts w:ascii="Arial" w:cs="Arial" w:eastAsia="Arial" w:hAnsi="Arial"/>
                <w:sz w:val="18"/>
                <w:szCs w:val="18"/>
                <w:color w:val="auto"/>
              </w:rPr>
              <w:t>238,544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149"/>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4"/>
          </w:tcPr>
          <w:p>
            <w:pPr>
              <w:jc w:val="right"/>
              <w:ind w:right="19"/>
              <w:spacing w:after="0"/>
              <w:rPr>
                <w:sz w:val="20"/>
                <w:szCs w:val="20"/>
                <w:color w:val="auto"/>
              </w:rPr>
            </w:pPr>
            <w:r>
              <w:rPr>
                <w:rFonts w:ascii="Arial" w:cs="Arial" w:eastAsia="Arial" w:hAnsi="Arial"/>
                <w:sz w:val="18"/>
                <w:szCs w:val="18"/>
                <w:color w:val="auto"/>
              </w:rPr>
              <w:t>(12,674)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225,870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purchased intangible assets and other</w:t>
            </w:r>
          </w:p>
        </w:tc>
        <w:tc>
          <w:tcPr>
            <w:tcW w:w="14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56,954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(56,954)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540" w:type="dxa"/>
            <w:vAlign w:val="bottom"/>
          </w:tcPr>
          <w:p>
            <w:pPr>
              <w:spacing w:after="0"/>
              <w:rPr>
                <w:sz w:val="20"/>
                <w:szCs w:val="20"/>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1,665,362</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(56,954)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(24,445)</w:t>
            </w:r>
          </w:p>
        </w:tc>
        <w:tc>
          <w:tcPr>
            <w:tcW w:w="16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6,691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1,590,654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255,374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49"/>
              <w:spacing w:after="0"/>
              <w:rPr>
                <w:sz w:val="20"/>
                <w:szCs w:val="20"/>
                <w:color w:val="auto"/>
              </w:rPr>
            </w:pPr>
            <w:r>
              <w:rPr>
                <w:rFonts w:ascii="Arial" w:cs="Arial" w:eastAsia="Arial" w:hAnsi="Arial"/>
                <w:sz w:val="18"/>
                <w:szCs w:val="18"/>
                <w:color w:val="auto"/>
              </w:rPr>
              <w:t>56,954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24,445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(6,691)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330,082</w:t>
            </w: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540" w:type="dxa"/>
            <w:vAlign w:val="bottom"/>
          </w:tcPr>
          <w:p>
            <w:pPr>
              <w:spacing w:after="0"/>
              <w:rPr>
                <w:sz w:val="20"/>
                <w:szCs w:val="20"/>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41,790</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12,330</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3"/>
              </w:rPr>
              <w:t>$  210,353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CEEFF"/>
          </w:tcPr>
          <w:p>
            <w:pPr>
              <w:jc w:val="right"/>
              <w:ind w:right="49"/>
              <w:spacing w:after="0"/>
              <w:rPr>
                <w:sz w:val="20"/>
                <w:szCs w:val="20"/>
                <w:color w:val="auto"/>
              </w:rPr>
            </w:pPr>
            <w:r>
              <w:rPr>
                <w:rFonts w:ascii="Arial" w:cs="Arial" w:eastAsia="Arial" w:hAnsi="Arial"/>
                <w:sz w:val="18"/>
                <w:szCs w:val="18"/>
                <w:color w:val="auto"/>
              </w:rPr>
              <w:t>56,954</w:t>
            </w:r>
          </w:p>
        </w:tc>
        <w:tc>
          <w:tcPr>
            <w:tcW w:w="320" w:type="dxa"/>
            <w:vAlign w:val="bottom"/>
            <w:gridSpan w:val="2"/>
            <w:shd w:val="clear" w:color="auto" w:fill="CCEEFF"/>
          </w:tcPr>
          <w:p>
            <w:pPr>
              <w:jc w:val="center"/>
              <w:ind w:left="53"/>
              <w:spacing w:after="0"/>
              <w:rPr>
                <w:sz w:val="20"/>
                <w:szCs w:val="20"/>
                <w:color w:val="auto"/>
              </w:rPr>
            </w:pPr>
            <w:r>
              <w:rPr>
                <w:rFonts w:ascii="Arial" w:cs="Arial" w:eastAsia="Arial" w:hAnsi="Arial"/>
                <w:sz w:val="18"/>
                <w:szCs w:val="18"/>
                <w:color w:val="auto"/>
                <w:w w:val="99"/>
              </w:rPr>
              <w:t>$</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24,445</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center"/>
              <w:ind w:left="53"/>
              <w:spacing w:after="0"/>
              <w:rPr>
                <w:sz w:val="20"/>
                <w:szCs w:val="20"/>
                <w:color w:val="auto"/>
              </w:rPr>
            </w:pPr>
            <w:r>
              <w:rPr>
                <w:rFonts w:ascii="Arial" w:cs="Arial" w:eastAsia="Arial" w:hAnsi="Arial"/>
                <w:sz w:val="18"/>
                <w:szCs w:val="18"/>
                <w:color w:val="auto"/>
                <w:w w:val="99"/>
              </w:rPr>
              <w:t>$</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(6,691)</w:t>
            </w:r>
          </w:p>
        </w:tc>
        <w:tc>
          <w:tcPr>
            <w:tcW w:w="1060" w:type="dxa"/>
            <w:vAlign w:val="bottom"/>
            <w:gridSpan w:val="5"/>
            <w:shd w:val="clear" w:color="auto" w:fill="CCEEFF"/>
          </w:tcPr>
          <w:p>
            <w:pPr>
              <w:ind w:lef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(12,330)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272,731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gridSpan w:val="8"/>
          </w:tcPr>
          <w:p>
            <w:pPr>
              <w:jc w:val="center"/>
              <w:ind w:right="120"/>
              <w:spacing w:after="0"/>
              <w:rPr>
                <w:sz w:val="20"/>
                <w:szCs w:val="20"/>
                <w:color w:val="auto"/>
              </w:rPr>
            </w:pPr>
            <w:r>
              <w:rPr>
                <w:rFonts w:ascii="Arial" w:cs="Arial" w:eastAsia="Arial" w:hAnsi="Arial"/>
                <w:sz w:val="14"/>
                <w:szCs w:val="14"/>
                <w:b w:val="1"/>
                <w:bCs w:val="1"/>
                <w:color w:val="auto"/>
                <w:w w:val="91"/>
              </w:rPr>
              <w:t>Six months ended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8"/>
          </w:tcPr>
          <w:p>
            <w:pPr>
              <w:jc w:val="center"/>
              <w:ind w:right="120"/>
              <w:spacing w:after="0"/>
              <w:rPr>
                <w:sz w:val="20"/>
                <w:szCs w:val="20"/>
                <w:color w:val="auto"/>
              </w:rPr>
            </w:pPr>
            <w:r>
              <w:rPr>
                <w:rFonts w:ascii="Arial" w:cs="Arial" w:eastAsia="Arial" w:hAnsi="Arial"/>
                <w:sz w:val="14"/>
                <w:szCs w:val="14"/>
                <w:b w:val="1"/>
                <w:bCs w:val="1"/>
                <w:color w:val="auto"/>
                <w:w w:val="94"/>
              </w:rPr>
              <w:t>March 31, 2016</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8"/>
          </w:tcPr>
          <w:p>
            <w:pPr>
              <w:jc w:val="center"/>
              <w:ind w:right="160"/>
              <w:spacing w:after="0" w:line="142" w:lineRule="exact"/>
              <w:rPr>
                <w:sz w:val="20"/>
                <w:szCs w:val="20"/>
                <w:color w:val="auto"/>
              </w:rPr>
            </w:pPr>
            <w:r>
              <w:rPr>
                <w:rFonts w:ascii="Arial" w:cs="Arial" w:eastAsia="Arial" w:hAnsi="Arial"/>
                <w:sz w:val="14"/>
                <w:szCs w:val="14"/>
                <w:b w:val="1"/>
                <w:bCs w:val="1"/>
                <w:color w:val="auto"/>
                <w:w w:val="92"/>
              </w:rPr>
              <w:t>Reconciliation items</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gridSpan w:val="6"/>
          </w:tcPr>
          <w:p>
            <w:pPr>
              <w:jc w:val="center"/>
              <w:ind w:right="420"/>
              <w:spacing w:after="0" w:line="119" w:lineRule="exact"/>
              <w:rPr>
                <w:sz w:val="20"/>
                <w:szCs w:val="20"/>
                <w:color w:val="auto"/>
              </w:rPr>
            </w:pPr>
            <w:r>
              <w:rPr>
                <w:rFonts w:ascii="Arial" w:cs="Arial" w:eastAsia="Arial" w:hAnsi="Arial"/>
                <w:sz w:val="13"/>
                <w:szCs w:val="13"/>
                <w:b w:val="1"/>
                <w:bCs w:val="1"/>
                <w:color w:val="auto"/>
                <w:w w:val="95"/>
              </w:rPr>
              <w:t>Amortization</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6"/>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of purchased</w:t>
            </w:r>
          </w:p>
        </w:tc>
        <w:tc>
          <w:tcPr>
            <w:tcW w:w="124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Equity based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6"/>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intangible</w:t>
            </w:r>
          </w:p>
        </w:tc>
        <w:tc>
          <w:tcPr>
            <w:tcW w:w="124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GAAP</w:t>
            </w:r>
          </w:p>
        </w:tc>
        <w:tc>
          <w:tcPr>
            <w:tcW w:w="340" w:type="dxa"/>
            <w:vAlign w:val="bottom"/>
          </w:tcPr>
          <w:p>
            <w:pPr>
              <w:spacing w:after="0"/>
              <w:rPr>
                <w:sz w:val="12"/>
                <w:szCs w:val="12"/>
                <w:color w:val="auto"/>
              </w:rPr>
            </w:pPr>
          </w:p>
        </w:tc>
        <w:tc>
          <w:tcPr>
            <w:tcW w:w="1180" w:type="dxa"/>
            <w:vAlign w:val="bottom"/>
            <w:gridSpan w:val="6"/>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assets and</w:t>
            </w:r>
          </w:p>
        </w:tc>
        <w:tc>
          <w:tcPr>
            <w:tcW w:w="124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06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Tax effect</w:t>
            </w:r>
          </w:p>
        </w:tc>
        <w:tc>
          <w:tcPr>
            <w:tcW w:w="88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4"/>
            <w:vMerge w:val="continue"/>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4"/>
                <w:szCs w:val="14"/>
                <w:color w:val="auto"/>
              </w:rPr>
            </w:pPr>
          </w:p>
        </w:tc>
        <w:tc>
          <w:tcPr>
            <w:tcW w:w="11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89"/>
              </w:rPr>
              <w:t>expense</w:t>
            </w:r>
          </w:p>
        </w:tc>
        <w:tc>
          <w:tcPr>
            <w:tcW w:w="1060" w:type="dxa"/>
            <w:vAlign w:val="bottom"/>
            <w:gridSpan w:val="5"/>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5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Cost of revenue</w:t>
            </w:r>
          </w:p>
        </w:tc>
        <w:tc>
          <w:tcPr>
            <w:tcW w:w="2120" w:type="dxa"/>
            <w:vAlign w:val="bottom"/>
            <w:gridSpan w:val="8"/>
          </w:tcPr>
          <w:p>
            <w:pPr>
              <w:jc w:val="right"/>
              <w:ind w:right="80"/>
              <w:spacing w:after="0"/>
              <w:rPr>
                <w:sz w:val="20"/>
                <w:szCs w:val="20"/>
                <w:color w:val="auto"/>
              </w:rPr>
            </w:pPr>
            <w:r>
              <w:rPr>
                <w:rFonts w:ascii="Arial" w:cs="Arial" w:eastAsia="Arial" w:hAnsi="Arial"/>
                <w:sz w:val="18"/>
                <w:szCs w:val="18"/>
                <w:color w:val="auto"/>
              </w:rPr>
              <w:t>$1,195,684</w:t>
            </w:r>
          </w:p>
        </w:tc>
        <w:tc>
          <w:tcPr>
            <w:tcW w:w="460" w:type="dxa"/>
            <w:vAlign w:val="bottom"/>
            <w:gridSpan w:val="2"/>
          </w:tcPr>
          <w:p>
            <w:pPr>
              <w:jc w:val="right"/>
              <w:ind w:right="9"/>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(9,041)</w:t>
            </w:r>
          </w:p>
        </w:tc>
        <w:tc>
          <w:tcPr>
            <w:tcW w:w="220" w:type="dxa"/>
            <w:vAlign w:val="bottom"/>
          </w:tcPr>
          <w:p>
            <w:pPr>
              <w:spacing w:after="0"/>
              <w:rPr>
                <w:sz w:val="18"/>
                <w:szCs w:val="18"/>
                <w:color w:val="auto"/>
              </w:rPr>
            </w:pPr>
          </w:p>
        </w:tc>
        <w:tc>
          <w:tcPr>
            <w:tcW w:w="220" w:type="dxa"/>
            <w:vAlign w:val="bottom"/>
            <w:gridSpan w:val="2"/>
          </w:tcPr>
          <w:p>
            <w:pPr>
              <w:jc w:val="right"/>
              <w:ind w:right="48"/>
              <w:spacing w:after="0"/>
              <w:rPr>
                <w:sz w:val="20"/>
                <w:szCs w:val="20"/>
                <w:color w:val="auto"/>
              </w:rPr>
            </w:pPr>
            <w:r>
              <w:rPr>
                <w:rFonts w:ascii="Arial" w:cs="Arial" w:eastAsia="Arial" w:hAnsi="Arial"/>
                <w:sz w:val="18"/>
                <w:szCs w:val="18"/>
                <w:color w:val="auto"/>
                <w:w w:val="79"/>
              </w:rPr>
              <w:t>$</w:t>
            </w:r>
          </w:p>
        </w:tc>
        <w:tc>
          <w:tcPr>
            <w:tcW w:w="84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w w:val="88"/>
              </w:rPr>
              <w:t>$1,186,643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5"/>
              </w:rPr>
              <w:t>126,198</w:t>
            </w: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(1,860)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4"/>
          </w:tcPr>
          <w:p>
            <w:pPr>
              <w:jc w:val="right"/>
              <w:ind w:right="80"/>
              <w:spacing w:after="0"/>
              <w:rPr>
                <w:sz w:val="20"/>
                <w:szCs w:val="20"/>
                <w:color w:val="auto"/>
              </w:rPr>
            </w:pPr>
            <w:r>
              <w:rPr>
                <w:rFonts w:ascii="Arial" w:cs="Arial" w:eastAsia="Arial" w:hAnsi="Arial"/>
                <w:sz w:val="18"/>
                <w:szCs w:val="18"/>
                <w:color w:val="auto"/>
                <w:w w:val="95"/>
              </w:rPr>
              <w:t>234,022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4"/>
          </w:tcPr>
          <w:p>
            <w:pPr>
              <w:jc w:val="right"/>
              <w:ind w:right="120"/>
              <w:spacing w:after="0"/>
              <w:rPr>
                <w:sz w:val="20"/>
                <w:szCs w:val="20"/>
                <w:color w:val="auto"/>
              </w:rPr>
            </w:pPr>
            <w:r>
              <w:rPr>
                <w:rFonts w:ascii="Arial" w:cs="Arial" w:eastAsia="Arial" w:hAnsi="Arial"/>
                <w:sz w:val="18"/>
                <w:szCs w:val="18"/>
                <w:color w:val="auto"/>
              </w:rPr>
              <w:t>(12,385)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221,637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purchased intangible assets and other</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51,854</w:t>
            </w: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261"/>
              <w:spacing w:after="0"/>
              <w:rPr>
                <w:sz w:val="20"/>
                <w:szCs w:val="20"/>
                <w:color w:val="auto"/>
              </w:rPr>
            </w:pPr>
            <w:r>
              <w:rPr>
                <w:rFonts w:ascii="Arial" w:cs="Arial" w:eastAsia="Arial" w:hAnsi="Arial"/>
                <w:sz w:val="18"/>
                <w:szCs w:val="18"/>
                <w:color w:val="auto"/>
              </w:rPr>
              <w:t>(51,854)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220" w:type="dxa"/>
            <w:vAlign w:val="bottom"/>
            <w:gridSpan w:val="2"/>
          </w:tcPr>
          <w:p>
            <w:pPr>
              <w:spacing w:after="0"/>
              <w:rPr>
                <w:sz w:val="20"/>
                <w:szCs w:val="20"/>
                <w:color w:val="auto"/>
              </w:rPr>
            </w:pPr>
          </w:p>
        </w:tc>
        <w:tc>
          <w:tcPr>
            <w:tcW w:w="82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color w:val="auto"/>
                <w:w w:val="99"/>
              </w:rPr>
              <w:t>1,607,758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2"/>
              </w:rPr>
              <w:t>(51,854)</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(23,286)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400" w:type="dxa"/>
            <w:vAlign w:val="bottom"/>
            <w:gridSpan w:val="2"/>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1,532,618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5"/>
              </w:rPr>
              <w:t>239,682</w:t>
            </w: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321"/>
              <w:spacing w:after="0"/>
              <w:rPr>
                <w:sz w:val="20"/>
                <w:szCs w:val="20"/>
                <w:color w:val="auto"/>
              </w:rPr>
            </w:pPr>
            <w:r>
              <w:rPr>
                <w:rFonts w:ascii="Arial" w:cs="Arial" w:eastAsia="Arial" w:hAnsi="Arial"/>
                <w:sz w:val="18"/>
                <w:szCs w:val="18"/>
                <w:color w:val="auto"/>
              </w:rPr>
              <w:t>51,854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23,286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314,822</w:t>
            </w: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30,915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420" w:type="dxa"/>
            <w:vAlign w:val="bottom"/>
            <w:gridSpan w:val="2"/>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center"/>
              <w:ind w:left="31"/>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spacing w:after="0"/>
              <w:rPr>
                <w:sz w:val="20"/>
                <w:szCs w:val="20"/>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11,517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42,432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5"/>
              </w:rPr>
              <w:t>208,562</w:t>
            </w:r>
          </w:p>
        </w:tc>
        <w:tc>
          <w:tcPr>
            <w:tcW w:w="46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ind w:right="321"/>
              <w:spacing w:after="0"/>
              <w:rPr>
                <w:sz w:val="20"/>
                <w:szCs w:val="20"/>
                <w:color w:val="auto"/>
              </w:rPr>
            </w:pPr>
            <w:r>
              <w:rPr>
                <w:rFonts w:ascii="Arial" w:cs="Arial" w:eastAsia="Arial" w:hAnsi="Arial"/>
                <w:sz w:val="18"/>
                <w:szCs w:val="18"/>
                <w:color w:val="auto"/>
              </w:rPr>
              <w:t>51,854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23,286</w:t>
            </w:r>
          </w:p>
        </w:tc>
        <w:tc>
          <w:tcPr>
            <w:tcW w:w="2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(11,517)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 of</w:t>
            </w: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6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84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auto"/>
              </w:rPr>
              <w:t>March 31,</w:t>
            </w:r>
          </w:p>
        </w:tc>
        <w:tc>
          <w:tcPr>
            <w:tcW w:w="36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2420" w:type="dxa"/>
            <w:vAlign w:val="bottom"/>
            <w:gridSpan w:val="2"/>
          </w:tcPr>
          <w:p>
            <w:pPr>
              <w:jc w:val="right"/>
              <w:ind w:right="195"/>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Current assets</w:t>
            </w:r>
          </w:p>
        </w:tc>
        <w:tc>
          <w:tcPr>
            <w:tcW w:w="1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short-term interest-bearing investments</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$1,149,454</w:t>
            </w: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1,095,723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Accounts receivable, net, including unbilled of $150,934 and $134,122, respectively</w:t>
            </w:r>
          </w:p>
        </w:tc>
        <w:tc>
          <w:tcPr>
            <w:tcW w:w="2440" w:type="dxa"/>
            <w:vAlign w:val="bottom"/>
            <w:gridSpan w:val="3"/>
          </w:tcPr>
          <w:p>
            <w:pPr>
              <w:jc w:val="right"/>
              <w:ind w:right="20"/>
              <w:spacing w:after="0"/>
              <w:rPr>
                <w:sz w:val="20"/>
                <w:szCs w:val="20"/>
                <w:color w:val="auto"/>
              </w:rPr>
            </w:pPr>
            <w:r>
              <w:rPr>
                <w:rFonts w:ascii="Arial" w:cs="Arial" w:eastAsia="Arial" w:hAnsi="Arial"/>
                <w:sz w:val="18"/>
                <w:szCs w:val="18"/>
                <w:color w:val="auto"/>
              </w:rPr>
              <w:t>844,631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818,531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223,838</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186,137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60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2,217,923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2,100,391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Equipment and leasehold improvements, net</w:t>
            </w:r>
          </w:p>
        </w:tc>
        <w:tc>
          <w:tcPr>
            <w:tcW w:w="2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331,523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331,728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Goodwill and other intangible assets, net</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2,423,886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2,493,166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442,633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406,070</w:t>
            </w:r>
          </w:p>
        </w:tc>
        <w:tc>
          <w:tcPr>
            <w:tcW w:w="0" w:type="dxa"/>
            <w:vAlign w:val="bottom"/>
          </w:tcPr>
          <w:p>
            <w:pPr>
              <w:spacing w:after="0"/>
              <w:rPr>
                <w:sz w:val="1"/>
                <w:szCs w:val="1"/>
                <w:color w:val="auto"/>
              </w:rPr>
            </w:pPr>
          </w:p>
        </w:tc>
      </w:tr>
      <w:tr>
        <w:trPr>
          <w:trHeight w:val="223"/>
        </w:trPr>
        <w:tc>
          <w:tcPr>
            <w:tcW w:w="76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6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5,415,965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5,331,355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Current liabilities</w:t>
            </w:r>
          </w:p>
        </w:tc>
        <w:tc>
          <w:tcPr>
            <w:tcW w:w="1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accruals and other</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$1,001,456</w:t>
            </w: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992,679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Short-term financing arrangements</w:t>
            </w:r>
          </w:p>
        </w:tc>
        <w:tc>
          <w:tcPr>
            <w:tcW w:w="2440" w:type="dxa"/>
            <w:vAlign w:val="bottom"/>
            <w:gridSpan w:val="3"/>
          </w:tcPr>
          <w:p>
            <w:pPr>
              <w:jc w:val="right"/>
              <w:ind w:right="20"/>
              <w:spacing w:after="0"/>
              <w:rPr>
                <w:sz w:val="20"/>
                <w:szCs w:val="20"/>
                <w:color w:val="auto"/>
              </w:rPr>
            </w:pPr>
            <w:r>
              <w:rPr>
                <w:rFonts w:ascii="Arial" w:cs="Arial" w:eastAsia="Arial" w:hAnsi="Arial"/>
                <w:sz w:val="18"/>
                <w:szCs w:val="18"/>
                <w:color w:val="auto"/>
              </w:rPr>
              <w:t>200,000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149,537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173,331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60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1,350,993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1,366,010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512,056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511,784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Shareholders’ equity</w:t>
            </w:r>
          </w:p>
        </w:tc>
        <w:tc>
          <w:tcPr>
            <w:tcW w:w="1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3,552,916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3,453,561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5,415,965</w:t>
            </w: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5,331,355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1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12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20" w:type="dxa"/>
            <w:vAlign w:val="bottom"/>
          </w:tcPr>
          <w:p>
            <w:pPr>
              <w:spacing w:after="0"/>
              <w:rPr>
                <w:sz w:val="12"/>
                <w:szCs w:val="12"/>
                <w:color w:val="auto"/>
              </w:rPr>
            </w:pPr>
          </w:p>
        </w:tc>
        <w:tc>
          <w:tcPr>
            <w:tcW w:w="7280" w:type="dxa"/>
            <w:vAlign w:val="bottom"/>
            <w:tcBorders>
              <w:bottom w:val="single" w:sz="8" w:color="CCEEFF"/>
            </w:tcBorders>
          </w:tcPr>
          <w:p>
            <w:pPr>
              <w:spacing w:after="0"/>
              <w:rPr>
                <w:sz w:val="12"/>
                <w:szCs w:val="12"/>
                <w:color w:val="auto"/>
              </w:rPr>
            </w:pPr>
          </w:p>
        </w:tc>
        <w:tc>
          <w:tcPr>
            <w:tcW w:w="200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20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Net income</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$ 210,353</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208,562</w:t>
            </w: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20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109,038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104,225</w:t>
            </w: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w:t>
            </w:r>
          </w:p>
        </w:tc>
        <w:tc>
          <w:tcPr>
            <w:tcW w:w="3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24,445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23,286</w:t>
            </w: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3000" w:type="dxa"/>
            <w:vAlign w:val="bottom"/>
            <w:gridSpan w:val="3"/>
          </w:tcPr>
          <w:p>
            <w:pPr>
              <w:jc w:val="right"/>
              <w:ind w:right="180"/>
              <w:spacing w:after="0"/>
              <w:rPr>
                <w:sz w:val="20"/>
                <w:szCs w:val="20"/>
                <w:color w:val="auto"/>
              </w:rPr>
            </w:pPr>
            <w:r>
              <w:rPr>
                <w:rFonts w:ascii="Arial" w:cs="Arial" w:eastAsia="Arial" w:hAnsi="Arial"/>
                <w:sz w:val="18"/>
                <w:szCs w:val="18"/>
                <w:color w:val="auto"/>
              </w:rPr>
              <w:t>16,889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(7,614)</w:t>
            </w: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tax benefit from equity-based compensation</w:t>
            </w:r>
          </w:p>
        </w:tc>
        <w:tc>
          <w:tcPr>
            <w:tcW w:w="3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(5,248)</w:t>
            </w: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(Gain) loss from short-term interest-bearing investments</w:t>
            </w:r>
          </w:p>
        </w:tc>
        <w:tc>
          <w:tcPr>
            <w:tcW w:w="3000" w:type="dxa"/>
            <w:vAlign w:val="bottom"/>
            <w:gridSpan w:val="3"/>
          </w:tcPr>
          <w:p>
            <w:pPr>
              <w:jc w:val="right"/>
              <w:ind w:right="12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445</w:t>
            </w: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20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3000" w:type="dxa"/>
            <w:vAlign w:val="bottom"/>
            <w:gridSpan w:val="3"/>
          </w:tcPr>
          <w:p>
            <w:pPr>
              <w:jc w:val="right"/>
              <w:ind w:right="120"/>
              <w:spacing w:after="0"/>
              <w:rPr>
                <w:sz w:val="20"/>
                <w:szCs w:val="20"/>
                <w:color w:val="auto"/>
              </w:rPr>
            </w:pPr>
            <w:r>
              <w:rPr>
                <w:rFonts w:ascii="Arial" w:cs="Arial" w:eastAsia="Arial" w:hAnsi="Arial"/>
                <w:sz w:val="18"/>
                <w:szCs w:val="18"/>
                <w:color w:val="auto"/>
              </w:rPr>
              <w:t>(25,092)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(23,061)</w:t>
            </w: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3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(10,926)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(28,684)</w:t>
            </w: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3000" w:type="dxa"/>
            <w:vAlign w:val="bottom"/>
            <w:gridSpan w:val="3"/>
          </w:tcPr>
          <w:p>
            <w:pPr>
              <w:jc w:val="right"/>
              <w:ind w:right="120"/>
              <w:spacing w:after="0"/>
              <w:rPr>
                <w:sz w:val="20"/>
                <w:szCs w:val="20"/>
                <w:color w:val="auto"/>
              </w:rPr>
            </w:pPr>
            <w:r>
              <w:rPr>
                <w:rFonts w:ascii="Arial" w:cs="Arial" w:eastAsia="Arial" w:hAnsi="Arial"/>
                <w:sz w:val="18"/>
                <w:szCs w:val="18"/>
                <w:color w:val="auto"/>
              </w:rPr>
              <w:t>(42,294)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3,352</w:t>
            </w: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expenses and accrued personnel</w:t>
            </w:r>
          </w:p>
        </w:tc>
        <w:tc>
          <w:tcPr>
            <w:tcW w:w="3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25,101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27,784</w:t>
            </w: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3000" w:type="dxa"/>
            <w:vAlign w:val="bottom"/>
            <w:gridSpan w:val="3"/>
          </w:tcPr>
          <w:p>
            <w:pPr>
              <w:jc w:val="right"/>
              <w:ind w:right="120"/>
              <w:spacing w:after="0"/>
              <w:rPr>
                <w:sz w:val="20"/>
                <w:szCs w:val="20"/>
                <w:color w:val="auto"/>
              </w:rPr>
            </w:pPr>
            <w:r>
              <w:rPr>
                <w:rFonts w:ascii="Arial" w:cs="Arial" w:eastAsia="Arial" w:hAnsi="Arial"/>
                <w:sz w:val="18"/>
                <w:szCs w:val="18"/>
                <w:color w:val="auto"/>
              </w:rPr>
              <w:t>(19,932)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(3,023)</w:t>
            </w: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3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(8,813)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2,416</w:t>
            </w:r>
          </w:p>
        </w:tc>
      </w:tr>
      <w:tr>
        <w:trPr>
          <w:trHeight w:val="223"/>
        </w:trPr>
        <w:tc>
          <w:tcPr>
            <w:tcW w:w="20" w:type="dxa"/>
            <w:vAlign w:val="bottom"/>
          </w:tcPr>
          <w:p>
            <w:pPr>
              <w:spacing w:after="0"/>
              <w:rPr>
                <w:sz w:val="19"/>
                <w:szCs w:val="19"/>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20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(469)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14,233</w:t>
            </w: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0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275,354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316,673</w:t>
            </w:r>
          </w:p>
        </w:tc>
        <w:tc>
          <w:tcPr>
            <w:tcW w:w="100" w:type="dxa"/>
            <w:vAlign w:val="bottom"/>
            <w:shd w:val="clear" w:color="auto" w:fill="CCEEFF"/>
          </w:tcPr>
          <w:p>
            <w:pPr>
              <w:spacing w:after="0"/>
              <w:rPr>
                <w:sz w:val="18"/>
                <w:szCs w:val="18"/>
                <w:color w:val="auto"/>
              </w:rPr>
            </w:pPr>
          </w:p>
        </w:tc>
      </w:tr>
      <w:tr>
        <w:trPr>
          <w:trHeight w:val="223"/>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2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Payments for purchase of equipment and leasehold improvements, net</w:t>
            </w:r>
          </w:p>
        </w:tc>
        <w:tc>
          <w:tcPr>
            <w:tcW w:w="3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(69,906)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(67,289)</w:t>
            </w: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144,920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191,648</w:t>
            </w: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interest-bearing investments</w:t>
            </w:r>
          </w:p>
        </w:tc>
        <w:tc>
          <w:tcPr>
            <w:tcW w:w="3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(145,737)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(199,988)</w:t>
            </w: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Net cash paid for acquisitions</w:t>
            </w:r>
          </w:p>
        </w:tc>
        <w:tc>
          <w:tcPr>
            <w:tcW w:w="20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(24,993)</w:t>
            </w: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(20,602)</w:t>
            </w:r>
          </w:p>
        </w:tc>
      </w:tr>
      <w:tr>
        <w:trPr>
          <w:trHeight w:val="230"/>
        </w:trPr>
        <w:tc>
          <w:tcPr>
            <w:tcW w:w="73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0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(69,052)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(121,224)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20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Borrowings under financing arrangements</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200,000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financing arrangements</w:t>
            </w:r>
          </w:p>
        </w:tc>
        <w:tc>
          <w:tcPr>
            <w:tcW w:w="3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(220,000)</w:t>
            </w: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Repurchase of shares</w:t>
            </w:r>
          </w:p>
        </w:tc>
        <w:tc>
          <w:tcPr>
            <w:tcW w:w="3000" w:type="dxa"/>
            <w:vAlign w:val="bottom"/>
            <w:gridSpan w:val="3"/>
          </w:tcPr>
          <w:p>
            <w:pPr>
              <w:jc w:val="right"/>
              <w:ind w:right="120"/>
              <w:spacing w:after="0"/>
              <w:rPr>
                <w:sz w:val="20"/>
                <w:szCs w:val="20"/>
                <w:color w:val="auto"/>
              </w:rPr>
            </w:pPr>
            <w:r>
              <w:rPr>
                <w:rFonts w:ascii="Arial" w:cs="Arial" w:eastAsia="Arial" w:hAnsi="Arial"/>
                <w:sz w:val="18"/>
                <w:szCs w:val="18"/>
                <w:color w:val="auto"/>
              </w:rPr>
              <w:t>(160,232)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(200,608)</w:t>
            </w: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options exercised</w:t>
            </w:r>
          </w:p>
        </w:tc>
        <w:tc>
          <w:tcPr>
            <w:tcW w:w="3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62,368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59,060</w:t>
            </w: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Payments of dividends</w:t>
            </w:r>
          </w:p>
        </w:tc>
        <w:tc>
          <w:tcPr>
            <w:tcW w:w="3000" w:type="dxa"/>
            <w:vAlign w:val="bottom"/>
            <w:gridSpan w:val="3"/>
          </w:tcPr>
          <w:p>
            <w:pPr>
              <w:jc w:val="right"/>
              <w:ind w:right="120"/>
              <w:spacing w:after="0"/>
              <w:rPr>
                <w:sz w:val="20"/>
                <w:szCs w:val="20"/>
                <w:color w:val="auto"/>
              </w:rPr>
            </w:pPr>
            <w:r>
              <w:rPr>
                <w:rFonts w:ascii="Arial" w:cs="Arial" w:eastAsia="Arial" w:hAnsi="Arial"/>
                <w:sz w:val="18"/>
                <w:szCs w:val="18"/>
                <w:color w:val="auto"/>
              </w:rPr>
              <w:t>(57,299)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(51,262)</w:t>
            </w: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equity-based compensation and other</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5,244</w:t>
            </w:r>
          </w:p>
        </w:tc>
      </w:tr>
      <w:tr>
        <w:trPr>
          <w:trHeight w:val="230"/>
        </w:trPr>
        <w:tc>
          <w:tcPr>
            <w:tcW w:w="730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20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(152,234</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(407,566)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3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54,068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(212,117)</w:t>
            </w:r>
          </w:p>
        </w:tc>
      </w:tr>
      <w:tr>
        <w:trPr>
          <w:trHeight w:val="223"/>
        </w:trPr>
        <w:tc>
          <w:tcPr>
            <w:tcW w:w="2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0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768,660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1,035,573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$ 822,728</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823,456</w:t>
            </w: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Supplementary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91"/>
              </w:rPr>
              <w:t>Three months ended</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940" w:type="dxa"/>
            <w:vAlign w:val="bottom"/>
            <w:gridSpan w:val="3"/>
          </w:tcPr>
          <w:p>
            <w:pPr>
              <w:jc w:val="center"/>
              <w:ind w:right="200"/>
              <w:spacing w:after="0" w:line="119" w:lineRule="exact"/>
              <w:rPr>
                <w:sz w:val="20"/>
                <w:szCs w:val="20"/>
                <w:color w:val="auto"/>
              </w:rPr>
            </w:pPr>
            <w:r>
              <w:rPr>
                <w:rFonts w:ascii="Arial" w:cs="Arial" w:eastAsia="Arial" w:hAnsi="Arial"/>
                <w:sz w:val="13"/>
                <w:szCs w:val="13"/>
                <w:b w:val="1"/>
                <w:bCs w:val="1"/>
                <w:color w:val="auto"/>
              </w:rPr>
              <w:t>March 31,</w:t>
            </w:r>
          </w:p>
        </w:tc>
        <w:tc>
          <w:tcPr>
            <w:tcW w:w="200" w:type="dxa"/>
            <w:vAlign w:val="bottom"/>
          </w:tcPr>
          <w:p>
            <w:pPr>
              <w:spacing w:after="0"/>
              <w:rPr>
                <w:sz w:val="10"/>
                <w:szCs w:val="10"/>
                <w:color w:val="auto"/>
              </w:rPr>
            </w:pPr>
          </w:p>
        </w:tc>
        <w:tc>
          <w:tcPr>
            <w:tcW w:w="1000" w:type="dxa"/>
            <w:vAlign w:val="bottom"/>
            <w:gridSpan w:val="3"/>
          </w:tcPr>
          <w:p>
            <w:pPr>
              <w:jc w:val="center"/>
              <w:ind w:right="4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360" w:type="dxa"/>
            <w:vAlign w:val="bottom"/>
          </w:tcPr>
          <w:p>
            <w:pPr>
              <w:spacing w:after="0"/>
              <w:rPr>
                <w:sz w:val="10"/>
                <w:szCs w:val="10"/>
                <w:color w:val="auto"/>
              </w:rPr>
            </w:pPr>
          </w:p>
        </w:tc>
        <w:tc>
          <w:tcPr>
            <w:tcW w:w="1180" w:type="dxa"/>
            <w:vAlign w:val="bottom"/>
            <w:gridSpan w:val="3"/>
          </w:tcPr>
          <w:p>
            <w:pPr>
              <w:jc w:val="center"/>
              <w:ind w:right="22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220" w:type="dxa"/>
            <w:vAlign w:val="bottom"/>
          </w:tcPr>
          <w:p>
            <w:pPr>
              <w:spacing w:after="0"/>
              <w:rPr>
                <w:sz w:val="10"/>
                <w:szCs w:val="10"/>
                <w:color w:val="auto"/>
              </w:rPr>
            </w:pPr>
          </w:p>
        </w:tc>
        <w:tc>
          <w:tcPr>
            <w:tcW w:w="800" w:type="dxa"/>
            <w:vAlign w:val="bottom"/>
            <w:gridSpan w:val="3"/>
          </w:tcPr>
          <w:p>
            <w:pPr>
              <w:jc w:val="center"/>
              <w:ind w:right="200"/>
              <w:spacing w:after="0" w:line="119" w:lineRule="exact"/>
              <w:rPr>
                <w:sz w:val="20"/>
                <w:szCs w:val="20"/>
                <w:color w:val="auto"/>
              </w:rPr>
            </w:pPr>
            <w:r>
              <w:rPr>
                <w:rFonts w:ascii="Arial" w:cs="Arial" w:eastAsia="Arial" w:hAnsi="Arial"/>
                <w:sz w:val="13"/>
                <w:szCs w:val="13"/>
                <w:b w:val="1"/>
                <w:bCs w:val="1"/>
                <w:color w:val="auto"/>
                <w:w w:val="99"/>
              </w:rPr>
              <w:t>June 30,</w:t>
            </w:r>
          </w:p>
        </w:tc>
        <w:tc>
          <w:tcPr>
            <w:tcW w:w="220" w:type="dxa"/>
            <w:vAlign w:val="bottom"/>
          </w:tcPr>
          <w:p>
            <w:pPr>
              <w:spacing w:after="0"/>
              <w:rPr>
                <w:sz w:val="10"/>
                <w:szCs w:val="10"/>
                <w:color w:val="auto"/>
              </w:rPr>
            </w:pPr>
          </w:p>
        </w:tc>
        <w:tc>
          <w:tcPr>
            <w:tcW w:w="7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March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6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2016</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2016</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628.0</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591.8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Europe</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115.4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118.5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118.9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126.3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212.0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23"/>
        </w:trPr>
        <w:tc>
          <w:tcPr>
            <w:tcW w:w="572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954.7</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940.7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4"/>
              </w:rPr>
              <w:t>930.1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91"/>
              </w:rPr>
              <w:t>Three months ended</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92"/>
              </w:rPr>
              <w:t>December 31,</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5"/>
              </w:rPr>
              <w:t>March 31,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6"/>
              </w:rPr>
              <w:t>2017</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6"/>
              </w:rPr>
              <w:t>2016</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ind w:left="120"/>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6"/>
              </w:rPr>
              <w:t>2016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Managed Services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494.2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478.5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479.2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91"/>
              </w:rPr>
              <w:t>Three months ended</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940" w:type="dxa"/>
            <w:vAlign w:val="bottom"/>
            <w:gridSpan w:val="3"/>
          </w:tcPr>
          <w:p>
            <w:pPr>
              <w:jc w:val="center"/>
              <w:ind w:right="200"/>
              <w:spacing w:after="0" w:line="119" w:lineRule="exact"/>
              <w:rPr>
                <w:sz w:val="20"/>
                <w:szCs w:val="20"/>
                <w:color w:val="auto"/>
              </w:rPr>
            </w:pPr>
            <w:r>
              <w:rPr>
                <w:rFonts w:ascii="Arial" w:cs="Arial" w:eastAsia="Arial" w:hAnsi="Arial"/>
                <w:sz w:val="13"/>
                <w:szCs w:val="13"/>
                <w:b w:val="1"/>
                <w:bCs w:val="1"/>
                <w:color w:val="auto"/>
              </w:rPr>
              <w:t>March 31,</w:t>
            </w:r>
          </w:p>
        </w:tc>
        <w:tc>
          <w:tcPr>
            <w:tcW w:w="200" w:type="dxa"/>
            <w:vAlign w:val="bottom"/>
          </w:tcPr>
          <w:p>
            <w:pPr>
              <w:spacing w:after="0"/>
              <w:rPr>
                <w:sz w:val="10"/>
                <w:szCs w:val="10"/>
                <w:color w:val="auto"/>
              </w:rPr>
            </w:pPr>
          </w:p>
        </w:tc>
        <w:tc>
          <w:tcPr>
            <w:tcW w:w="1000" w:type="dxa"/>
            <w:vAlign w:val="bottom"/>
            <w:gridSpan w:val="3"/>
          </w:tcPr>
          <w:p>
            <w:pPr>
              <w:jc w:val="center"/>
              <w:ind w:right="4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360" w:type="dxa"/>
            <w:vAlign w:val="bottom"/>
          </w:tcPr>
          <w:p>
            <w:pPr>
              <w:spacing w:after="0"/>
              <w:rPr>
                <w:sz w:val="10"/>
                <w:szCs w:val="10"/>
                <w:color w:val="auto"/>
              </w:rPr>
            </w:pPr>
          </w:p>
        </w:tc>
        <w:tc>
          <w:tcPr>
            <w:tcW w:w="1180" w:type="dxa"/>
            <w:vAlign w:val="bottom"/>
            <w:gridSpan w:val="3"/>
          </w:tcPr>
          <w:p>
            <w:pPr>
              <w:jc w:val="center"/>
              <w:ind w:right="22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220" w:type="dxa"/>
            <w:vAlign w:val="bottom"/>
          </w:tcPr>
          <w:p>
            <w:pPr>
              <w:spacing w:after="0"/>
              <w:rPr>
                <w:sz w:val="10"/>
                <w:szCs w:val="10"/>
                <w:color w:val="auto"/>
              </w:rPr>
            </w:pPr>
          </w:p>
        </w:tc>
        <w:tc>
          <w:tcPr>
            <w:tcW w:w="800" w:type="dxa"/>
            <w:vAlign w:val="bottom"/>
            <w:gridSpan w:val="3"/>
          </w:tcPr>
          <w:p>
            <w:pPr>
              <w:jc w:val="center"/>
              <w:ind w:right="200"/>
              <w:spacing w:after="0" w:line="119" w:lineRule="exact"/>
              <w:rPr>
                <w:sz w:val="20"/>
                <w:szCs w:val="20"/>
                <w:color w:val="auto"/>
              </w:rPr>
            </w:pPr>
            <w:r>
              <w:rPr>
                <w:rFonts w:ascii="Arial" w:cs="Arial" w:eastAsia="Arial" w:hAnsi="Arial"/>
                <w:sz w:val="13"/>
                <w:szCs w:val="13"/>
                <w:b w:val="1"/>
                <w:bCs w:val="1"/>
                <w:color w:val="auto"/>
                <w:w w:val="99"/>
              </w:rPr>
              <w:t>June 30,</w:t>
            </w:r>
          </w:p>
        </w:tc>
        <w:tc>
          <w:tcPr>
            <w:tcW w:w="220" w:type="dxa"/>
            <w:vAlign w:val="bottom"/>
          </w:tcPr>
          <w:p>
            <w:pPr>
              <w:spacing w:after="0"/>
              <w:rPr>
                <w:sz w:val="10"/>
                <w:szCs w:val="10"/>
                <w:color w:val="auto"/>
              </w:rPr>
            </w:pPr>
          </w:p>
        </w:tc>
        <w:tc>
          <w:tcPr>
            <w:tcW w:w="7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March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6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2016</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2016</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Customer Experience Systems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937.9</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908.1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Directory</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16.8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15.8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954.7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940.7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930.1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center"/>
              <w:ind w:right="640"/>
              <w:spacing w:after="0"/>
              <w:rPr>
                <w:sz w:val="20"/>
                <w:szCs w:val="20"/>
                <w:color w:val="auto"/>
              </w:rPr>
            </w:pPr>
            <w:r>
              <w:rPr>
                <w:rFonts w:ascii="Arial" w:cs="Arial" w:eastAsia="Arial" w:hAnsi="Arial"/>
                <w:sz w:val="14"/>
                <w:szCs w:val="14"/>
                <w:b w:val="1"/>
                <w:bCs w:val="1"/>
                <w:color w:val="auto"/>
                <w:w w:val="91"/>
              </w:rPr>
              <w:t>As of</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92"/>
              </w:rPr>
              <w:t>December 31,</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5"/>
              </w:rPr>
              <w:t>March 31,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6"/>
              </w:rPr>
              <w:t>2017</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6"/>
              </w:rPr>
              <w:t>2016</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ind w:left="120"/>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6"/>
              </w:rPr>
              <w:t>2016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12-Month Backlog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3,180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3,170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3,110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 #</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2019-12-06T09:14:43Z</dcterms:created>
  <dcterms:modified xsi:type="dcterms:W3CDTF">2019-12-06T09:14:43Z</dcterms:modified>
</cp:coreProperties>
</file>