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February 2021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267335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1390 Timberlake Manor Parkway, Chesterfield, Missouri 63017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0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jc w:val="center"/>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-7620</wp:posOffset>
            </wp:positionV>
            <wp:extent cx="571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 2021, Amdocs Limited (“Amdocs”) issued a press release announcing financial results for the quarter ended December 31, 2020. A copy of the press release is furnished as Exhibit 99.1 to this Report of Foreign Private Issuer on Form 6-K.</w:t>
      </w:r>
    </w:p>
    <w:p>
      <w:pPr>
        <w:spacing w:after="0" w:line="16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362" w:right="45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2021</w:t>
      </w:r>
    </w:p>
    <w:p>
      <w:pPr>
        <w:sectPr>
          <w:pgSz w:w="11900" w:h="16838" w:orient="portrait"/>
          <w:cols w:equalWidth="0" w:num="1">
            <w:col w:w="10260"/>
          </w:cols>
          <w:pgMar w:left="440" w:top="266" w:right="1199" w:bottom="1440" w:gutter="0" w:footer="0" w:header="0"/>
        </w:sectPr>
      </w:pPr>
    </w:p>
    <w:bookmarkStart w:id="2" w:name="page3"/>
    <w:bookmarkEnd w:id="2"/>
    <w:p>
      <w:pPr>
        <w:jc w:val="right"/>
        <w:ind w:right="38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68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77" w:lineRule="exact"/>
        <w:rPr>
          <w:sz w:val="20"/>
          <w:szCs w:val="20"/>
          <w:color w:val="auto"/>
        </w:rPr>
      </w:pPr>
    </w:p>
    <w:p>
      <w:pPr>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Amdocs Limited Press Release dated February 2, 2021</w:t>
        </w:r>
        <w:r>
          <w:rPr>
            <w:rFonts w:ascii="Times New Roman" w:cs="Times New Roman" w:eastAsia="Times New Roman" w:hAnsi="Times New Roman"/>
            <w:sz w:val="17"/>
            <w:szCs w:val="17"/>
            <w:color w:val="0000EE"/>
          </w:rPr>
          <w:t>.</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Amdocs Limited Reports First Quarter Fiscal 2021 Results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Record Quarterly Revenue of $1.09 Billion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Enters Multi-Year Strategic Partnership Agreement with T-Mobile USA to Modernize and Accelerate Digital Transformation and Next Generation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Hybrid-Cloud Operations</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Reiterates Outlook for Accelerated Revenue Growth in FY21 on a Pro Forma</w:t>
      </w:r>
      <w:r>
        <w:rPr>
          <w:rFonts w:ascii="Times New Roman" w:cs="Times New Roman" w:eastAsia="Times New Roman" w:hAnsi="Times New Roman"/>
          <w:sz w:val="15"/>
          <w:szCs w:val="15"/>
          <w:b w:val="1"/>
          <w:bCs w:val="1"/>
          <w:i w:val="1"/>
          <w:iCs w:val="1"/>
          <w:color w:val="auto"/>
        </w:rPr>
        <w:t>(2)</w:t>
      </w:r>
      <w:r>
        <w:rPr>
          <w:rFonts w:ascii="Times New Roman" w:cs="Times New Roman" w:eastAsia="Times New Roman" w:hAnsi="Times New Roman"/>
          <w:sz w:val="18"/>
          <w:szCs w:val="18"/>
          <w:b w:val="1"/>
          <w:bCs w:val="1"/>
          <w:i w:val="1"/>
          <w:iCs w:val="1"/>
          <w:color w:val="auto"/>
        </w:rPr>
        <w:t xml:space="preserve"> Basis, Adjusting for Divestiture of OpenMarket</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Quarter Fiscal 2021 Highlights</w:t>
      </w:r>
    </w:p>
    <w:p>
      <w:pPr>
        <w:spacing w:after="0" w:line="135" w:lineRule="exact"/>
        <w:rPr>
          <w:sz w:val="20"/>
          <w:szCs w:val="20"/>
          <w:color w:val="auto"/>
        </w:rPr>
      </w:pPr>
    </w:p>
    <w:p>
      <w:pPr>
        <w:ind w:left="964" w:right="34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$1,086 million, above the midpoint of the $1,055-$1,095 million guidance range, even after adjusting for a positive impact from foreign currency movements of approximately $6 million compared to our guidance assumptions</w:t>
      </w:r>
    </w:p>
    <w:p>
      <w:pPr>
        <w:spacing w:after="0" w:line="67"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the previously announced divestiture of OpenMarket, which was an Amdocs subsidiary, on December 31, 2020 for gross proceeds of approximately $300 million</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managed services revenue of $624 million, equivalent to approximately 57% of total revenue</w:t>
      </w:r>
    </w:p>
    <w:p>
      <w:pPr>
        <w:spacing w:after="0" w:line="130" w:lineRule="exact"/>
        <w:rPr>
          <w:rFonts w:ascii="Times New Roman" w:cs="Times New Roman" w:eastAsia="Times New Roman" w:hAnsi="Times New Roman"/>
          <w:sz w:val="18"/>
          <w:szCs w:val="18"/>
          <w:color w:val="auto"/>
        </w:rPr>
      </w:pPr>
    </w:p>
    <w:p>
      <w:pPr>
        <w:ind w:left="964" w:right="42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of $2.28, above the $0.85-$0.93 guidance range, primarily due to gain, net of tax, from divestiture of OpenMarket which was not included in guidance</w:t>
      </w:r>
    </w:p>
    <w:p>
      <w:pPr>
        <w:spacing w:after="0" w:line="67"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of $1.16, above the $1.09-$1.15 guidance range; non-GAAP diluted EPS excludes, among other, the gain, net of tax, from divestiture of OpenMarket</w:t>
      </w:r>
      <w:r>
        <w:rPr>
          <w:rFonts w:ascii="Times New Roman" w:cs="Times New Roman" w:eastAsia="Times New Roman" w:hAnsi="Times New Roman"/>
          <w:sz w:val="15"/>
          <w:szCs w:val="15"/>
          <w:color w:val="auto"/>
        </w:rPr>
        <w:t>(1)</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of $140 million; GAAP operating margin of 12.9%</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$188 million; non-GAAP operating margin of 17.3%</w:t>
      </w:r>
    </w:p>
    <w:p>
      <w:pPr>
        <w:spacing w:after="0" w:line="130"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free cash flow of $366 million, comprised of cash flow from operations of $416 million, reflecting healthy cash collections and the cash benefit of a multi-year strategic partnership agreement with T-Mobile, less $50 million in net capital expenditures and other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free cash flow of $385 million</w:t>
      </w:r>
      <w:r>
        <w:rPr>
          <w:rFonts w:ascii="Times New Roman" w:cs="Times New Roman" w:eastAsia="Times New Roman" w:hAnsi="Times New Roman"/>
          <w:sz w:val="15"/>
          <w:szCs w:val="15"/>
          <w:color w:val="auto"/>
        </w:rPr>
        <w:t>(1)</w:t>
      </w:r>
    </w:p>
    <w:p>
      <w:pPr>
        <w:spacing w:after="0" w:line="130" w:lineRule="exact"/>
        <w:rPr>
          <w:rFonts w:ascii="Times New Roman" w:cs="Times New Roman" w:eastAsia="Times New Roman" w:hAnsi="Times New Roman"/>
          <w:sz w:val="18"/>
          <w:szCs w:val="18"/>
          <w:color w:val="auto"/>
        </w:rPr>
      </w:pPr>
    </w:p>
    <w:p>
      <w:pPr>
        <w:ind w:left="964" w:right="90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backlog of $3.49 billion (excluding OpenMarket); on a pro forma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basis, record twelve-month backlog was up approximately $150 million sequentially and up 5.6% as compared to last year’s first fiscal quarter</w:t>
      </w:r>
    </w:p>
    <w:p>
      <w:pPr>
        <w:spacing w:after="0" w:line="67"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approved a quarterly cash dividend at the new increased rate of $0.36 per share, as approved at the January 2021 annual general meeting of shareholders, to be paid on April 23, 2021</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Selected Financial Metrics tables below (figures may not sum because of rounding).</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growth rate excludes the financial impact of OpenMarket from the current fiscal year and comparable fiscal year</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 LOUIS – February 2, 2021 </w:t>
      </w:r>
      <w:r>
        <w:rPr>
          <w:rFonts w:ascii="Times New Roman" w:cs="Times New Roman" w:eastAsia="Times New Roman" w:hAnsi="Times New Roman"/>
          <w:sz w:val="18"/>
          <w:szCs w:val="18"/>
          <w:color w:val="auto"/>
        </w:rPr>
        <w:t>– Amdocs Limited (NASDAQ: DOX) today reported operating results for the three months ended December 31, 2020.</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 am pleased to report a strong quarter to start the fiscal year, with record revenue reflecting our best-ever performance in North America and Europe, and profitability slightly improved on a sequential and year ago basis. Our sales momentum was strong, and included a multi-year strategic agreement with T-Mobile, a managed services agreement to support Charter’s Spectrum mobile business, a new logo award with WINDTRE in Italy and several wins in respect to Openet’s 5G charging and policy solutions. To further align Amdocs around strategic growth pillars such as 5G and the cloud, we also completed the previously announced divestiture of OpenMarket for roughly $300 million gross cash, the majority of which we plan to allocate towards share repurchases over the next several months,” said Shuky Sheffer, president and chief executive officer of Amdocs Management Limited.</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Sheffer continued, “Following last year’s merger of T-Mobile and Sprint, we are today proud to announce a new multi-year agreement with T-Mobile, which further strengthens our long-term strategic partnership. As part of the engagement, we will implement our amdocsONE portfolio, which T-Mobile has selected to provide next-generation communication and media services for its consumer and business customers. Additionally, we will provide extended next generation hybrid-cloud operations in a multi-year managed services engagement for T-Mobile’s digital platforms. Overall, we look forward to supporting T-Mobile through a complex integration process and empowering its 5G and cloud transformation journey across all lines of business.”</w:t>
      </w:r>
    </w:p>
    <w:p>
      <w:pPr>
        <w:sectPr>
          <w:pgSz w:w="11900" w:h="16838" w:orient="portrait"/>
          <w:cols w:equalWidth="0" w:num="1">
            <w:col w:w="10980"/>
          </w:cols>
          <w:pgMar w:left="440" w:top="266" w:right="479" w:bottom="1440" w:gutter="0" w:footer="0" w:header="0"/>
        </w:sectPr>
      </w:pPr>
    </w:p>
    <w:bookmarkStart w:id="5" w:name="page6"/>
    <w:bookmarkEnd w:id="5"/>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Sheffer concluded, “We remain on-track with our guidance to deliver accelerated growth in fiscal 2021 on a pro forma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basis, adjusting for the divestiture of OpenMarket. Moreover, we continue to expect a stronger second half as we execute on our strategy and ramp-up recent customer awards, our confidence in which has further improved as a result of our continued sales momentum, 12-month backlog, our ability to execute and the healthy pipeline of opportunities we see ahead of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for the first fiscal quarter ended December 31, 2020 was $1,086 million, up $33 million sequentially from the fourth fiscal quarter of 2020. Revenue was up 4.3% as reported and 3.7% in constant currency as compared to last year’s first fiscal quarter. Revenue for the first fiscal quarter of 2021 includes a positive impact from foreign currency movements of approximately $5 million relative to the fourth quarter of fiscal 2020. Revenue was above the midpoint of Amdocs’ guidance, even after adjusting for a positive impact from foreign currency movements of approximately $6 million compared to our guidance assumptions. Revenue for the first fiscal quarter of 2021 includes record managed services revenue of $624 million, up 7.6% as compared to last year’s first fiscal quarter and equivalent to approximately 57% of total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121"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Company’s GAAP net income for the first quarter of fiscal 2021 was $299.6 million, or $2.28 per diluted share, compared to GAAP net income of $115.9 million, or $0.85 per diluted share, in the prior fiscal year’s first quarter. GAAP net income for the first quarter of 2021 includes gain, net of tax, from divestiture of OpenMarket of $1.42 per diluted share. Net income on a non-GAAP basis was $153.0 million, or $1.16 per diluted share, compared to non-GAAP net income of $144.2 million, or $1.06 per diluted share, in the first quarter of fiscal 2020. Non-GAAP net income excludes amortization of purchased intangible assets and other acquisition-related costs, changes in certain acquisitions related liabilities measured at fair value, equity-based compensation expenses, gain from divestiture of OpenMarket and other, net of related tax effects, in the first quarter of fiscal 2021. Non-</w:t>
      </w:r>
    </w:p>
    <w:p>
      <w:pPr>
        <w:sectPr>
          <w:pgSz w:w="11900" w:h="16838" w:orient="portrait"/>
          <w:cols w:equalWidth="0" w:num="1">
            <w:col w:w="11000"/>
          </w:cols>
          <w:pgMar w:left="440" w:top="270" w:right="459" w:bottom="1440" w:gutter="0" w:footer="0" w:header="0"/>
        </w:sectPr>
      </w:pPr>
    </w:p>
    <w:bookmarkStart w:id="6" w:name="page7"/>
    <w:bookmarkEnd w:id="6"/>
    <w:p>
      <w:pPr>
        <w:ind w:right="5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GAAP net income excludes amortization of purchased intangible assets and other acquisition-related costs, changes in certain acquisitions related liabilities measured at fair value, equity-based compensation expenses, and other, net of related tax effects, in the first quarter of fiscal 2020.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of reconciliation of selected financial metrics from GAAP to Non-GAAP, please refer to the tables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Cash to Shareholders</w:t>
      </w:r>
    </w:p>
    <w:p>
      <w:pPr>
        <w:spacing w:after="0" w:line="131" w:lineRule="exact"/>
        <w:rPr>
          <w:sz w:val="20"/>
          <w:szCs w:val="20"/>
          <w:color w:val="auto"/>
        </w:rPr>
      </w:pPr>
    </w:p>
    <w:p>
      <w:pPr>
        <w:ind w:left="960" w:right="120" w:hanging="424"/>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Quarterly Cash Dividend Program: </w:t>
      </w:r>
      <w:r>
        <w:rPr>
          <w:rFonts w:ascii="Times New Roman" w:cs="Times New Roman" w:eastAsia="Times New Roman" w:hAnsi="Times New Roman"/>
          <w:sz w:val="18"/>
          <w:szCs w:val="18"/>
          <w:color w:val="auto"/>
        </w:rPr>
        <w:t>On February 2, 2021, the Board approved the Company’s next quarterly cash dividend payment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$0.36 per share and set March 31, 2021 as the record date for determining the shareholders entitled to receive the dividend, which will be payable on April 23, 2021.</w:t>
      </w:r>
    </w:p>
    <w:p>
      <w:pPr>
        <w:spacing w:after="0" w:line="7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Repurchase Activity: </w:t>
      </w:r>
      <w:r>
        <w:rPr>
          <w:rFonts w:ascii="Times New Roman" w:cs="Times New Roman" w:eastAsia="Times New Roman" w:hAnsi="Times New Roman"/>
          <w:sz w:val="18"/>
          <w:szCs w:val="18"/>
          <w:color w:val="auto"/>
        </w:rPr>
        <w:t>Repurchased $90 million of ordinary shares during the first quarter of fiscal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Twelve-month Backlog</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Twelve-month backlog, which includes anticipated revenue related to contracts, estimated revenue from managed services contracts, letters of intent, maintenance and estimated on-going support activities, was $3.49 billion (excluding OpenMarket) at the end of the first quarter of fiscal 2021. On a pro forma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basis, twelve-month backlog was up approximately $150 million from the end of the prior quarter and up 5.6% as compared to last year’s first fiscal quarter.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2021 Outlook</w:t>
      </w:r>
    </w:p>
    <w:p>
      <w:pPr>
        <w:spacing w:after="0" w:line="135" w:lineRule="exact"/>
        <w:rPr>
          <w:sz w:val="20"/>
          <w:szCs w:val="20"/>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$1,015-$1,055 million, assuming approximately $4 million sequential positive impact from foreign currency fluctuations as compared to the first quarter of fiscal 2021</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of approximately $0.87-$0.95</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of approximately $1.09-$1.15, excluding amortization of purchased intangible assets and other acquisition-related costs, changes in certain acquisitions related liabilities measured at fair value, and approximately $0.07-$0.09 per share of equity-based compensation expense, net of related tax effects</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Full Year Fiscal 2021 Outlook</w:t>
      </w:r>
    </w:p>
    <w:p>
      <w:pPr>
        <w:spacing w:after="0" w:line="135" w:lineRule="exact"/>
        <w:rPr>
          <w:sz w:val="20"/>
          <w:szCs w:val="20"/>
          <w:color w:val="auto"/>
        </w:rPr>
      </w:pPr>
    </w:p>
    <w:p>
      <w:pPr>
        <w:ind w:left="960" w:right="24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fiscal 2021 revenue guidance is updated to reflect the divestiture of OpenMarket as of December 31, 2020 and incorporates an expected positive impact from foreign currency fluctuations of about 1.2% year-over-year as compared with a positive impact of about 0.5% year-over-year previously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revenue growth of (0.3)%-3.7% year-over-year on a reported basis as compared with 4.0%-8.0% year-over-year previously</w:t>
      </w:r>
    </w:p>
    <w:p>
      <w:pPr>
        <w:spacing w:after="0" w:line="13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revenue growth of (1.5%)-2.5% year-over-year on a constant currency basis as compared with 3.5%-7.5% year-over-year previously</w:t>
      </w:r>
    </w:p>
    <w:p>
      <w:pPr>
        <w:spacing w:after="0" w:line="67" w:lineRule="exact"/>
        <w:rPr>
          <w:rFonts w:ascii="Times New Roman" w:cs="Times New Roman" w:eastAsia="Times New Roman" w:hAnsi="Times New Roman"/>
          <w:sz w:val="18"/>
          <w:szCs w:val="18"/>
          <w:color w:val="auto"/>
        </w:rPr>
      </w:pPr>
    </w:p>
    <w:p>
      <w:pPr>
        <w:ind w:left="960" w:right="8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Reiterates pro forma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revenue growth of 3.5%-7.5% year-over-year on a constant currency basis, unchanged as compared with 3.5%-7.5% year-over-year on a constant currency basis previously</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GAAP diluted earnings per share growth of roughly 37.5%-44.5% year-over-year, including gain, net of tax, from divestiture of OpenMarket, as compared with 1.5%-8.5% year-over-year previously</w:t>
      </w:r>
    </w:p>
    <w:p>
      <w:pPr>
        <w:spacing w:after="0" w:line="67"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non-GAAP diluted earnings per share growth of roughly 4.0%-8.0% year-over-year as compared with 5.0%-9.0% year-over-year previously, excluding amortization of purchased intangible assets and other acquisition-related costs, changes in certain acquisitions related liabilities measured at fair value, approximately $0.31-$0.37 per share of equity-based compensation expense, and gain from divestiture of OpenMarket, net of related tax effects</w:t>
      </w:r>
    </w:p>
    <w:p>
      <w:pPr>
        <w:spacing w:after="0" w:line="85"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pro forma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non-GAAP diluted earnings per share growth of roughly 5.5%-9.5% year-over-year as compared with 5.0%-9.0% year-over-year previously</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free cash flow of approximately $600 million, comprised of cash flow from operations, less net capital expenditures and other, as compared with $470 million previously</w:t>
      </w:r>
    </w:p>
    <w:p>
      <w:pPr>
        <w:sectPr>
          <w:pgSz w:w="11900" w:h="16838" w:orient="portrait"/>
          <w:cols w:equalWidth="0" w:num="1">
            <w:col w:w="11000"/>
          </w:cols>
          <w:pgMar w:left="440" w:top="266" w:right="459" w:bottom="1440" w:gutter="0" w:footer="0" w:header="0"/>
        </w:sectPr>
      </w:pPr>
    </w:p>
    <w:bookmarkStart w:id="8" w:name="page9"/>
    <w:bookmarkEnd w:id="8"/>
    <w:p>
      <w:pPr>
        <w:ind w:left="960" w:right="2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Expects normalized free cash flow of approximately $800 million as compared with $620 million previously; normalized free cash flow excludes expected capital expenditure of $140 million related to the new campus development in Israel, $40 million of capital gains tax to be paid in relation to the divestiture of OpenMarket, and other items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second fiscal quarter 2021 and full year fiscal 2021 outlook takes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the COVID-19 pandemic, which has created, and continues to create, a significant amount of uncertainty, or from current and potential customer consolidation or their other strategic corporate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Amdocs will host a conference call on February 2, 2021 at 5:00 p.m. Eastern Time to discuss the Company’s first quarter of fiscal 2021 results. To participate, please dial +1 (844) 513-7152, or +1 (508) 637-5600 outside the United States, approximately 15 minutes before the call and enter passcode 8497805. The call will also be carried live on the Internet via the Amdocs website, www.amdocs.com.</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This release includes non-GAAP diluted earnings per share and other non-GAAP financial measures, including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purchased intangible assets and other acquisition-related costs;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certain acquisition-related liabilities measured at fair value;</w:t>
      </w:r>
    </w:p>
    <w:p>
      <w:pPr>
        <w:sectPr>
          <w:pgSz w:w="11900" w:h="16838" w:orient="portrait"/>
          <w:cols w:equalWidth="0" w:num="1">
            <w:col w:w="10940"/>
          </w:cols>
          <w:pgMar w:left="440" w:top="270" w:right="519" w:bottom="1440" w:gutter="0" w:footer="0" w:header="0"/>
        </w:sectPr>
      </w:pPr>
    </w:p>
    <w:bookmarkStart w:id="9" w:name="page10"/>
    <w:bookmarkEnd w:id="9"/>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non-recurring and unusual charges or benefits (such as a gain from divestiture of OpenMarket);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related to the above.</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to be paid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0960"/>
          </w:cols>
          <w:pgMar w:left="440" w:top="270" w:right="49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Resources</w:t>
      </w:r>
    </w:p>
    <w:p>
      <w:pPr>
        <w:spacing w:after="0" w:line="135" w:lineRule="exact"/>
        <w:rPr>
          <w:sz w:val="20"/>
          <w:szCs w:val="20"/>
          <w:color w:val="auto"/>
        </w:rPr>
      </w:pPr>
    </w:p>
    <w:p>
      <w:pPr>
        <w:ind w:left="420" w:hanging="3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up with Amdocs news by visiting the Company’s website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 to Amdocs’ </w:t>
      </w:r>
      <w:r>
        <w:rPr>
          <w:rFonts w:ascii="Times New Roman" w:cs="Times New Roman" w:eastAsia="Times New Roman" w:hAnsi="Times New Roman"/>
          <w:sz w:val="18"/>
          <w:szCs w:val="18"/>
          <w:u w:val="single" w:color="auto"/>
          <w:color w:val="auto"/>
        </w:rPr>
        <w:t>RSS Feed</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Amdocs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Amdocs’ purpose is to enrich lives and progress society, using creativity and technology to build a better connected world. Amdocs and its 26,000 employees partner with the leading players in the communications and media industry, enabling next-generation experiences in</w:t>
      </w:r>
    </w:p>
    <w:p>
      <w:pPr>
        <w:sectPr>
          <w:pgSz w:w="11900" w:h="16838" w:orient="portrait"/>
          <w:cols w:equalWidth="0" w:num="1">
            <w:col w:w="10980"/>
          </w:cols>
          <w:pgMar w:left="440" w:top="270" w:right="479" w:bottom="1440" w:gutter="0" w:footer="0" w:header="0"/>
        </w:sectPr>
      </w:pPr>
    </w:p>
    <w:bookmarkStart w:id="11" w:name="page12"/>
    <w:bookmarkEnd w:id="11"/>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$4.2 billion in fiscal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Amdocs at </w:t>
      </w:r>
      <w:r>
        <w:rPr>
          <w:rFonts w:ascii="Times New Roman" w:cs="Times New Roman" w:eastAsia="Times New Roman" w:hAnsi="Times New Roman"/>
          <w:sz w:val="18"/>
          <w:szCs w:val="18"/>
          <w:u w:val="single" w:color="auto"/>
          <w:color w:val="auto"/>
        </w:rPr>
        <w:t>www.amdocs.com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2020 filed on December 14, 2020.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314-212-8328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dox_info@amdocs.com</w:t>
      </w:r>
    </w:p>
    <w:p>
      <w:pPr>
        <w:sectPr>
          <w:pgSz w:w="11900" w:h="16838" w:orient="portrait"/>
          <w:cols w:equalWidth="0" w:num="1">
            <w:col w:w="10980"/>
          </w:cols>
          <w:pgMar w:left="440" w:top="270" w:right="47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1,086,343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1,041,957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686,312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67,311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121,888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123,467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898,380</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360,120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143,225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27,293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115,932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135,617</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0.3275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Selected Financial Metrics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 w:type="dxa"/>
        <w:tblCellMar>
          <w:top w:w="0" w:type="dxa"/>
          <w:left w:w="0" w:type="dxa"/>
          <w:bottom w:w="0" w:type="dxa"/>
          <w:right w:w="0" w:type="dxa"/>
        </w:tblCellMar>
      </w:tblPr>
      <w:tr>
        <w:trPr>
          <w:trHeight w:val="142"/>
        </w:trPr>
        <w:tc>
          <w:tcPr>
            <w:tcW w:w="90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$1,086,343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$1,041,957</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5"/>
              </w:rPr>
              <w:t>187,981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177,940</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152,972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144,155</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131,582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135,617</w:t>
            </w:r>
          </w:p>
        </w:tc>
      </w:tr>
      <w:tr>
        <w:trPr>
          <w:trHeight w:val="626"/>
        </w:trPr>
        <w:tc>
          <w:tcPr>
            <w:tcW w:w="904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Free Cash Flows and Normalized Free Cash Flow</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904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7"/>
        </w:trPr>
        <w:tc>
          <w:tcPr>
            <w:tcW w:w="9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0"/>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0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$416,485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$ 163,908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net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(50,065)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(58,535)</w:t>
            </w:r>
          </w:p>
        </w:tc>
      </w:tr>
      <w:tr>
        <w:trPr>
          <w:trHeight w:val="27"/>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105,373</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previously expensed restructuring charges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capital expenditures related to the new campus development</w:t>
            </w:r>
          </w:p>
        </w:tc>
        <w:tc>
          <w:tcPr>
            <w:tcW w:w="2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13,937</w:t>
            </w:r>
          </w:p>
        </w:tc>
        <w:tc>
          <w:tcPr>
            <w:tcW w:w="60" w:type="dxa"/>
            <w:vAlign w:val="bottom"/>
            <w:shd w:val="clear" w:color="auto" w:fill="CCEEFF"/>
          </w:tcPr>
          <w:p>
            <w:pPr>
              <w:spacing w:after="0"/>
              <w:rPr>
                <w:sz w:val="18"/>
                <w:szCs w:val="18"/>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Normalized Free Cash Flow</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384,754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$ 120,826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36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“Purchase of property and equipment, net”, include proceeds from sale of property and equipment of $53 and $373 for the three months ended 31 December 2020 and 2019, respectively.</w:t>
      </w:r>
    </w:p>
    <w:p>
      <w:pPr>
        <w:sectPr>
          <w:pgSz w:w="11900" w:h="16838" w:orient="portrait"/>
          <w:cols w:equalWidth="0" w:num="1">
            <w:col w:w="11024"/>
          </w:cols>
          <w:pgMar w:left="436" w:top="266" w:right="4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December 31, 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8"/>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Changes in certain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purchased</w:t>
            </w: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40" w:type="dxa"/>
            <w:vAlign w:val="bottom"/>
          </w:tcPr>
          <w:p>
            <w:pPr>
              <w:spacing w:after="0"/>
              <w:rPr>
                <w:sz w:val="12"/>
                <w:szCs w:val="12"/>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Gain from</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040" w:type="dxa"/>
            <w:vAlign w:val="bottom"/>
            <w:gridSpan w:val="4"/>
            <w:vMerge w:val="continue"/>
          </w:tcPr>
          <w:p>
            <w:pPr>
              <w:spacing w:after="0"/>
              <w:rPr>
                <w:sz w:val="12"/>
                <w:szCs w:val="12"/>
                <w:color w:val="auto"/>
              </w:rPr>
            </w:pPr>
          </w:p>
        </w:tc>
        <w:tc>
          <w:tcPr>
            <w:tcW w:w="1340" w:type="dxa"/>
            <w:vAlign w:val="bottom"/>
            <w:gridSpan w:val="7"/>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related liabilities</w:t>
            </w:r>
          </w:p>
        </w:tc>
        <w:tc>
          <w:tcPr>
            <w:tcW w:w="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2"/>
                <w:szCs w:val="12"/>
                <w:color w:val="auto"/>
              </w:rPr>
            </w:pPr>
          </w:p>
        </w:tc>
        <w:tc>
          <w:tcPr>
            <w:tcW w:w="940" w:type="dxa"/>
            <w:vAlign w:val="bottom"/>
            <w:gridSpan w:val="4"/>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measured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sale of a</w:t>
            </w:r>
          </w:p>
        </w:tc>
        <w:tc>
          <w:tcPr>
            <w:tcW w:w="100" w:type="dxa"/>
            <w:vAlign w:val="bottom"/>
          </w:tcPr>
          <w:p>
            <w:pPr>
              <w:spacing w:after="0"/>
              <w:rPr>
                <w:sz w:val="12"/>
                <w:szCs w:val="12"/>
                <w:color w:val="auto"/>
              </w:rPr>
            </w:pPr>
          </w:p>
        </w:tc>
        <w:tc>
          <w:tcPr>
            <w:tcW w:w="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Non-GAAP</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140" w:type="dxa"/>
            <w:vAlign w:val="bottom"/>
          </w:tcPr>
          <w:p>
            <w:pPr>
              <w:spacing w:after="0"/>
              <w:rPr>
                <w:sz w:val="15"/>
                <w:szCs w:val="15"/>
                <w:color w:val="auto"/>
              </w:rPr>
            </w:pPr>
          </w:p>
        </w:tc>
        <w:tc>
          <w:tcPr>
            <w:tcW w:w="9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 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$728,716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(15,334)</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$ 708,441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Amortization of purchased intangible</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assets and other</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946,143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(12,577)</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(15,334)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140,200</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226,410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(226,410)</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(30,770)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299,632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15,334</w:t>
            </w:r>
          </w:p>
        </w:tc>
        <w:tc>
          <w:tcPr>
            <w:tcW w:w="80" w:type="dxa"/>
            <w:vAlign w:val="bottom"/>
            <w:shd w:val="clear" w:color="auto" w:fill="CCEEFF"/>
          </w:tcPr>
          <w:p>
            <w:pPr>
              <w:spacing w:after="0"/>
              <w:rPr>
                <w:sz w:val="18"/>
                <w:szCs w:val="18"/>
                <w:color w:val="auto"/>
              </w:rPr>
            </w:pPr>
          </w:p>
        </w:tc>
        <w:tc>
          <w:tcPr>
            <w:tcW w:w="1560" w:type="dxa"/>
            <w:vAlign w:val="bottom"/>
            <w:gridSpan w:val="9"/>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(226,410)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1,199</w:t>
            </w:r>
          </w:p>
        </w:tc>
        <w:tc>
          <w:tcPr>
            <w:tcW w:w="8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$ 30,770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$ 152,972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 2019</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8"/>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Changes in certain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related liabilities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Tax</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Pr>
          <w:p>
            <w:pPr>
              <w:spacing w:after="0"/>
              <w:rPr>
                <w:sz w:val="12"/>
                <w:szCs w:val="12"/>
                <w:color w:val="auto"/>
              </w:rPr>
            </w:pPr>
          </w:p>
        </w:tc>
        <w:tc>
          <w:tcPr>
            <w:tcW w:w="1100" w:type="dxa"/>
            <w:vAlign w:val="bottom"/>
            <w:gridSpan w:val="5"/>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assets</w:t>
            </w:r>
          </w:p>
        </w:tc>
        <w:tc>
          <w:tcPr>
            <w:tcW w:w="22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effect</w:t>
            </w: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$686,312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4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$ 678,654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66,508</w:t>
            </w:r>
          </w:p>
        </w:tc>
        <w:tc>
          <w:tcPr>
            <w:tcW w:w="0" w:type="dxa"/>
            <w:vAlign w:val="bottom"/>
          </w:tcPr>
          <w:p>
            <w:pPr>
              <w:spacing w:after="0"/>
              <w:rPr>
                <w:sz w:val="1"/>
                <w:szCs w:val="1"/>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123,467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118,855</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898,380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(2,312)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21,290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177,940</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115,932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21,290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(6,140)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$ 144,155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8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r>
      <w:tr>
        <w:trPr>
          <w:trHeight w:val="173"/>
        </w:trPr>
        <w:tc>
          <w:tcPr>
            <w:tcW w:w="8980" w:type="dxa"/>
            <w:vAlign w:val="bottom"/>
          </w:tcPr>
          <w:p>
            <w:pPr>
              <w:spacing w:after="0"/>
              <w:rPr>
                <w:sz w:val="15"/>
                <w:szCs w:val="15"/>
                <w:color w:val="auto"/>
              </w:rPr>
            </w:pPr>
          </w:p>
        </w:tc>
        <w:tc>
          <w:tcPr>
            <w:tcW w:w="84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196"/>
        </w:trPr>
        <w:tc>
          <w:tcPr>
            <w:tcW w:w="8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$ 1,336,569</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983,188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including unbilled of $187,962 and $175,548, respectively</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929,113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861,033</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229,604</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2,658,323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2,074,577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620,347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607,951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assets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272,710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295,494</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2,798,293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2,874,979</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517,271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488,620</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$ 6,866,944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6,341,621</w:t>
            </w:r>
          </w:p>
        </w:tc>
        <w:tc>
          <w:tcPr>
            <w:tcW w:w="6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accruals and other</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$ 1,014,485</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930,259</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financing arrangements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59,100</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126,841</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1,367,943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1,216,200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215,917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230,076</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644,141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644,023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770,438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586,167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Amdocs Limited Shareholders’ equity</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3,825,996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3,622,646</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3,868,505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3,665,155</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$ 6,866,944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6,341,621</w:t>
            </w:r>
          </w:p>
        </w:tc>
        <w:tc>
          <w:tcPr>
            <w:tcW w:w="6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12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2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91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299,632</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$115,932</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51,706</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48,999</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12,577</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10,761</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(226,410)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(25,892)</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6,359</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short-term interest-bearing investments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(140,817)</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(34,693)</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(10,114)</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(13,984)</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11,225</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155,891</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9,737</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219,057</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12,855</w:t>
            </w:r>
          </w:p>
        </w:tc>
      </w:tr>
      <w:tr>
        <w:trPr>
          <w:trHeight w:val="216"/>
        </w:trPr>
        <w:tc>
          <w:tcPr>
            <w:tcW w:w="9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61,318</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9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3,862</w:t>
            </w:r>
          </w:p>
        </w:tc>
      </w:tr>
      <w:tr>
        <w:trPr>
          <w:trHeight w:val="27"/>
        </w:trPr>
        <w:tc>
          <w:tcPr>
            <w:tcW w:w="1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163,908</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net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(50,065)</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(58,535)</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(176,234)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 for business and intangible assets acquisitions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(9,897)</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received from sale of a business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290,789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(2,458)</w:t>
            </w:r>
          </w:p>
        </w:tc>
      </w:tr>
      <w:tr>
        <w:trPr>
          <w:trHeight w:val="27"/>
        </w:trPr>
        <w:tc>
          <w:tcPr>
            <w:tcW w:w="1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(60,993)</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(90,022)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(90,020)</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options exercises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12,711</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41,178</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(43,084)</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(38,413)</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contingent consideration from a business acquisition</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(120,395)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(88,672)</w:t>
            </w:r>
          </w:p>
        </w:tc>
        <w:tc>
          <w:tcPr>
            <w:tcW w:w="120" w:type="dxa"/>
            <w:vAlign w:val="bottom"/>
          </w:tcPr>
          <w:p>
            <w:pPr>
              <w:spacing w:after="0"/>
              <w:rPr>
                <w:sz w:val="20"/>
                <w:szCs w:val="20"/>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353,381</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14,243</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471,632</w:t>
            </w:r>
          </w:p>
        </w:tc>
      </w:tr>
      <w:tr>
        <w:trPr>
          <w:trHeight w:val="27"/>
        </w:trPr>
        <w:tc>
          <w:tcPr>
            <w:tcW w:w="1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1,336,569</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485,875</w:t>
            </w:r>
          </w:p>
        </w:tc>
      </w:tr>
      <w:tr>
        <w:trPr>
          <w:trHeight w:val="20"/>
        </w:trPr>
        <w:tc>
          <w:tcPr>
            <w:tcW w:w="12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424" w:right="32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“Purchase of property and equipment, net”, include proceeds from sale of property and equipment of $53 and $373, for the three months ended 31 December 2020 and 2019, respectively.</w:t>
      </w:r>
    </w:p>
    <w:p>
      <w:pPr>
        <w:sectPr>
          <w:pgSz w:w="11900" w:h="16838" w:orient="portrait"/>
          <w:cols w:equalWidth="0" w:num="1">
            <w:col w:w="11024"/>
          </w:cols>
          <w:pgMar w:left="436" w:top="266"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3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114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r>
      <w:tr>
        <w:trPr>
          <w:trHeight w:val="173"/>
        </w:trPr>
        <w:tc>
          <w:tcPr>
            <w:tcW w:w="3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CCEEFF"/>
            </w:tcBorders>
          </w:tcPr>
          <w:p>
            <w:pPr>
              <w:spacing w:after="0"/>
              <w:rPr>
                <w:sz w:val="15"/>
                <w:szCs w:val="15"/>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145.4</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w:t>
            </w: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225.2</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3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3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114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r>
      <w:tr>
        <w:trPr>
          <w:trHeight w:val="173"/>
        </w:trPr>
        <w:tc>
          <w:tcPr>
            <w:tcW w:w="3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CCEEFF"/>
            </w:tcBorders>
          </w:tcPr>
          <w:p>
            <w:pPr>
              <w:spacing w:after="0"/>
              <w:rPr>
                <w:sz w:val="15"/>
                <w:szCs w:val="15"/>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60" w:type="dxa"/>
            <w:vAlign w:val="bottom"/>
            <w:shd w:val="clear" w:color="auto" w:fill="CCEEFF"/>
          </w:tcPr>
          <w:p>
            <w:pPr>
              <w:spacing w:after="0"/>
              <w:rPr>
                <w:sz w:val="18"/>
                <w:szCs w:val="18"/>
                <w:color w:val="auto"/>
              </w:rPr>
            </w:pPr>
          </w:p>
        </w:tc>
      </w:tr>
      <w:tr>
        <w:trPr>
          <w:trHeight w:val="399"/>
        </w:trPr>
        <w:tc>
          <w:tcPr>
            <w:tcW w:w="3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3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114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r>
      <w:tr>
        <w:trPr>
          <w:trHeight w:val="173"/>
        </w:trPr>
        <w:tc>
          <w:tcPr>
            <w:tcW w:w="3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CCEEFF"/>
            </w:tcBorders>
          </w:tcPr>
          <w:p>
            <w:pPr>
              <w:spacing w:after="0"/>
              <w:rPr>
                <w:sz w:val="15"/>
                <w:szCs w:val="15"/>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12-Month Backlog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OpenMarket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 #</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2021-02-03T05:15:38Z</dcterms:created>
  <dcterms:modified xsi:type="dcterms:W3CDTF">2021-02-03T05:15:38Z</dcterms:modified>
</cp:coreProperties>
</file>