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60"/>
        <w:spacing w:after="0" w:line="207" w:lineRule="exact"/>
        <w:tabs>
          <w:tab w:leader="none" w:pos="6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20" w:type="dxa"/>
            <w:vAlign w:val="bottom"/>
            <w:gridSpan w:val="3"/>
          </w:tcPr>
          <w:p>
            <w:pPr>
              <w:jc w:val="center"/>
              <w:ind w:right="272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gridSpan w:val="5"/>
          </w:tcPr>
          <w:p>
            <w:pPr>
              <w:jc w:val="center"/>
              <w:ind w:right="186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6"/>
          </w:tcPr>
          <w:p>
            <w:pPr>
              <w:jc w:val="center"/>
              <w:ind w:right="1580"/>
              <w:spacing w:after="0"/>
              <w:rPr>
                <w:sz w:val="20"/>
                <w:szCs w:val="20"/>
                <w:color w:val="auto"/>
              </w:rPr>
            </w:pPr>
            <w:r>
              <w:rPr>
                <w:rFonts w:ascii="Arial" w:cs="Arial" w:eastAsia="Arial" w:hAnsi="Arial"/>
                <w:sz w:val="18"/>
                <w:szCs w:val="18"/>
                <w:color w:val="auto"/>
                <w:w w:val="94"/>
              </w:rPr>
              <w:t>FOR THE QUARTER ENDED MARCH 31, 2014</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419"/>
        </w:trPr>
        <w:tc>
          <w:tcPr>
            <w:tcW w:w="93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0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8980" w:type="dxa"/>
            <w:vAlign w:val="bottom"/>
            <w:gridSpan w:val="14"/>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5"/>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160" w:type="dxa"/>
            <w:vAlign w:val="bottom"/>
            <w:gridSpan w:val="7"/>
          </w:tcPr>
          <w:p>
            <w:pPr>
              <w:spacing w:after="0"/>
              <w:rPr>
                <w:sz w:val="16"/>
                <w:szCs w:val="16"/>
                <w:color w:val="auto"/>
              </w:rPr>
            </w:pPr>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8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52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0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680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8440" w:type="dxa"/>
            <w:vAlign w:val="bottom"/>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Changes in Securities, Use of Proceeds and Issuer Purchases of Equity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2.</w:t>
              </w:r>
            </w:hyperlink>
          </w:p>
        </w:tc>
        <w:tc>
          <w:tcPr>
            <w:tcW w:w="58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Reports on Form 6-K</w:t>
              </w:r>
            </w:hyperlink>
          </w:p>
        </w:tc>
        <w:tc>
          <w:tcPr>
            <w:tcW w:w="258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3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786,040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1,014,192</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322,649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312,188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678,219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160,758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125,880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151,595</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2,177,200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2,282,074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275,544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93,610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113,966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1,928,334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1,818,334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211,874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156,726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279,169</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4,979,510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4,925,813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382,567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322,539</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228,520</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151,112</w:t>
            </w: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52,529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39,376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1,074,256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319,364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315,965</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260,809</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1,569,752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1,651,030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263,678 and 259,668 issued and 159,982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160,062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3,004,478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2,878,898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103,696 and 99,606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(2,954,004)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(2,785,071)</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12,651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3,342,366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3,176,125</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3,409,758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3,274,783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4,979,510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4,925,813</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53,386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870,677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811,037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1,707,513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896,854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832,938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1,760,899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1,659,297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582,458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538,094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1,139,091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63,104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60,059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125,429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110,438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102,683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773,006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710,083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1,516,361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1,423,785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123,848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122,855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244,538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121,940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121,098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104,912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160,955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162,251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162,884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$110,357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$211,792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$203,927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12,446</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12,113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293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(94)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12,019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32,031</w:t>
            </w: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113,345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117,651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223,811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$233 and $1,806 for the three months ended March 31, 2014 and 2013, respectively, and of $481 and $6,362 for the six months ended March 31, 2014 and 2013, respectively.</w:t>
      </w:r>
    </w:p>
    <w:p>
      <w:pPr>
        <w:spacing w:after="0" w:line="75"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$5 and $24 for the three months ended March 31, 2014 and 2013, respectively, and of $5 and $49 for the six months ended March 31, 2014 and 2013,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211,792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76,739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(30,503)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36,041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317,553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265,534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178,462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(189,691)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(173,643)</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(233,692)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(140,430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(168,933)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98,327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(41,564)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(312,013)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(342,474)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(228,152)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(217,370)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879,158</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786,040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paid for: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2013, set forth in the Company’s Annual Report on Form 20-F filed on December 9, 2013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the Company on October 1, 2014, and may result in changes in the Company’s financial statements presentation but will not affect the substantive content of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the Company in the first quarter of fiscal 2014 and its adoption did not have a material impact on the Company’s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January 1, 2014, the Company completed its acquisition of substantially all of the assets of Celcite Management Solutions LLC (“Celcite”), a provider of network management and self-optimizing network solutions, for $141,000 in cash, with the potential for additional consideration to be paid in the future if certain performance metrics are achieved. In allocating the total preliminary purchase price of Celcite based on estimated fair values, the Company recorded $80,976 of goodwill, $46,432 of customer relationships to be amortized over approximately four years, $22,372 of core technology to be amortized over approximately three years and $1,781 of other intangible assets to be amortized over approximately three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Fair Value Measurement</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2014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8"/>
              </w:rPr>
              <w:t>As of March 31, 2014</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Level 3</w:t>
            </w: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$374,649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$374,649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9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92,596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9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9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Mortgages (including agencies and corporate)</w:t>
            </w:r>
          </w:p>
        </w:tc>
        <w:tc>
          <w:tcPr>
            <w:tcW w:w="2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164,754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9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(32,022)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(32,022)</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535,981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183,466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(32,022</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1"/>
              </w:rPr>
              <w:t>As of September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2"/>
              </w:rPr>
              <w:t>Level 2</w:t>
            </w: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565,216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$565,216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198,164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81,727</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25,529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3,901</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6,311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Government-guaranteed debt</w:t>
            </w: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6,846</w:t>
            </w: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Mortgages (including agencies and corporate)</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769,569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125,193</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894,762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88"/>
              </w:rPr>
              <w:t>7,538</w:t>
            </w: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769,569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132,731</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960" w:type="dxa"/>
            <w:vAlign w:val="bottom"/>
            <w:vMerge w:val="restart"/>
          </w:tcPr>
          <w:p>
            <w:pPr>
              <w:jc w:val="right"/>
              <w:ind w:right="179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right="1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six months ended March 31, 2014. Level 3 amounts relate to certain acquisition-related liabilities, which were valued using a Monte-Carlo simulation model.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8"/>
              </w:rPr>
              <w:t>As of March 31, 2014</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3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Gross Unrealized</w:t>
            </w:r>
          </w:p>
        </w:tc>
        <w:tc>
          <w:tcPr>
            <w:tcW w:w="3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Losses</w:t>
            </w: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374,649</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$374,649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159,266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92,397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92,596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27,205</w:t>
            </w:r>
          </w:p>
        </w:tc>
        <w:tc>
          <w:tcPr>
            <w:tcW w:w="220" w:type="dxa"/>
            <w:vAlign w:val="bottom"/>
          </w:tcPr>
          <w:p>
            <w:pPr>
              <w:spacing w:after="0"/>
              <w:rPr>
                <w:sz w:val="18"/>
                <w:szCs w:val="18"/>
                <w:color w:val="auto"/>
              </w:rPr>
            </w:pP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27,192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15,894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12,301</w:t>
            </w:r>
          </w:p>
        </w:tc>
        <w:tc>
          <w:tcPr>
            <w:tcW w:w="220" w:type="dxa"/>
            <w:vAlign w:val="bottom"/>
          </w:tcPr>
          <w:p>
            <w:pPr>
              <w:spacing w:after="0"/>
              <w:rPr>
                <w:sz w:val="18"/>
                <w:szCs w:val="18"/>
                <w:color w:val="auto"/>
              </w:rPr>
            </w:pP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7,083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46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700,569</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429</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9"/>
              </w:rPr>
              <w:t>263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700,735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March 31, 2014, $322,649 of securities were classified as short term interest-bearing investments and $378,086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0"/>
                <w:szCs w:val="10"/>
                <w:color w:val="auto"/>
              </w:rPr>
            </w:pP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$565,216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198,031</w:t>
            </w: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81,599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agency securities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25,529</w:t>
            </w: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Government-guaranteed debt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9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Total(2)</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894,507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2013, $312,188 of securities were classified as short term interest-bearing investments and $582,574 of securities were classified as cash and cash equivalents.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both"/>
        <w:ind w:right="14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2014,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an immaterial credit loss in the three and six months ended March 31, 2014 and 2013.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97,874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83,297</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700,735</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$20,774 as of March 31, 2014.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2014. Notional values are in U.S. dollars and are translated and calculated based on forward rates as of March 31, 2014 for forward contracts, and based on spot rates as of March 31, 2014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1,098,960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4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records all derivative instruments on the balance sheet at fair value. For further information, please see Note 5 to the unaudited consolidated financial statements. The fair value of the open foreign currency exchange contracts recorded by the Company on its consolidated balance sheets as of March 31, 2014 and September 30, 2013, as an asset or a liability,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$ 22,819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21,595</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(11,641)</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w:t>
            </w: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1,332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$ 18,712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March 31, 2014, is expected to mature within the next 12 months).</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7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six months ended March 31, 2014 and 2013, respectively, which partially offsets the foreign currency impact from the underlying exposures, is summarized as follows:</w:t>
      </w:r>
    </w:p>
    <w:p>
      <w:pPr>
        <w:spacing w:after="0" w:line="143"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Gains (Losses) Reclassified from</w:t>
      </w:r>
    </w:p>
    <w:p>
      <w:pPr>
        <w:spacing w:after="0" w:line="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Other Comprehensive Income (Effective Portion)</w:t>
      </w:r>
    </w:p>
    <w:tbl>
      <w:tblPr>
        <w:tblLayout w:type="fixed"/>
        <w:tblInd w:w="0" w:type="dxa"/>
        <w:tblCellMar>
          <w:top w:w="0" w:type="dxa"/>
          <w:left w:w="0" w:type="dxa"/>
          <w:bottom w:w="0" w:type="dxa"/>
          <w:right w:w="0" w:type="dxa"/>
        </w:tblCellMar>
      </w:tblPr>
      <w:tr>
        <w:trPr>
          <w:trHeight w:val="156"/>
        </w:trPr>
        <w:tc>
          <w:tcPr>
            <w:tcW w:w="4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380"/>
              <w:spacing w:after="0" w:line="157" w:lineRule="exact"/>
              <w:rPr>
                <w:sz w:val="20"/>
                <w:szCs w:val="20"/>
                <w:color w:val="auto"/>
              </w:rPr>
            </w:pPr>
            <w:r>
              <w:rPr>
                <w:rFonts w:ascii="Arial" w:cs="Arial" w:eastAsia="Arial" w:hAnsi="Arial"/>
                <w:sz w:val="14"/>
                <w:szCs w:val="14"/>
                <w:b w:val="1"/>
                <w:bCs w:val="1"/>
                <w:color w:val="auto"/>
                <w:w w:val="92"/>
              </w:rPr>
              <w:t>Three months ended 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160"/>
              <w:spacing w:after="0" w:line="157" w:lineRule="exact"/>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40" w:type="dxa"/>
            <w:vAlign w:val="bottom"/>
            <w:vMerge w:val="restart"/>
          </w:tcPr>
          <w:p>
            <w:pPr>
              <w:jc w:val="right"/>
              <w:ind w:right="8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activity related to the changes in net unrealized gains (losses) on cash flow hedges recorded in accumulated other comprehensive income, net of tax, is as follows:</w:t>
      </w:r>
    </w:p>
    <w:p>
      <w:pPr>
        <w:spacing w:after="0" w:line="18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Six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$(17,942)</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20,114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27,637</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losses into earnings,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(8,001)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16,809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$ 13,573</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Gains from cash flow hedges recognized in other comprehensive income during the six months ended March 31, 2014 and 2013, were $22,882 and $33,655, or $20,114 and $27,637, net of taxes, respectively.</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as of March 31, 2014, a net gain of $14,622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2014 and 2013, was not material.</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2014 and 2013, respectively, which partially offsets the foreign currency impact from the underlying exposure,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Gains (Losses) Recognized in Income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360" w:type="dxa"/>
            <w:vAlign w:val="bottom"/>
            <w:vMerge w:val="restart"/>
          </w:tcPr>
          <w:p>
            <w:pPr>
              <w:jc w:val="right"/>
              <w:ind w:right="7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132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400" w:type="dxa"/>
            <w:vAlign w:val="bottom"/>
          </w:tcPr>
          <w:p>
            <w:pPr>
              <w:spacing w:after="0"/>
              <w:rPr>
                <w:sz w:val="14"/>
                <w:szCs w:val="14"/>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 (1)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$650,120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126,875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110,626</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(30,181)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(20,335)</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746,814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678,219</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42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increase in accounts receivable billed during the six months ended March 31, 2014 was primarily attributable to the timing of collections and milestone invoicing towards the end of the period, as well as to accounts receivable billed related to our recent acquisitions.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Three months</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ended</w:t>
            </w:r>
          </w:p>
        </w:tc>
        <w:tc>
          <w:tcPr>
            <w:tcW w:w="60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$17,089</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$19,744</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4,293</w:t>
            </w:r>
          </w:p>
        </w:tc>
        <w:tc>
          <w:tcPr>
            <w:tcW w:w="3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(903)</w:t>
            </w:r>
          </w:p>
        </w:tc>
        <w:tc>
          <w:tcPr>
            <w:tcW w:w="600" w:type="dxa"/>
            <w:vAlign w:val="bottom"/>
          </w:tcPr>
          <w:p>
            <w:pPr>
              <w:jc w:val="right"/>
              <w:spacing w:after="0"/>
              <w:rPr>
                <w:sz w:val="20"/>
                <w:szCs w:val="20"/>
                <w:color w:val="auto"/>
              </w:rPr>
            </w:pPr>
            <w:r>
              <w:rPr>
                <w:rFonts w:ascii="Arial" w:cs="Arial" w:eastAsia="Arial" w:hAnsi="Arial"/>
                <w:sz w:val="18"/>
                <w:szCs w:val="18"/>
                <w:color w:val="auto"/>
              </w:rPr>
              <w:t>9,690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16,186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29,434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3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1120" w:type="dxa"/>
            <w:vAlign w:val="bottom"/>
            <w:gridSpan w:val="2"/>
          </w:tcPr>
          <w:p>
            <w:pPr>
              <w:jc w:val="right"/>
              <w:ind w:right="668"/>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of March 31, 2014, deferred tax assets of $124,389,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total amount of gross unrecognized tax benefits, which includes interest and penalties, was $126,173 as of March 31, 2014, all of which would affect the effective tax rate if realized. In the three months ended March 31, 2014, the Company reduced the amount of its gross unrecognized tax benefits by approximately $9,000, which affected the Company’s effective tax rate. This included a decrease of approximately $13,000 in the Company’s provision for gross unrecognized tax benefits as a result of a tax position, which was settled during the three months ended March 31, 2014.</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2014, the Company had accrued $20,199 in income taxes payable for interest and penalties relating to unrecognized tax benefits.</w:t>
      </w:r>
    </w:p>
    <w:p>
      <w:pPr>
        <w:spacing w:after="0" w:line="24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Earnings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110,357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104,912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211,792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w w:val="94"/>
              </w:rPr>
              <w:t>Denominator for basic earnings per share — weighted average number of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159,812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160,955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159,734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assumed conversion of 0.50% convertible notes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Denominator for diluted earnings per share — adjusted weighted average shares and assumed</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conversions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162,251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162,884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162,048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163,239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six months ended March 31, 2014, 1,287 and 1,175 shares, respectively, on a weighted average basis, were attributable to antidilutive outstanding stock options. For the three and six months ended March 31, 2013, 2,359 and 3,626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authorizes the repurchase of up to $500,000 of the Company’s outstanding ordinary shares with no expiration date. In the six months ended March 31, 2014, the Company repurchased approximately 4,090 ordinary shares at an average price of $41.29 per share (excluding broker and transaction fees). As of March 31, 2014, the Company had remaining authority to repurchase up to $166,995 of its outstanding ordinary shares. In April 2014, the Company’s board of directors adopted another share repurchase plan authorizing the repurchase of up to $750,000 of its outstanding ordinary shares. The April 2014 plan has no expiration date. Each of the share repurchase plans permits the Company to purchase its ordinary shares in open market or privately negotiated transactions at times and prices that it considers appropriate.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September 2013, the Company borrowed an aggregate of $200,000 under its unsecured $500,000 five-year revolving credit facility with a syndicate of banks and repaid it in October 2013. As of March 31, 2014,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March 31, 2014, the Company had additional uncommitted lines of credit available for general corporate and other specific purposes and had outstanding letters of credit and bank guarantees from various banks totaling $71,046.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or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ectPr>
          <w:pgSz w:w="11900" w:h="16838" w:orient="portrait"/>
          <w:cols w:equalWidth="0" w:num="1">
            <w:col w:w="11420"/>
          </w:cols>
          <w:pgMar w:left="240" w:top="270" w:right="239" w:bottom="1440" w:gutter="0" w:footer="0" w:header="0"/>
        </w:sectPr>
      </w:pPr>
    </w:p>
    <w:bookmarkStart w:id="14" w:name="page15"/>
    <w:bookmarkEnd w:id="14"/>
    <w:p>
      <w:pPr>
        <w:ind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2014:</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2013</w:t>
            </w:r>
          </w:p>
        </w:tc>
        <w:tc>
          <w:tcPr>
            <w:tcW w:w="2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3940" w:type="dxa"/>
            <w:vAlign w:val="bottom"/>
            <w:gridSpan w:val="3"/>
          </w:tcPr>
          <w:p>
            <w:pPr>
              <w:jc w:val="right"/>
              <w:ind w:right="60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41.34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(3,449)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Forfeited</w:t>
            </w:r>
          </w:p>
        </w:tc>
        <w:tc>
          <w:tcPr>
            <w:tcW w:w="26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31.99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2014</w:t>
            </w:r>
          </w:p>
        </w:tc>
        <w:tc>
          <w:tcPr>
            <w:tcW w:w="2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32.98</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Exercisable as of March 31, 2014</w:t>
            </w:r>
          </w:p>
        </w:tc>
        <w:tc>
          <w:tcPr>
            <w:tcW w:w="2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600" w:type="dxa"/>
            <w:vAlign w:val="bottom"/>
          </w:tcPr>
          <w:p>
            <w:pPr>
              <w:spacing w:after="0"/>
              <w:rPr>
                <w:sz w:val="18"/>
                <w:szCs w:val="18"/>
                <w:color w:val="auto"/>
              </w:rPr>
            </w:pP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80" w:type="dxa"/>
            <w:vAlign w:val="bottom"/>
            <w:vMerge w:val="restart"/>
          </w:tcPr>
          <w:p>
            <w:pPr>
              <w:jc w:val="right"/>
              <w:ind w:right="1310"/>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15" w:name="page16"/>
    <w:bookmarkEnd w:id="15"/>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information relating to awards of restricted shares, as well as changes to such awards during the six-month period ended March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2013</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2014</w:t>
            </w:r>
          </w:p>
        </w:tc>
        <w:tc>
          <w:tcPr>
            <w:tcW w:w="1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2014 and 2013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12,772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March 31, 2014 and 2013, was $1,444 and $593, respectively, and for the six months ended March 31, 2014 and 2013, was $2,662 and $1,713, respectively.</w:t>
      </w:r>
    </w:p>
    <w:p>
      <w:pPr>
        <w:spacing w:after="0" w:line="124"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As of March 31, 2014, there was $59,117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Three months</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4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4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68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2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0.76%</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260" w:type="dxa"/>
            <w:vAlign w:val="bottom"/>
            <w:gridSpan w:val="3"/>
          </w:tcPr>
          <w:p>
            <w:pPr>
              <w:jc w:val="right"/>
              <w:ind w:right="488"/>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4.50</w:t>
            </w:r>
          </w:p>
        </w:tc>
        <w:tc>
          <w:tcPr>
            <w:tcW w:w="980" w:type="dxa"/>
            <w:vAlign w:val="bottom"/>
            <w:gridSpan w:val="2"/>
          </w:tcPr>
          <w:p>
            <w:pPr>
              <w:jc w:val="right"/>
              <w:ind w:right="488"/>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2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0.17</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260" w:type="dxa"/>
            <w:vAlign w:val="bottom"/>
            <w:gridSpan w:val="3"/>
          </w:tcPr>
          <w:p>
            <w:pPr>
              <w:jc w:val="right"/>
              <w:ind w:right="328"/>
              <w:spacing w:after="0"/>
              <w:rPr>
                <w:sz w:val="20"/>
                <w:szCs w:val="20"/>
                <w:color w:val="auto"/>
              </w:rPr>
            </w:pPr>
            <w:r>
              <w:rPr>
                <w:rFonts w:ascii="Arial" w:cs="Arial" w:eastAsia="Arial" w:hAnsi="Arial"/>
                <w:sz w:val="18"/>
                <w:szCs w:val="18"/>
                <w:color w:val="auto"/>
              </w:rPr>
              <w:t>1.42%</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1.45%</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1.47%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2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$5.67</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$5.81</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$5.48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Equity-based compensation recognized is reduced for estimated forfeitures and revised, if necessary, in subsequent periods if actual forfeitures differ from those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20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00" w:type="dxa"/>
            <w:vAlign w:val="bottom"/>
          </w:tcPr>
          <w:p>
            <w:pPr>
              <w:spacing w:after="0"/>
              <w:rPr>
                <w:sz w:val="14"/>
                <w:szCs w:val="14"/>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22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356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2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29, 2014</w:t>
            </w:r>
          </w:p>
        </w:tc>
        <w:tc>
          <w:tcPr>
            <w:tcW w:w="2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w w:val="84"/>
              </w:rPr>
              <w:t>0.155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31, 2014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24,799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54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0.130</w:t>
            </w:r>
          </w:p>
        </w:tc>
        <w:tc>
          <w:tcPr>
            <w:tcW w:w="1940" w:type="dxa"/>
            <w:vAlign w:val="bottom"/>
            <w:gridSpan w:val="3"/>
          </w:tcPr>
          <w:p>
            <w:pPr>
              <w:ind w:left="200"/>
              <w:spacing w:after="0"/>
              <w:rPr>
                <w:sz w:val="20"/>
                <w:szCs w:val="20"/>
                <w:color w:val="auto"/>
              </w:rPr>
            </w:pPr>
            <w:r>
              <w:rPr>
                <w:rFonts w:ascii="Arial" w:cs="Arial" w:eastAsia="Arial" w:hAnsi="Arial"/>
                <w:sz w:val="18"/>
                <w:szCs w:val="18"/>
                <w:color w:val="auto"/>
              </w:rPr>
              <w:t>December 31, 2013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20,752</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87"/>
              </w:rPr>
              <w:t>January 17, 2014</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254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0.130</w:t>
            </w:r>
          </w:p>
        </w:tc>
        <w:tc>
          <w:tcPr>
            <w:tcW w:w="1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March 28, 2013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20,927</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254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0.130</w:t>
            </w:r>
          </w:p>
        </w:tc>
        <w:tc>
          <w:tcPr>
            <w:tcW w:w="1940" w:type="dxa"/>
            <w:vAlign w:val="bottom"/>
            <w:gridSpan w:val="3"/>
          </w:tcPr>
          <w:p>
            <w:pPr>
              <w:ind w:left="20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21,032</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87"/>
              </w:rPr>
              <w:t>January 18, 2013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January 29, 2014 declaration was included in other current liabilities as of March 31, 2014.</w:t>
      </w:r>
    </w:p>
    <w:p>
      <w:pPr>
        <w:spacing w:after="0" w:line="22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On April 30, 2014, the Company’s board of directors approved the next quarterly dividend payment, at the rate of $0.155 per share, and set June 30, 2014 as the record date for determining the shareholders entitled to receive the dividend, which is payable on July 18,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2014 and 2013.</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2013, filed on December 9, 2013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Amdocs is a leading provider of software and services for communications, media and entertainment industry service providers in developed countries and in emerging markets, such as those in the Commonwealth of Independent States, India, Latin America and Southeast Asia.</w:t>
      </w:r>
    </w:p>
    <w:p>
      <w:pPr>
        <w:spacing w:after="0" w:line="14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and optimization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believe the demand for our customer experience systems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In January 2014, we released Amdocs CES (Customer Experience Systems) 9.1, which introduces new functionality to engage customers through social media channels, features to help support the complete lifecycle of small and medium-sized business customers and support for multi-play, which enables customer-facing activities across multiple systems and channels. These solutions enable service providers to personalize customer experiences based on real-time insight and capitalize on new opportunities. Our acquisitions of Actix and Celcite provide mobile network optimization solutions and services, enabling us to advance our strategy to deliver an integrated, holistic customer experience from the device to the network. Our goal is to supply scalable products and services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themselves by delivering a customer experience that is simple, personal and valuable at every point of interaction.</w:t>
      </w:r>
    </w:p>
    <w:p>
      <w:pPr>
        <w:spacing w:after="0" w:line="18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local marketing service providers, including directory publishers. These offerings enable the management of media selling, fulfillment, operations, consumer experiences and financial processes across digital and print media.</w:t>
      </w:r>
    </w:p>
    <w:p>
      <w:pPr>
        <w:spacing w:after="0" w:line="14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media and entertainment industry. In the six months ended March 31, 2014, customers in North America accounted for 72.7% of our revenue, while customers in Europe and the rest of the world accounted for 13.1% and 14.2%, respectively. Customers in emerging markets accounted for</w:t>
      </w:r>
    </w:p>
    <w:p>
      <w:pPr>
        <w:ind w:right="240"/>
        <w:spacing w:after="0" w:line="261" w:lineRule="auto"/>
        <w:rPr>
          <w:sz w:val="20"/>
          <w:szCs w:val="20"/>
          <w:color w:val="auto"/>
        </w:rPr>
      </w:pPr>
      <w:r>
        <w:rPr>
          <w:rFonts w:ascii="Arial" w:cs="Arial" w:eastAsia="Arial" w:hAnsi="Arial"/>
          <w:sz w:val="18"/>
          <w:szCs w:val="18"/>
          <w:color w:val="auto"/>
        </w:rPr>
        <w:t>11.6% of our revenue in the six months ended March 31, 2014. We maintain development facilities in Brazil, Canada, Cyprus, India, Ireland, Israel and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derive our revenue principally from:</w:t>
      </w:r>
    </w:p>
    <w:p>
      <w:pPr>
        <w:spacing w:after="0" w:line="131" w:lineRule="exact"/>
        <w:rPr>
          <w:sz w:val="20"/>
          <w:szCs w:val="20"/>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managed services arrangements (for customer experience systems and advertising and media products, including directory systems)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in both license and service revenue. Revenue generated in connection with managed services arrangements is a significant part of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generating substantial, long-term recurring revenue streams and cash flow. Revenue from managed services arrangements accounted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$426.3 million and $439.8 million in the three months ended March 31, 2014 and March 31, 2013, respectively, and $855.6 million and $869.6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March 31, 2014 and March 31, 2013, respectively. In the initial period of our managed services projects, we often invest in modernization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consolidation of the customer’s systems. Managed services engagements can be less profitable in their early stages; however, margins tend to improve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time, more rapidly in the initial period of an engagement, as we derive benefit from the operational efficiencies and from changes in the geographical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mix of our resources.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us on October 1, 2014, and may result in changes in our financial statements presentation but will not affect the substantive content of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us in the first quarter of fiscal 2014 and its adoption did not have a material impact on our consolidated financial statements.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of Operations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2014 and 2013, certain items in our consolidated statements of income reflected as a percentage of total revenue: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License</w:t>
            </w:r>
          </w:p>
        </w:tc>
        <w:tc>
          <w:tcPr>
            <w:tcW w:w="4080" w:type="dxa"/>
            <w:vAlign w:val="bottom"/>
            <w:gridSpan w:val="3"/>
          </w:tcPr>
          <w:p>
            <w:pPr>
              <w:jc w:val="right"/>
              <w:ind w:right="168"/>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188"/>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4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97.1</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97.4</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4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4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4080" w:type="dxa"/>
            <w:vAlign w:val="bottom"/>
            <w:gridSpan w:val="3"/>
          </w:tcPr>
          <w:p>
            <w:pPr>
              <w:jc w:val="right"/>
              <w:ind w:right="328"/>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4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65.0</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64.6</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64.7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080" w:type="dxa"/>
            <w:vAlign w:val="bottom"/>
            <w:gridSpan w:val="3"/>
          </w:tcPr>
          <w:p>
            <w:pPr>
              <w:jc w:val="right"/>
              <w:ind w:right="328"/>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rPr>
              <w:t>7.1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12.3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3220" w:type="dxa"/>
            <w:vAlign w:val="bottom"/>
          </w:tcPr>
          <w:p>
            <w:pPr>
              <w:spacing w:after="0"/>
              <w:rPr>
                <w:sz w:val="18"/>
                <w:szCs w:val="18"/>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rPr>
              <w:t>1.6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86.2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85.3</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86.1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3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net</w:t>
            </w:r>
          </w:p>
        </w:tc>
        <w:tc>
          <w:tcPr>
            <w:tcW w:w="4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40"/>
              <w:spacing w:after="0"/>
              <w:rPr>
                <w:sz w:val="20"/>
                <w:szCs w:val="20"/>
                <w:color w:val="auto"/>
              </w:rPr>
            </w:pPr>
            <w:r>
              <w:rPr>
                <w:rFonts w:ascii="Arial" w:cs="Arial" w:eastAsia="Arial" w:hAnsi="Arial"/>
                <w:sz w:val="18"/>
                <w:szCs w:val="18"/>
                <w:color w:val="auto"/>
              </w:rPr>
              <w:t>Net income</w:t>
            </w:r>
          </w:p>
        </w:tc>
        <w:tc>
          <w:tcPr>
            <w:tcW w:w="3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3220" w:type="dxa"/>
            <w:vAlign w:val="bottom"/>
            <w:vMerge w:val="continue"/>
          </w:tcPr>
          <w:p>
            <w:pPr>
              <w:spacing w:after="0"/>
              <w:rPr>
                <w:sz w:val="19"/>
                <w:szCs w:val="19"/>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8"/>
                <w:szCs w:val="18"/>
                <w:color w:val="auto"/>
              </w:rPr>
              <w:t>12.3%</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860" w:type="dxa"/>
            <w:vAlign w:val="bottom"/>
            <w:gridSpan w:val="2"/>
          </w:tcPr>
          <w:p>
            <w:pPr>
              <w:jc w:val="right"/>
              <w:ind w:right="188"/>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20" w:type="dxa"/>
            <w:vAlign w:val="bottom"/>
            <w:vMerge w:val="restart"/>
          </w:tcPr>
          <w:p>
            <w:pPr>
              <w:jc w:val="right"/>
              <w:ind w:right="2270"/>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 Months Ended March 31, 2014 and 2013</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2014 compared to the six months ended March 31, 2013. Following the table is a discussion and analysis of our business and results of operations for such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53,386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40,817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12,569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1,707,513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1,618,480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89,033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1,760,899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1,659,297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101,602</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1,139,091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1,073,107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125,429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119,419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6,010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210,143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12,254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27,848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19,838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8,010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1,516,361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1,423,785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92,576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4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7,579</w:t>
            </w:r>
          </w:p>
        </w:tc>
        <w:tc>
          <w:tcPr>
            <w:tcW w:w="4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increased by $101.6 million, or 6.1%, to $1,760.9 million in the six months ended March 31, 2014, from $1,659.3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2013. The increase in revenue was primarily attributable to increased activity in North America and Europe, partially offset by a decrease in revenue from customers in the rest of the world. The increase in revenue was also positively affected by network optimization activity related to our recent acquisitions of Actix and Celcite.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License revenue in the six months ended March 31, 2014 increased by $12.6 million, or 30.8%, to $53.4 million, from $40.8 million in the six months ended March 31, 2013. The increase in license revenue was primarily attributable to network optimization activity.</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Total revenue attributable to the sale of customer experience systems increased by $120.1 million, or 7.6%, to $1,693.2 million in the six months ended March 31, 2014, from $1,573.1 million in the six months ended March 31, 2013. The increase in revenue was primarily attributable to our increased activity in North America and Europe, partially offset by a decrease in revenue from customers in the rest of the world. The increase in revenue was also positively affected by network optimization activity related to our recent acquisitions of Actix and Celcite. License and service revenue resulting from the sale of customer experience systems represented 96.2% and 94.8% of our total revenue in the six months ended March 31, 2014 and 2013, respectively.</w:t>
      </w:r>
    </w:p>
    <w:p>
      <w:pPr>
        <w:spacing w:after="0" w:line="15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Total revenue attributable to the sale of directory systems decreased by $18.5 million, or 21.5%, to $67.7 million in the six months ended March 31, 2014, from $86.2 million in the six months ended March 31, 2013. The decrease in revenue was primarily attributable to continued slowness in the directory systems market leading to lower revenue from discretionary spending under managed services arrangements for directory systems. License and service revenue from the sale of directory systems represented 3.8% and 5.2% of our total revenue in the six months ended March 31, 2014 and 2013, respectively.</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six months ended March 31, 2014, revenue from customers in North America, Europe and the rest of the world accounted for 72.7%, 13.1% and 14.2%, respectively, of total revenue, compared to 72.0%, 12.0% and 16.0%, respectively, in the six months ended March 31, 2013. The increase in revenue from North American customers as a percentage of total revenue during the six months ended March 31, 2014 was primarily attributable to the positive momentum in our relationship with AT&amp;T. The increase in revenue as a percentage of total revenue from customers in Europe was attributable to higher revenue from managed services arrangements and to transformation and implementation projects. The decrease in revenue as a percentage of total revenue from customers in the rest of the world was primarily attributable to our reduced activity in developed markets in those regions, partially offset by our increased activity in emerging markets.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1" w:name="page22"/>
    <w:bookmarkEnd w:id="21"/>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 of License and Service</w:t>
      </w:r>
      <w:r>
        <w:rPr>
          <w:rFonts w:ascii="Arial" w:cs="Arial" w:eastAsia="Arial" w:hAnsi="Arial"/>
          <w:sz w:val="16"/>
          <w:szCs w:val="16"/>
          <w:color w:val="auto"/>
        </w:rPr>
        <w:t>. Cost of license includes fees and royalty payments to software suppliers. Cost of service consists primarily of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providing services to customers, including compensation expense and costs of third-party products. Cost of license and service increased by $66.3 million, or 6.2%, to $1,140.7 million in the six months ended March 31, 2014, from $1,074.4 million in the six months ended March 31, 2013. As a percentage of revenue, cost of license and service increased to 64.8% in the six months ended March 31, 2014, from 64.7% in the six months ended March 31, 2013. The decrease in our gross margin was primarily attributable to our activities in Asia Pacific and Central and Latin America, where we incurred costs while continuing our penetration efforts in order to expand our business into those markets, partially offset by a larger portion of revenue and expense related to customers in developed markets, where we are well-established and generally realize higher margins.</w:t>
      </w:r>
    </w:p>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$6.0 million, or 5.0%, to $125.4 million in the six months ended March 31, 2014, from $119.4 million in the six months ended March 31, 2013. The increase in research and development expense was primarily attributable to network optimization research and development activity. Research and development expense decreased as a percentage of revenue from 7.2% in the six months ended March 31, 2013, to 7.1% in the six months ended March 31, 2014.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$12.3 million, or 5.8%, to $222.4 million in the six months ended March 31, 2014, from $210.1 million in the six months ended March 31, 2013. The increase in selling, general and administrative expense was primarily attributable to network optimization activities. Selling, general and administrative expense as a percentage of revenue was 12.7% in the six months ended March 31, 2013 and 12.6% in the six months ended March 31, 2014. Selling, general and administrative expense may fluctuate from time to time, depending upon such factors as changes in our workforce and sales efforts and the results of any operational efficiency programs that we may undertake.</w:t>
      </w:r>
    </w:p>
    <w:p>
      <w:pPr>
        <w:spacing w:after="0" w:line="1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six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increased by $8.0 million to $27.8 million from $19.8 million in the six months ended March 31, 2013. The increase in amortization of purchased intangible assets and other was primarily attributable to an increase in amortization of intangible assets due to amortization charges related to the acquisitions of Actix and Celcite, partially offset by timing of amortization charges of previously purchased intangible assets.</w:t>
      </w:r>
    </w:p>
    <w:p>
      <w:pPr>
        <w:spacing w:after="0" w:line="17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$9.0 million, or 3.8%, in the six months ended March 31, 2014, to $244.5 million, or 13.9%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$235.5 million, or 14.2% of revenue, in the six months ended March 31, 2013. The decrease in operating income as a percentage of revenue was primarily attributable to the increase in amortization of purchased intangible assets and other.</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increased by $1.4 million to $3.3 million in the six months ended March 31,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 million in the six months ended March 31, 2013. The increase in interest and other expense, net, was primarily attributable to foreign exchange impacts.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2014 were $29.4 million on pre-tax income of $241.2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12.2%, compared to 12.7% in the six months ended March 31, 2013. Our effective tax rate may fluctuate between periods as a result of discrete items that may affect a particular period. Please see Note 9 to our consolidated financial statements.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$7.9 million, or 3.9%, to $211.8 million in the six months ended March 31, 2014, from $203.9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2013. The increase in net income was primarily attributable to the increase in operating income, partially offset by an increase in interest and other expense, net.</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increased by $0.06, or 4.8%, to $1.31 in the six months ended March 31, 2014, from $1.25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March 31, 2013. The increase in diluted earnings per share was primarily attributable to the increase in net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Three Months Ended March 31, 2014 and 2013</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March 31, 2014 compared to the three months ended March 31, 2013. Following the table is a discussion and analysis of our business and results of operations for such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ind w:left="4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26,177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21,901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4,276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870,677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811,037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59,640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896,854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832,938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63,916</w:t>
            </w:r>
          </w:p>
        </w:tc>
        <w:tc>
          <w:tcPr>
            <w:tcW w:w="3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582,458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538,094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44,364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63,104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3,045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110,438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102,683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16,180</w:t>
            </w:r>
          </w:p>
        </w:tc>
        <w:tc>
          <w:tcPr>
            <w:tcW w:w="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7,575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773,006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710,083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62,923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123,848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121,940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3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(4,603)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104,912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3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increased by $63.9 million, or 7.7%, to $896.9 million in the three months ended March 31, 2014, from $832.9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2013. The increase in revenue was primarily attributable to increased activity in North America and Europe. The increase in revenue was also positively affected by network optimization activity.</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License revenue in the three months ended March 31, 2014 increased by $4.3 million, or 19.5%, to $26.2 million, from $21.9 million in the three months ended March 31, 2013. The increase in license revenue was primarily attributable to network optimization activity.</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Total revenue attributable to the sale of customer experience systems increased by $74.3 million, or 9.4%, to $863.6 million in the three months ended March 31, 2014, from $789.3 million in the three months ended March 31, 2013. The increase in revenue was primarily attributable to our increased activity in North America and Europe. The increase in revenue was also positively affected by network optimization activity. License and service revenue resulting from the sale of customer experience systems represented 96.3% and 94.8% of our total revenue in the three months ended March 31, 2014 and 2013, respectively.</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Total revenue attributable to the sale of directory systems decreased by $10.3 million, or 23.6%, to $33.3 million in the three months ended March 31, 2014, from $43.6 million in the three months ended March 31, 2013. The decrease in revenue was primarily attributable to continued slowness in the directory systems market leading to lower revenue from discretionary spending under managed services arrangements for directory systems. License and service revenue from the sale of directory systems represented 3.7% and 5.2% of our total revenue in the three months ended March 31, 2014 and 2013, respectively.</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three months ended March 31, 2014, revenue from customers in North America, Europe and the rest of the world accounted for 72.7%, 12.7% and 14.6%, respectively, of total revenue, compared to 72.2%, 11.9% and 15.9%, respectively, in the three months ended March 31, 2013. The increase in revenue from North American customers as a percentage of total revenue during the three months ended March 31, 2014 was primarily attributable to the positive momentum in our relationship with AT&amp;T. The increase in revenue as a percentage of total revenue from customers in Europe was attributable to higher revenue from managed services arrangements and to transformation and implementation projects. Revenue from customers in the rest of the world decreased as a percentage of total revenue during the three months ended March 31, 2014 as a result of a slight decrease in absolute amounts in revenue from customers in the rest of the world, while total revenue increased.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3" w:name="page24"/>
    <w:bookmarkEnd w:id="23"/>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 of License and Service</w:t>
      </w:r>
      <w:r>
        <w:rPr>
          <w:rFonts w:ascii="Arial" w:cs="Arial" w:eastAsia="Arial" w:hAnsi="Arial"/>
          <w:sz w:val="18"/>
          <w:szCs w:val="18"/>
          <w:color w:val="auto"/>
        </w:rPr>
        <w:t>. Cost of license and service increased by $44.5 million, or 8.3%, to $583.3 million in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from $538.7 million in the three months ended March 31, 2013. As a percentage of revenue, cost of license and service increased to 65.0% in the three months ended March 31, 2014, from 64.7% in the three months ended March 31, 2013. The decrease in our gross margin was primarily attributable to our activities in Asia Pacific and Central and Latin America, where we incurred costs while continuing our penetration efforts in order to expand our business into those markets.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increased by $3.0 million, or 5.1%, to $63.1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2014, from $60.1 million in the three months ended March 31, 2013. The increase in research and development expense was primarily attributable to network optimization research and development activity. Research and development expense decreased as a percentage of revenue from 7.2% in the three months ended March 31, 2013, to 7.0% in the three months ended March 31, 2014.</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increased by $7.8 million, or 7.6%, to $110.4 million in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2014, from $102.7 million in the three months ended March 31, 2013. The increase in selling, general and administrative expense was primarily attributable to network optimization activities. Selling, general and administrative expense as a percentage of revenue was 12.4% in the three months ended March 31, 2013 and 12.3% in the three months ended March 31, 2014. Selling, general and administrative expense may fluctuate from time to time, depending upon such factors as changes in our workforce and sales efforts and the results of any operational efficiency programs that we may undertake.</w:t>
      </w:r>
    </w:p>
    <w:p>
      <w:pPr>
        <w:spacing w:after="0" w:line="15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increased by $7.6 million to $16.2 million from $8.6 million in the three months ended March 31, 2013. The increase in amortization of purchased intangible assets and other was primarily attributable to an increase in amortization of intangible assets due to amortization charges related to the acquisitions of Actix and Celcite, partially offset by timing of amortization charges of previously purchased intangible assets.</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$1.0 million, or 0.8%, in the three months ended March 31, 2014, to $123.8 million, or 13.8%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$122.9 million, or 14.7% of revenue, in the three months ended March 31, 2013. The decrease in operating income as a percentage of revenue was primarily attributable to the increase in amortization of purchased intangible assets and other.</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2014 were $11.6 million on pre-tax income of $121.9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9.5%, compared to 13.4% in the three months ended March 31, 2013. The decrease in our effective tax rate was primarily attributable to a decrease in our provision for uncertain tax benefits as a result of a tax position, which was settled during the three months ended March 31, 2014, partially offset by the tax effect of the geographical distribution of earnings from global operations. Our effective tax rate may fluctuate between periods as a result of discrete items that may affect a particular period. Please see Note 9 to our consolidated financial statements.</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$5.4 million, or 5.2%, to $110.4 million in the three months ended March 31, 2014, from $104.9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2013. The increase in net income was primarily attributable to the decrease in income taxes and the increase in operating income.</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$0.04, or 6.3%, to $0.68 in the three months ended March 31, 2014, from $0.64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March 31, 2013. The increase in diluted earnings per share was primarily attributable to the increase in net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 debt, totaled $1.11 billion as of March 31, 2014, compared to $1.13 billion as of September 30, 2013. The decrease was mainly attributable to $173.6 million in net cash paid for acquisitions, $168.9 million used to repurchase our ordinary shares, $52.0 million for capital expenditures, net, $41.6 million of cash dividend payments, partially offset by $317.6 million in positive cash flow from operations and $98.3 million of proceeds from stock options exercised. Net cash provided by operating activities amounted to $317.6 million and $265.5 million for the six months ended March 31, 2014 and 2013, respectively.</w:t>
      </w:r>
    </w:p>
    <w:p>
      <w:pPr>
        <w:spacing w:after="0" w:line="15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net of tax, unless a security is other than temporarily impaired, in which case the loss is recorded in the income statement.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2014 and 2013, we recognized immaterial credit losses. Please see Notes 5 and 6 to the consolidated financial statements.</w:t>
      </w:r>
    </w:p>
    <w:p>
      <w:pPr>
        <w:spacing w:after="0" w:line="17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2013, we borrowed an aggregate of $200.0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five-year revolving credit facility with a syndicate of banks and repaid it in October 2013. As of March 31, 2014, we were in compliance with the financial covenants under the revolving credit facility and had no outstanding borrowings under this facility.</w:t>
      </w:r>
    </w:p>
    <w:p>
      <w:pPr>
        <w:spacing w:after="0" w:line="166"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As of March 31, 2014, we had additional uncommitted lines of credit available for general corporate and other specific purposes and had outstanding letters of credit and bank guarantees from various banks totaling $71.0 million.</w:t>
      </w:r>
    </w:p>
    <w:p>
      <w:pPr>
        <w:spacing w:after="0" w:line="170"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pension funding, purchase obligations and unrecognized tax benefits summarized in the disclosure of contractual obligations set forth in our Annual Report on Form 20-F for the fiscal year ended September 30, 2013, filed on December 9, 2013 with the SEC. Since September 30, 2013, there have been no material changes in our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$52.0 million in the six months ended March 31, 2014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current share repurchase plan authorizes the repurchase of up to $500.0 million of our outstanding ordinary shares with no expiration date. In the six months ended March 31, 2014, we repurchased 4.1 million ordinary shares at an average price of $41.29 per share (excluding broker and transaction fees). As of March 31, 2014, we had remaining authority to repurchase up to $167.0 million of our outstanding ordinary shares. In April 2014, our board of directors adopted another share repurchase plan authorizing the repurchase of up to $750.0 million of our outstanding ordinary shares. The April 2014 plan has no expiration date. Each one of the share repurchase plans permits us to purchase our ordinary shares in open market or privately negotiated transactions at times and prices that we consider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8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5520" w:type="dxa"/>
            <w:vAlign w:val="bottom"/>
            <w:gridSpan w:val="2"/>
            <w:vMerge w:val="continue"/>
          </w:tcPr>
          <w:p>
            <w:pPr>
              <w:spacing w:after="0"/>
              <w:rPr>
                <w:sz w:val="13"/>
                <w:szCs w:val="13"/>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820" w:type="dxa"/>
            <w:vAlign w:val="bottom"/>
            <w:gridSpan w:val="2"/>
            <w:vMerge w:val="continue"/>
          </w:tcPr>
          <w:p>
            <w:pPr>
              <w:spacing w:after="0"/>
              <w:rPr>
                <w:sz w:val="13"/>
                <w:szCs w:val="13"/>
                <w:color w:val="auto"/>
              </w:rPr>
            </w:pPr>
          </w:p>
        </w:tc>
        <w:tc>
          <w:tcPr>
            <w:tcW w:w="11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29, 2014</w:t>
            </w: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0.155</w:t>
            </w: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31, 2014</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0.130</w:t>
            </w:r>
          </w:p>
        </w:tc>
        <w:tc>
          <w:tcPr>
            <w:tcW w:w="182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w w:val="87"/>
              </w:rPr>
              <w:t>January 17, 2014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0.130</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0.130</w:t>
            </w:r>
          </w:p>
        </w:tc>
        <w:tc>
          <w:tcPr>
            <w:tcW w:w="182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w w:val="87"/>
              </w:rPr>
              <w:t>January 18, 2013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April 30, 2014, our board of directors approved the next quarterly dividend payment, at the rate of $0.155 per share, and set June 30, 2014 as the record date for determining the shareholders entitled to receive the dividend, which is payable on July 18, 2014.</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As of March 31, 2014, we had outstanding $1.0 million aggregate principal amount of our 0.50% convertible senior notes due</w:t>
      </w:r>
      <w:r>
        <w:rPr>
          <w:rFonts w:ascii="Arial" w:cs="Arial" w:eastAsia="Arial" w:hAnsi="Arial"/>
          <w:sz w:val="18"/>
          <w:szCs w:val="18"/>
          <w:i w:val="1"/>
          <w:iCs w:val="1"/>
          <w:color w:val="auto"/>
        </w:rPr>
        <w:t xml:space="preserve"> </w:t>
      </w:r>
      <w:r>
        <w:rPr>
          <w:rFonts w:ascii="Arial" w:cs="Arial" w:eastAsia="Arial" w:hAnsi="Arial"/>
          <w:sz w:val="18"/>
          <w:szCs w:val="18"/>
          <w:color w:val="auto"/>
        </w:rPr>
        <w:t>2024. In April 2014, we repurchased $417,000 aggregate principal amount of such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six months ended March 31, 2014 and 2013,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2014 of equity securities that are registered by us pursuant to Section 12 of the Exchange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4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4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Average Price</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4940" w:type="dxa"/>
            <w:vAlign w:val="bottom"/>
            <w:gridSpan w:val="2"/>
            <w:vMerge w:val="continue"/>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56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Paid per Share</w:t>
            </w:r>
          </w:p>
        </w:tc>
        <w:tc>
          <w:tcPr>
            <w:tcW w:w="17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01/01/14-01/31/14</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418,400</w:t>
            </w: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41.42</w:t>
            </w: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6"/>
              </w:rPr>
              <w:t>418,400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234,547,864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02/01/14-02/28/14</w:t>
            </w:r>
          </w:p>
        </w:tc>
        <w:tc>
          <w:tcPr>
            <w:tcW w:w="1040" w:type="dxa"/>
            <w:vAlign w:val="bottom"/>
          </w:tcPr>
          <w:p>
            <w:pPr>
              <w:jc w:val="right"/>
              <w:spacing w:after="0"/>
              <w:rPr>
                <w:sz w:val="20"/>
                <w:szCs w:val="20"/>
                <w:color w:val="auto"/>
              </w:rPr>
            </w:pPr>
            <w:r>
              <w:rPr>
                <w:rFonts w:ascii="Arial" w:cs="Arial" w:eastAsia="Arial" w:hAnsi="Arial"/>
                <w:sz w:val="18"/>
                <w:szCs w:val="18"/>
                <w:color w:val="auto"/>
              </w:rPr>
              <w:t>675,600</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43.51</w:t>
            </w:r>
          </w:p>
        </w:tc>
        <w:tc>
          <w:tcPr>
            <w:tcW w:w="1700" w:type="dxa"/>
            <w:vAlign w:val="bottom"/>
            <w:gridSpan w:val="2"/>
          </w:tcPr>
          <w:p>
            <w:pPr>
              <w:ind w:left="540"/>
              <w:spacing w:after="0"/>
              <w:rPr>
                <w:sz w:val="20"/>
                <w:szCs w:val="20"/>
                <w:color w:val="auto"/>
              </w:rPr>
            </w:pPr>
            <w:r>
              <w:rPr>
                <w:rFonts w:ascii="Arial" w:cs="Arial" w:eastAsia="Arial" w:hAnsi="Arial"/>
                <w:sz w:val="18"/>
                <w:szCs w:val="18"/>
                <w:color w:val="auto"/>
              </w:rPr>
              <w:t>675,600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205,151,274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03/01/14-03/31/14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844,200</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45.20</w:t>
            </w: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844,200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166,994,955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1,938,200</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43.80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1,938,200</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166,994,955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November 2012, our board of directors adopted a share repurchase plan authorizing the repurchase of up to $500.0 million of our outstanding ordinary shares, which has no expiration date. In April 2014, our board of directors adopted another share repurchase plan authorizing the repurchase of up to $750.0 million of our outstanding ordinary shares. The April 2014 plan has no expiration date. Each one of the share repurchase plans permits us to purchase our ordinary shares in open market or privately negotiated transactions at times and prices we consider appropriate.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2014:</w:t>
      </w:r>
    </w:p>
    <w:p>
      <w:pPr>
        <w:spacing w:after="0" w:line="225"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January 30, 2014</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February 11,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27" w:name="page28"/>
    <w:bookmarkEnd w:id="27"/>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2019-12-06T19:43:57Z</dcterms:created>
  <dcterms:modified xsi:type="dcterms:W3CDTF">2019-12-06T19:43:57Z</dcterms:modified>
</cp:coreProperties>
</file>