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UNITED STATES SECURITIES AND EXCHANGE COMMISSION Washington, D.C. 20549</w:t>
      </w:r>
    </w:p>
    <w:p>
      <w:pPr>
        <w:spacing w:after="0" w:line="2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Amendment No.: 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Name of Issuer: AMDOCS LIMITED</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Title of Class of Securities: Common Stock</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Number: G02602103</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Date of Event Which Requires Filing of this Statement: 12/31/2013</w:t>
      </w:r>
    </w:p>
    <w:p>
      <w:pPr>
        <w:spacing w:after="0" w:line="207"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[X] Rule 13d-1(b) [ ] Rule 13d-1(c) [ ] Rule 13d-1(d)</w:t>
      </w:r>
    </w:p>
    <w:p>
      <w:pPr>
        <w:spacing w:after="0" w:line="207" w:lineRule="exact"/>
        <w:rPr>
          <w:sz w:val="24"/>
          <w:szCs w:val="24"/>
          <w:color w:val="auto"/>
        </w:rPr>
      </w:pPr>
    </w:p>
    <w:p>
      <w:pPr>
        <w:jc w:val="both"/>
        <w:ind w:right="2839" w:firstLine="8"/>
        <w:spacing w:after="0" w:line="275" w:lineRule="auto"/>
        <w:tabs>
          <w:tab w:leader="none" w:pos="21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82" w:lineRule="exact"/>
        <w:rPr>
          <w:sz w:val="24"/>
          <w:szCs w:val="24"/>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G02602103</w:t>
      </w:r>
    </w:p>
    <w:p>
      <w:pPr>
        <w:spacing w:after="0" w:line="207" w:lineRule="exact"/>
        <w:rPr>
          <w:sz w:val="24"/>
          <w:szCs w:val="24"/>
          <w:color w:val="auto"/>
        </w:rPr>
      </w:pPr>
    </w:p>
    <w:p>
      <w:pPr>
        <w:ind w:right="283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 S.S. OR I.R.S. IDENTIFICATION NO. OF ABOVE PERSON Janus Capital Management LLC EIN #75-3019302</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316"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a. ___ b. ___ 3. SEC USE ONLY</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4. CITIZENSHIP OR PLACE OF ORGANIZATION 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NUMBER OF SHARES BENEFICIALLY OWNED BY EACH REPORTING PERSON WITH:</w:t>
      </w:r>
    </w:p>
    <w:p>
      <w:pPr>
        <w:spacing w:after="0" w:line="201" w:lineRule="exact"/>
        <w:rPr>
          <w:sz w:val="24"/>
          <w:szCs w:val="24"/>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8,532,236**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49,500**</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8,532,236**</w:t>
      </w:r>
    </w:p>
    <w:p>
      <w:pPr>
        <w:spacing w:after="0" w:line="201" w:lineRule="exact"/>
        <w:rPr>
          <w:rFonts w:ascii="Courier New" w:cs="Courier New" w:eastAsia="Courier New" w:hAnsi="Courier New"/>
          <w:sz w:val="18"/>
          <w:szCs w:val="18"/>
          <w:color w:val="auto"/>
        </w:rPr>
      </w:pPr>
    </w:p>
    <w:p>
      <w:pPr>
        <w:ind w:left="320" w:hanging="312"/>
        <w:spacing w:after="0"/>
        <w:tabs>
          <w:tab w:leader="none" w:pos="3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49,500**</w:t>
      </w:r>
    </w:p>
    <w:p>
      <w:pPr>
        <w:spacing w:after="0" w:line="206" w:lineRule="exact"/>
        <w:rPr>
          <w:rFonts w:ascii="Courier New" w:cs="Courier New" w:eastAsia="Courier New" w:hAnsi="Courier New"/>
          <w:sz w:val="18"/>
          <w:szCs w:val="18"/>
          <w:color w:val="auto"/>
        </w:rPr>
      </w:pPr>
    </w:p>
    <w:p>
      <w:pPr>
        <w:ind w:right="3579" w:firstLine="8"/>
        <w:spacing w:after="0" w:line="235" w:lineRule="auto"/>
        <w:tabs>
          <w:tab w:leader="none" w:pos="31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8,581,736**</w:t>
      </w:r>
    </w:p>
    <w:p>
      <w:pPr>
        <w:spacing w:after="0" w:line="208" w:lineRule="exact"/>
        <w:rPr>
          <w:rFonts w:ascii="Courier New" w:cs="Courier New" w:eastAsia="Courier New" w:hAnsi="Courier New"/>
          <w:sz w:val="18"/>
          <w:szCs w:val="18"/>
          <w:color w:val="auto"/>
        </w:rPr>
      </w:pPr>
    </w:p>
    <w:p>
      <w:pPr>
        <w:ind w:right="2619" w:firstLine="8"/>
        <w:spacing w:after="0" w:line="235" w:lineRule="auto"/>
        <w:tabs>
          <w:tab w:leader="none" w:pos="421"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BOX IF THE AGGREGATE AMOUNT IN ROW (9) EXCLUDES CERTAIN SHARES Not applicable</w:t>
      </w:r>
    </w:p>
    <w:p>
      <w:pPr>
        <w:spacing w:after="0" w:line="202"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5.4%**</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IA, HC</w:t>
      </w:r>
    </w:p>
    <w:p>
      <w:pPr>
        <w:spacing w:after="0" w:line="207" w:lineRule="exact"/>
        <w:rPr>
          <w:sz w:val="24"/>
          <w:szCs w:val="24"/>
          <w:color w:val="auto"/>
        </w:rPr>
      </w:pPr>
    </w:p>
    <w:p>
      <w:pPr>
        <w:ind w:right="7259" w:firstLine="8"/>
        <w:spacing w:after="0" w:line="470" w:lineRule="auto"/>
        <w:tabs>
          <w:tab w:leader="none" w:pos="31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See Item 4 of this filing Item 1.</w:t>
      </w:r>
    </w:p>
    <w:p>
      <w:pPr>
        <w:spacing w:after="0" w:line="6"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(a). Name of Issuer: AMDOCS LIMITED ("AMDOCS")</w:t>
      </w:r>
    </w:p>
    <w:p>
      <w:pPr>
        <w:spacing w:after="0" w:line="206" w:lineRule="exact"/>
        <w:rPr>
          <w:rFonts w:ascii="Courier New" w:cs="Courier New" w:eastAsia="Courier New" w:hAnsi="Courier New"/>
          <w:sz w:val="18"/>
          <w:szCs w:val="18"/>
          <w:color w:val="auto"/>
        </w:rPr>
      </w:pPr>
    </w:p>
    <w:p>
      <w:pPr>
        <w:ind w:right="4619"/>
        <w:spacing w:after="0" w:line="473"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Address of Issuer's Principal Executive Offices: 1390 Timberlake Manor Parkway Chesterfield, MO 63017 Item 2.</w:t>
      </w:r>
    </w:p>
    <w:p>
      <w:pPr>
        <w:spacing w:after="0" w:line="10" w:lineRule="exact"/>
        <w:rPr>
          <w:sz w:val="24"/>
          <w:szCs w:val="24"/>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(a).-(c). Name, Principal Business Address, and Citizenship of Persons Filing:</w:t>
      </w:r>
    </w:p>
    <w:p>
      <w:pPr>
        <w:spacing w:after="0" w:line="208" w:lineRule="exact"/>
        <w:rPr>
          <w:sz w:val="24"/>
          <w:szCs w:val="24"/>
          <w:color w:val="auto"/>
        </w:rPr>
      </w:pPr>
    </w:p>
    <w:p>
      <w:pPr>
        <w:ind w:right="2939" w:firstLine="8"/>
        <w:spacing w:after="0" w:line="235" w:lineRule="auto"/>
        <w:tabs>
          <w:tab w:leader="none" w:pos="421"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Janus Capital Management LLC ("Janus Capital") 151 Detroit Street Denver, Colorado 80206 Citizenship: Delaware</w:t>
      </w:r>
    </w:p>
    <w:p>
      <w:pPr>
        <w:spacing w:after="0" w:line="20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 Title of Class of Securities: Common Stock</w:t>
      </w:r>
    </w:p>
    <w:p>
      <w:pPr>
        <w:sectPr>
          <w:pgSz w:w="11900" w:h="16855" w:orient="portrait"/>
          <w:cols w:equalWidth="0" w:num="1">
            <w:col w:w="10219"/>
          </w:cols>
          <w:pgMar w:left="240" w:top="250" w:right="1440" w:bottom="0" w:gutter="0" w:footer="0" w:header="0"/>
        </w:sectPr>
      </w:pPr>
    </w:p>
    <w:bookmarkStart w:id="1" w:name="page2"/>
    <w:bookmarkEnd w:id="1"/>
    <w:p>
      <w:pPr>
        <w:spacing w:after="0"/>
        <w:rPr>
          <w:sz w:val="20"/>
          <w:szCs w:val="20"/>
          <w:color w:val="auto"/>
        </w:rPr>
      </w:pPr>
      <w:r>
        <w:rPr>
          <w:rFonts w:ascii="Courier New" w:cs="Courier New" w:eastAsia="Courier New" w:hAnsi="Courier New"/>
          <w:sz w:val="18"/>
          <w:szCs w:val="18"/>
          <w:color w:val="auto"/>
        </w:rPr>
        <w:t>(e). CUSIP Number: G02602103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This statement is filed pursuant to Rule 13d-1 (b) or 13d-2(b) and the person filing, Janus Capital, is an investment adviser in accordance with Section 240.13d-1(b)(ii)(E) as well as a parent holding company/control person in accordance with Section 240.13d-1(b)(ii)(G). See Item 4 for additional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 information in items 1 and 5 through 11 on the cover page(s) on Schedule 13G is hereby incorporated by reference.</w:t>
      </w:r>
    </w:p>
    <w:p>
      <w:pPr>
        <w:spacing w:after="0" w:line="20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Janus Capital has a direct 96.74% ownership stake in INTECH Investment Management ("INTECH") and a direct 99.61% ownership stake in Perkins Investment Management LLC ("Perkins"). Due to the above ownership structure, holdings for Janus Capital, Perkins and INTECH are aggregated for purposes of this filing. Janus Capital, Perkins and INTECH are registered investment advisers, each furnishing investment advice to various investment companies registered under Section 8 of the Investment Company Act of 1940 and to individual and institutional clients (collectively referred to herein as "Managed Portfolios").</w:t>
      </w:r>
    </w:p>
    <w:p>
      <w:pPr>
        <w:spacing w:after="0" w:line="214" w:lineRule="exact"/>
        <w:rPr>
          <w:sz w:val="20"/>
          <w:szCs w:val="20"/>
          <w:color w:val="auto"/>
        </w:rPr>
      </w:pPr>
    </w:p>
    <w:p>
      <w:pPr>
        <w:ind w:right="2619"/>
        <w:spacing w:after="0" w:line="238" w:lineRule="auto"/>
        <w:rPr>
          <w:sz w:val="20"/>
          <w:szCs w:val="20"/>
          <w:color w:val="auto"/>
        </w:rPr>
      </w:pPr>
      <w:r>
        <w:rPr>
          <w:rFonts w:ascii="Courier New" w:cs="Courier New" w:eastAsia="Courier New" w:hAnsi="Courier New"/>
          <w:sz w:val="18"/>
          <w:szCs w:val="18"/>
          <w:color w:val="auto"/>
        </w:rPr>
        <w:t>As a result of its role as investment adviser or sub-adviser to the Managed Portfolios, Janus Capital may be deemed to be the beneficial owner of 8,532,236 shares or 5.3% of the shares outstanding of AMDOCS Common Stock held by such Managed Portfolios. However, Janus Capital does not have the right to receive any dividends from, or the proceeds from the sale of, the securities held in the Managed Portfolios and disclaims any ownership associated with such rights. As a result of its role as investment adviser or sub-adviser to the Managed Portfolios, INTECH may be deemed to be the beneficial owner of 49,500 shares or 0.1% of the shares outstanding of AMDOCS Common Stock held by such Managed Portfolios. However, INTECH does not have the right to receive any dividends from, or the proceeds from the sale of, the securities held in the Managed Portfolios and disclaims any ownership associated with such rights.</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6. Ownership of More than Five Percent on Behalf of Another Person</w:t>
      </w:r>
    </w:p>
    <w:p>
      <w:pPr>
        <w:spacing w:after="0" w:line="224" w:lineRule="exact"/>
        <w:rPr>
          <w:sz w:val="20"/>
          <w:szCs w:val="20"/>
          <w:color w:val="auto"/>
        </w:rPr>
      </w:pPr>
    </w:p>
    <w:p>
      <w:pPr>
        <w:ind w:right="3039"/>
        <w:spacing w:after="0" w:line="236" w:lineRule="auto"/>
        <w:rPr>
          <w:sz w:val="20"/>
          <w:szCs w:val="20"/>
          <w:color w:val="auto"/>
        </w:rPr>
      </w:pPr>
      <w:r>
        <w:rPr>
          <w:rFonts w:ascii="Courier New" w:cs="Courier New" w:eastAsia="Courier New" w:hAnsi="Courier New"/>
          <w:sz w:val="18"/>
          <w:szCs w:val="18"/>
          <w:color w:val="auto"/>
        </w:rPr>
        <w:t>The Managed Portfolios, set forth in Item 4 above, have the right to receive all dividends from, and the proceeds from the sale of, the securities held in their respective accounts.</w:t>
      </w:r>
    </w:p>
    <w:p>
      <w:pPr>
        <w:spacing w:after="0" w:line="209"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The interest of any one such person does not exceed 5% of the class of securities.</w:t>
      </w:r>
    </w:p>
    <w:p>
      <w:pPr>
        <w:spacing w:after="0" w:line="208" w:lineRule="exact"/>
        <w:rPr>
          <w:sz w:val="20"/>
          <w:szCs w:val="20"/>
          <w:color w:val="auto"/>
        </w:rPr>
      </w:pPr>
    </w:p>
    <w:p>
      <w:pPr>
        <w:ind w:right="2839"/>
        <w:spacing w:after="0" w:line="290" w:lineRule="auto"/>
        <w:rPr>
          <w:sz w:val="20"/>
          <w:szCs w:val="20"/>
          <w:color w:val="auto"/>
        </w:rPr>
      </w:pPr>
      <w:r>
        <w:rPr>
          <w:rFonts w:ascii="Courier New" w:cs="Courier New" w:eastAsia="Courier New" w:hAnsi="Courier New"/>
          <w:sz w:val="16"/>
          <w:szCs w:val="16"/>
          <w:color w:val="auto"/>
        </w:rPr>
        <w:t>These shares were acquired in the ordinary course of business, and not with the purpose of changing or influencing control of the Issuer.</w:t>
      </w:r>
    </w:p>
    <w:p>
      <w:pPr>
        <w:spacing w:after="0" w:line="170" w:lineRule="exact"/>
        <w:rPr>
          <w:sz w:val="20"/>
          <w:szCs w:val="20"/>
          <w:color w:val="auto"/>
        </w:rPr>
      </w:pPr>
    </w:p>
    <w:p>
      <w:pPr>
        <w:ind w:right="2939"/>
        <w:spacing w:after="0" w:line="290"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70" w:lineRule="exact"/>
        <w:rPr>
          <w:sz w:val="20"/>
          <w:szCs w:val="20"/>
          <w:color w:val="auto"/>
        </w:rPr>
      </w:pPr>
    </w:p>
    <w:p>
      <w:pPr>
        <w:ind w:right="2739"/>
        <w:spacing w:after="0" w:line="237" w:lineRule="auto"/>
        <w:rPr>
          <w:sz w:val="20"/>
          <w:szCs w:val="20"/>
          <w:color w:val="auto"/>
        </w:rPr>
      </w:pPr>
      <w:r>
        <w:rPr>
          <w:rFonts w:ascii="Courier New" w:cs="Courier New" w:eastAsia="Courier New" w:hAnsi="Courier New"/>
          <w:sz w:val="18"/>
          <w:szCs w:val="18"/>
          <w:color w:val="auto"/>
        </w:rPr>
        <w:t>INTECH is a direct subsidiary of Janus Capital (Janus Capital has a direct 96.74% ownership stake) and is a registered investment adviser furnishing investment advice to various investment companies registered under Section 8 of the Investment Company Act of 1940 and to individual and institutional clients.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Not applicable.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w:t>
      </w:r>
    </w:p>
    <w:p>
      <w:pPr>
        <w:spacing w:after="0" w:line="207" w:lineRule="exact"/>
        <w:rPr>
          <w:sz w:val="20"/>
          <w:szCs w:val="20"/>
          <w:color w:val="auto"/>
        </w:rPr>
      </w:pPr>
    </w:p>
    <w:p>
      <w:pPr>
        <w:ind w:right="2619"/>
        <w:spacing w:after="0" w:line="273"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w:t>
      </w:r>
    </w:p>
    <w:p>
      <w:pPr>
        <w:sectPr>
          <w:pgSz w:w="11900" w:h="16838" w:orient="portrait"/>
          <w:cols w:equalWidth="0" w:num="1">
            <w:col w:w="10219"/>
          </w:cols>
          <w:pgMar w:left="240" w:top="339" w:right="1440" w:bottom="0" w:gutter="0" w:footer="0" w:header="0"/>
        </w:sectPr>
      </w:pPr>
    </w:p>
    <w:bookmarkStart w:id="2" w:name="page3"/>
    <w:bookmarkEnd w:id="2"/>
    <w:p>
      <w:pPr>
        <w:spacing w:after="0"/>
        <w:rPr>
          <w:sz w:val="20"/>
          <w:szCs w:val="20"/>
          <w:color w:val="auto"/>
        </w:rPr>
      </w:pPr>
      <w:r>
        <w:rPr>
          <w:rFonts w:ascii="Courier New" w:cs="Courier New" w:eastAsia="Courier New" w:hAnsi="Courier New"/>
          <w:sz w:val="18"/>
          <w:szCs w:val="18"/>
          <w:color w:val="auto"/>
        </w:rPr>
        <w:t>in any transaction having such purposes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SIGNATURES</w:t>
      </w:r>
    </w:p>
    <w:p>
      <w:pPr>
        <w:spacing w:after="0" w:line="207" w:lineRule="exact"/>
        <w:rPr>
          <w:sz w:val="20"/>
          <w:szCs w:val="20"/>
          <w:color w:val="auto"/>
        </w:rPr>
      </w:pPr>
    </w:p>
    <w:p>
      <w:pPr>
        <w:ind w:right="283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JANUS CAPITAL MANAGEMENT LLC</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By /s/ David R. Kowalski 2/14/2014 David R. Kowalski, Date Senior Vice President and CCO</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INTECH INVESTMENT MANAGEMENT LLC</w:t>
      </w:r>
    </w:p>
    <w:p>
      <w:pPr>
        <w:spacing w:after="0" w:line="207" w:lineRule="exact"/>
        <w:rPr>
          <w:sz w:val="20"/>
          <w:szCs w:val="20"/>
          <w:color w:val="auto"/>
        </w:rPr>
      </w:pPr>
    </w:p>
    <w:p>
      <w:pPr>
        <w:ind w:right="4619"/>
        <w:spacing w:after="0" w:line="235" w:lineRule="auto"/>
        <w:rPr>
          <w:sz w:val="20"/>
          <w:szCs w:val="20"/>
          <w:color w:val="auto"/>
        </w:rPr>
      </w:pPr>
      <w:r>
        <w:rPr>
          <w:rFonts w:ascii="Courier New" w:cs="Courier New" w:eastAsia="Courier New" w:hAnsi="Courier New"/>
          <w:sz w:val="18"/>
          <w:szCs w:val="18"/>
          <w:color w:val="auto"/>
        </w:rPr>
        <w:t>By /s/ David R. Kowalski 2/14/2014 David R. Kowalski, Date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1"/>
    </w:lvl>
  </w:abstractNum>
  <w:abstractNum w:abstractNumId="2">
    <w:nsid w:val="625558EC"/>
    <w:multiLevelType w:val="hybridMultilevel"/>
    <w:lvl w:ilvl="0">
      <w:lvlJc w:val="left"/>
      <w:lvlText w:val="%1."/>
      <w:numFmt w:val="decimal"/>
      <w:start w:val="5"/>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2019-12-06T20:05:29Z</dcterms:created>
  <dcterms:modified xsi:type="dcterms:W3CDTF">2019-12-06T20:05:29Z</dcterms:modified>
</cp:coreProperties>
</file>