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2560d6k.htm"/>
      <w:bookmarkStart w:id="1" w:name="ksd6256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2025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6, 2025 Amdocs Limited (Amdocs) issued a press release announcing financial results for the quarter ended June 30, 2025.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
        <w:gridCol w:w="611"/>
        <w:gridCol w:w="8879"/>
      </w:tblGrid>
      <w:tr>
        <w:trPr/>
        <w:tc>
          <w:tcPr>
            <w:tcW w:w="715"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879"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611" w:type="dxa"/>
            <w:tcBorders/>
            <w:vAlign w:val="bottom"/>
          </w:tcPr>
          <w:p>
            <w:pPr>
              <w:pStyle w:val="TableContents"/>
              <w:bidi w:val="0"/>
              <w:spacing w:before="0" w:after="283"/>
              <w:jc w:val="left"/>
              <w:rPr/>
            </w:pPr>
            <w:r>
              <w:rPr/>
              <w:t>  </w:t>
            </w:r>
          </w:p>
        </w:tc>
        <w:tc>
          <w:tcPr>
            <w:tcW w:w="8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99.1</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hyperlink w:anchor="d62560dex991.htm">
              <w:r>
                <w:rPr>
                  <w:rStyle w:val="InternetLink"/>
                </w:rPr>
                <w:t xml:space="preserve">Amdocs Limited Press Release Announcing Q3 Earnings, dated August 6, 2025 </w:t>
              </w:r>
            </w:hyperlink>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99.2</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hyperlink w:anchor="d62560dex992.htm">
              <w:r>
                <w:rPr>
                  <w:rStyle w:val="InternetLink"/>
                </w:rPr>
                <w:t xml:space="preserve">Fiscal Q3 2025 Earnings Presentation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Matthew E. Smith</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Matthew E. Smith</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6, 2025 </w:t>
      </w:r>
    </w:p>
    <w:p>
      <w:pPr>
        <w:pStyle w:val="TextBody"/>
        <w:bidi w:val="0"/>
        <w:spacing w:before="0" w:after="0"/>
        <w:jc w:val="right"/>
        <w:rPr>
          <w:rFonts w:ascii="Times New Roman" w:hAnsi="Times New Roman"/>
          <w:b/>
          <w:sz w:val="20"/>
        </w:rPr>
      </w:pPr>
      <w:bookmarkStart w:id="2" w:name="d62560dex991.htm"/>
      <w:bookmarkStart w:id="3" w:name="ksd6256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9"/>
        <w:gridCol w:w="120"/>
        <w:gridCol w:w="2395"/>
        <w:gridCol w:w="120"/>
        <w:gridCol w:w="3491"/>
      </w:tblGrid>
      <w:tr>
        <w:trPr/>
        <w:tc>
          <w:tcPr>
            <w:tcW w:w="40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283"/>
              <w:jc w:val="left"/>
              <w:rPr/>
            </w:pPr>
            <w:r>
              <w:rPr/>
              <w:drawing>
                <wp:inline distT="0" distB="0" distL="0" distR="0">
                  <wp:extent cx="2428875" cy="1809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1809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91" w:type="dxa"/>
            <w:tcBorders/>
            <w:vAlign w:val="bottom"/>
          </w:tcPr>
          <w:p>
            <w:pPr>
              <w:pStyle w:val="TableContents"/>
              <w:bidi w:val="0"/>
              <w:spacing w:before="0" w:after="283"/>
              <w:jc w:val="left"/>
              <w:rPr/>
            </w:pPr>
            <w:r>
              <w:rPr/>
              <w:drawing>
                <wp:inline distT="0" distB="0" distL="0" distR="0">
                  <wp:extent cx="1943100" cy="426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43100" cy="426720"/>
                          </a:xfrm>
                          <a:prstGeom prst="rect">
                            <a:avLst/>
                          </a:prstGeom>
                        </pic:spPr>
                      </pic:pic>
                    </a:graphicData>
                  </a:graphic>
                </wp:inline>
              </w:drawing>
            </w:r>
            <w:r>
              <w:rPr/>
              <w:t xml:space="preserve"> </w:t>
            </w:r>
          </w:p>
        </w:tc>
      </w:tr>
      <w:tr>
        <w:trPr/>
        <w:tc>
          <w:tcPr>
            <w:tcW w:w="10205" w:type="dxa"/>
            <w:gridSpan w:val="5"/>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pPr>
            <w:r>
              <w:rPr/>
              <w:t> </w:t>
            </w:r>
          </w:p>
        </w:tc>
      </w:tr>
    </w:tbl>
    <w:p>
      <w:pPr>
        <w:pStyle w:val="TextBody"/>
        <w:bidi w:val="0"/>
        <w:spacing w:before="0" w:after="0"/>
        <w:jc w:val="center"/>
        <w:rPr>
          <w:rFonts w:ascii="Times New Roman" w:hAnsi="Times New Roman"/>
          <w:sz w:val="20"/>
        </w:rPr>
      </w:pPr>
      <w:r>
        <w:rPr>
          <w:rFonts w:ascii="Times New Roman" w:hAnsi="Times New Roman"/>
          <w:b/>
          <w:i/>
          <w:sz w:val="20"/>
        </w:rPr>
        <w:t>Amdocs Limited Reports Third Quarter Fiscal 2025 Results</w:t>
      </w:r>
      <w:r>
        <w:rPr>
          <w:rFonts w:ascii="Times New Roman" w:hAnsi="Times New Roman"/>
          <w:sz w:val="20"/>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Revenue of $1.14 Billion, down 8.4% YoY as Reported and up 3.5% YoY in Pro Forma(1) </w:t>
      </w:r>
    </w:p>
    <w:p>
      <w:pPr>
        <w:pStyle w:val="TextBody"/>
        <w:bidi w:val="0"/>
        <w:spacing w:before="0" w:after="0"/>
        <w:jc w:val="center"/>
        <w:rPr>
          <w:rFonts w:ascii="Times New Roman" w:hAnsi="Times New Roman"/>
          <w:i/>
          <w:sz w:val="20"/>
        </w:rPr>
      </w:pPr>
      <w:r>
        <w:rPr>
          <w:rFonts w:ascii="Times New Roman" w:hAnsi="Times New Roman"/>
          <w:i/>
          <w:sz w:val="20"/>
        </w:rPr>
        <w:t xml:space="preserve">Constant Currency(2) </w:t>
      </w:r>
    </w:p>
    <w:p>
      <w:pPr>
        <w:pStyle w:val="TextBody"/>
        <w:bidi w:val="0"/>
        <w:spacing w:before="0" w:after="0"/>
        <w:jc w:val="center"/>
        <w:rPr>
          <w:rFonts w:ascii="Times New Roman" w:hAnsi="Times New Roman"/>
          <w:i/>
          <w:sz w:val="20"/>
        </w:rPr>
      </w:pPr>
      <w:r>
        <w:rPr>
          <w:rFonts w:ascii="Times New Roman" w:hAnsi="Times New Roman"/>
          <w:i/>
          <w:sz w:val="20"/>
        </w:rPr>
        <w:t xml:space="preserve">12-Month Backlog of $4.15 Billion, up 3.0% YoY on a Pro Forma(1) Basis </w:t>
      </w:r>
    </w:p>
    <w:p>
      <w:pPr>
        <w:pStyle w:val="TextBody"/>
        <w:bidi w:val="0"/>
        <w:spacing w:before="120" w:after="0"/>
        <w:jc w:val="center"/>
        <w:rPr>
          <w:rFonts w:ascii="Times New Roman" w:hAnsi="Times New Roman"/>
          <w:i/>
          <w:sz w:val="20"/>
        </w:rPr>
      </w:pPr>
      <w:r>
        <w:rPr>
          <w:rFonts w:ascii="Times New Roman" w:hAnsi="Times New Roman"/>
          <w:i/>
          <w:sz w:val="20"/>
        </w:rPr>
        <w:t xml:space="preserve">Expects Fiscal 2025 Revenue Outlook of (10.0)%-(9.0)% YoY as Reported and </w:t>
      </w:r>
    </w:p>
    <w:p>
      <w:pPr>
        <w:pStyle w:val="TextBody"/>
        <w:bidi w:val="0"/>
        <w:spacing w:before="0" w:after="0"/>
        <w:jc w:val="center"/>
        <w:rPr>
          <w:rFonts w:ascii="Times New Roman" w:hAnsi="Times New Roman"/>
          <w:i/>
          <w:sz w:val="20"/>
        </w:rPr>
      </w:pPr>
      <w:r>
        <w:rPr>
          <w:rFonts w:ascii="Times New Roman" w:hAnsi="Times New Roman"/>
          <w:i/>
          <w:sz w:val="20"/>
        </w:rPr>
        <w:t xml:space="preserve">2.4%-3.4% YoY in Pro Forma(1) Constant Currency(2) </w:t>
      </w:r>
    </w:p>
    <w:p>
      <w:pPr>
        <w:pStyle w:val="TextBody"/>
        <w:bidi w:val="0"/>
        <w:spacing w:before="0" w:after="0"/>
        <w:jc w:val="center"/>
        <w:rPr>
          <w:rFonts w:ascii="Times New Roman" w:hAnsi="Times New Roman"/>
          <w:i/>
          <w:sz w:val="20"/>
        </w:rPr>
      </w:pPr>
      <w:r>
        <w:rPr>
          <w:rFonts w:ascii="Times New Roman" w:hAnsi="Times New Roman"/>
          <w:i/>
          <w:sz w:val="20"/>
        </w:rPr>
        <w:t xml:space="preserve">Reiterates Fiscal 2025 Target for Double-Digit Total Shareholder Returns(3) </w:t>
      </w:r>
    </w:p>
    <w:p>
      <w:pPr>
        <w:pStyle w:val="TextBody"/>
        <w:bidi w:val="0"/>
        <w:spacing w:before="120" w:after="0"/>
        <w:jc w:val="left"/>
        <w:rPr>
          <w:rFonts w:ascii="Times New Roman" w:hAnsi="Times New Roman"/>
          <w:b/>
          <w:sz w:val="20"/>
        </w:rPr>
      </w:pPr>
      <w:r>
        <w:rPr>
          <w:rFonts w:ascii="Times New Roman" w:hAnsi="Times New Roman"/>
          <w:b/>
          <w:sz w:val="20"/>
        </w:rPr>
        <w:t xml:space="preserve">Third Quarter Fiscal 2025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$1,144 million, down 8.4% as reported due to the phase out of certain business activities, and up 3.5% in pro forma(1) constant currency(2); revenue was above the midpoint of the $1,110-$1,150 million guidance range, even after adjusting for a positive impact from foreign currency movements of approximately $9 million compared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$189 million in Europe, up 7.7% as compared to last years third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managed services revenue of $771 million, equivalent to approximately 67% of total revenue and up 4.1% as compared to last years third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$1.39, above the guidance range of $1.30-$1.38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$1.72, above the midpoint of the guidance range of $1.68-$1.74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$202 million; GAAP operating margin of 17.7%, up 360 basis points as compared to last years third fiscal quarter, reflecting the phase out of certain non-core business activities, restructuring charges recorded in last years third quarter, and a continued focus on operational excellence; GAAP operating margin was up 20 basis points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comparison purposes, pro forma adjusts third quarter fiscal year 2024 revenue by approximately $150 million and the full fiscal 2024 revenue by approximately $600 million to reflect the end of certain low margin, non-core business activities; these activities substantially already ceased in the first quarter fiscal 2025 and are not included in the full year fiscal 2025 revenue outlook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total shareholder return assumes midpoint of fiscal year 2025 non-GAAP EPS growth outlook, plus dividend yield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$245 million; non-GAAP operating margin of 21.4%, up 280 basis points as compared to last years third fiscal quarter, reflecting the phase out of certain non-core business activities and a continued focus on operational excellence, and up 10 basis points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$212 million, comprised of cash flow from operations of $241 million, less $29 million in net capital expenditures(4), including $19 million of restructuring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$135 million of ordinary shares during the third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of $4.15 billion, up 3.0%(1) as compared to last years third fiscal quarter adjusting for the phase out of certain business activities; twelve-month backlog was down by approximately $20 million sequentially </w:t>
            </w:r>
          </w:p>
        </w:tc>
      </w:tr>
    </w:tbl>
    <w:p>
      <w:pPr>
        <w:pStyle w:val="TextBody"/>
        <w:bidi w:val="0"/>
        <w:spacing w:before="240" w:after="0"/>
        <w:jc w:val="left"/>
        <w:rPr>
          <w:rFonts w:ascii="Times New Roman" w:hAnsi="Times New Roman"/>
          <w:sz w:val="20"/>
        </w:rPr>
      </w:pPr>
      <w:r>
        <w:rPr>
          <w:rFonts w:ascii="Times New Roman" w:hAnsi="Times New Roman"/>
          <w:b/>
          <w:sz w:val="20"/>
        </w:rPr>
        <w:t>JERSEY CITY, NJ  August</w:t>
      </w:r>
      <w:r>
        <w:rPr>
          <w:rFonts w:ascii="Times New Roman" w:hAnsi="Times New Roman"/>
          <w:sz w:val="20"/>
        </w:rPr>
        <w:t> </w:t>
      </w:r>
      <w:r>
        <w:rPr>
          <w:rFonts w:ascii="Times New Roman" w:hAnsi="Times New Roman"/>
          <w:b/>
          <w:sz w:val="20"/>
        </w:rPr>
        <w:t>6, 2025</w:t>
      </w:r>
      <w:r>
        <w:rPr>
          <w:rFonts w:ascii="Times New Roman" w:hAnsi="Times New Roman"/>
          <w:sz w:val="20"/>
        </w:rPr>
        <w:t xml:space="preserve">  Amdocs Limited (NASDAQ: DOX), a leading provider of software and services to communications and media companies, today reported operating results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Amdocs achieved solid financial results and important business milestones in Q3 as we continued to support the strategic business imperatives of our customers with our innovative cloud, digital and AI-based solutions. Revenue of $1.14 billion exceeded the midpoint of our guidance, led by sequential growth in all regions and a record quarter in Europe where we continue to strengthen our customer partnerships. In the UK, BT has recently awarded Amdocs a digital transformation project, starting date to be finalized, that will enhance their consumer customer experience as part of a multi-year managed services engagement. Amdocs has also been selected by Elisa in Finland for a digital B2B modernization on Google Cloud. Additionally, we are encouraged to have won several strategic GenAI-related deals, providing Amdocs with a foundation on which to showcase our value and to gradually scale in this emerging domain. These deals include a leading service provider in the US which has signed an expanded multi-year agreement to transform its billing, commerce, and order management through GenAI powered solutions, said Shuky Sheffer, president and chief executive officer of Amdocs Management Limited.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our unique delivery capabilities, we achieved a near record number of project milestones this quarter, including a successful cloud migration for Bell Canada and the go-live of a B2B platform deployment for Optus in Australia. We also achieved another record performance in managed services, which contributed $771 million, or roughly 67%, to total revenue in Q3. Demonstrating our proven ability to deliver consistent customer value, renewal rates in managed services remain high, evidenced by the expanded multi-year agreement we have signed, including modernization, with a leading US service provider, and the recent award with BT in the UK, said Tamar Rapaport-Dagim, chief financial officer &amp; chief operating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Sheffer concluded, Entering Q4, we are encouraged by a rich pipeline of opportunities across our large, serviceable addressable market. Our 12-month backlog is healthy, and we expect to meet our double-digit growth target in cloud this year. That said, we are closely watching for any impacts of the uncertain macroeconomic environment on us and our customers spending behavior. Overall, for the full fiscal year 2025, we now expect slightly better revenue growth of roughly 2.9% in pro forma constant currency, assuming the midpoint of our improved range. We are also on track to deliver double-digit expected total shareholder returns(3) for the fifth consecutive year, supported by enhanced profitability and robust earnings to cash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period)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15"/>
        <w:gridCol w:w="338"/>
        <w:gridCol w:w="140"/>
        <w:gridCol w:w="563"/>
        <w:gridCol w:w="358"/>
        <w:gridCol w:w="243"/>
        <w:gridCol w:w="140"/>
        <w:gridCol w:w="1494"/>
        <w:gridCol w:w="64"/>
      </w:tblGrid>
      <w:tr>
        <w:trPr/>
        <w:tc>
          <w:tcPr>
            <w:tcW w:w="4415"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bottom"/>
          </w:tcPr>
          <w:p>
            <w:pPr>
              <w:pStyle w:val="TableContents"/>
              <w:bidi w:val="0"/>
              <w:spacing w:before="0" w:after="283"/>
              <w:jc w:val="center"/>
              <w:rPr/>
            </w:pPr>
            <w:r>
              <w:rPr>
                <w:b/>
              </w:rPr>
              <w:t>In millions</w:t>
            </w:r>
            <w:r>
              <w:rPr/>
              <w:br/>
            </w:r>
            <w:r>
              <w:rPr>
                <w:b/>
              </w:rPr>
              <w:t>Three months ended</w:t>
            </w:r>
            <w:r>
              <w:rPr/>
              <w:br/>
            </w:r>
            <w:r>
              <w:rPr>
                <w:b/>
              </w:rPr>
              <w:t>June 30, 2025</w:t>
            </w:r>
          </w:p>
        </w:tc>
        <w:tc>
          <w:tcPr>
            <w:tcW w:w="64" w:type="dxa"/>
            <w:tcBorders/>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3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64"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1,144</w:t>
            </w:r>
          </w:p>
        </w:tc>
        <w:tc>
          <w:tcPr>
            <w:tcW w:w="3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1,110 - $1,150</w:t>
            </w:r>
          </w:p>
        </w:tc>
        <w:tc>
          <w:tcPr>
            <w:tcW w:w="64" w:type="dxa"/>
            <w:tcBorders/>
            <w:shd w:fill="CCEEFF" w:val="clear"/>
            <w:vAlign w:val="bottom"/>
          </w:tcPr>
          <w:p>
            <w:pPr>
              <w:pStyle w:val="TableContents"/>
              <w:bidi w:val="0"/>
              <w:spacing w:before="0" w:after="283"/>
              <w:jc w:val="left"/>
              <w:rPr/>
            </w:pPr>
            <w:r>
              <w:rPr/>
              <w:t> </w:t>
            </w:r>
          </w:p>
        </w:tc>
      </w:tr>
      <w:tr>
        <w:trPr/>
        <w:tc>
          <w:tcPr>
            <w:tcW w:w="4415"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(8.4</w:t>
            </w:r>
          </w:p>
        </w:tc>
        <w:tc>
          <w:tcPr>
            <w:tcW w:w="3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9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Pro-forma (1) constant currency (2)</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3.5</w:t>
            </w:r>
          </w:p>
        </w:tc>
        <w:tc>
          <w:tcPr>
            <w:tcW w:w="3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9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of 2025 was above the midpoint of Amdocs guidance, even after adjusting for a positive impact from foreign currency movements of approximately $9 million relative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includes a positive impact from foreign currency movements of approximately $6 million relative to the third quarter of fiscal 2024 and a positive impact from foreign currency movements of approximately $13 million relative to the second quarter of fiscal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34"/>
        <w:gridCol w:w="214"/>
        <w:gridCol w:w="247"/>
        <w:gridCol w:w="1425"/>
        <w:gridCol w:w="105"/>
        <w:gridCol w:w="291"/>
        <w:gridCol w:w="247"/>
        <w:gridCol w:w="1428"/>
        <w:gridCol w:w="64"/>
      </w:tblGrid>
      <w:tr>
        <w:trPr/>
        <w:tc>
          <w:tcPr>
            <w:tcW w:w="373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pPr>
            <w:r>
              <w:rPr>
                <w:b/>
              </w:rPr>
              <w:t>In thousands, except per share data</w:t>
            </w:r>
            <w:r>
              <w:rPr/>
              <w:br/>
            </w:r>
            <w:r>
              <w:rPr>
                <w:b/>
              </w:rPr>
              <w:t>Three months ended</w:t>
            </w:r>
            <w:r>
              <w:rPr/>
              <w:br/>
            </w:r>
            <w:r>
              <w:rPr>
                <w:b/>
              </w:rPr>
              <w:t>June 30,</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154,802</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140,998</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154,001</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140,289</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1.39</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Non-GAAP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192,170</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187,807</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191,369</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187,098</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1.72</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1.62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August 6, 2025, the Board approved the Companys next quarterly cash dividend payment of $0.527 per share, and set September 30, 2025 as the record date for determining the shareholders entitled to receive the dividend, which will be payable on October 31, 2025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$135 million of ordinary shares during the third quarter of fiscal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$4.15 billion at the end of the third quarter of fiscal 2025. On a pro forma(1) basis, adjusting the comparable period for the phase out of certain business activities, twelve-month backlog was up approximately 3.0% as compared to last years third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Fiscal 2025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56"/>
        <w:gridCol w:w="327"/>
        <w:gridCol w:w="181"/>
        <w:gridCol w:w="1812"/>
        <w:gridCol w:w="63"/>
      </w:tblGrid>
      <w:tr>
        <w:trPr/>
        <w:tc>
          <w:tcPr>
            <w:tcW w:w="4556"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56"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993" w:type="dxa"/>
            <w:gridSpan w:val="2"/>
            <w:tcBorders/>
            <w:vAlign w:val="bottom"/>
          </w:tcPr>
          <w:p>
            <w:pPr>
              <w:pStyle w:val="TableContents"/>
              <w:bidi w:val="0"/>
              <w:spacing w:before="0" w:after="283"/>
              <w:jc w:val="center"/>
              <w:rPr>
                <w:b/>
              </w:rPr>
            </w:pPr>
            <w:r>
              <w:rPr>
                <w:b/>
              </w:rPr>
              <w:t>In millions, except</w:t>
              <w:br/>
              <w:t>per share data</w:t>
            </w:r>
          </w:p>
        </w:tc>
        <w:tc>
          <w:tcPr>
            <w:tcW w:w="63" w:type="dxa"/>
            <w:tcBorders/>
            <w:vAlign w:val="bottom"/>
          </w:tcPr>
          <w:p>
            <w:pPr>
              <w:pStyle w:val="TableContents"/>
              <w:bidi w:val="0"/>
              <w:spacing w:before="0" w:after="283"/>
              <w:jc w:val="left"/>
              <w:rPr/>
            </w:pPr>
            <w:r>
              <w:rPr/>
              <w:t> </w:t>
            </w:r>
          </w:p>
        </w:tc>
      </w:tr>
      <w:tr>
        <w:trPr/>
        <w:tc>
          <w:tcPr>
            <w:tcW w:w="4556"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Q4 - 2025</w:t>
            </w:r>
          </w:p>
        </w:tc>
        <w:tc>
          <w:tcPr>
            <w:tcW w:w="63" w:type="dxa"/>
            <w:tcBorders/>
            <w:vAlign w:val="bottom"/>
          </w:tcPr>
          <w:p>
            <w:pPr>
              <w:pStyle w:val="TableContents"/>
              <w:bidi w:val="0"/>
              <w:spacing w:before="0" w:after="283"/>
              <w:jc w:val="left"/>
              <w:rPr/>
            </w:pPr>
            <w:r>
              <w:rPr/>
              <w:t> </w:t>
            </w:r>
          </w:p>
        </w:tc>
      </w:tr>
      <w:tr>
        <w:trPr/>
        <w:tc>
          <w:tcPr>
            <w:tcW w:w="4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2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812" w:type="dxa"/>
            <w:tcBorders/>
            <w:shd w:fill="CCEEFF" w:val="clear"/>
            <w:vAlign w:val="bottom"/>
          </w:tcPr>
          <w:p>
            <w:pPr>
              <w:pStyle w:val="TableContents"/>
              <w:bidi w:val="0"/>
              <w:spacing w:before="0" w:after="283"/>
              <w:jc w:val="right"/>
              <w:rPr/>
            </w:pPr>
            <w:r>
              <w:rPr/>
              <w:t>1,125-$1,165</w:t>
            </w:r>
          </w:p>
        </w:tc>
        <w:tc>
          <w:tcPr>
            <w:tcW w:w="63" w:type="dxa"/>
            <w:tcBorders/>
            <w:shd w:fill="CCEEFF" w:val="clear"/>
            <w:vAlign w:val="bottom"/>
          </w:tcPr>
          <w:p>
            <w:pPr>
              <w:pStyle w:val="TableContents"/>
              <w:bidi w:val="0"/>
              <w:spacing w:before="0" w:after="283"/>
              <w:jc w:val="left"/>
              <w:rPr/>
            </w:pPr>
            <w:r>
              <w:rPr/>
              <w:t> </w:t>
            </w:r>
          </w:p>
        </w:tc>
      </w:tr>
      <w:tr>
        <w:trPr/>
        <w:tc>
          <w:tcPr>
            <w:tcW w:w="4556"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32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812" w:type="dxa"/>
            <w:tcBorders/>
            <w:vAlign w:val="bottom"/>
          </w:tcPr>
          <w:p>
            <w:pPr>
              <w:pStyle w:val="TableContents"/>
              <w:bidi w:val="0"/>
              <w:spacing w:before="0" w:after="283"/>
              <w:jc w:val="right"/>
              <w:rPr/>
            </w:pPr>
            <w:r>
              <w:rPr/>
              <w:t>1.41-$1.49</w:t>
            </w:r>
          </w:p>
        </w:tc>
        <w:tc>
          <w:tcPr>
            <w:tcW w:w="63" w:type="dxa"/>
            <w:tcBorders/>
            <w:vAlign w:val="bottom"/>
          </w:tcPr>
          <w:p>
            <w:pPr>
              <w:pStyle w:val="TableContents"/>
              <w:bidi w:val="0"/>
              <w:spacing w:before="0" w:after="283"/>
              <w:jc w:val="left"/>
              <w:rPr/>
            </w:pPr>
            <w:r>
              <w:rPr/>
              <w:t> </w:t>
            </w:r>
          </w:p>
        </w:tc>
      </w:tr>
      <w:tr>
        <w:trPr/>
        <w:tc>
          <w:tcPr>
            <w:tcW w:w="45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32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812" w:type="dxa"/>
            <w:tcBorders/>
            <w:shd w:fill="CCEEFF" w:val="clear"/>
            <w:vAlign w:val="bottom"/>
          </w:tcPr>
          <w:p>
            <w:pPr>
              <w:pStyle w:val="TableContents"/>
              <w:bidi w:val="0"/>
              <w:spacing w:before="0" w:after="283"/>
              <w:jc w:val="right"/>
              <w:rPr/>
            </w:pPr>
            <w:r>
              <w:rPr/>
              <w:t>1.79-$1.85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revenue guidance assumes a positive $4 million sequential impact from foreign currency fluctuations as compared to the third quarter of fiscal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non-GAAP diluted EPS guidance excludes primarily equity-based compensation expense of approximately $0.21-$0.23 per share, amortization of purchased intangible assets and other acquisition-related costs of approximately $0.12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Full Year Fiscal 2025 Outlook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7"/>
        <w:gridCol w:w="170"/>
        <w:gridCol w:w="1840"/>
        <w:gridCol w:w="170"/>
        <w:gridCol w:w="1918"/>
      </w:tblGrid>
      <w:tr>
        <w:trPr/>
        <w:tc>
          <w:tcPr>
            <w:tcW w:w="365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365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928"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2025 -Year-over -Year growth</w:t>
            </w:r>
          </w:p>
        </w:tc>
      </w:tr>
      <w:tr>
        <w:trPr/>
        <w:tc>
          <w:tcPr>
            <w:tcW w:w="365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840"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170" w:type="dxa"/>
            <w:tcBorders/>
            <w:vAlign w:val="bottom"/>
          </w:tcPr>
          <w:p>
            <w:pPr>
              <w:pStyle w:val="TableContents"/>
              <w:bidi w:val="0"/>
              <w:spacing w:before="0" w:after="283"/>
              <w:jc w:val="left"/>
              <w:rPr/>
            </w:pPr>
            <w:r>
              <w:rPr/>
              <w:t>  </w:t>
            </w:r>
          </w:p>
        </w:tc>
        <w:tc>
          <w:tcPr>
            <w:tcW w:w="1918"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170" w:type="dxa"/>
            <w:tcBorders/>
            <w:shd w:fill="CCEEFF" w:val="clear"/>
            <w:vAlign w:val="bottom"/>
          </w:tcPr>
          <w:p>
            <w:pPr>
              <w:pStyle w:val="TableContents"/>
              <w:bidi w:val="0"/>
              <w:spacing w:before="0" w:after="283"/>
              <w:jc w:val="left"/>
              <w:rPr/>
            </w:pPr>
            <w:r>
              <w:rPr/>
              <w:t>  </w:t>
            </w:r>
          </w:p>
        </w:tc>
        <w:tc>
          <w:tcPr>
            <w:tcW w:w="1840" w:type="dxa"/>
            <w:tcBorders/>
            <w:shd w:fill="CCEEFF" w:val="clear"/>
            <w:vAlign w:val="bottom"/>
          </w:tcPr>
          <w:p>
            <w:pPr>
              <w:pStyle w:val="TableContents"/>
              <w:bidi w:val="0"/>
              <w:spacing w:before="0" w:after="283"/>
              <w:jc w:val="center"/>
              <w:rPr/>
            </w:pPr>
            <w:r>
              <w:rPr/>
              <w:t>(10.0)%-(9.0)%</w:t>
            </w:r>
          </w:p>
        </w:tc>
        <w:tc>
          <w:tcPr>
            <w:tcW w:w="170" w:type="dxa"/>
            <w:tcBorders/>
            <w:shd w:fill="CCEEFF" w:val="clear"/>
            <w:vAlign w:val="bottom"/>
          </w:tcPr>
          <w:p>
            <w:pPr>
              <w:pStyle w:val="TableContents"/>
              <w:bidi w:val="0"/>
              <w:spacing w:before="0" w:after="283"/>
              <w:jc w:val="left"/>
              <w:rPr/>
            </w:pPr>
            <w:r>
              <w:rPr/>
              <w:t>  </w:t>
            </w:r>
          </w:p>
        </w:tc>
        <w:tc>
          <w:tcPr>
            <w:tcW w:w="1918" w:type="dxa"/>
            <w:tcBorders/>
            <w:shd w:fill="CCEEFF" w:val="clear"/>
            <w:vAlign w:val="bottom"/>
          </w:tcPr>
          <w:p>
            <w:pPr>
              <w:pStyle w:val="TableContents"/>
              <w:bidi w:val="0"/>
              <w:spacing w:before="0" w:after="283"/>
              <w:jc w:val="center"/>
              <w:rPr/>
            </w:pPr>
            <w:r>
              <w:rPr/>
              <w:t>(10.9)%-(9.1)%</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Pro-forma (1) constant currency (2)</w:t>
            </w:r>
          </w:p>
        </w:tc>
        <w:tc>
          <w:tcPr>
            <w:tcW w:w="170" w:type="dxa"/>
            <w:tcBorders/>
            <w:vAlign w:val="bottom"/>
          </w:tcPr>
          <w:p>
            <w:pPr>
              <w:pStyle w:val="TableContents"/>
              <w:bidi w:val="0"/>
              <w:spacing w:before="0" w:after="283"/>
              <w:jc w:val="left"/>
              <w:rPr/>
            </w:pPr>
            <w:r>
              <w:rPr/>
              <w:t>  </w:t>
            </w:r>
          </w:p>
        </w:tc>
        <w:tc>
          <w:tcPr>
            <w:tcW w:w="1840" w:type="dxa"/>
            <w:tcBorders/>
            <w:vAlign w:val="bottom"/>
          </w:tcPr>
          <w:p>
            <w:pPr>
              <w:pStyle w:val="TableContents"/>
              <w:bidi w:val="0"/>
              <w:spacing w:before="0" w:after="283"/>
              <w:jc w:val="center"/>
              <w:rPr/>
            </w:pPr>
            <w:r>
              <w:rPr/>
              <w:t>2.4%-3.4%</w:t>
            </w:r>
          </w:p>
        </w:tc>
        <w:tc>
          <w:tcPr>
            <w:tcW w:w="170" w:type="dxa"/>
            <w:tcBorders/>
            <w:vAlign w:val="bottom"/>
          </w:tcPr>
          <w:p>
            <w:pPr>
              <w:pStyle w:val="TableContents"/>
              <w:bidi w:val="0"/>
              <w:spacing w:before="0" w:after="283"/>
              <w:jc w:val="left"/>
              <w:rPr/>
            </w:pPr>
            <w:r>
              <w:rPr/>
              <w:t>  </w:t>
            </w:r>
          </w:p>
        </w:tc>
        <w:tc>
          <w:tcPr>
            <w:tcW w:w="1918" w:type="dxa"/>
            <w:tcBorders/>
            <w:vAlign w:val="bottom"/>
          </w:tcPr>
          <w:p>
            <w:pPr>
              <w:pStyle w:val="TableContents"/>
              <w:bidi w:val="0"/>
              <w:spacing w:before="0" w:after="283"/>
              <w:jc w:val="center"/>
              <w:rPr/>
            </w:pPr>
            <w:r>
              <w:rPr/>
              <w:t>1.7%-3.7%</w:t>
            </w:r>
          </w:p>
        </w:tc>
      </w:tr>
      <w:tr>
        <w:trPr/>
        <w:tc>
          <w:tcPr>
            <w:tcW w:w="3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170" w:type="dxa"/>
            <w:tcBorders/>
            <w:shd w:fill="CCEEFF" w:val="clear"/>
            <w:vAlign w:val="bottom"/>
          </w:tcPr>
          <w:p>
            <w:pPr>
              <w:pStyle w:val="TableContents"/>
              <w:bidi w:val="0"/>
              <w:spacing w:before="0" w:after="283"/>
              <w:jc w:val="left"/>
              <w:rPr/>
            </w:pPr>
            <w:r>
              <w:rPr/>
              <w:t>  </w:t>
            </w:r>
          </w:p>
        </w:tc>
        <w:tc>
          <w:tcPr>
            <w:tcW w:w="1840" w:type="dxa"/>
            <w:tcBorders/>
            <w:shd w:fill="CCEEFF" w:val="clear"/>
            <w:vAlign w:val="bottom"/>
          </w:tcPr>
          <w:p>
            <w:pPr>
              <w:pStyle w:val="TableContents"/>
              <w:bidi w:val="0"/>
              <w:spacing w:before="0" w:after="283"/>
              <w:jc w:val="center"/>
              <w:rPr/>
            </w:pPr>
            <w:r>
              <w:rPr/>
              <w:t>31.5%-33.5%</w:t>
            </w:r>
          </w:p>
        </w:tc>
        <w:tc>
          <w:tcPr>
            <w:tcW w:w="170" w:type="dxa"/>
            <w:tcBorders/>
            <w:shd w:fill="CCEEFF" w:val="clear"/>
            <w:vAlign w:val="bottom"/>
          </w:tcPr>
          <w:p>
            <w:pPr>
              <w:pStyle w:val="TableContents"/>
              <w:bidi w:val="0"/>
              <w:spacing w:before="0" w:after="283"/>
              <w:jc w:val="left"/>
              <w:rPr/>
            </w:pPr>
            <w:r>
              <w:rPr/>
              <w:t>  </w:t>
            </w:r>
          </w:p>
        </w:tc>
        <w:tc>
          <w:tcPr>
            <w:tcW w:w="1918" w:type="dxa"/>
            <w:tcBorders/>
            <w:shd w:fill="CCEEFF" w:val="clear"/>
            <w:vAlign w:val="bottom"/>
          </w:tcPr>
          <w:p>
            <w:pPr>
              <w:pStyle w:val="TableContents"/>
              <w:bidi w:val="0"/>
              <w:spacing w:before="0" w:after="283"/>
              <w:jc w:val="center"/>
              <w:rPr/>
            </w:pPr>
            <w:r>
              <w:rPr/>
              <w:t>28.0%-35.0%</w:t>
            </w:r>
          </w:p>
        </w:tc>
      </w:tr>
      <w:tr>
        <w:trPr/>
        <w:tc>
          <w:tcPr>
            <w:tcW w:w="3657"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170" w:type="dxa"/>
            <w:tcBorders/>
            <w:vAlign w:val="bottom"/>
          </w:tcPr>
          <w:p>
            <w:pPr>
              <w:pStyle w:val="TableContents"/>
              <w:bidi w:val="0"/>
              <w:spacing w:before="0" w:after="283"/>
              <w:jc w:val="left"/>
              <w:rPr/>
            </w:pPr>
            <w:r>
              <w:rPr/>
              <w:t>  </w:t>
            </w:r>
          </w:p>
        </w:tc>
        <w:tc>
          <w:tcPr>
            <w:tcW w:w="1840" w:type="dxa"/>
            <w:tcBorders/>
            <w:vAlign w:val="bottom"/>
          </w:tcPr>
          <w:p>
            <w:pPr>
              <w:pStyle w:val="TableContents"/>
              <w:bidi w:val="0"/>
              <w:spacing w:before="0" w:after="283"/>
              <w:jc w:val="center"/>
              <w:rPr/>
            </w:pPr>
            <w:r>
              <w:rPr/>
              <w:t>8.0%-9.0%</w:t>
            </w:r>
          </w:p>
        </w:tc>
        <w:tc>
          <w:tcPr>
            <w:tcW w:w="170" w:type="dxa"/>
            <w:tcBorders/>
            <w:vAlign w:val="bottom"/>
          </w:tcPr>
          <w:p>
            <w:pPr>
              <w:pStyle w:val="TableContents"/>
              <w:bidi w:val="0"/>
              <w:spacing w:before="0" w:after="283"/>
              <w:jc w:val="left"/>
              <w:rPr/>
            </w:pPr>
            <w:r>
              <w:rPr/>
              <w:t>  </w:t>
            </w:r>
          </w:p>
        </w:tc>
        <w:tc>
          <w:tcPr>
            <w:tcW w:w="1918" w:type="dxa"/>
            <w:tcBorders/>
            <w:vAlign w:val="bottom"/>
          </w:tcPr>
          <w:p>
            <w:pPr>
              <w:pStyle w:val="TableContents"/>
              <w:bidi w:val="0"/>
              <w:spacing w:before="0" w:after="283"/>
              <w:jc w:val="center"/>
              <w:rPr/>
            </w:pPr>
            <w:r>
              <w:rPr/>
              <w:t>6.5%-10.5%</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30"/>
        <w:gridCol w:w="435"/>
        <w:gridCol w:w="1836"/>
        <w:gridCol w:w="435"/>
        <w:gridCol w:w="1919"/>
      </w:tblGrid>
      <w:tr>
        <w:trPr/>
        <w:tc>
          <w:tcPr>
            <w:tcW w:w="313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1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19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2025, in millions</w:t>
            </w:r>
          </w:p>
        </w:tc>
      </w:tr>
      <w:tr>
        <w:trPr/>
        <w:tc>
          <w:tcPr>
            <w:tcW w:w="31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836"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435" w:type="dxa"/>
            <w:tcBorders/>
            <w:vAlign w:val="bottom"/>
          </w:tcPr>
          <w:p>
            <w:pPr>
              <w:pStyle w:val="TableContents"/>
              <w:bidi w:val="0"/>
              <w:spacing w:before="0" w:after="283"/>
              <w:jc w:val="left"/>
              <w:rPr/>
            </w:pPr>
            <w:r>
              <w:rPr/>
              <w:t>  </w:t>
            </w:r>
          </w:p>
        </w:tc>
        <w:tc>
          <w:tcPr>
            <w:tcW w:w="1919"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3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(4)</w:t>
            </w:r>
          </w:p>
        </w:tc>
        <w:tc>
          <w:tcPr>
            <w:tcW w:w="435" w:type="dxa"/>
            <w:tcBorders/>
            <w:shd w:fill="CCEEFF" w:val="clear"/>
            <w:vAlign w:val="bottom"/>
          </w:tcPr>
          <w:p>
            <w:pPr>
              <w:pStyle w:val="TableContents"/>
              <w:bidi w:val="0"/>
              <w:spacing w:before="0" w:after="283"/>
              <w:jc w:val="left"/>
              <w:rPr/>
            </w:pPr>
            <w:r>
              <w:rPr/>
              <w:t>  </w:t>
            </w:r>
          </w:p>
        </w:tc>
        <w:tc>
          <w:tcPr>
            <w:tcW w:w="1836" w:type="dxa"/>
            <w:tcBorders/>
            <w:shd w:fill="CCEEFF" w:val="clear"/>
            <w:vAlign w:val="bottom"/>
          </w:tcPr>
          <w:p>
            <w:pPr>
              <w:pStyle w:val="TableContents"/>
              <w:bidi w:val="0"/>
              <w:spacing w:before="0" w:after="283"/>
              <w:jc w:val="center"/>
              <w:rPr/>
            </w:pPr>
            <w:r>
              <w:rPr/>
              <w:t>$710-$730</w:t>
            </w:r>
          </w:p>
        </w:tc>
        <w:tc>
          <w:tcPr>
            <w:tcW w:w="435" w:type="dxa"/>
            <w:tcBorders/>
            <w:shd w:fill="CCEEFF" w:val="clear"/>
            <w:vAlign w:val="bottom"/>
          </w:tcPr>
          <w:p>
            <w:pPr>
              <w:pStyle w:val="TableContents"/>
              <w:bidi w:val="0"/>
              <w:spacing w:before="0" w:after="283"/>
              <w:jc w:val="left"/>
              <w:rPr/>
            </w:pPr>
            <w:r>
              <w:rPr/>
              <w:t>  </w:t>
            </w:r>
          </w:p>
        </w:tc>
        <w:tc>
          <w:tcPr>
            <w:tcW w:w="1919" w:type="dxa"/>
            <w:tcBorders/>
            <w:shd w:fill="CCEEFF" w:val="clear"/>
            <w:vAlign w:val="bottom"/>
          </w:tcPr>
          <w:p>
            <w:pPr>
              <w:pStyle w:val="TableContents"/>
              <w:bidi w:val="0"/>
              <w:spacing w:before="0" w:after="283"/>
              <w:jc w:val="center"/>
              <w:rPr/>
            </w:pPr>
            <w:r>
              <w:rPr/>
              <w:t>$710-$730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on a pro forma(1), constant currency(2) basis adjusts fiscal 2024 revenue by approximately $600 million to reflect the end of several low-margin, non-core business activities, including certain low-margin software and hardware partner activities, Vubiquitys transactional video on demand business and non-core subscription services; these activities substantially already ceased in the first quarter of fiscal 2025 and are not included in the full year fiscal 2025 revenue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2025 revenue guidance incorporates an expected negative impact from foreign currency fluctuations of approximately 0.1% year-over-year, as compared with a negative impact of approximately 0.5% year-over-year previously, and includes some inorganic contribution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primarily equity-based compensation expense of approximately $0.84-$0.86 per share, amortization of purchased intangible assets and other acquisition-related costs of approximately $0.47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21.1% to 21.7% for the full year fiscal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of purchased intangible assets and other, equity-based compensation expense, restructuring charges, and changes in certain acquisitions related liabilities measured at fair value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15% to 17% for the full year fiscal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Reiterates full year fiscal 2025 free cash flow(4) outlook of $710 million to $730 million; free cash flow(4) is comprised of cash flow from operations, less net capital expenditures, and excludes payments related to restructuring charges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regarding our fourth fiscal quarter 2025 and full year fiscal 2025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August 6, 2025 at 5:00 p.m. Eastern Time to discuss the Companys third quarter of fiscal 2025 results. 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diluted earnings per share and other non-GAAP financial measures, including free cash flow, revenue on a constant currency(2)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Free cash flow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diluted earnings per share and other financial measures, including free cash flow(4), revenue on a constant currency(2)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p>
    <w:p>
      <w:pPr>
        <w:pStyle w:val="TextBody"/>
        <w:bidi w:val="0"/>
        <w:spacing w:before="24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 to Amdocs </w:t>
            </w:r>
            <w:r>
              <w:rPr>
                <w:rFonts w:ascii="Times New Roman" w:hAnsi="Times New Roman"/>
                <w:sz w:val="20"/>
                <w:u w:val="single"/>
              </w:rPr>
              <w:t>RSS Feed</w:t>
            </w:r>
            <w:r>
              <w:rPr>
                <w:rFonts w:ascii="Times New Roman" w:hAnsi="Times New Roman"/>
                <w:sz w:val="20"/>
              </w:rPr>
              <w:t xml:space="preserve"> and follow us on</w:t>
            </w:r>
            <w:r>
              <w:rPr>
                <w:rFonts w:ascii="Times New Roman" w:hAnsi="Times New Roman"/>
                <w:sz w:val="20"/>
                <w:u w:val="single"/>
              </w:rPr>
              <w:t xml:space="preserve"> Twitter</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employees around the globe are here to accelerate service providers migration to the cloud, enable them to differentiate in the 5G era, and digitalize and automate their operations. Listed on the NASDAQ Global Select Market, Amdocs had revenue of $5.00 billion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Amdocs at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2024, filed on December 17, 2024, and our Form 6-K furnished for the first quarter of fiscal 2025 on February 18, 2025, and for the second quarter of fiscal 2025 on May 19, 2025. </w:t>
      </w:r>
    </w:p>
    <w:p>
      <w:pPr>
        <w:pStyle w:val="TextBody"/>
        <w:bidi w:val="0"/>
        <w:spacing w:before="24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7"/>
        <w:gridCol w:w="136"/>
        <w:gridCol w:w="140"/>
        <w:gridCol w:w="986"/>
        <w:gridCol w:w="155"/>
        <w:gridCol w:w="98"/>
        <w:gridCol w:w="140"/>
        <w:gridCol w:w="986"/>
        <w:gridCol w:w="155"/>
        <w:gridCol w:w="98"/>
        <w:gridCol w:w="140"/>
        <w:gridCol w:w="986"/>
        <w:gridCol w:w="155"/>
        <w:gridCol w:w="98"/>
        <w:gridCol w:w="140"/>
        <w:gridCol w:w="985"/>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2025(a)</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2025(a)</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1,144,437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1,250,059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3,382,695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3,741,107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711,147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809,970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2,091,455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2,424,710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86,851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90,368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252,980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270,729</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127,589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144,027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384,301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434,140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16,380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15,111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48,137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47,719</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47,875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941,967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1,074,191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2,783,656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3,225,173</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202,470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175,868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599,039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515,934</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(11,705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(6,872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(26,579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(28,300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190,765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168,996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572,460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487,634</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35,963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27,998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101,805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78,489</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154,802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140,998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470,655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409,145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801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2,389</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154,001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140,289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468,377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406,756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3.50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4.17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3.48</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per ordinary share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0.527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0.479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1.533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1.393</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110,614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114,973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111,776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116,075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111,188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115,548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112,384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116,738</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5"/>
        <w:gridCol w:w="206"/>
        <w:gridCol w:w="140"/>
        <w:gridCol w:w="985"/>
        <w:gridCol w:w="60"/>
        <w:gridCol w:w="206"/>
        <w:gridCol w:w="140"/>
        <w:gridCol w:w="985"/>
        <w:gridCol w:w="60"/>
        <w:gridCol w:w="206"/>
        <w:gridCol w:w="140"/>
        <w:gridCol w:w="985"/>
        <w:gridCol w:w="60"/>
        <w:gridCol w:w="205"/>
        <w:gridCol w:w="140"/>
        <w:gridCol w:w="985"/>
        <w:gridCol w:w="67"/>
      </w:tblGrid>
      <w:tr>
        <w:trPr/>
        <w:tc>
          <w:tcPr>
            <w:tcW w:w="46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67" w:type="dxa"/>
            <w:tcBorders/>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2025(a)</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2025(a)</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1,144,437</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1,250,059</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3,382,695</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3,741,107</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244,708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232,390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720,212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687,065</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192,170</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187,807</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582,064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555,260</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191,369</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187,098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579,786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552,871</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1.72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4.74</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111,188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115,548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112,384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116,738</w:t>
            </w:r>
          </w:p>
        </w:tc>
        <w:tc>
          <w:tcPr>
            <w:tcW w:w="67"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7"/>
        <w:gridCol w:w="146"/>
        <w:gridCol w:w="140"/>
        <w:gridCol w:w="800"/>
        <w:gridCol w:w="155"/>
        <w:gridCol w:w="105"/>
        <w:gridCol w:w="140"/>
        <w:gridCol w:w="800"/>
        <w:gridCol w:w="155"/>
        <w:gridCol w:w="105"/>
        <w:gridCol w:w="140"/>
        <w:gridCol w:w="800"/>
        <w:gridCol w:w="155"/>
        <w:gridCol w:w="105"/>
        <w:gridCol w:w="140"/>
        <w:gridCol w:w="800"/>
        <w:gridCol w:w="162"/>
      </w:tblGrid>
      <w:tr>
        <w:trPr/>
        <w:tc>
          <w:tcPr>
            <w:tcW w:w="53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241,243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191,462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519,256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506,506</w:t>
            </w:r>
          </w:p>
        </w:tc>
        <w:tc>
          <w:tcPr>
            <w:tcW w:w="162" w:type="dxa"/>
            <w:tcBorders/>
            <w:shd w:fill="CCEEFF" w:val="clear"/>
            <w:vAlign w:val="bottom"/>
          </w:tcPr>
          <w:p>
            <w:pPr>
              <w:pStyle w:val="TableContents"/>
              <w:bidi w:val="0"/>
              <w:spacing w:before="0" w:after="283"/>
              <w:jc w:val="left"/>
              <w:rPr/>
            </w:pPr>
            <w:r>
              <w:rPr/>
              <w:t> </w:t>
            </w:r>
          </w:p>
        </w:tc>
      </w:tr>
      <w:tr>
        <w:trPr/>
        <w:tc>
          <w:tcPr>
            <w:tcW w:w="5357"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(b)</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(29,421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(16,337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(72,740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(79,683</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211,822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175,125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446,516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426,823</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December 31, 2024, we phased out several low-margin, non-core business activities, which were included in the prior periods numbers.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the three and nine months ended June 30, 2025 and 2024, respectively.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1132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97"/>
        <w:gridCol w:w="968"/>
        <w:gridCol w:w="155"/>
        <w:gridCol w:w="60"/>
        <w:gridCol w:w="226"/>
        <w:gridCol w:w="1219"/>
        <w:gridCol w:w="155"/>
        <w:gridCol w:w="60"/>
        <w:gridCol w:w="140"/>
        <w:gridCol w:w="63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2025(a)</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711,147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(12,652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(361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698,134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86,851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84,402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127,589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(10,860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117,193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941,967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(25,961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899,729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202,470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25,961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244,708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(11,705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35,963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4,870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40,833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154,802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25,961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(4,870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192,170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154,001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16,380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25,961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(4,870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191,369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250" w:type="dxa"/>
            <w:tcBorders/>
            <w:vAlign w:val="center"/>
          </w:tcPr>
          <w:p>
            <w:pPr>
              <w:pStyle w:val="TableContents"/>
              <w:bidi w:val="0"/>
              <w:spacing w:before="0" w:after="283"/>
              <w:jc w:val="left"/>
              <w:rPr>
                <w:sz w:val="4"/>
                <w:szCs w:val="4"/>
              </w:rPr>
            </w:pPr>
            <w:r>
              <w:rPr>
                <w:sz w:val="4"/>
                <w:szCs w:val="4"/>
              </w:rPr>
            </w:r>
          </w:p>
        </w:tc>
        <w:tc>
          <w:tcPr>
            <w:tcW w:w="10075" w:type="dxa"/>
            <w:gridSpan w:val="28"/>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809,970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(13,351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796,035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88,202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144,027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133,432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1,074,191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1,017,669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175,868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26,112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14,715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232,390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9,713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37,711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187,807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140,289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26,112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14,715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187,098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12385" w:type="dxa"/>
        <w:jc w:val="center"/>
        <w:tblInd w:w="0" w:type="dxa"/>
        <w:tblLayout w:type="fixed"/>
        <w:tblCellMar>
          <w:top w:w="0" w:type="dxa"/>
          <w:left w:w="0" w:type="dxa"/>
          <w:bottom w:w="0" w:type="dxa"/>
          <w:right w:w="0" w:type="dxa"/>
        </w:tblCellMar>
      </w:tblPr>
      <w:tblGrid>
        <w:gridCol w:w="1250"/>
        <w:gridCol w:w="120"/>
        <w:gridCol w:w="140"/>
        <w:gridCol w:w="1040"/>
        <w:gridCol w:w="155"/>
        <w:gridCol w:w="60"/>
        <w:gridCol w:w="214"/>
        <w:gridCol w:w="1156"/>
        <w:gridCol w:w="155"/>
        <w:gridCol w:w="60"/>
        <w:gridCol w:w="221"/>
        <w:gridCol w:w="1194"/>
        <w:gridCol w:w="155"/>
        <w:gridCol w:w="60"/>
        <w:gridCol w:w="197"/>
        <w:gridCol w:w="1068"/>
        <w:gridCol w:w="155"/>
        <w:gridCol w:w="60"/>
        <w:gridCol w:w="261"/>
        <w:gridCol w:w="1184"/>
        <w:gridCol w:w="155"/>
        <w:gridCol w:w="60"/>
        <w:gridCol w:w="140"/>
        <w:gridCol w:w="560"/>
        <w:gridCol w:w="60"/>
        <w:gridCol w:w="12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6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2025(a)</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 </w:t>
            </w:r>
            <w:r>
              <w:rPr/>
              <w:t>2,091,455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(38,258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2,052,476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252,980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245,977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384,301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(32,873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12,602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364,030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2,783,656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2,662,483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599,039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48,137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78,134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(11,881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720,212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(26,579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(20,600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101,805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117,548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470,655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582,064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468,377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579,786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32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28"/>
        <w:gridCol w:w="1037"/>
        <w:gridCol w:w="155"/>
        <w:gridCol w:w="60"/>
        <w:gridCol w:w="226"/>
        <w:gridCol w:w="1219"/>
        <w:gridCol w:w="155"/>
        <w:gridCol w:w="60"/>
        <w:gridCol w:w="140"/>
        <w:gridCol w:w="560"/>
        <w:gridCol w:w="60"/>
        <w:gridCol w:w="12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2,424,710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(40,126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2,387,584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270,729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(6,289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264,440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434,140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402,018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3,225,173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3,054,042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515,934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47,719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78,537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47,875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687,065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(22,762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78,489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30,554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109,043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409,145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555,260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406,756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47,719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(3,000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47,875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(30,554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552,871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8"/>
        <w:gridCol w:w="224"/>
        <w:gridCol w:w="140"/>
        <w:gridCol w:w="1016"/>
        <w:gridCol w:w="60"/>
        <w:gridCol w:w="224"/>
        <w:gridCol w:w="184"/>
        <w:gridCol w:w="1296"/>
        <w:gridCol w:w="63"/>
      </w:tblGrid>
      <w:tr>
        <w:trPr/>
        <w:tc>
          <w:tcPr>
            <w:tcW w:w="6998"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267,312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346,085</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interest-bearing investments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75,154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168,242</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956,558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1,028,357</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352,821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228,498</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1,651,845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1,771,182</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767,083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755,601</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194,216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149,254</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3,043,588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3,005,637</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675,496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704,468</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6,332,228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6,386,142</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1,183,002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1,315,679</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39,772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39,983</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128,378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115,247</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1,351,152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1,470,909</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152,118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103,462</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646,746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646,291</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636,783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666,303</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3,503,473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3,456,976</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41,956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42,201</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3,545,429</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3,499,177</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6,332,228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6,386,142</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72"/>
        <w:gridCol w:w="147"/>
        <w:gridCol w:w="140"/>
        <w:gridCol w:w="889"/>
        <w:gridCol w:w="155"/>
        <w:gridCol w:w="114"/>
        <w:gridCol w:w="140"/>
        <w:gridCol w:w="889"/>
        <w:gridCol w:w="159"/>
      </w:tblGrid>
      <w:tr>
        <w:trPr/>
        <w:tc>
          <w:tcPr>
            <w:tcW w:w="757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June 30,</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470,655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409,145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142,457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143,738</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445</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78,134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78,537</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10,898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(12,347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1,869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5,212</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57,499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(88,805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(71,825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(9,276</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(21,659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(21,207</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3,483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(10,440</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(85,590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125,063</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13,813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(41,927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(17,781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(62,328</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(63,150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(9,304</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519,256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506,506</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(b)</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(72,740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(79,683</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94,718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49,516</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short-term interest-bearing investments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(9,061</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paid for business and intangible assets acquisitions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(61,406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(86,824</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from equity investments and other</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16,773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4,182</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(22,655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(121,870</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(414,924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(443,316</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18,097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19,120</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(166,425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(157,264</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(2,523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(3,204</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and deferred payment of business acquisitions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(9,599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(2,063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(575,374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(586,727</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(78,773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(202,091</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346,085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520,080</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267,312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317,989</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16"/>
        </w:rPr>
      </w:pPr>
      <w:r>
        <w:rPr>
          <w:rFonts w:ascii="Times New Roman" w:hAnsi="Times New Roman"/>
          <w:b/>
          <w:sz w:val="16"/>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4"/>
        <w:gridCol w:w="184"/>
        <w:gridCol w:w="140"/>
        <w:gridCol w:w="740"/>
        <w:gridCol w:w="60"/>
        <w:gridCol w:w="184"/>
        <w:gridCol w:w="170"/>
        <w:gridCol w:w="914"/>
        <w:gridCol w:w="60"/>
        <w:gridCol w:w="184"/>
        <w:gridCol w:w="228"/>
        <w:gridCol w:w="1197"/>
        <w:gridCol w:w="60"/>
        <w:gridCol w:w="183"/>
        <w:gridCol w:w="236"/>
        <w:gridCol w:w="1282"/>
        <w:gridCol w:w="60"/>
        <w:gridCol w:w="184"/>
        <w:gridCol w:w="140"/>
        <w:gridCol w:w="740"/>
        <w:gridCol w:w="65"/>
      </w:tblGrid>
      <w:tr>
        <w:trPr/>
        <w:tc>
          <w:tcPr>
            <w:tcW w:w="319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2025(a)</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2025(a)</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2024(a)</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745.4</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738.3</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737.4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835.8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828.8</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189.4</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180.7</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155.2</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184.1</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175.9</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209.6</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209.2</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217.4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244.0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245.3</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1,144.4</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1,110.1</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1,263.9</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1,250.1</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194" w:type="dxa"/>
            <w:tcBorders/>
            <w:vAlign w:val="center"/>
          </w:tcPr>
          <w:p>
            <w:pPr>
              <w:pStyle w:val="TableContents"/>
              <w:bidi w:val="0"/>
              <w:spacing w:before="0" w:after="283"/>
              <w:jc w:val="left"/>
              <w:rPr>
                <w:sz w:val="4"/>
                <w:szCs w:val="4"/>
              </w:rPr>
            </w:pPr>
            <w:r>
              <w:rPr>
                <w:sz w:val="4"/>
                <w:szCs w:val="4"/>
              </w:rPr>
            </w:r>
          </w:p>
        </w:tc>
        <w:tc>
          <w:tcPr>
            <w:tcW w:w="7011" w:type="dxa"/>
            <w:gridSpan w:val="20"/>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771.5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747.1</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728.9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721.4</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740.8</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194" w:type="dxa"/>
            <w:tcBorders/>
            <w:vAlign w:val="center"/>
          </w:tcPr>
          <w:p>
            <w:pPr>
              <w:pStyle w:val="TableContents"/>
              <w:bidi w:val="0"/>
              <w:spacing w:before="0" w:after="283"/>
              <w:jc w:val="left"/>
              <w:rPr>
                <w:sz w:val="4"/>
                <w:szCs w:val="4"/>
              </w:rPr>
            </w:pPr>
            <w:r>
              <w:rPr>
                <w:sz w:val="4"/>
                <w:szCs w:val="4"/>
              </w:rPr>
            </w:r>
          </w:p>
        </w:tc>
        <w:tc>
          <w:tcPr>
            <w:tcW w:w="7011" w:type="dxa"/>
            <w:gridSpan w:val="20"/>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2025(a)</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2025(a)</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2024(a)</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2024(c)</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2024</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4,170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4,140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4,060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4,250</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the phase out of certain business activities in the fourth fiscal quarter of 2024 only.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 # # </w:t>
      </w:r>
    </w:p>
    <w:p>
      <w:pPr>
        <w:pStyle w:val="TextBody"/>
        <w:bidi w:val="0"/>
        <w:spacing w:before="0" w:after="0"/>
        <w:jc w:val="right"/>
        <w:rPr>
          <w:rFonts w:ascii="Times New Roman" w:hAnsi="Times New Roman"/>
          <w:b/>
          <w:sz w:val="20"/>
        </w:rPr>
      </w:pPr>
      <w:bookmarkStart w:id="4" w:name="d62560dex992.htm"/>
      <w:bookmarkStart w:id="5" w:name="ksd62560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8507095" cy="4800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07095" cy="4800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07095" cy="4800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07095" cy="480060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5152</Words>
  <Characters>28736</Characters>
  <CharactersWithSpaces>36218</CharactersWithSpaces>
  <Paragraphs>4069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