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December 31, 2014</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230" w:right="10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20" w:type="dxa"/>
            <w:vAlign w:val="bottom"/>
            <w:gridSpan w:val="1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0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0" w:type="dxa"/>
            <w:vAlign w:val="bottom"/>
            <w:gridSpan w:val="3"/>
          </w:tcPr>
          <w:p>
            <w:pPr>
              <w:jc w:val="center"/>
              <w:ind w:right="2800"/>
              <w:spacing w:after="0"/>
              <w:rPr>
                <w:sz w:val="20"/>
                <w:szCs w:val="20"/>
                <w:color w:val="auto"/>
              </w:rPr>
            </w:pPr>
            <w:r>
              <w:rPr>
                <w:rFonts w:ascii="Arial" w:cs="Arial" w:eastAsia="Arial" w:hAnsi="Arial"/>
                <w:sz w:val="18"/>
                <w:szCs w:val="18"/>
                <w:color w:val="auto"/>
              </w:rPr>
              <w:t>AMDOCS LIMITED</w:t>
            </w:r>
          </w:p>
        </w:tc>
        <w:tc>
          <w:tcPr>
            <w:tcW w:w="190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2"/>
          </w:tcPr>
          <w:p>
            <w:pPr>
              <w:jc w:val="center"/>
              <w:ind w:right="3020"/>
              <w:spacing w:after="0"/>
              <w:rPr>
                <w:sz w:val="20"/>
                <w:szCs w:val="20"/>
                <w:color w:val="auto"/>
              </w:rPr>
            </w:pPr>
            <w:r>
              <w:rPr>
                <w:rFonts w:ascii="Arial" w:cs="Arial" w:eastAsia="Arial" w:hAnsi="Arial"/>
                <w:sz w:val="18"/>
                <w:szCs w:val="18"/>
                <w:color w:val="auto"/>
                <w:w w:val="97"/>
              </w:rPr>
              <w:t>FORM 6-K</w:t>
            </w:r>
          </w:p>
        </w:tc>
        <w:tc>
          <w:tcPr>
            <w:tcW w:w="190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gridSpan w:val="5"/>
          </w:tcPr>
          <w:p>
            <w:pPr>
              <w:jc w:val="center"/>
              <w:ind w:right="1940"/>
              <w:spacing w:after="0"/>
              <w:rPr>
                <w:sz w:val="20"/>
                <w:szCs w:val="20"/>
                <w:color w:val="auto"/>
              </w:rPr>
            </w:pPr>
            <w:r>
              <w:rPr>
                <w:rFonts w:ascii="Arial" w:cs="Arial" w:eastAsia="Arial" w:hAnsi="Arial"/>
                <w:sz w:val="18"/>
                <w:szCs w:val="18"/>
                <w:color w:val="auto"/>
                <w:w w:val="92"/>
              </w:rPr>
              <w:t>REPORT OF FOREIGN PRIVATE ISSUER</w:t>
            </w:r>
          </w:p>
        </w:tc>
        <w:tc>
          <w:tcPr>
            <w:tcW w:w="190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60" w:type="dxa"/>
            <w:vAlign w:val="bottom"/>
            <w:gridSpan w:val="6"/>
          </w:tcPr>
          <w:p>
            <w:pPr>
              <w:jc w:val="center"/>
              <w:ind w:right="1660"/>
              <w:spacing w:after="0"/>
              <w:rPr>
                <w:sz w:val="20"/>
                <w:szCs w:val="20"/>
                <w:color w:val="auto"/>
              </w:rPr>
            </w:pPr>
            <w:r>
              <w:rPr>
                <w:rFonts w:ascii="Arial" w:cs="Arial" w:eastAsia="Arial" w:hAnsi="Arial"/>
                <w:sz w:val="18"/>
                <w:szCs w:val="18"/>
                <w:color w:val="auto"/>
                <w:w w:val="94"/>
              </w:rPr>
              <w:t>FOR THE QUARTER ENDED DECEMBER 31, 2014</w:t>
            </w:r>
          </w:p>
        </w:tc>
        <w:tc>
          <w:tcPr>
            <w:tcW w:w="190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2"/>
          </w:tcPr>
          <w:p>
            <w:pPr>
              <w:jc w:val="center"/>
              <w:ind w:right="3020"/>
              <w:spacing w:after="0"/>
              <w:rPr>
                <w:sz w:val="20"/>
                <w:szCs w:val="20"/>
                <w:color w:val="auto"/>
              </w:rPr>
            </w:pPr>
            <w:r>
              <w:rPr>
                <w:rFonts w:ascii="Arial" w:cs="Arial" w:eastAsia="Arial" w:hAnsi="Arial"/>
                <w:sz w:val="18"/>
                <w:szCs w:val="18"/>
                <w:color w:val="auto"/>
              </w:rPr>
              <w:t>INDEX</w:t>
            </w:r>
          </w:p>
        </w:tc>
        <w:tc>
          <w:tcPr>
            <w:tcW w:w="1900" w:type="dxa"/>
            <w:vAlign w:val="bottom"/>
          </w:tcPr>
          <w:p>
            <w:pPr>
              <w:spacing w:after="0"/>
              <w:rPr>
                <w:sz w:val="24"/>
                <w:szCs w:val="24"/>
                <w:color w:val="auto"/>
              </w:rPr>
            </w:pPr>
          </w:p>
        </w:tc>
      </w:tr>
      <w:tr>
        <w:trPr>
          <w:trHeight w:val="419"/>
        </w:trPr>
        <w:tc>
          <w:tcPr>
            <w:tcW w:w="94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Item 1.</w:t>
              </w:r>
            </w:hyperlink>
          </w:p>
        </w:tc>
        <w:tc>
          <w:tcPr>
            <w:tcW w:w="1940" w:type="dxa"/>
            <w:vAlign w:val="bottom"/>
            <w:tcBorders>
              <w:top w:val="single" w:sz="8" w:color="0000EE"/>
            </w:tcBorders>
            <w:gridSpan w:val="6"/>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580" w:type="dxa"/>
            <w:vAlign w:val="bottom"/>
            <w:gridSpan w:val="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2"/>
        </w:trPr>
        <w:tc>
          <w:tcPr>
            <w:tcW w:w="360" w:type="dxa"/>
            <w:vAlign w:val="bottom"/>
          </w:tcPr>
          <w:p>
            <w:pPr>
              <w:spacing w:after="0"/>
              <w:rPr>
                <w:sz w:val="19"/>
                <w:szCs w:val="19"/>
                <w:color w:val="auto"/>
              </w:rPr>
            </w:pPr>
          </w:p>
        </w:tc>
        <w:tc>
          <w:tcPr>
            <w:tcW w:w="9060" w:type="dxa"/>
            <w:vAlign w:val="bottom"/>
            <w:gridSpan w:val="15"/>
          </w:tcPr>
          <w:p>
            <w:pPr>
              <w:ind w:left="360"/>
              <w:spacing w:after="0"/>
              <w:rPr>
                <w:sz w:val="20"/>
                <w:szCs w:val="20"/>
                <w:color w:val="auto"/>
              </w:rPr>
            </w:pPr>
            <w:r>
              <w:rPr>
                <w:rFonts w:ascii="Arial" w:cs="Arial" w:eastAsia="Arial" w:hAnsi="Arial"/>
                <w:sz w:val="18"/>
                <w:szCs w:val="18"/>
                <w:color w:val="auto"/>
              </w:rPr>
              <w:t>Unaudited Consolidated Financial Statements</w:t>
            </w:r>
          </w:p>
        </w:tc>
        <w:tc>
          <w:tcPr>
            <w:tcW w:w="1900" w:type="dxa"/>
            <w:vAlign w:val="bottom"/>
          </w:tcPr>
          <w:p>
            <w:pPr>
              <w:spacing w:after="0"/>
              <w:rPr>
                <w:sz w:val="19"/>
                <w:szCs w:val="19"/>
                <w:color w:val="auto"/>
              </w:rPr>
            </w:pPr>
          </w:p>
        </w:tc>
      </w:tr>
      <w:tr>
        <w:trPr>
          <w:trHeight w:val="190"/>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Borders>
              <w:bottom w:val="single" w:sz="8" w:color="0000EE"/>
            </w:tcBorders>
            <w:gridSpan w:val="6"/>
          </w:tcPr>
          <w:p>
            <w:pPr>
              <w:spacing w:after="0" w:line="190"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6240" w:type="dxa"/>
            <w:vAlign w:val="bottom"/>
            <w:gridSpan w:val="7"/>
          </w:tcPr>
          <w:p>
            <w:pPr>
              <w:spacing w:after="0"/>
              <w:rPr>
                <w:sz w:val="16"/>
                <w:szCs w:val="16"/>
                <w:color w:val="auto"/>
              </w:rPr>
            </w:pPr>
          </w:p>
        </w:tc>
        <w:tc>
          <w:tcPr>
            <w:tcW w:w="19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w:t>
              </w:r>
            </w:hyperlink>
          </w:p>
        </w:tc>
        <w:tc>
          <w:tcPr>
            <w:tcW w:w="5760" w:type="dxa"/>
            <w:vAlign w:val="bottom"/>
            <w:gridSpan w:val="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2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w:t>
              </w:r>
            </w:hyperlink>
          </w:p>
        </w:tc>
        <w:tc>
          <w:tcPr>
            <w:tcW w:w="860" w:type="dxa"/>
            <w:vAlign w:val="bottom"/>
            <w:tcBorders>
              <w:top w:val="single" w:sz="8" w:color="0000EE"/>
            </w:tcBorders>
            <w:gridSpan w:val="2"/>
          </w:tcPr>
          <w:p>
            <w:pPr>
              <w:spacing w:after="0"/>
              <w:rPr>
                <w:sz w:val="17"/>
                <w:szCs w:val="17"/>
                <w:color w:val="auto"/>
              </w:rPr>
            </w:pPr>
          </w:p>
        </w:tc>
        <w:tc>
          <w:tcPr>
            <w:tcW w:w="4600" w:type="dxa"/>
            <w:vAlign w:val="bottom"/>
            <w:gridSpan w:val="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Consolidated Financial Statements</w:t>
              </w:r>
            </w:hyperlink>
          </w:p>
        </w:tc>
        <w:tc>
          <w:tcPr>
            <w:tcW w:w="4380" w:type="dxa"/>
            <w:vAlign w:val="bottom"/>
            <w:gridSpan w:val="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Item 2.</w:t>
              </w:r>
            </w:hyperlink>
          </w:p>
        </w:tc>
        <w:tc>
          <w:tcPr>
            <w:tcW w:w="340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Operating and Financial Review and Prospects</w:t>
              </w:r>
            </w:hyperlink>
          </w:p>
        </w:tc>
        <w:tc>
          <w:tcPr>
            <w:tcW w:w="5120" w:type="dxa"/>
            <w:vAlign w:val="bottom"/>
            <w:gridSpan w:val="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54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PART II OTHER INFORMATION</w:t>
              </w:r>
            </w:hyperlink>
          </w:p>
        </w:tc>
        <w:tc>
          <w:tcPr>
            <w:tcW w:w="6880" w:type="dxa"/>
            <w:vAlign w:val="bottom"/>
            <w:gridSpan w:val="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36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Item 1.</w:t>
              </w:r>
            </w:hyperlink>
          </w:p>
        </w:tc>
        <w:tc>
          <w:tcPr>
            <w:tcW w:w="8520" w:type="dxa"/>
            <w:vAlign w:val="bottom"/>
            <w:gridSpan w:val="14"/>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Changes in Securities, Use of Proceeds and Issuer Purchases of Equity Securities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36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Item 2.</w:t>
              </w:r>
            </w:hyperlink>
          </w:p>
        </w:tc>
        <w:tc>
          <w:tcPr>
            <w:tcW w:w="5860" w:type="dxa"/>
            <w:vAlign w:val="bottom"/>
            <w:tcBorders>
              <w:top w:val="single" w:sz="8" w:color="0000EE"/>
            </w:tcBorders>
            <w:gridSpan w:val="13"/>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Reports on Form 6-K</w:t>
              </w:r>
            </w:hyperlink>
          </w:p>
        </w:tc>
        <w:tc>
          <w:tcPr>
            <w:tcW w:w="2660" w:type="dxa"/>
            <w:vAlign w:val="bottom"/>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420" w:type="dxa"/>
            <w:vAlign w:val="bottom"/>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8" w:lineRule="auto"/>
        <w:rPr>
          <w:sz w:val="20"/>
          <w:szCs w:val="20"/>
          <w:color w:val="auto"/>
        </w:rPr>
      </w:pPr>
      <w:r>
        <w:rPr>
          <w:rFonts w:ascii="Arial" w:cs="Arial" w:eastAsia="Arial" w:hAnsi="Arial"/>
          <w:sz w:val="17"/>
          <w:szCs w:val="17"/>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46"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9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951,439</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1,103,269</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Short-term interest-bearing investments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317,134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321,196</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683,778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715,837</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income taxes and taxes receivable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158,761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148,346</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135,326</w:t>
            </w:r>
          </w:p>
        </w:tc>
      </w:tr>
      <w:tr>
        <w:trPr>
          <w:trHeight w:val="223"/>
        </w:trPr>
        <w:tc>
          <w:tcPr>
            <w:tcW w:w="20" w:type="dxa"/>
            <w:vAlign w:val="bottom"/>
          </w:tcPr>
          <w:p>
            <w:pPr>
              <w:spacing w:after="0"/>
              <w:rPr>
                <w:sz w:val="19"/>
                <w:szCs w:val="19"/>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2,240,825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2,423,974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284,233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288,956</w:t>
            </w: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94,160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99,274</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1,931,126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1,925,225</w:t>
            </w: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169,093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181,227</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266,621</w:t>
            </w:r>
          </w:p>
        </w:tc>
      </w:tr>
      <w:tr>
        <w:trPr>
          <w:trHeight w:val="223"/>
        </w:trPr>
        <w:tc>
          <w:tcPr>
            <w:tcW w:w="20" w:type="dxa"/>
            <w:vAlign w:val="bottom"/>
          </w:tcPr>
          <w:p>
            <w:pPr>
              <w:spacing w:after="0"/>
              <w:rPr>
                <w:sz w:val="19"/>
                <w:szCs w:val="19"/>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4,974,012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5,185,277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97,600</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142,627</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464,626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422,291</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personnel costs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220,630</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Short-term financing arrangements</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156,743</w:t>
            </w:r>
          </w:p>
        </w:tc>
      </w:tr>
      <w:tr>
        <w:trPr>
          <w:trHeight w:val="223"/>
        </w:trPr>
        <w:tc>
          <w:tcPr>
            <w:tcW w:w="20" w:type="dxa"/>
            <w:vAlign w:val="bottom"/>
          </w:tcPr>
          <w:p>
            <w:pPr>
              <w:spacing w:after="0"/>
              <w:rPr>
                <w:sz w:val="19"/>
                <w:szCs w:val="19"/>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61,956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48,456</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1,001,393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1,200,747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290,243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311,134</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263,476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277,560</w:t>
            </w:r>
          </w:p>
        </w:tc>
      </w:tr>
      <w:tr>
        <w:trPr>
          <w:trHeight w:val="230"/>
        </w:trPr>
        <w:tc>
          <w:tcPr>
            <w:tcW w:w="20" w:type="dxa"/>
            <w:vAlign w:val="bottom"/>
          </w:tcPr>
          <w:p>
            <w:pPr>
              <w:spacing w:after="0"/>
              <w:rPr>
                <w:sz w:val="20"/>
                <w:szCs w:val="20"/>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1,555,112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1,789,441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Ordinary Shares — Authorized 700,000 shares; £0.01 par value; 265,556 and 264,735 issued and 155,360 and</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156,704 outstanding, respectively</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4,284</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3,087,646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3,054,780</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110,196 and 108,031 ordinary shares, respectively</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(3,258,717)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(3,157,085)</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(25,059)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(9,972)</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3,610,733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3,503,829</w:t>
            </w:r>
          </w:p>
        </w:tc>
      </w:tr>
      <w:tr>
        <w:trPr>
          <w:trHeight w:val="230"/>
        </w:trPr>
        <w:tc>
          <w:tcPr>
            <w:tcW w:w="20" w:type="dxa"/>
            <w:vAlign w:val="bottom"/>
          </w:tcPr>
          <w:p>
            <w:pPr>
              <w:spacing w:after="0"/>
              <w:rPr>
                <w:sz w:val="20"/>
                <w:szCs w:val="20"/>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3,418,900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3,395,836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4,974,012</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5,185,277</w:t>
            </w: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w:t>
      </w:r>
    </w:p>
    <w:p>
      <w:pPr>
        <w:jc w:val="center"/>
        <w:ind w:left="95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906,287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864,045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573,446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557,403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63,641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113,580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111,959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14,099</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764,766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743,355</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141,521</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143,065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119,286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130,990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155,897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158,110</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161,845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Three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$130,990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10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(14,890)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(197)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(15,087)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9,031</w:t>
            </w:r>
          </w:p>
        </w:tc>
        <w:tc>
          <w:tcPr>
            <w:tcW w:w="0" w:type="dxa"/>
            <w:vAlign w:val="bottom"/>
          </w:tcPr>
          <w:p>
            <w:pPr>
              <w:spacing w:after="0"/>
              <w:rPr>
                <w:sz w:val="1"/>
                <w:szCs w:val="1"/>
                <w:color w:val="auto"/>
              </w:rPr>
            </w:pPr>
          </w:p>
        </w:tc>
      </w:tr>
      <w:tr>
        <w:trPr>
          <w:trHeight w:val="223"/>
        </w:trPr>
        <w:tc>
          <w:tcPr>
            <w:tcW w:w="962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115,903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110,466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(expense) of $3,260 and $(248) for the three months ended December 31, 2014 and 2013, respectively.</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of $8 and $0 for the three months ended December 31, 2014 and 2013,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130,990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39,709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(23,761)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(Gain) loss from short-term interest-bearing investments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32,848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10,594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(9,049)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(18,117)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53,153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(8,099)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7,309</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(101,632)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employee stock option exercises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14,497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Excess tax benefit from equity-based compensation</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(320,303)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(268,995)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(151,830)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1,103,269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1,014,192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951,439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890,583</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Income taxes, net of refunds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17,438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Amdocs Limited (the “Company”) is a leading provider of software and services for communications, entertainment and media industry service providers. The Company and its subsidiaries operate in one segment, providing integrated products and services. The Company designs, develops, markets, supports, implements and operates customer experience solutions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the United Kingdom and the United States.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2014, set forth in the Company’s Annual Report on Form 20-F filed on December 8, 2014 with the U.S. Securities and Exchange Commission, or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From time to time, certain immaterial amounts in prior year financial statements may be reclassified to conform to the current year presentation. Effective October 1, 2014, the Company combined the presentation of license and service revenue, as well as the related costs, since license revenue comprises an insignificant portion of total revenue.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May 2014, the Financial Accounting Standards Board, or FASB, issued an Accounting Standard Update, or ASU, on revenue from contracts with customers, which outlines a single comprehensive model for entities to use in accounting for revenue arising from contracts with customers and supersedes most current revenue recognition guidance. This ASU, which will be effective for the Company beginning October 1, 2017, allows for either full or modified retrospective methods of adoption and early adoption is not permitted. The Company is currently evaluating the methods of adoption, as well as the effect that adoption of this ASU will have on its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w:t>
      </w:r>
    </w:p>
    <w:p>
      <w:pPr>
        <w:spacing w:after="0" w:line="121" w:lineRule="exact"/>
        <w:rPr>
          <w:sz w:val="20"/>
          <w:szCs w:val="20"/>
          <w:color w:val="auto"/>
        </w:rPr>
      </w:pPr>
    </w:p>
    <w:p>
      <w:pPr>
        <w:jc w:val="both"/>
        <w:ind w:right="80" w:firstLine="456"/>
        <w:spacing w:after="0" w:line="279" w:lineRule="auto"/>
        <w:rPr>
          <w:sz w:val="20"/>
          <w:szCs w:val="20"/>
          <w:color w:val="auto"/>
        </w:rPr>
      </w:pPr>
      <w:r>
        <w:rPr>
          <w:rFonts w:ascii="Arial" w:cs="Arial" w:eastAsia="Arial" w:hAnsi="Arial"/>
          <w:sz w:val="17"/>
          <w:szCs w:val="17"/>
          <w:color w:val="auto"/>
        </w:rPr>
        <w:t>In July 2013, the FASB issued an ASU that requires an entity to present an unrecognized tax benefit, or a portion of an unrecognized tax benefit, in the financial statements as a reduction to a deferred tax asset for a net operating loss carryforward, a similar tax loss, or a tax credit carryforward, in the absence of certain conditions. This ASU became effective for the Company in the first quarter of fiscal 2015 and its adoption resulted in a reclassification of $15,000 from noncurrent taxes payable to assets under noncurrent deferred income taxes as of December 31, 2014.</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Level 3: Unobservable inputs that are supported by little or no market activity that is significant to the fair value of the assets or liabilities.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present the Company’s assets and liabilities measured at fair value on a recurring basis as of December 31,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As of December 31, 2014</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3</w:t>
            </w: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140" w:type="dxa"/>
            <w:vAlign w:val="bottom"/>
            <w:gridSpan w:val="3"/>
          </w:tcPr>
          <w:p>
            <w:pPr>
              <w:jc w:val="right"/>
              <w:ind w:right="380"/>
              <w:spacing w:after="0"/>
              <w:rPr>
                <w:sz w:val="20"/>
                <w:szCs w:val="20"/>
                <w:color w:val="auto"/>
              </w:rPr>
            </w:pPr>
            <w:r>
              <w:rPr>
                <w:rFonts w:ascii="Arial" w:cs="Arial" w:eastAsia="Arial" w:hAnsi="Arial"/>
                <w:sz w:val="18"/>
                <w:szCs w:val="18"/>
                <w:color w:val="auto"/>
              </w:rPr>
              <w:t>$500,444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$500,444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3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109,269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06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102,801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0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06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29,858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3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06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7,592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Government-guaranteed debt</w:t>
            </w:r>
          </w:p>
        </w:tc>
        <w:tc>
          <w:tcPr>
            <w:tcW w:w="20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Mortgages</w:t>
            </w:r>
          </w:p>
        </w:tc>
        <w:tc>
          <w:tcPr>
            <w:tcW w:w="2060" w:type="dxa"/>
            <w:vAlign w:val="bottom"/>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3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611,722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216,370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828,092</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060" w:type="dxa"/>
            <w:vAlign w:val="bottom"/>
          </w:tcPr>
          <w:p>
            <w:pPr>
              <w:spacing w:after="0"/>
              <w:rPr>
                <w:sz w:val="19"/>
                <w:szCs w:val="19"/>
                <w:color w:val="auto"/>
              </w:rPr>
            </w:pPr>
          </w:p>
        </w:tc>
        <w:tc>
          <w:tcPr>
            <w:tcW w:w="7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(20,291)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(15,466)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(15,466)</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611,722</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196,079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(15,466</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792,335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0"/>
              </w:rPr>
              <w:t>As of September 30, 2014</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3</w:t>
            </w: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140" w:type="dxa"/>
            <w:vAlign w:val="bottom"/>
            <w:gridSpan w:val="3"/>
          </w:tcPr>
          <w:p>
            <w:pPr>
              <w:jc w:val="right"/>
              <w:ind w:right="380"/>
              <w:spacing w:after="0"/>
              <w:rPr>
                <w:sz w:val="20"/>
                <w:szCs w:val="20"/>
                <w:color w:val="auto"/>
              </w:rPr>
            </w:pPr>
            <w:r>
              <w:rPr>
                <w:rFonts w:ascii="Arial" w:cs="Arial" w:eastAsia="Arial" w:hAnsi="Arial"/>
                <w:sz w:val="18"/>
                <w:szCs w:val="18"/>
                <w:color w:val="auto"/>
              </w:rPr>
              <w:t>$649,745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$649,745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3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118,708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06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102,420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0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06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29,095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3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06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5,799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Government-guaranteed debt</w:t>
            </w:r>
          </w:p>
        </w:tc>
        <w:tc>
          <w:tcPr>
            <w:tcW w:w="20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Mortgages</w:t>
            </w:r>
          </w:p>
        </w:tc>
        <w:tc>
          <w:tcPr>
            <w:tcW w:w="2060" w:type="dxa"/>
            <w:vAlign w:val="bottom"/>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3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770,460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207,179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977,639</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060" w:type="dxa"/>
            <w:vAlign w:val="bottom"/>
          </w:tcPr>
          <w:p>
            <w:pPr>
              <w:spacing w:after="0"/>
              <w:rPr>
                <w:sz w:val="19"/>
                <w:szCs w:val="19"/>
                <w:color w:val="auto"/>
              </w:rPr>
            </w:pPr>
          </w:p>
        </w:tc>
        <w:tc>
          <w:tcPr>
            <w:tcW w:w="7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(35,944)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(35,944)</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770,460</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205,821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(35,944</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940,337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60" w:type="dxa"/>
            <w:vAlign w:val="bottom"/>
            <w:vMerge w:val="restart"/>
          </w:tcPr>
          <w:p>
            <w:pPr>
              <w:jc w:val="right"/>
              <w:ind w:right="1070"/>
              <w:spacing w:after="0"/>
              <w:rPr>
                <w:sz w:val="20"/>
                <w:szCs w:val="20"/>
                <w:color w:val="auto"/>
              </w:rPr>
            </w:pPr>
            <w:r>
              <w:rPr>
                <w:rFonts w:ascii="Arial" w:cs="Arial" w:eastAsia="Arial" w:hAnsi="Arial"/>
                <w:sz w:val="18"/>
                <w:szCs w:val="18"/>
                <w:color w:val="auto"/>
              </w:rPr>
              <w:t>8</w:t>
            </w: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months ended December 31, 2014. Level 3 amounts relate to certain acquisition-related liabilities, which were valued using a Monte-Carlo simulation model and were included in both accrued expenses and other current liabilities and other noncurrent liabilities. The reduction in Level 3 liabilities during the three months ended December 31, 2014 was recorded in the consolidated statements of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2"/>
              </w:rPr>
              <w:t>As of December 31, 2014</w:t>
            </w: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7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4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Gross Unrealized</w:t>
            </w:r>
          </w:p>
        </w:tc>
        <w:tc>
          <w:tcPr>
            <w:tcW w:w="36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500,444</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$500,444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109,279</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79"/>
              </w:rPr>
              <w:t>48</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109,269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102,912</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79"/>
              </w:rPr>
              <w:t>88</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102,801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52,192</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52,178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29,920</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29,858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24,721</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7,606</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7,592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Government-guaranteed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4960" w:type="dxa"/>
            <w:vAlign w:val="bottom"/>
            <w:gridSpan w:val="3"/>
          </w:tcPr>
          <w:p>
            <w:pPr>
              <w:ind w:left="460"/>
              <w:spacing w:after="0"/>
              <w:rPr>
                <w:sz w:val="20"/>
                <w:szCs w:val="20"/>
                <w:color w:val="auto"/>
              </w:rPr>
            </w:pPr>
            <w:r>
              <w:rPr>
                <w:rFonts w:ascii="Arial" w:cs="Arial" w:eastAsia="Arial" w:hAnsi="Arial"/>
                <w:sz w:val="18"/>
                <w:szCs w:val="18"/>
                <w:color w:val="auto"/>
              </w:rPr>
              <w:t>Total(1)</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828,327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79"/>
              </w:rPr>
              <w:t>136</w:t>
            </w:r>
          </w:p>
        </w:tc>
        <w:tc>
          <w:tcPr>
            <w:tcW w:w="7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828,092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6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 term interest-bearing investments and available-for-sale securities with maturities of 90 days or less from the date of acquisition were included in cash and cash equivalents on the Company’s balance sheet. As of December 31, 2014, $317,134 of securities were classified as short term interest-bearing investments and $510,958 of securities were classified as cash and cash equivalents.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1"/>
              </w:rPr>
              <w:t>As of September 30, 2014</w:t>
            </w: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7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4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Gross Unrealized</w:t>
            </w:r>
          </w:p>
        </w:tc>
        <w:tc>
          <w:tcPr>
            <w:tcW w:w="36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649,745</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$649,745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118,652</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118,708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102,387</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102,420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41,658</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41,649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29,160</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29,095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28,509</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28,509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5,804</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Government-guaranteed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1,185</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3"/>
        </w:trPr>
        <w:tc>
          <w:tcPr>
            <w:tcW w:w="4960" w:type="dxa"/>
            <w:vAlign w:val="bottom"/>
            <w:gridSpan w:val="3"/>
          </w:tcPr>
          <w:p>
            <w:pPr>
              <w:ind w:left="460"/>
              <w:spacing w:after="0"/>
              <w:rPr>
                <w:sz w:val="20"/>
                <w:szCs w:val="20"/>
                <w:color w:val="auto"/>
              </w:rPr>
            </w:pPr>
            <w:r>
              <w:rPr>
                <w:rFonts w:ascii="Arial" w:cs="Arial" w:eastAsia="Arial" w:hAnsi="Arial"/>
                <w:sz w:val="18"/>
                <w:szCs w:val="18"/>
                <w:color w:val="auto"/>
              </w:rPr>
              <w:t>Total(2)</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977,669</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79"/>
              </w:rPr>
              <w:t>242</w:t>
            </w:r>
          </w:p>
        </w:tc>
        <w:tc>
          <w:tcPr>
            <w:tcW w:w="7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977,639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2014, $321,196 of securities were classified as short term interest-bearing investments and $656,443 of securities were classified as cash and cash equivalents.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of December 31, 2014, the unrealized losses attributable to the Company’s available-for-sale securities were primarily due to credit market conditions and interest rate movements. The Company assessed whether such unrealized losses for the investments in its portfolio were other-than-temporary. Based on this assessment, the Company recognized immaterial credit losses in the three months ended December 31, 2014 and 2013. Realized gains and losses on available-for-sale securities are included in earnings and are derived using the first-in-first-out (FIFO) method for determining the cost of securities.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the Company’s available-for-sale securities had the following maturity dates: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614,555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109,662</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85,636</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10,140</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10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828,092</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121"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$5,895 as of December 31, 2014. The Company has limited its credit risk by entering into derivative transactions exclusively with investment-grade rated financial institutions and monitors the creditworthiness of these financial institutions on an ongoing basis.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24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December 31, 2014. Notional values are in U.S. dollars and are translated and calculated based on forward rates as of December 31, 2014 for forward contracts, and based on spot rates as of December 31, 2014 for options.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Notional Value*</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1,877,550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500" w:hanging="212"/>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7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4 to the consolidated financial statements. The fair value of the open foreign exchange contracts recorded as an asset or a liability by the Company on its consolidated balance sheets as of December 31, 2014 and September 30, 2014, is as follows: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400" w:type="dxa"/>
            <w:vAlign w:val="bottom"/>
            <w:gridSpan w:val="3"/>
          </w:tcPr>
          <w:p>
            <w:pPr>
              <w:ind w:left="5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9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2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4,295</w:t>
            </w:r>
          </w:p>
        </w:tc>
        <w:tc>
          <w:tcPr>
            <w:tcW w:w="120" w:type="dxa"/>
            <w:vAlign w:val="bottom"/>
          </w:tcPr>
          <w:p>
            <w:pPr>
              <w:spacing w:after="0"/>
              <w:rPr>
                <w:sz w:val="18"/>
                <w:szCs w:val="18"/>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(20,506)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(9,686)</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(1,908)</w:t>
            </w: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(21,307)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7,497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(6,481)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(5,736)</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42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(20,291)</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(1,358)</w:t>
            </w: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three years. A significant portion of the forward and option contracts outstanding as of December 31, 2014 is scheduled to mature within the next 12 months.</w:t>
      </w:r>
    </w:p>
    <w:p>
      <w:pPr>
        <w:spacing w:after="0" w:line="17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income,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income (expense), net.</w:t>
      </w:r>
    </w:p>
    <w:p>
      <w:pPr>
        <w:spacing w:after="0" w:line="16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effect of the Company’s cash flow hedging instruments in the consolidated statements of income for the three months ended December 31, 2014 and 2013, respectively, which partially offsets the foreign currency impact from the underlying exposures, is summarized as follows:</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0"/>
              </w:rPr>
              <w:t>(Losses) Gains Reclassified from</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Other Comprehensive (Loss)</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Income (Effective Portion)</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Three months ended December 31,</w:t>
            </w: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Revenue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351</w:t>
            </w:r>
          </w:p>
        </w:tc>
        <w:tc>
          <w:tcPr>
            <w:tcW w:w="340" w:type="dxa"/>
            <w:vAlign w:val="bottom"/>
          </w:tcPr>
          <w:p>
            <w:pPr>
              <w:spacing w:after="0"/>
              <w:rPr>
                <w:sz w:val="18"/>
                <w:szCs w:val="18"/>
                <w:color w:val="auto"/>
              </w:rPr>
            </w:pP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(932)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w:t>
            </w:r>
          </w:p>
        </w:tc>
        <w:tc>
          <w:tcPr>
            <w:tcW w:w="2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20" w:type="dxa"/>
            <w:vAlign w:val="bottom"/>
            <w:vMerge w:val="restart"/>
          </w:tcPr>
          <w:p>
            <w:pPr>
              <w:jc w:val="right"/>
              <w:ind w:right="177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activity related to the changes in net unrealized gains (losses) on cash flow hedges recorded in accumulated other comprehensive loss, net of tax, is as follows:</w:t>
      </w:r>
    </w:p>
    <w:p>
      <w:pPr>
        <w:spacing w:after="0" w:line="189"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Three months ended</w:t>
      </w:r>
    </w:p>
    <w:p>
      <w:pPr>
        <w:jc w:val="center"/>
        <w:ind w:left="67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 gains on cash flow hedges, net of tax,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(5,522)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2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(19,887)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12,394</w:t>
            </w:r>
          </w:p>
        </w:tc>
        <w:tc>
          <w:tcPr>
            <w:tcW w:w="12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losses (gains) into earnings,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(3,343)</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Net unrealized (losses) gains on cash flow hedges, net of tax,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(20,412</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13,747</w:t>
            </w:r>
          </w:p>
        </w:tc>
        <w:tc>
          <w:tcPr>
            <w:tcW w:w="12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Net (losses) gains from cash flow hedges recognized in other comprehensive (loss) income during the three months ended December 31, 2014 and 2013 were $(23,960) and $13,756, or $(19,887) and $12,394, net of taxes, respectively.</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Of the net losses related to derivatives designated as cash flow hedges and recorded in accumulated other comprehensive loss as of December 31, 2014, a net loss of $15,866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66"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months ended December 31, 2014 and 2013, was not material.</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months ended December 31, 2014 and 2013, respectively, which partially offsets the foreign currency impact from the underlying exposure, is summarized as follows: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left="637"/>
              <w:spacing w:after="0"/>
              <w:rPr>
                <w:sz w:val="20"/>
                <w:szCs w:val="20"/>
                <w:color w:val="auto"/>
              </w:rPr>
            </w:pPr>
            <w:r>
              <w:rPr>
                <w:rFonts w:ascii="Arial" w:cs="Arial" w:eastAsia="Arial" w:hAnsi="Arial"/>
                <w:sz w:val="14"/>
                <w:szCs w:val="14"/>
                <w:b w:val="1"/>
                <w:bCs w:val="1"/>
                <w:color w:val="auto"/>
                <w:w w:val="87"/>
              </w:rPr>
              <w:t>Gains (Losses)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4"/>
          </w:tcPr>
          <w:p>
            <w:pPr>
              <w:jc w:val="center"/>
              <w:ind w:left="377"/>
              <w:spacing w:after="0" w:line="149" w:lineRule="exact"/>
              <w:rPr>
                <w:sz w:val="20"/>
                <w:szCs w:val="20"/>
                <w:color w:val="auto"/>
              </w:rPr>
            </w:pPr>
            <w:r>
              <w:rPr>
                <w:rFonts w:ascii="Arial" w:cs="Arial" w:eastAsia="Arial" w:hAnsi="Arial"/>
                <w:sz w:val="14"/>
                <w:szCs w:val="14"/>
                <w:b w:val="1"/>
                <w:bCs w:val="1"/>
                <w:color w:val="auto"/>
                <w:w w:val="91"/>
              </w:rPr>
              <w:t>Recognized in Income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Three months ended December 31,</w:t>
            </w:r>
          </w:p>
        </w:tc>
      </w:tr>
      <w:tr>
        <w:trPr>
          <w:trHeight w:val="142"/>
        </w:trPr>
        <w:tc>
          <w:tcPr>
            <w:tcW w:w="5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2014</w:t>
            </w:r>
          </w:p>
        </w:tc>
        <w:tc>
          <w:tcPr>
            <w:tcW w:w="7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(4,595)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18"/>
                <w:szCs w:val="18"/>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(1,051)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Interest and other income (expense),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5,815</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18"/>
                <w:szCs w:val="18"/>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400" w:type="dxa"/>
            <w:vAlign w:val="bottom"/>
            <w:gridSpan w:val="3"/>
          </w:tcPr>
          <w:p>
            <w:pPr>
              <w:ind w:left="5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626,416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105,611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(48,249)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(36,398)</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9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683,778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920" w:type="dxa"/>
            <w:vAlign w:val="bottom"/>
            <w:vMerge w:val="restart"/>
          </w:tcPr>
          <w:p>
            <w:pPr>
              <w:jc w:val="right"/>
              <w:ind w:right="169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1"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244"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Three months ended</w:t>
      </w:r>
    </w:p>
    <w:p>
      <w:pPr>
        <w:jc w:val="center"/>
        <w:ind w:left="67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9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$ 35,836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Deferred</w:t>
            </w:r>
          </w:p>
        </w:tc>
        <w:tc>
          <w:tcPr>
            <w:tcW w:w="29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(23,761)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$ 12,075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44"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Three months ended</w:t>
      </w:r>
    </w:p>
    <w:p>
      <w:pPr>
        <w:jc w:val="center"/>
        <w:ind w:left="65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9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Foreign taxes</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8</w:t>
            </w:r>
          </w:p>
        </w:tc>
        <w:tc>
          <w:tcPr>
            <w:tcW w:w="9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23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Foreign taxes in the three months ended December 31, 2014 include a net benefit of approximately $7,500 due to settlements of tax audits in certain jurisdictions that resulted in a reduction to the Company’s provision for gross unrecognized tax benefits, partially offset by an increase to the Company’s taxes payable. Foreign taxes in the three months ended December 31, 2014 include also a net benefit of approximately $13,000 resulting from the release of valuation allowances on deferred tax assets at one of the Company’s subsidiaries, which will now, more likely than not, be realized due to a planned restructuring.</w:t>
      </w:r>
    </w:p>
    <w:p>
      <w:pPr>
        <w:spacing w:after="0" w:line="188"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As of December 31, 2014, deferred tax assets of $117,065, derived primarily from tax credits, net capital and operating loss carry forwards related to some of the Company’s subsidiaries, were offset by valuation allowances related to the uncertainty of realizing tax benefit for such credits and losses.</w:t>
      </w:r>
    </w:p>
    <w:p>
      <w:pPr>
        <w:spacing w:after="0" w:line="12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$117,490 as of December 31, 2014, all of which would affect the effective tax rate if realized.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2014, the Company had accrued $19,576 in income taxes payable for interest and penalties relating to unrecognized tax benefits.</w:t>
      </w:r>
    </w:p>
    <w:p>
      <w:pPr>
        <w:spacing w:after="0" w:line="24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Three months ended</w:t>
      </w:r>
    </w:p>
    <w:p>
      <w:pPr>
        <w:jc w:val="center"/>
        <w:ind w:left="67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6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Numerator for basic and diluted earnings per share</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130,990</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tcPr>
          <w:p>
            <w:pPr>
              <w:ind w:left="360"/>
              <w:spacing w:after="0" w:line="201" w:lineRule="exact"/>
              <w:rPr>
                <w:sz w:val="20"/>
                <w:szCs w:val="20"/>
                <w:color w:val="auto"/>
              </w:rPr>
            </w:pPr>
            <w:r>
              <w:rPr>
                <w:rFonts w:ascii="Arial" w:cs="Arial" w:eastAsia="Arial" w:hAnsi="Arial"/>
                <w:sz w:val="18"/>
                <w:szCs w:val="18"/>
                <w:color w:val="auto"/>
                <w:w w:val="96"/>
              </w:rPr>
              <w:t>Denominator for basic earnings per share — weighted average number of 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54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155,897</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159,659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assumed conversion of 0.5% convertible notes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Denominator for diluted earnings per share — adjusted weighted average shares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assumed conversions</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158,110</w:t>
            </w:r>
          </w:p>
        </w:tc>
        <w:tc>
          <w:tcPr>
            <w:tcW w:w="4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161,845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360"/>
              <w:spacing w:after="0"/>
              <w:rPr>
                <w:sz w:val="20"/>
                <w:szCs w:val="20"/>
                <w:color w:val="auto"/>
              </w:rPr>
            </w:pPr>
            <w:r>
              <w:rPr>
                <w:rFonts w:ascii="Arial" w:cs="Arial" w:eastAsia="Arial" w:hAnsi="Arial"/>
                <w:sz w:val="18"/>
                <w:szCs w:val="18"/>
                <w:color w:val="auto"/>
              </w:rPr>
              <w:t>Basic earnings per share</w:t>
            </w: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84</w:t>
            </w:r>
          </w:p>
        </w:tc>
        <w:tc>
          <w:tcPr>
            <w:tcW w:w="4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42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For the three months ended December 31, 2014 and 2013, 812 and 1,064 shares, respectively, on a weighted average basis, were attributable to antidilutive outstanding stock options and therefore were not included in the calculation of diluted earnings per share.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of Shares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the Company’s Board of Directors has adopted share repurchase plans authorizing the repurchase of the Company’s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ordinary shares. The current share repurchase plan, adopted by the Company’s Board of Directors on April 30, 2014, authorizes the repurchase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$750,000 of the Company’s outstanding ordinary shares with no expiration date. In the three months ended December 31, 2014, the Company repurchased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2,165 ordinary shares at an average price of $46.93 per share (excluding broker and transaction fees). As of December 31, 2014,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remaining authority to repurchase up to $612,380 of its outstanding ordinary shares. The authorization permits the Company to purchase its ordinary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in open market or privately negotiated transactions at times and prices that it considers appropriate.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September 2014, the Company borrowed an aggregate of $210,000 under its unsecured $500,000 five-year revolving credit facility with a syndicate of banks and repaid it in October 2014. In December 2014, the credit facility was amended and restated to, among other things, extend the maturity date of the facility to December 2019. As of December 31, 2014, the Company was in compliance with the financial covenants under the revolving credit facility and had no outstanding borrowings under this facility.</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of December 31, 2014, the Company had additional uncommitted lines of credit available for general corporate and other specific purposes and had outstanding letters of credit and bank guarantees from various banks totaling $75,984. These were supported by a combination of the uncommitted lines of credit and restricted cash balances that the Company maintains with various banks.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Incentive Plan</w:t>
      </w:r>
    </w:p>
    <w:p>
      <w:pPr>
        <w:spacing w:after="0" w:line="121"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6"/>
          <w:szCs w:val="16"/>
          <w:color w:val="auto"/>
        </w:rPr>
        <w:t>In January 1998, the Company adopted the 1998 Stock Option and Incentive Plan, or Equity Incentive Plan, which provides for the grant of restricted stock awards, stock options and other equity-based awards to employees, officers, directors, and consultants. The purpose of the Equity Incentive Plan is to enable the Company to attract and retain qualified personnel and to motivate such persons by providing them with an equity participation in the Company.</w:t>
      </w:r>
    </w:p>
    <w:p>
      <w:pPr>
        <w:jc w:val="both"/>
        <w:ind w:right="140"/>
        <w:spacing w:after="0" w:line="302" w:lineRule="auto"/>
        <w:rPr>
          <w:sz w:val="20"/>
          <w:szCs w:val="20"/>
          <w:color w:val="auto"/>
        </w:rPr>
      </w:pPr>
      <w:r>
        <w:rPr>
          <w:rFonts w:ascii="Arial" w:cs="Arial" w:eastAsia="Arial" w:hAnsi="Arial"/>
          <w:sz w:val="16"/>
          <w:szCs w:val="16"/>
          <w:color w:val="auto"/>
        </w:rPr>
        <w:t>Since its adoption, the Equity Incentive Plan has been amended on several occasions to, among other things, increase the number of ordinary shares issuable under the Equity Incentive Plan and extend its term. The maximum number of ordinary shares currently authorized to be granted under the Equity Incentive Plan is 62,300. Awards granted under the Equity Incentive Plan generally vest over a period of four years and stock options have a term of ten years.</w:t>
      </w:r>
    </w:p>
    <w:p>
      <w:pPr>
        <w:spacing w:after="0" w:line="151"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three-month period ended December 31, 2014:</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2"/>
                <w:szCs w:val="12"/>
                <w:color w:val="auto"/>
              </w:rPr>
            </w:pPr>
          </w:p>
        </w:tc>
        <w:tc>
          <w:tcPr>
            <w:tcW w:w="11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Exercise</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Price</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1, 2014</w:t>
            </w:r>
          </w:p>
        </w:tc>
        <w:tc>
          <w:tcPr>
            <w:tcW w:w="2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9,563</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Granted</w:t>
            </w:r>
          </w:p>
        </w:tc>
        <w:tc>
          <w:tcPr>
            <w:tcW w:w="3560" w:type="dxa"/>
            <w:vAlign w:val="bottom"/>
            <w:gridSpan w:val="3"/>
          </w:tcPr>
          <w:p>
            <w:pPr>
              <w:jc w:val="right"/>
              <w:ind w:right="320"/>
              <w:spacing w:after="0"/>
              <w:rPr>
                <w:sz w:val="20"/>
                <w:szCs w:val="20"/>
                <w:color w:val="auto"/>
              </w:rPr>
            </w:pPr>
            <w:r>
              <w:rPr>
                <w:rFonts w:ascii="Arial" w:cs="Arial" w:eastAsia="Arial" w:hAnsi="Arial"/>
                <w:sz w:val="18"/>
                <w:szCs w:val="18"/>
                <w:color w:val="auto"/>
              </w:rPr>
              <w:t>843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47.58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30.35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Forfeited</w:t>
            </w:r>
          </w:p>
        </w:tc>
        <w:tc>
          <w:tcPr>
            <w:tcW w:w="25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34.63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2014</w:t>
            </w:r>
          </w:p>
        </w:tc>
        <w:tc>
          <w:tcPr>
            <w:tcW w:w="2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9,639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35.12</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Exercisable as of December 31, 2014</w:t>
            </w:r>
          </w:p>
        </w:tc>
        <w:tc>
          <w:tcPr>
            <w:tcW w:w="2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580" w:type="dxa"/>
            <w:vAlign w:val="bottom"/>
          </w:tcPr>
          <w:p>
            <w:pPr>
              <w:spacing w:after="0"/>
              <w:rPr>
                <w:sz w:val="18"/>
                <w:szCs w:val="18"/>
                <w:color w:val="auto"/>
              </w:rPr>
            </w:pPr>
          </w:p>
        </w:tc>
        <w:tc>
          <w:tcPr>
            <w:tcW w:w="7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79"/>
              </w:rPr>
              <w:t>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560" w:type="dxa"/>
            <w:vAlign w:val="bottom"/>
            <w:vMerge w:val="restart"/>
          </w:tcPr>
          <w:p>
            <w:pPr>
              <w:jc w:val="right"/>
              <w:ind w:right="1310"/>
              <w:spacing w:after="0"/>
              <w:rPr>
                <w:sz w:val="20"/>
                <w:szCs w:val="20"/>
                <w:color w:val="auto"/>
              </w:rPr>
            </w:pPr>
            <w:r>
              <w:rPr>
                <w:rFonts w:ascii="Arial" w:cs="Arial" w:eastAsia="Arial" w:hAnsi="Arial"/>
                <w:sz w:val="18"/>
                <w:szCs w:val="18"/>
                <w:color w:val="auto"/>
              </w:rPr>
              <w:t>14</w:t>
            </w: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summarizes information relating to awards of restricted shares, as well as changes to such awards during the three-month period ended December 31, 2014:</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2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unvested shares as of October 1, 2014</w:t>
            </w:r>
          </w:p>
        </w:tc>
        <w:tc>
          <w:tcPr>
            <w:tcW w:w="1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Granted</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(441)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December 31, 2014</w:t>
            </w:r>
          </w:p>
        </w:tc>
        <w:tc>
          <w:tcPr>
            <w:tcW w:w="11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months ended December 31, 2014 and 2013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560" w:type="dxa"/>
            <w:vAlign w:val="bottom"/>
            <w:tcBorders>
              <w:top w:val="single" w:sz="8" w:color="auto"/>
            </w:tcBorders>
            <w:gridSpan w:val="3"/>
          </w:tcPr>
          <w:p>
            <w:pPr>
              <w:ind w:left="7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100" w:type="dxa"/>
            <w:vAlign w:val="bottom"/>
            <w:shd w:val="clear" w:color="auto" w:fill="CCEEFF"/>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13,898</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12,965</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total income tax benefit recognized in the consolidated statements of income for stock-based compensation (including restricted shares) for the three months ended December 31, 2014 and 2013, was $1,449 and $1,218, respectively.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As of December 31, 2014, there was $53,929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selected the Black-Scholes option pricing model as the most appropriate fair value method for its equity-based awards. The Black-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assumptions used are noted in the following table (all in weighted averages for options granted during the period):</w:t>
      </w:r>
    </w:p>
    <w:p>
      <w:pPr>
        <w:spacing w:after="0" w:line="229"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Three months ended</w:t>
      </w:r>
    </w:p>
    <w:p>
      <w:pPr>
        <w:jc w:val="center"/>
        <w:ind w:left="66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5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(1)</w:t>
            </w:r>
          </w:p>
        </w:tc>
        <w:tc>
          <w:tcPr>
            <w:tcW w:w="3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1.44%</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4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3080" w:type="dxa"/>
            <w:vAlign w:val="bottom"/>
            <w:gridSpan w:val="3"/>
          </w:tcPr>
          <w:p>
            <w:pPr>
              <w:jc w:val="right"/>
              <w:ind w:right="260"/>
              <w:spacing w:after="0"/>
              <w:rPr>
                <w:sz w:val="20"/>
                <w:szCs w:val="20"/>
                <w:color w:val="auto"/>
              </w:rPr>
            </w:pPr>
            <w:r>
              <w:rPr>
                <w:rFonts w:ascii="Arial" w:cs="Arial" w:eastAsia="Arial" w:hAnsi="Arial"/>
                <w:sz w:val="18"/>
                <w:szCs w:val="18"/>
                <w:color w:val="auto"/>
              </w:rPr>
              <w:t>1.41%</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$ 5.41</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$ 5.26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27"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21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ectPr>
          <w:pgSz w:w="11900" w:h="16838" w:orient="portrait"/>
          <w:cols w:equalWidth="0" w:num="1">
            <w:col w:w="11420"/>
          </w:cols>
          <w:pgMar w:left="240" w:top="45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13.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three months ended December 31, 2014 and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18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Record Date</w:t>
            </w: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28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0" w:type="dxa"/>
            <w:vAlign w:val="bottom"/>
          </w:tcPr>
          <w:p>
            <w:pPr>
              <w:spacing w:after="0"/>
              <w:rPr>
                <w:sz w:val="1"/>
                <w:szCs w:val="1"/>
                <w:color w:val="auto"/>
              </w:rPr>
            </w:pPr>
          </w:p>
        </w:tc>
      </w:tr>
      <w:tr>
        <w:trPr>
          <w:trHeight w:val="158"/>
        </w:trPr>
        <w:tc>
          <w:tcPr>
            <w:tcW w:w="4440" w:type="dxa"/>
            <w:vAlign w:val="bottom"/>
            <w:gridSpan w:val="2"/>
            <w:vMerge w:val="continue"/>
          </w:tcPr>
          <w:p>
            <w:pPr>
              <w:spacing w:after="0"/>
              <w:rPr>
                <w:sz w:val="13"/>
                <w:szCs w:val="13"/>
                <w:color w:val="auto"/>
              </w:rPr>
            </w:pPr>
          </w:p>
        </w:tc>
        <w:tc>
          <w:tcPr>
            <w:tcW w:w="15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Ordinary Share</w:t>
            </w:r>
          </w:p>
        </w:tc>
        <w:tc>
          <w:tcPr>
            <w:tcW w:w="1880" w:type="dxa"/>
            <w:vAlign w:val="bottom"/>
            <w:gridSpan w:val="2"/>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November 4, 2014</w:t>
            </w:r>
          </w:p>
        </w:tc>
        <w:tc>
          <w:tcPr>
            <w:tcW w:w="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0.155</w:t>
            </w:r>
          </w:p>
        </w:tc>
        <w:tc>
          <w:tcPr>
            <w:tcW w:w="5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December 31, 2014</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24,086</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January 16, 2015</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November 5, 2013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0.130</w:t>
            </w:r>
          </w:p>
        </w:tc>
        <w:tc>
          <w:tcPr>
            <w:tcW w:w="560" w:type="dxa"/>
            <w:vAlign w:val="bottom"/>
          </w:tcPr>
          <w:p>
            <w:pPr>
              <w:spacing w:after="0"/>
              <w:rPr>
                <w:sz w:val="20"/>
                <w:szCs w:val="20"/>
                <w:color w:val="auto"/>
              </w:rPr>
            </w:pPr>
          </w:p>
        </w:tc>
        <w:tc>
          <w:tcPr>
            <w:tcW w:w="18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December 31, 2013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20,752</w:t>
            </w:r>
          </w:p>
        </w:tc>
        <w:tc>
          <w:tcPr>
            <w:tcW w:w="15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January 17, 2014</w:t>
            </w:r>
          </w:p>
        </w:tc>
        <w:tc>
          <w:tcPr>
            <w:tcW w:w="0" w:type="dxa"/>
            <w:vAlign w:val="bottom"/>
          </w:tcPr>
          <w:p>
            <w:pPr>
              <w:spacing w:after="0"/>
              <w:rPr>
                <w:sz w:val="1"/>
                <w:szCs w:val="1"/>
                <w:color w:val="auto"/>
              </w:rPr>
            </w:pPr>
          </w:p>
        </w:tc>
      </w:tr>
      <w:tr>
        <w:trPr>
          <w:trHeight w:val="350"/>
        </w:trPr>
        <w:tc>
          <w:tcPr>
            <w:tcW w:w="10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121" w:right="6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payable as a result of the November 4, 2014 declaration was included in accrued expenses and other current liabilities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1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January 27, 2015, the Company’s Board of Directors approved the next quarterly dividend payment and set March 31, 2015 as the record date for determining the shareholders entitled to receive the dividend, which is payable on April 16, 2015. On January 28, 2015, at the annual general meeting of shareholders, the Company’s shareholders approved an increase in the rate of the quarterly cash dividend from $0.155 per share to $0.17 per share. As a result, the April 16, 2015 cash dividend will be paid at the increased rate of $0.17 per share.</w:t>
      </w:r>
    </w:p>
    <w:p>
      <w:pPr>
        <w:spacing w:after="0" w:line="291" w:lineRule="exact"/>
        <w:rPr>
          <w:sz w:val="20"/>
          <w:szCs w:val="20"/>
          <w:color w:val="auto"/>
        </w:rPr>
      </w:pPr>
    </w:p>
    <w:p>
      <w:pPr>
        <w:ind w:left="460" w:right="9520" w:hanging="452"/>
        <w:spacing w:after="0" w:line="425" w:lineRule="auto"/>
        <w:tabs>
          <w:tab w:leader="none" w:pos="27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i w:val="1"/>
          <w:iCs w:val="1"/>
          <w:color w:val="auto"/>
        </w:rPr>
        <w:t>Legal Proceedings</w:t>
      </w:r>
    </w:p>
    <w:p>
      <w:pPr>
        <w:spacing w:after="0" w:line="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generally offers its products with a limited warranty for a period of 90 days or more.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three months ended December 31, 2014 and 2013.</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2014, filed on December 8, 2014 with the U.S. Securities and Exchange Commission.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Amdocs is a leading provider of software and services for communications, entertainment and media industry service providers in developed countries and emerging markets. We develop, implement and manage software and services associated with business support systems (BSS), operational support systems (OSS) and network control and optimization domains to enable service providers to introduce new products and services quickly, understand their customers more deeply, process orders more efficiently, monetize data and support new business models while controlling costs. We refer to these systems collectively as customer experience solutions because of the crucial impact that these systems have on the service providers’ end-user experience.</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believe the demand for our customer experience solutions is driven by the desire of service providers to help their consumers navigate the increasing number of devices, services and plans available in the connected communications world and the need of service providers to cope with the rapidly growing demand for data that these new devices and services have created. Released in the first quarter of fiscal 2015, Amdocs CES (Customer Experience Solutions) 9.2 spans BSS, OSS and network control and optimization domains to enable service providers to centralize product and service data from Amdocs and third parties, eliminate barriers between business needs and information technology implementation, allowing for new market-driven modes of business and significantly reduced service design and implementation times for accelerated time to market. Amdocs CES 9.2 enables service providers to provide next generation customer management by providing a consistent user experience across all applications and channels and close the loop from the customer to the network using insights derived from big data analytics that are delivered in real time from a variety of data sources, including the network and BSS suite. Within the network domain, Amdocs released several solutions to enable service providers to accelerate the transformation from physical to virtual networks and support the rapid deployment and monetization of multiple technologies, such as Fiber, LTE, Small Cells and Wi-Fi. In December 2014, we released the Amdocs Mobile Financial Services solution. This offering enables mobile network operators, banks and other financial institutions to drive adoption of financial services delivered over feature phones or smartphones, addressing the fundamental need of unbanked and under-banked populations worldwide for accessible and affordable banking services.</w:t>
      </w:r>
    </w:p>
    <w:p>
      <w:pPr>
        <w:spacing w:after="0" w:line="188"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We also offer advertising and media products and services for advertising service providers, media publishers and ad agencies. These offerings enable the management of media selling, fulfillment, operations, consumer experiences and financial processes across digital and print media.</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 conditions in the communications, entertainment and media industry. In the three months ended December 31, 2014, customers in North America accounted for 72.7% of our revenue, while customers in Europe and the rest of the world accounted for 11.8% and 15.5%, respectively. We maintain development facilities in Brazil, Canada, Cyprus, India, Ireland, Israel the United Kingdom and the United States.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900" w:right="5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8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 significant portion of our revenue is recognized over the course of long-term implementation and integration projects under the percentage of completion method of accounting, usually based on a percentage that incurred labor effort to date bears to total projected labor effort. When total cost estimates exceed revenue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Revenue generated in connection with managed services arrangements is a significant part of our business, generating substantial, long-term recurring revenue streams and cash flow. Revenue from managed services arrangements accounted for approximately $467.1 million and $429.3 million in the three months ended December 31, 2014 and 2013, respectively.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May 2014, the Financial Accounting Standards Board, or FASB, issued an Accounting Standard Update, or ASU, on revenue from contracts with customers, which outlines a single comprehensive model for entities to use in accounting for revenue arising from contracts with customers and supersedes most current revenue recognition guidance. This ASU, which will be effective for us beginning October 1, 2017, allows for either full or modified retrospective methods of adoption and early adoption is not permitted. We are currently evaluating the methods of adoption, as well as the effect that adoption of this ASU will have on our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In July 2013, the FASB issued an ASU that requires an entity to present an unrecognized tax benefit, or a portion of an unrecognized tax benefit, in the financial statements as a reduction to a deferred tax asset for a net operating loss carryforward, a similar tax loss, or a tax credit carryforward, in the absence of certain conditions. This ASU became effective for us in the first quarter of fiscal 2015 and its adoption resulted in a reclassification of $15.0 million from noncurrent taxes payable to assets under noncurrent deferred income taxes as of December 31, 2014.</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sets forth for the three months ended December 31, 2014 and 2013, certain items in our consolidated statements of income reflected as a percentage of revenue:</w:t>
      </w:r>
    </w:p>
    <w:p>
      <w:pPr>
        <w:spacing w:after="0" w:line="189"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Three months ended</w:t>
      </w:r>
    </w:p>
    <w:p>
      <w:pPr>
        <w:jc w:val="center"/>
        <w:ind w:left="66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expenses:</w:t>
            </w:r>
          </w:p>
        </w:tc>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w w:val="89"/>
              </w:rPr>
              <w:t>Amortization of purchased intangible assets and other</w:t>
            </w:r>
          </w:p>
        </w:tc>
        <w:tc>
          <w:tcPr>
            <w:tcW w:w="26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6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6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6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2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14.5%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620" w:type="dxa"/>
            <w:vAlign w:val="bottom"/>
            <w:vMerge w:val="restart"/>
          </w:tcPr>
          <w:p>
            <w:pPr>
              <w:jc w:val="right"/>
              <w:ind w:right="2350"/>
              <w:spacing w:after="0"/>
              <w:rPr>
                <w:sz w:val="20"/>
                <w:szCs w:val="20"/>
                <w:color w:val="auto"/>
              </w:rPr>
            </w:pPr>
            <w:r>
              <w:rPr>
                <w:rFonts w:ascii="Arial" w:cs="Arial" w:eastAsia="Arial" w:hAnsi="Arial"/>
                <w:sz w:val="18"/>
                <w:szCs w:val="18"/>
                <w:color w:val="auto"/>
                <w:w w:val="79"/>
              </w:rPr>
              <w:t>19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240" w:top="459" w:right="8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2014 and 2013</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three months ended December 31, 2014 compared to the three months ended December 31, 2013. Following the table is a discussion and analysis of our business and results of operations for such periods.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5"/>
            <w:vMerge w:val="restart"/>
          </w:tcPr>
          <w:p>
            <w:pPr>
              <w:jc w:val="right"/>
              <w:ind w:right="320"/>
              <w:spacing w:after="0"/>
              <w:rPr>
                <w:sz w:val="20"/>
                <w:szCs w:val="20"/>
                <w:color w:val="auto"/>
              </w:rPr>
            </w:pPr>
            <w:r>
              <w:rPr>
                <w:rFonts w:ascii="Arial" w:cs="Arial" w:eastAsia="Arial" w:hAnsi="Arial"/>
                <w:sz w:val="14"/>
                <w:szCs w:val="14"/>
                <w:b w:val="1"/>
                <w:bCs w:val="1"/>
                <w:color w:val="auto"/>
                <w:w w:val="98"/>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16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8"/>
              </w:rPr>
              <w:t>Amount</w:t>
            </w:r>
          </w:p>
        </w:tc>
        <w:tc>
          <w:tcPr>
            <w:tcW w:w="7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906,287</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864,045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42,242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573,446</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557,403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16,043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63,641</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62,325</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1,316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113,580</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111,959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14,099</w:t>
            </w:r>
          </w:p>
        </w:tc>
        <w:tc>
          <w:tcPr>
            <w:tcW w:w="1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11,668</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2,431</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743,355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21,411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120,690</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20,831</w:t>
            </w:r>
          </w:p>
        </w:tc>
        <w:tc>
          <w:tcPr>
            <w:tcW w:w="12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(1,404)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119,286</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23,779</w:t>
            </w:r>
          </w:p>
        </w:tc>
        <w:tc>
          <w:tcPr>
            <w:tcW w:w="12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12,075</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17,851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(5,776)</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130,990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101,435</w:t>
            </w: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29,555</w:t>
            </w:r>
          </w:p>
        </w:tc>
        <w:tc>
          <w:tcPr>
            <w:tcW w:w="12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$42.2 million, or 4.9%, to $906.3 million in the three months ended December 31, 2014, from $864.0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December 31, 2013. The increase in revenue was primarily attributable to the continued solid contribution by customers in North America, as well as to increased activity in the rest of the world, partially offset by lower revenue from customers in Europe. The 4.9% increase in revenue was net of a decrease of approximately 1.5% from foreign exchange fluctuations, a large portion of which was attributable to revenue from customers in Europe.</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Effective October 1, 2014, we combined the presentation of license and service revenue, as well as the related costs, since license revenue comprises an insignificant portion of total revenue and is no longer meaningful as a business indicator.</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Revenue attributable to the sale of customer experience solutions increased by $52.8 million, or 6.4%, to $882.4 million in the three months ended December 31, 2014, from $829.6 million in the three months ended December 31, 2013. The increase in revenue was primarily attributable to the continued solid contribution by customers in North America, as well as to increased activity in the rest of the world, partially offset by lower revenue from customers in Europe. Revenue resulting from the sale of customer experience solutions represented 97.4% and 96.0% of our revenue in the three months ended December 31, 2014 and 2013, respectively.</w:t>
      </w:r>
    </w:p>
    <w:p>
      <w:pPr>
        <w:spacing w:after="0" w:line="18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Revenue attributable to the sale of directory systems decreased by $10.5 million, or 30.5%, to $23.9 million in the three months ended December 31, 2014, from $34.4 million in the three months ended December 31, 2013. The decrease in revenue was primarily attributable to continued slowness in the directory systems market leading to lower revenue from managed services arrangements for directory systems customers. Revenue from the sale of directory systems represented 2.6% and 4.0% of our revenue in the three months ended December 31, 2014 and 2013, respectively.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the three months ended December 31, 2014, revenue from customers in North America, Europe and the rest of the world accounted for 72.7%,</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11.8% and 15.5%, respectively, of revenue, compared to 72.7%, 13.5% and 13.8%, respectively, in the three months ended December 31, 2013. Revenue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customers in North America increased in absolute amounts during the three months ended December 31, 2014; however, as a percentage of revenue,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North American customers remained flat in the three months ended December 31, 2014 compared to the three months ended December 31, 2013.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revenue as a percentage of revenue from customers in Europe was attributable primarily to negative impact from foreign exchange fluctuations.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from customers in the rest of the world increased as a percentage of revenue due to higher revenue from managed services arrangements and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network optimization activity.</w:t>
      </w:r>
    </w:p>
    <w:p>
      <w:pPr>
        <w:spacing w:after="0" w:line="211"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b w:val="1"/>
          <w:bCs w:val="1"/>
          <w:i w:val="1"/>
          <w:iCs w:val="1"/>
          <w:color w:val="auto"/>
        </w:rPr>
        <w:t>Cost of Revenue</w:t>
      </w:r>
      <w:r>
        <w:rPr>
          <w:rFonts w:ascii="Arial" w:cs="Arial" w:eastAsia="Arial" w:hAnsi="Arial"/>
          <w:sz w:val="17"/>
          <w:szCs w:val="17"/>
          <w:color w:val="auto"/>
        </w:rPr>
        <w:t>. Cost of revenue consists primarily of costs associated with providing services to customers, including compensation expense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of third-party products, as well as fee and royalty payments to software suppliers. Cost of revenue increased by $16.0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million, or 2.9%, to $573.4 million in the three months ended December 31, 2014, from $557.4 million in the three months ended December 31, 2013. As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percentage of revenue, cost of revenue decreased to 63.3% in the three months ended December 31, 2014, from 64.5% in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The improvement in the gross margin in the three months ended December 31, 2014 was attributable to our activities in Asia Pacific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Central and Latin America, where we incurred higher costs during the three months ended December 31, 2013, in association with continued efforts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expand our business into those markets.</w:t>
      </w:r>
    </w:p>
    <w:p>
      <w:pPr>
        <w:spacing w:after="0" w:line="21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$1.3 million, or 2.1%, to $63.6 million in the three months ended December 31, 2014, from $62.3 million in the three months ended December 31, 2013. Research and development expense decreased as a percentage of revenue from 7.2% in the three months ended December 31, 2013, to 7.0% in the three months ended December 31, 2014.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which is primarily comprised of compensation expense,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$1.6 million, or 1.4%, to $113.6 million in the three months ended December 31, 2014, from $112.0 million in the three months ended December 31, 2013. Selling, general and administrative expense may fluctuate from time to time, depending upon such factors as changes in our workforce and sales efforts and the results of any operational efficiency programs that we may undertake.</w:t>
      </w:r>
    </w:p>
    <w:p>
      <w:pPr>
        <w:spacing w:after="0" w:line="18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b w:val="1"/>
          <w:bCs w:val="1"/>
          <w:i w:val="1"/>
          <w:iCs w:val="1"/>
          <w:color w:val="auto"/>
        </w:rPr>
        <w:t xml:space="preserve">Amortization of Purchased Intangible Assets and Other. </w:t>
      </w:r>
      <w:r>
        <w:rPr>
          <w:rFonts w:ascii="Arial" w:cs="Arial" w:eastAsia="Arial" w:hAnsi="Arial"/>
          <w:sz w:val="17"/>
          <w:szCs w:val="17"/>
          <w:color w:val="auto"/>
        </w:rPr>
        <w:t>Amortization of purchased intangible assets and other in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2014, increased by $2.4 million to $14.1 million from $11.7 million in the three months ended December 31, 2013. The increase in amortization of purchased intangible assets and other was primarily attributable to an increase in amortization of intangible assets due to the acquisition of Celcite, which closed in the second quarter of fiscal 2014, partially offset by a decrease in acquisition-related costs.</w:t>
      </w:r>
    </w:p>
    <w:p>
      <w:pPr>
        <w:spacing w:after="0" w:line="17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Operating Income</w:t>
      </w:r>
      <w:r>
        <w:rPr>
          <w:rFonts w:ascii="Arial" w:cs="Arial" w:eastAsia="Arial" w:hAnsi="Arial"/>
          <w:sz w:val="16"/>
          <w:szCs w:val="16"/>
          <w:color w:val="auto"/>
        </w:rPr>
        <w:t>. Operating income increased by $20.8 million, or 17.3%, in the three months ended December 31, 2014, to $141.5 million, or 15.6%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revenue, from $120.7 million, or 14.0% of revenue, in the three months ended December 31, 2013. The increase in operating income as a percentage of revenue was primarily attributable to revenue increasing at a higher rate than operating expenses. Positive foreign exchange impacts on our operating expenses were partially offset by the negative foreign exchange impacts on our revenue, resulting in a minor positive impact on our operating income.</w:t>
      </w:r>
    </w:p>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and Other Income (Expense), Net. </w:t>
      </w:r>
      <w:r>
        <w:rPr>
          <w:rFonts w:ascii="Arial" w:cs="Arial" w:eastAsia="Arial" w:hAnsi="Arial"/>
          <w:sz w:val="18"/>
          <w:szCs w:val="18"/>
          <w:color w:val="auto"/>
        </w:rPr>
        <w:t>Interest and other income (expense), net, changed from a net loss of $1.4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2013 to a net gain of $1.5 million in the three months ended December 31, 2014. This change in interest and other income (expense), net, was primarily attributable to a financing gain, resulting from changes in fair value of certain acquisition-related liabilities recognized in the three months ended December 31, 2014.</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Income taxes for the three months ended December 31, 2014 were $12.1 million on pre-tax income of $143.1 million, resulting 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 tax rate of 8.4%, compared to 15.0% in the three months ended December 31, 2013. The decrease in the tax rate was attributable to a benefit from a release of valuation allowances on deferred tax assets during the three months ended December 31, 2014, coupled with a benefit due to a decrease in the amount of the provision for gross unrecognized tax benefits as a result of tax positions that were settled during the three months ended December 31, 2014. These decreases were partially offset by an increase attributable to the geographical distribution of earnings from global operations. Our effective tax rate may fluctuate between periods as a result of discrete items that may affect a particular period. Please see Note 8 to our consolidated financial statements.</w:t>
      </w:r>
    </w:p>
    <w:p>
      <w:pPr>
        <w:spacing w:after="0" w:line="16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$29.6 million, or 29.1%, to $131.0 million in the three months ended December 31, 2014, from $101.4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December 31, 2013. The increase in net income was attributable to the increase in operating income, as well as to the decrease in income taxes and the change in interest and other income (expense), net.</w:t>
      </w:r>
    </w:p>
    <w:p>
      <w:pPr>
        <w:spacing w:after="0" w:line="181"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Diluted Earnings Per Share. </w:t>
      </w:r>
      <w:r>
        <w:rPr>
          <w:rFonts w:ascii="Arial" w:cs="Arial" w:eastAsia="Arial" w:hAnsi="Arial"/>
          <w:sz w:val="16"/>
          <w:szCs w:val="16"/>
          <w:color w:val="auto"/>
        </w:rPr>
        <w:t>Diluted earnings per share increased by $0.20, or 31.7%, to $0.83 in the three months ended December 31, 2014,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$0.63 in the three months ended December 31, 2013. The increase in diluted earnings per share was mainly attributable to the increase in net income.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Cash, Cash Equivalents and Short-Term Interest-Bearing Investments. </w:t>
      </w:r>
      <w:r>
        <w:rPr>
          <w:rFonts w:ascii="Arial" w:cs="Arial" w:eastAsia="Arial" w:hAnsi="Arial"/>
          <w:sz w:val="18"/>
          <w:szCs w:val="18"/>
          <w:color w:val="auto"/>
        </w:rPr>
        <w:t>Cash, cash equivalents and short-term interest-bearing investments, net of short-term debt, totaled $1.27 billion as of December 31, 2014, compared to $1.21 billion as of September 30,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 was mainly attributable to $208.4 million in positive cash flow from operations and $14.5 million of proceeds from stock option exercises, partially offset by $101.6 million used to repurchase our ordinary shares, $36.7 million for capital expenditures, net, $24.3 million of cash dividend payments and $8.1 million in net cash paid for acquisitions. Net cash provided by operating activities amounted to $208.4 million and $186.5 million for the three months ended December 31, 2014 and 2013, respectively.</w:t>
      </w:r>
    </w:p>
    <w:p>
      <w:pPr>
        <w:spacing w:after="0" w:line="18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a general long-term guideline, we expect to retain roughly half of our free cash flow (calculated as cash flow from operations less net capital expenditures and other) to support the growth of our business, including possible mergers and acquisitions, and return the other half to our shareholders through share repurchases and dividends. Our actual share repurchase activity and payment of future dividends, if any, may vary quarterly or annually and will be based on several factors including our financial performance, outlook and liquidity.</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money market funds, U.S. government treasuries, corporate bonds and U.S. agency securities. We believe we have conservative investment policy guidelines. Our interest-bearing investments are stated at fair value with the unrealized gains or losses reported as a separate component of accumulated other comprehensive loss, net of tax, unless a security is other than temporarily impaired,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three months ended December 31, 2014 and 2013, we recognized immaterial credit losses. Please see Notes 4 and 5 to the consolidated financial statements.</w:t>
      </w:r>
    </w:p>
    <w:p>
      <w:pPr>
        <w:spacing w:after="0" w:line="16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 xml:space="preserve">Revolving Credit Facility, Letters of Credit, Guarantees and Contractual Obligations. </w:t>
      </w:r>
      <w:r>
        <w:rPr>
          <w:rFonts w:ascii="Arial" w:cs="Arial" w:eastAsia="Arial" w:hAnsi="Arial"/>
          <w:sz w:val="17"/>
          <w:szCs w:val="17"/>
          <w:color w:val="auto"/>
        </w:rPr>
        <w:t>In September 2014, we borrowed an aggregate of $210.0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unsecured $500 million revolving credit facility with a syndicate of banks and repaid it in October 2014. In December 2014, the credit facility was amended and restated to, among other things, extend the maturity date of the facility to December 2019. As of December 31, 2014, we were in compliance with the financial covenants under the revolving credit facility and had no outstanding borrowings under this facility.</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December 31, 2014, we had additional uncommitted lines of credit available for general corporate and other specific purposes and had outstanding letters of credit and bank guarantees from various banks totaling $76.0 million. These were supported by a combination of the uncommitted lines of credit and restricted cash balances that we maintain with various banks.</w:t>
      </w:r>
    </w:p>
    <w:p>
      <w:pPr>
        <w:spacing w:after="0" w:line="181"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We have contractual obligations for our non-cancelable operating leases, long-term debt, purchase obligations, pension funding and unrecognized tax benefits summarized in the disclosure of contractual obligations set forth in our Annual Report on Form 20-F for the fiscal year ended September 30, 2014, filed on December 8, 2014 with the SEC. Since September 30, 2014, there have been no material changes in our aggregate contractual obligations.</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Generally, 80% to 90% of our capital expenditures consist of purchases of computer equipment, and the remainder is attributable</w:t>
      </w:r>
      <w:r>
        <w:rPr>
          <w:rFonts w:ascii="Arial" w:cs="Arial" w:eastAsia="Arial" w:hAnsi="Arial"/>
          <w:sz w:val="17"/>
          <w:szCs w:val="17"/>
          <w:i w:val="1"/>
          <w:iCs w:val="1"/>
          <w:color w:val="auto"/>
        </w:rPr>
        <w:t xml:space="preserve"> </w:t>
      </w:r>
      <w:r>
        <w:rPr>
          <w:rFonts w:ascii="Arial" w:cs="Arial" w:eastAsia="Arial" w:hAnsi="Arial"/>
          <w:sz w:val="17"/>
          <w:szCs w:val="17"/>
          <w:color w:val="auto"/>
        </w:rPr>
        <w:t>mainly to leasehold improvements. Our capital expenditures were approximately $36.7 million in the three months ended December 31, 2014 and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From time to time, our Board of Directors has adopted share repurchase plans authorizing the repurchase of our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Our current share repurchase plan, adopted in April 2014, authorizes the repurchase of up to $750.0 million of our outstanding ordinary shares with no expiration date. In the three months ended December 31, 2014, we repurchased 2.2 million ordinary shares at an average price of $46.93 per share (excluding broker and transaction fees). As of December 31, 2014, we had remaining authority to repurchase up to $612.4 million of our outstanding ordinary shares. The authorization permits us to purchase our ordinary shares in open market or privately negotiated transactions at times and prices that we consider appropriate.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three months ended December 31, 2014 and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560" w:type="dxa"/>
            <w:vAlign w:val="bottom"/>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4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28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Ordinary Share</w:t>
            </w:r>
          </w:p>
        </w:tc>
        <w:tc>
          <w:tcPr>
            <w:tcW w:w="14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November 4,</w:t>
            </w:r>
          </w:p>
        </w:tc>
        <w:tc>
          <w:tcPr>
            <w:tcW w:w="1880" w:type="dxa"/>
            <w:vAlign w:val="bottom"/>
            <w:tcBorders>
              <w:top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color w:val="auto"/>
                <w:w w:val="74"/>
              </w:rPr>
              <w:t>2014</w:t>
            </w:r>
          </w:p>
        </w:tc>
        <w:tc>
          <w:tcPr>
            <w:tcW w:w="15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0.155</w:t>
            </w:r>
          </w:p>
        </w:tc>
        <w:tc>
          <w:tcPr>
            <w:tcW w:w="5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2014</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16, 2015</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November 5, 2013</w:t>
            </w:r>
          </w:p>
        </w:tc>
        <w:tc>
          <w:tcPr>
            <w:tcW w:w="190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0.130</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31, 2013</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20.8</w:t>
            </w:r>
          </w:p>
        </w:tc>
        <w:tc>
          <w:tcPr>
            <w:tcW w:w="15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January 17, 2014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On January 27, 2015, our Board of Directors approved the next dividend payment and set March 31, 2015 as the record date for determining the shareholders entitled to receive the dividend, which is payable on April 16, 2015. On January 28, 2015, at the annual general meeting of shareholders, our shareholders approved an increase in the rate of the quarterly cash dividend from $0.155 per share to $0.17 per share. As a result, the April 16, 2015 cash dividend will be paid at the increased rate of $0.17 per share.</w:t>
      </w:r>
    </w:p>
    <w:p>
      <w:pPr>
        <w:spacing w:after="0" w:line="18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further shareholder approval.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three months ended December 31, 2014 and 2013,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December 31, 2014 of equity securities that are registered by us pursuant to Section 12 of the Exchange Act: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rPr>
              <w:t>(b)</w:t>
            </w: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2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940" w:type="dxa"/>
            <w:vAlign w:val="bottom"/>
            <w:gridSpan w:val="2"/>
            <w:vMerge w:val="restart"/>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00" w:type="dxa"/>
            <w:vAlign w:val="bottom"/>
          </w:tcPr>
          <w:p>
            <w:pPr>
              <w:spacing w:after="0"/>
              <w:rPr>
                <w:sz w:val="12"/>
                <w:szCs w:val="12"/>
                <w:color w:val="auto"/>
              </w:rPr>
            </w:pPr>
          </w:p>
        </w:tc>
        <w:tc>
          <w:tcPr>
            <w:tcW w:w="15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94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600" w:type="dxa"/>
            <w:vAlign w:val="bottom"/>
          </w:tcPr>
          <w:p>
            <w:pPr>
              <w:spacing w:after="0"/>
              <w:rPr>
                <w:sz w:val="14"/>
                <w:szCs w:val="14"/>
                <w:color w:val="auto"/>
              </w:rPr>
            </w:pPr>
          </w:p>
        </w:tc>
        <w:tc>
          <w:tcPr>
            <w:tcW w:w="15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Paid per Share</w:t>
            </w:r>
          </w:p>
        </w:tc>
        <w:tc>
          <w:tcPr>
            <w:tcW w:w="17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or Programs</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or Programs(1)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10/01/14-10/31/14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714,780</w:t>
            </w:r>
          </w:p>
        </w:tc>
        <w:tc>
          <w:tcPr>
            <w:tcW w:w="6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45.66</w:t>
            </w:r>
          </w:p>
        </w:tc>
        <w:tc>
          <w:tcPr>
            <w:tcW w:w="60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714,780</w:t>
            </w: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681,340,772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11/01/14-11/30/14</w:t>
            </w:r>
          </w:p>
        </w:tc>
        <w:tc>
          <w:tcPr>
            <w:tcW w:w="1040" w:type="dxa"/>
            <w:vAlign w:val="bottom"/>
          </w:tcPr>
          <w:p>
            <w:pPr>
              <w:jc w:val="right"/>
              <w:spacing w:after="0"/>
              <w:rPr>
                <w:sz w:val="20"/>
                <w:szCs w:val="20"/>
                <w:color w:val="auto"/>
              </w:rPr>
            </w:pPr>
            <w:r>
              <w:rPr>
                <w:rFonts w:ascii="Arial" w:cs="Arial" w:eastAsia="Arial" w:hAnsi="Arial"/>
                <w:sz w:val="18"/>
                <w:szCs w:val="18"/>
                <w:color w:val="auto"/>
              </w:rPr>
              <w:t>676,700</w:t>
            </w:r>
          </w:p>
        </w:tc>
        <w:tc>
          <w:tcPr>
            <w:tcW w:w="8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47.57</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676,700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649,149,166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12/01/14-12/31/14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773,300</w:t>
            </w:r>
          </w:p>
        </w:tc>
        <w:tc>
          <w:tcPr>
            <w:tcW w:w="8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47.55</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773,300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612,379,633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gridSpan w:val="4"/>
          </w:tcPr>
          <w:p>
            <w:pPr>
              <w:ind w:left="46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2,164,780</w:t>
            </w:r>
          </w:p>
        </w:tc>
        <w:tc>
          <w:tcPr>
            <w:tcW w:w="8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46.93</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2,164,780</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612,379,633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April 2014, our Board of Directors adopted a share repurchase plan authorizing the repurchase of up to $750.0 million of our outstanding ordinary shares, which has no expiration date. The authorization permits us to purchase our ordinary shares in open market or privately negotiated transactions at times and prices we consider appropriate.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December 31, 2014:</w:t>
      </w:r>
    </w:p>
    <w:p>
      <w:pPr>
        <w:spacing w:after="0" w:line="225" w:lineRule="exact"/>
        <w:rPr>
          <w:sz w:val="20"/>
          <w:szCs w:val="20"/>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November 5, 2014</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December 12, 2014</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December 24, 2014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sectPr>
      <w:pgSz w:w="11900" w:h="16838" w:orient="portrait"/>
      <w:cols w:equalWidth="0" w:num="1">
        <w:col w:w="10740"/>
      </w:cols>
      <w:pgMar w:left="240" w:top="459"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4"/>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2019-12-07T04:18:45Z</dcterms:created>
  <dcterms:modified xsi:type="dcterms:W3CDTF">2019-12-07T04:18:45Z</dcterms:modified>
</cp:coreProperties>
</file>