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1 of 9 pages</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13D</w:t>
      </w:r>
    </w:p>
    <w:p>
      <w:pPr>
        <w:jc w:val="center"/>
        <w:ind w:right="175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left="460" w:right="10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(Amendment No. 2)1</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Ordinary Shares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G02602 10 3</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Welsh, Carson, Anderson</w:t>
      </w:r>
    </w:p>
    <w:p>
      <w:pPr>
        <w:ind w:left="740"/>
        <w:spacing w:after="0" w:line="238" w:lineRule="auto"/>
        <w:rPr>
          <w:sz w:val="20"/>
          <w:szCs w:val="20"/>
          <w:color w:val="auto"/>
        </w:rPr>
      </w:pPr>
      <w:r>
        <w:rPr>
          <w:rFonts w:ascii="Courier New" w:cs="Courier New" w:eastAsia="Courier New" w:hAnsi="Courier New"/>
          <w:sz w:val="18"/>
          <w:szCs w:val="18"/>
          <w:color w:val="auto"/>
        </w:rPr>
        <w:t>&amp; Stowe IX, L.P.,</w:t>
      </w:r>
    </w:p>
    <w:p>
      <w:pPr>
        <w:ind w:left="740"/>
        <w:spacing w:after="0"/>
        <w:rPr>
          <w:sz w:val="20"/>
          <w:szCs w:val="20"/>
          <w:color w:val="auto"/>
        </w:rPr>
      </w:pPr>
      <w:r>
        <w:rPr>
          <w:rFonts w:ascii="Courier New" w:cs="Courier New" w:eastAsia="Courier New" w:hAnsi="Courier New"/>
          <w:sz w:val="18"/>
          <w:szCs w:val="18"/>
          <w:color w:val="auto"/>
        </w:rPr>
        <w:t>320 Park Avenue, Suite 2500</w:t>
      </w:r>
    </w:p>
    <w:p>
      <w:pPr>
        <w:ind w:left="740"/>
        <w:spacing w:after="0"/>
        <w:tabs>
          <w:tab w:leader="none" w:pos="284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w:t>
      </w:r>
    </w:p>
    <w:p>
      <w:pPr>
        <w:spacing w:after="0" w:line="5"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Attention: Jonathan M. Rather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William J. Hewitt, Esq.</w:t>
      </w:r>
    </w:p>
    <w:p>
      <w:pPr>
        <w:spacing w:after="0" w:line="238" w:lineRule="auto"/>
        <w:rPr>
          <w:sz w:val="20"/>
          <w:szCs w:val="20"/>
          <w:color w:val="auto"/>
        </w:rPr>
      </w:pPr>
      <w:r>
        <w:rPr>
          <w:rFonts w:ascii="Courier New" w:cs="Courier New" w:eastAsia="Courier New" w:hAnsi="Courier New"/>
          <w:sz w:val="18"/>
          <w:szCs w:val="18"/>
          <w:color w:val="auto"/>
        </w:rPr>
        <w:t>Ropes &amp; Gray LLP</w:t>
      </w:r>
    </w:p>
    <w:p>
      <w:pPr>
        <w:spacing w:after="0"/>
        <w:rPr>
          <w:sz w:val="20"/>
          <w:szCs w:val="20"/>
          <w:color w:val="auto"/>
        </w:rPr>
      </w:pPr>
      <w:r>
        <w:rPr>
          <w:rFonts w:ascii="Courier New" w:cs="Courier New" w:eastAsia="Courier New" w:hAnsi="Courier New"/>
          <w:sz w:val="18"/>
          <w:szCs w:val="18"/>
          <w:color w:val="auto"/>
        </w:rPr>
        <w:t>45 Rockefeller Plaza</w:t>
      </w:r>
    </w:p>
    <w:p>
      <w:pPr>
        <w:spacing w:after="0"/>
        <w:tabs>
          <w:tab w:leader="none" w:pos="20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10111</w:t>
      </w:r>
    </w:p>
    <w:p>
      <w:pPr>
        <w:spacing w:after="0" w:line="238" w:lineRule="auto"/>
        <w:rPr>
          <w:sz w:val="20"/>
          <w:szCs w:val="20"/>
          <w:color w:val="auto"/>
        </w:rPr>
      </w:pPr>
      <w:r>
        <w:rPr>
          <w:rFonts w:ascii="Courier New" w:cs="Courier New" w:eastAsia="Courier New" w:hAnsi="Courier New"/>
          <w:sz w:val="18"/>
          <w:szCs w:val="18"/>
          <w:color w:val="auto"/>
        </w:rPr>
        <w:t>Tel. (212) 841-5700</w:t>
      </w:r>
    </w:p>
    <w:p>
      <w:pPr>
        <w:spacing w:after="0" w:line="5" w:lineRule="exact"/>
        <w:rPr>
          <w:sz w:val="24"/>
          <w:szCs w:val="24"/>
          <w:color w:val="auto"/>
        </w:rPr>
      </w:pPr>
    </w:p>
    <w:p>
      <w:pPr>
        <w:sectPr>
          <w:pgSz w:w="11900" w:h="16838" w:orient="portrait"/>
          <w:cols w:equalWidth="0" w:num="2">
            <w:col w:w="4140" w:space="720"/>
            <w:col w:w="5359"/>
          </w:cols>
          <w:pgMar w:left="240" w:top="244"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Tel. (212) 893-9500</w:t>
      </w:r>
    </w:p>
    <w:p>
      <w:pPr>
        <w:sectPr>
          <w:pgSz w:w="11900" w:h="16838" w:orient="portrait"/>
          <w:cols w:equalWidth="0" w:num="1">
            <w:col w:w="10219"/>
          </w:cols>
          <w:pgMar w:left="240" w:top="244" w:right="1440" w:bottom="0" w:gutter="0" w:footer="0" w:header="0"/>
          <w:type w:val="continuous"/>
        </w:sectPr>
      </w:pP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July 31, 2003</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6"/>
          </w:tcPr>
          <w:p>
            <w:pPr>
              <w:spacing w:after="0"/>
              <w:rPr>
                <w:sz w:val="20"/>
                <w:szCs w:val="20"/>
                <w:color w:val="auto"/>
              </w:rPr>
            </w:pPr>
            <w:r>
              <w:rPr>
                <w:rFonts w:ascii="Courier New" w:cs="Courier New" w:eastAsia="Courier New" w:hAnsi="Courier New"/>
                <w:sz w:val="18"/>
                <w:szCs w:val="18"/>
                <w:color w:val="auto"/>
              </w:rPr>
              <w:t>_______________________</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1The</w:t>
            </w:r>
          </w:p>
        </w:tc>
        <w:tc>
          <w:tcPr>
            <w:tcW w:w="20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remainder</w:t>
            </w:r>
          </w:p>
        </w:tc>
        <w:tc>
          <w:tcPr>
            <w:tcW w:w="1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of this cover</w:t>
            </w:r>
          </w:p>
        </w:tc>
        <w:tc>
          <w:tcPr>
            <w:tcW w:w="34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page  shall be filled  out for a</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reporting</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person's</w:t>
            </w:r>
          </w:p>
        </w:tc>
        <w:tc>
          <w:tcPr>
            <w:tcW w:w="25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6"/>
              </w:rPr>
              <w:t>initial  filing on this</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form with</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the</w:t>
            </w:r>
          </w:p>
        </w:tc>
        <w:tc>
          <w:tcPr>
            <w:tcW w:w="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subject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 of</w:t>
            </w: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securities,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for</w:t>
            </w:r>
          </w:p>
        </w:tc>
        <w:tc>
          <w:tcPr>
            <w:tcW w:w="26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any subsequent amendment</w:t>
            </w:r>
          </w:p>
        </w:tc>
        <w:tc>
          <w:tcPr>
            <w:tcW w:w="25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containing information</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which would</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alter</w:t>
            </w:r>
          </w:p>
        </w:tc>
        <w:tc>
          <w:tcPr>
            <w:tcW w:w="158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disclosures</w:t>
            </w:r>
          </w:p>
        </w:tc>
        <w:tc>
          <w:tcPr>
            <w:tcW w:w="26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provided in a prior cover</w:t>
            </w:r>
          </w:p>
        </w:tc>
        <w:tc>
          <w:tcPr>
            <w:tcW w:w="25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page. The information</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required on</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0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remainder</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of this cover</w:t>
            </w:r>
          </w:p>
        </w:tc>
        <w:tc>
          <w:tcPr>
            <w:tcW w:w="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page</w:t>
            </w:r>
          </w:p>
        </w:tc>
        <w:tc>
          <w:tcPr>
            <w:tcW w:w="2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shall not be deemed to be</w:t>
            </w: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"filed"</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the</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purpose</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of</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18 of the</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w:t>
            </w: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Act of 1934 or</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otherwise</w:t>
            </w:r>
          </w:p>
        </w:tc>
      </w:tr>
      <w:tr>
        <w:trPr>
          <w:trHeight w:val="203"/>
        </w:trPr>
        <w:tc>
          <w:tcPr>
            <w:tcW w:w="1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subject to the</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liabilities</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that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370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6"/>
              </w:rPr>
              <w:t>of the Act but shall be subject to</w:t>
            </w:r>
          </w:p>
        </w:tc>
      </w:tr>
      <w:tr>
        <w:trPr>
          <w:trHeight w:val="203"/>
        </w:trPr>
        <w:tc>
          <w:tcPr>
            <w:tcW w:w="21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all other provisions</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the Act.</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783"/>
        </w:trPr>
        <w:tc>
          <w:tcPr>
            <w:tcW w:w="3060" w:type="dxa"/>
            <w:vAlign w:val="bottom"/>
            <w:gridSpan w:val="6"/>
          </w:tcPr>
          <w:p>
            <w:pPr>
              <w:spacing w:after="0"/>
              <w:rPr>
                <w:sz w:val="20"/>
                <w:szCs w:val="20"/>
                <w:color w:val="auto"/>
              </w:rPr>
            </w:pPr>
            <w:r>
              <w:rPr>
                <w:rFonts w:ascii="Courier New" w:cs="Courier New" w:eastAsia="Courier New" w:hAnsi="Courier New"/>
                <w:sz w:val="18"/>
                <w:szCs w:val="18"/>
                <w:color w:val="auto"/>
              </w:rPr>
              <w:t>CUSIP NO. G02602 10 3</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6"/>
              </w:rPr>
              <w:t>Page 2 of 9 pages</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2520" w:type="dxa"/>
            <w:vAlign w:val="bottom"/>
            <w:gridSpan w:val="5"/>
          </w:tcPr>
          <w:p>
            <w:pPr>
              <w:spacing w:after="0"/>
              <w:rPr>
                <w:sz w:val="20"/>
                <w:szCs w:val="20"/>
                <w:color w:val="auto"/>
              </w:rPr>
            </w:pPr>
            <w:r>
              <w:rPr>
                <w:rFonts w:ascii="Courier New" w:cs="Courier New" w:eastAsia="Courier New" w:hAnsi="Courier New"/>
                <w:sz w:val="18"/>
                <w:szCs w:val="18"/>
                <w:color w:val="auto"/>
                <w:w w:val="96"/>
              </w:rPr>
              <w:t>Name of Reporting Person</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Welsh,</w:t>
            </w:r>
          </w:p>
        </w:tc>
        <w:tc>
          <w:tcPr>
            <w:tcW w:w="3700" w:type="dxa"/>
            <w:vAlign w:val="bottom"/>
            <w:gridSpan w:val="5"/>
          </w:tcPr>
          <w:p>
            <w:pPr>
              <w:ind w:left="120"/>
              <w:spacing w:after="0"/>
              <w:rPr>
                <w:sz w:val="20"/>
                <w:szCs w:val="20"/>
                <w:color w:val="auto"/>
              </w:rPr>
            </w:pPr>
            <w:r>
              <w:rPr>
                <w:rFonts w:ascii="Courier New" w:cs="Courier New" w:eastAsia="Courier New" w:hAnsi="Courier New"/>
                <w:sz w:val="18"/>
                <w:szCs w:val="18"/>
                <w:color w:val="auto"/>
                <w:w w:val="99"/>
              </w:rPr>
              <w:t>Carson, Anderson &amp; Stowe IX, L.P.</w:t>
            </w:r>
          </w:p>
        </w:tc>
      </w:tr>
      <w:tr>
        <w:trPr>
          <w:trHeight w:val="203"/>
        </w:trPr>
        <w:tc>
          <w:tcPr>
            <w:tcW w:w="540" w:type="dxa"/>
            <w:vAlign w:val="bottom"/>
          </w:tcPr>
          <w:p>
            <w:pPr>
              <w:spacing w:after="0"/>
              <w:rPr>
                <w:sz w:val="17"/>
                <w:szCs w:val="17"/>
                <w:color w:val="auto"/>
              </w:rPr>
            </w:pPr>
          </w:p>
        </w:tc>
        <w:tc>
          <w:tcPr>
            <w:tcW w:w="25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I.R.S. Identification</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5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No. of Above Person</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(Entities Only)</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4100" w:val="left"/>
        </w:tabs>
        <w:rPr>
          <w:sz w:val="20"/>
          <w:szCs w:val="20"/>
          <w:color w:val="auto"/>
        </w:rPr>
      </w:pPr>
      <w:r>
        <w:rPr>
          <w:rFonts w:ascii="Courier New" w:cs="Courier New" w:eastAsia="Courier New" w:hAnsi="Courier New"/>
          <w:sz w:val="18"/>
          <w:szCs w:val="18"/>
          <w:color w:val="auto"/>
        </w:rPr>
        <w:t>2)</w:t>
        <w:tab/>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Not Applicable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sectPr>
          <w:pgSz w:w="11900" w:h="16838" w:orient="portrait"/>
          <w:cols w:equalWidth="0" w:num="1">
            <w:col w:w="10219"/>
          </w:cols>
          <w:pgMar w:left="240" w:top="244" w:right="1440" w:bottom="0" w:gutter="0" w:footer="0" w:header="0"/>
          <w:type w:val="continuous"/>
        </w:sectPr>
      </w:pP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Legal Proceedings Is</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Required Pursuant to</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Items 2(d) or 2(e)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2">
            <w:col w:w="3500" w:space="720"/>
            <w:col w:w="599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ind w:left="540"/>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480"/>
              <w:spacing w:after="0"/>
              <w:rPr>
                <w:sz w:val="20"/>
                <w:szCs w:val="20"/>
                <w:color w:val="auto"/>
              </w:rPr>
            </w:pPr>
            <w:r>
              <w:rPr>
                <w:rFonts w:ascii="Courier New" w:cs="Courier New" w:eastAsia="Courier New" w:hAnsi="Courier New"/>
                <w:sz w:val="18"/>
                <w:szCs w:val="18"/>
                <w:color w:val="auto"/>
              </w:rPr>
              <w:t>7)</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60" w:type="dxa"/>
            <w:vAlign w:val="bottom"/>
          </w:tcPr>
          <w:p>
            <w:pPr>
              <w:ind w:left="220"/>
              <w:spacing w:after="0"/>
              <w:rPr>
                <w:sz w:val="20"/>
                <w:szCs w:val="20"/>
                <w:color w:val="auto"/>
              </w:rPr>
            </w:pPr>
            <w:r>
              <w:rPr>
                <w:rFonts w:ascii="Courier New" w:cs="Courier New" w:eastAsia="Courier New" w:hAnsi="Courier New"/>
                <w:sz w:val="18"/>
                <w:szCs w:val="18"/>
                <w:color w:val="auto"/>
              </w:rPr>
              <w:t>6,715,835 Ordinary Shares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 Each</w:t>
            </w:r>
          </w:p>
        </w:tc>
        <w:tc>
          <w:tcPr>
            <w:tcW w:w="300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2"/>
              </w:rPr>
              <w:t>----------------------------------------------------</w:t>
            </w:r>
          </w:p>
        </w:tc>
        <w:tc>
          <w:tcPr>
            <w:tcW w:w="2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With</w:t>
            </w:r>
          </w:p>
        </w:tc>
        <w:tc>
          <w:tcPr>
            <w:tcW w:w="300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2"/>
              </w:rPr>
              <w:t>----------------------------------------------------</w:t>
            </w:r>
          </w:p>
        </w:tc>
        <w:tc>
          <w:tcPr>
            <w:tcW w:w="29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9)</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6,715,835 Ordinary Shares</w:t>
            </w: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9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960" w:type="dxa"/>
            <w:vAlign w:val="bottom"/>
          </w:tcPr>
          <w:p>
            <w:pPr>
              <w:spacing w:after="0"/>
              <w:rPr>
                <w:sz w:val="17"/>
                <w:szCs w:val="17"/>
                <w:color w:val="auto"/>
              </w:rPr>
            </w:pPr>
          </w:p>
        </w:tc>
      </w:tr>
    </w:tbl>
    <w:p>
      <w:pPr>
        <w:spacing w:after="0" w:line="207" w:lineRule="exact"/>
        <w:rPr>
          <w:sz w:val="20"/>
          <w:szCs w:val="20"/>
          <w:color w:val="auto"/>
        </w:rPr>
      </w:pPr>
    </w:p>
    <w:p>
      <w:pPr>
        <w:ind w:right="1679"/>
        <w:spacing w:after="0" w:line="236" w:lineRule="auto"/>
        <w:rPr>
          <w:sz w:val="20"/>
          <w:szCs w:val="20"/>
          <w:color w:val="auto"/>
        </w:rPr>
      </w:pPr>
      <w:r>
        <w:rPr>
          <w:rFonts w:ascii="Courier New" w:cs="Courier New" w:eastAsia="Courier New" w:hAnsi="Courier New"/>
          <w:sz w:val="18"/>
          <w:szCs w:val="18"/>
          <w:color w:val="auto"/>
        </w:rPr>
        <w:t>- ------------------------------------------------------------------------------- 11) Aggregate Amount Beneficially 6,715,835 Ordinary Shares Owned by Each Reporting Person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Row (11) Excludes Certain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(11)</w:t>
            </w:r>
          </w:p>
        </w:tc>
        <w:tc>
          <w:tcPr>
            <w:tcW w:w="62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200" w:val="left"/>
        </w:tabs>
        <w:rPr>
          <w:sz w:val="20"/>
          <w:szCs w:val="20"/>
          <w:color w:val="auto"/>
        </w:rPr>
      </w:pPr>
      <w:r>
        <w:rPr>
          <w:rFonts w:ascii="Courier New" w:cs="Courier New" w:eastAsia="Courier New" w:hAnsi="Courier New"/>
          <w:sz w:val="18"/>
          <w:szCs w:val="18"/>
          <w:color w:val="auto"/>
        </w:rPr>
        <w:t>14)</w:t>
        <w:tab/>
        <w:t>Type of Reporting Person</w:t>
      </w:r>
      <w:r>
        <w:rPr>
          <w:sz w:val="20"/>
          <w:szCs w:val="20"/>
          <w:color w:val="auto"/>
        </w:rPr>
        <w:tab/>
      </w:r>
      <w:r>
        <w:rPr>
          <w:rFonts w:ascii="Courier New" w:cs="Courier New" w:eastAsia="Courier New" w:hAnsi="Courier New"/>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4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9 pages</w:t>
      </w:r>
    </w:p>
    <w:p>
      <w:pPr>
        <w:spacing w:after="0" w:line="200" w:lineRule="exact"/>
        <w:rPr>
          <w:sz w:val="20"/>
          <w:szCs w:val="20"/>
          <w:color w:val="auto"/>
        </w:rPr>
      </w:pPr>
    </w:p>
    <w:p>
      <w:pPr>
        <w:sectPr>
          <w:pgSz w:w="11900" w:h="16838" w:orient="portrait"/>
          <w:cols w:equalWidth="0" w:num="2">
            <w:col w:w="5820" w:space="720"/>
            <w:col w:w="3679"/>
          </w:cols>
          <w:pgMar w:left="240" w:top="723"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Name of Reporting Person</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I.R.S. Identification</w:t>
      </w:r>
    </w:p>
    <w:p>
      <w:pPr>
        <w:ind w:left="320"/>
        <w:spacing w:after="0" w:line="238" w:lineRule="auto"/>
        <w:rPr>
          <w:sz w:val="20"/>
          <w:szCs w:val="20"/>
          <w:color w:val="auto"/>
        </w:rPr>
      </w:pPr>
      <w:r>
        <w:rPr>
          <w:rFonts w:ascii="Courier New" w:cs="Courier New" w:eastAsia="Courier New" w:hAnsi="Courier New"/>
          <w:sz w:val="18"/>
          <w:szCs w:val="18"/>
          <w:color w:val="auto"/>
        </w:rPr>
        <w:t>No. of Above Person</w:t>
      </w:r>
    </w:p>
    <w:p>
      <w:pPr>
        <w:ind w:left="220"/>
        <w:spacing w:after="0"/>
        <w:rPr>
          <w:sz w:val="20"/>
          <w:szCs w:val="20"/>
          <w:color w:val="auto"/>
        </w:rPr>
      </w:pPr>
      <w:r>
        <w:rPr>
          <w:rFonts w:ascii="Courier New" w:cs="Courier New" w:eastAsia="Courier New" w:hAnsi="Courier New"/>
          <w:sz w:val="18"/>
          <w:szCs w:val="18"/>
          <w:color w:val="auto"/>
        </w:rPr>
        <w:t>(Entities Only)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Welsh, Carson, Anderson &amp; Stowe VII, L.P.</w:t>
      </w:r>
    </w:p>
    <w:p>
      <w:pPr>
        <w:spacing w:after="0" w:line="825"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right"/>
        <w:ind w:right="5359"/>
        <w:spacing w:after="0"/>
        <w:tabs>
          <w:tab w:leader="none" w:pos="4500" w:val="left"/>
        </w:tabs>
        <w:rPr>
          <w:sz w:val="20"/>
          <w:szCs w:val="20"/>
          <w:color w:val="auto"/>
        </w:rPr>
      </w:pPr>
      <w:r>
        <w:rPr>
          <w:rFonts w:ascii="Courier New" w:cs="Courier New" w:eastAsia="Courier New" w:hAnsi="Courier New"/>
          <w:sz w:val="18"/>
          <w:szCs w:val="18"/>
          <w:color w:val="auto"/>
        </w:rPr>
        <w:t>2) Check the Appropriate Box</w:t>
      </w:r>
      <w:r>
        <w:rPr>
          <w:sz w:val="20"/>
          <w:szCs w:val="20"/>
          <w:color w:val="auto"/>
        </w:rPr>
        <w:tab/>
      </w:r>
      <w:r>
        <w:rPr>
          <w:rFonts w:ascii="Courier New" w:cs="Courier New" w:eastAsia="Courier New" w:hAnsi="Courier New"/>
          <w:sz w:val="16"/>
          <w:szCs w:val="16"/>
          <w:color w:val="auto"/>
        </w:rPr>
        <w:t>(a) [X]</w:t>
      </w:r>
    </w:p>
    <w:p>
      <w:pPr>
        <w:jc w:val="right"/>
        <w:ind w:right="5359"/>
        <w:spacing w:after="0"/>
        <w:tabs>
          <w:tab w:leader="none" w:pos="450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 Not Applicable</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if Disclosure of</w:t>
      </w:r>
    </w:p>
    <w:p>
      <w:pPr>
        <w:ind w:left="320"/>
        <w:spacing w:after="0"/>
        <w:tabs>
          <w:tab w:leader="none" w:pos="410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320"/>
        <w:spacing w:after="0" w:line="237" w:lineRule="auto"/>
        <w:rPr>
          <w:sz w:val="20"/>
          <w:szCs w:val="20"/>
          <w:color w:val="auto"/>
        </w:rPr>
      </w:pPr>
      <w:r>
        <w:rPr>
          <w:rFonts w:ascii="Courier New" w:cs="Courier New" w:eastAsia="Courier New" w:hAnsi="Courier New"/>
          <w:sz w:val="18"/>
          <w:szCs w:val="18"/>
          <w:color w:val="auto"/>
        </w:rPr>
        <w:t>Required Pursuant to</w:t>
      </w:r>
    </w:p>
    <w:p>
      <w:pPr>
        <w:ind w:left="320"/>
        <w:spacing w:after="0" w:line="238" w:lineRule="auto"/>
        <w:rPr>
          <w:sz w:val="20"/>
          <w:szCs w:val="20"/>
          <w:color w:val="auto"/>
        </w:rPr>
      </w:pPr>
      <w:r>
        <w:rPr>
          <w:rFonts w:ascii="Courier New" w:cs="Courier New" w:eastAsia="Courier New" w:hAnsi="Courier New"/>
          <w:sz w:val="18"/>
          <w:szCs w:val="18"/>
          <w:color w:val="auto"/>
        </w:rPr>
        <w:t>Items 2(d) or 2(e)</w:t>
      </w:r>
    </w:p>
    <w:p>
      <w:pPr>
        <w:spacing w:after="0" w:line="208"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w:t>
      </w:r>
    </w:p>
    <w:p>
      <w:pPr>
        <w:ind w:left="320"/>
        <w:spacing w:after="0"/>
        <w:tabs>
          <w:tab w:leader="none" w:pos="410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ind w:left="540"/>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480"/>
              <w:spacing w:after="0"/>
              <w:rPr>
                <w:sz w:val="20"/>
                <w:szCs w:val="20"/>
                <w:color w:val="auto"/>
              </w:rPr>
            </w:pPr>
            <w:r>
              <w:rPr>
                <w:rFonts w:ascii="Courier New" w:cs="Courier New" w:eastAsia="Courier New" w:hAnsi="Courier New"/>
                <w:sz w:val="18"/>
                <w:szCs w:val="18"/>
                <w:color w:val="auto"/>
              </w:rPr>
              <w:t>7)</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2,928,054</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Ordinary Shares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300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2"/>
              </w:rPr>
              <w:t>----------------------------------------------------</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 Each</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300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2"/>
              </w:rPr>
              <w:t>----------------------------------------------------</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9)</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2,928,054</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Ordinary Shares</w:t>
            </w: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Power</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Power</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20" w:right="347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11)</w:t>
        <w:tab/>
        <w:t>Aggregate Amount Beneficially 2,928,054 Ordinary Shares Owned by Each Reporting Person</w:t>
      </w:r>
    </w:p>
    <w:p>
      <w:pPr>
        <w:spacing w:after="0" w:line="208"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if the Aggregate Amount</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Row (11) Excludes Certain Shares</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Amount in Row (11)</w:t>
            </w:r>
          </w:p>
        </w:tc>
        <w:tc>
          <w:tcPr>
            <w:tcW w:w="6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14) Type of Reporting Person</w:t>
      </w:r>
      <w:r>
        <w:rPr>
          <w:sz w:val="20"/>
          <w:szCs w:val="20"/>
          <w:color w:val="auto"/>
        </w:rPr>
        <w:tab/>
      </w:r>
      <w:r>
        <w:rPr>
          <w:rFonts w:ascii="Courier New" w:cs="Courier New" w:eastAsia="Courier New" w:hAnsi="Courier New"/>
          <w:sz w:val="16"/>
          <w:szCs w:val="16"/>
          <w:color w:val="auto"/>
        </w:rPr>
        <w:t>PN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9 pages</w:t>
      </w:r>
    </w:p>
    <w:p>
      <w:pPr>
        <w:spacing w:after="0" w:line="200" w:lineRule="exact"/>
        <w:rPr>
          <w:sz w:val="20"/>
          <w:szCs w:val="20"/>
          <w:color w:val="auto"/>
        </w:rPr>
      </w:pPr>
    </w:p>
    <w:p>
      <w:pPr>
        <w:sectPr>
          <w:pgSz w:w="11900" w:h="16838" w:orient="portrait"/>
          <w:cols w:equalWidth="0" w:num="2">
            <w:col w:w="5820" w:space="720"/>
            <w:col w:w="3679"/>
          </w:cols>
          <w:pgMar w:left="240" w:top="520" w:right="1440" w:bottom="1440" w:gutter="0" w:footer="0" w:header="0"/>
        </w:sectPr>
      </w:pPr>
    </w:p>
    <w:p>
      <w:pPr>
        <w:spacing w:after="0" w:line="226" w:lineRule="exact"/>
        <w:rPr>
          <w:sz w:val="20"/>
          <w:szCs w:val="20"/>
          <w:color w:val="auto"/>
        </w:rPr>
      </w:pPr>
    </w:p>
    <w:p>
      <w:pPr>
        <w:ind w:left="320" w:right="540" w:hanging="315"/>
        <w:spacing w:after="0" w:line="275" w:lineRule="auto"/>
        <w:rPr>
          <w:sz w:val="20"/>
          <w:szCs w:val="20"/>
          <w:color w:val="auto"/>
        </w:rPr>
      </w:pPr>
      <w:r>
        <w:rPr>
          <w:rFonts w:ascii="Courier New" w:cs="Courier New" w:eastAsia="Courier New" w:hAnsi="Courier New"/>
          <w:sz w:val="16"/>
          <w:szCs w:val="16"/>
          <w:color w:val="auto"/>
        </w:rPr>
        <w:t>1) Name of Reporting Person I.R.S. Identification No. of Above Person (Entities Only)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Welsh, Carson, Anderson &amp; Stowe VI, L.P.</w:t>
      </w:r>
    </w:p>
    <w:p>
      <w:pPr>
        <w:spacing w:after="0" w:line="831" w:lineRule="exact"/>
        <w:rPr>
          <w:sz w:val="20"/>
          <w:szCs w:val="20"/>
          <w:color w:val="auto"/>
        </w:rPr>
      </w:pPr>
    </w:p>
    <w:p>
      <w:pPr>
        <w:sectPr>
          <w:pgSz w:w="11900" w:h="16838" w:orient="portrait"/>
          <w:cols w:equalWidth="0" w:num="2">
            <w:col w:w="3400" w:space="720"/>
            <w:col w:w="609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right"/>
        <w:ind w:right="5359"/>
        <w:spacing w:after="0"/>
        <w:tabs>
          <w:tab w:leader="none" w:pos="4500" w:val="left"/>
        </w:tabs>
        <w:rPr>
          <w:sz w:val="20"/>
          <w:szCs w:val="20"/>
          <w:color w:val="auto"/>
        </w:rPr>
      </w:pPr>
      <w:r>
        <w:rPr>
          <w:rFonts w:ascii="Courier New" w:cs="Courier New" w:eastAsia="Courier New" w:hAnsi="Courier New"/>
          <w:sz w:val="18"/>
          <w:szCs w:val="18"/>
          <w:color w:val="auto"/>
        </w:rPr>
        <w:t>2) Check the Appropriate Box</w:t>
      </w:r>
      <w:r>
        <w:rPr>
          <w:sz w:val="20"/>
          <w:szCs w:val="20"/>
          <w:color w:val="auto"/>
        </w:rPr>
        <w:tab/>
      </w:r>
      <w:r>
        <w:rPr>
          <w:rFonts w:ascii="Courier New" w:cs="Courier New" w:eastAsia="Courier New" w:hAnsi="Courier New"/>
          <w:sz w:val="16"/>
          <w:szCs w:val="16"/>
          <w:color w:val="auto"/>
        </w:rPr>
        <w:t>(a) [X]</w:t>
      </w:r>
    </w:p>
    <w:p>
      <w:pPr>
        <w:jc w:val="right"/>
        <w:ind w:right="5359"/>
        <w:spacing w:after="0"/>
        <w:tabs>
          <w:tab w:leader="none" w:pos="450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 Not Applicable</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if Disclosure of</w:t>
      </w:r>
    </w:p>
    <w:p>
      <w:pPr>
        <w:ind w:left="320"/>
        <w:spacing w:after="0"/>
        <w:tabs>
          <w:tab w:leader="none" w:pos="410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320"/>
        <w:spacing w:after="0" w:line="237" w:lineRule="auto"/>
        <w:rPr>
          <w:sz w:val="20"/>
          <w:szCs w:val="20"/>
          <w:color w:val="auto"/>
        </w:rPr>
      </w:pPr>
      <w:r>
        <w:rPr>
          <w:rFonts w:ascii="Courier New" w:cs="Courier New" w:eastAsia="Courier New" w:hAnsi="Courier New"/>
          <w:sz w:val="18"/>
          <w:szCs w:val="18"/>
          <w:color w:val="auto"/>
        </w:rPr>
        <w:t>Required Pursuant to</w:t>
      </w:r>
    </w:p>
    <w:p>
      <w:pPr>
        <w:ind w:left="320"/>
        <w:spacing w:after="0" w:line="238" w:lineRule="auto"/>
        <w:rPr>
          <w:sz w:val="20"/>
          <w:szCs w:val="20"/>
          <w:color w:val="auto"/>
        </w:rPr>
      </w:pPr>
      <w:r>
        <w:rPr>
          <w:rFonts w:ascii="Courier New" w:cs="Courier New" w:eastAsia="Courier New" w:hAnsi="Courier New"/>
          <w:sz w:val="18"/>
          <w:szCs w:val="18"/>
          <w:color w:val="auto"/>
        </w:rPr>
        <w:t>Items 2(d) or 2(e)</w:t>
      </w:r>
    </w:p>
    <w:p>
      <w:pPr>
        <w:spacing w:after="0" w:line="208"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w:t>
      </w:r>
    </w:p>
    <w:p>
      <w:pPr>
        <w:ind w:left="320"/>
        <w:spacing w:after="0"/>
        <w:tabs>
          <w:tab w:leader="none" w:pos="410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ind w:left="320"/>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360"/>
              <w:spacing w:after="0"/>
              <w:rPr>
                <w:sz w:val="20"/>
                <w:szCs w:val="20"/>
                <w:color w:val="auto"/>
              </w:rPr>
            </w:pPr>
            <w:r>
              <w:rPr>
                <w:rFonts w:ascii="Courier New" w:cs="Courier New" w:eastAsia="Courier New" w:hAnsi="Courier New"/>
                <w:sz w:val="18"/>
                <w:szCs w:val="18"/>
                <w:color w:val="auto"/>
              </w:rPr>
              <w:t>7)</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020" w:type="dxa"/>
            <w:vAlign w:val="bottom"/>
          </w:tcPr>
          <w:p>
            <w:pPr>
              <w:ind w:left="220"/>
              <w:spacing w:after="0"/>
              <w:rPr>
                <w:sz w:val="20"/>
                <w:szCs w:val="20"/>
                <w:color w:val="auto"/>
              </w:rPr>
            </w:pPr>
            <w:r>
              <w:rPr>
                <w:rFonts w:ascii="Courier New" w:cs="Courier New" w:eastAsia="Courier New" w:hAnsi="Courier New"/>
                <w:sz w:val="18"/>
                <w:szCs w:val="18"/>
                <w:color w:val="auto"/>
              </w:rPr>
              <w:t>855,792</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Ordinary Shares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2880" w:type="dxa"/>
            <w:vAlign w:val="bottom"/>
            <w:gridSpan w:val="2"/>
          </w:tcPr>
          <w:p>
            <w:pPr>
              <w:ind w:left="360"/>
              <w:spacing w:after="0"/>
              <w:rPr>
                <w:sz w:val="20"/>
                <w:szCs w:val="20"/>
                <w:color w:val="auto"/>
              </w:rPr>
            </w:pPr>
            <w:r>
              <w:rPr>
                <w:rFonts w:ascii="Courier New" w:cs="Courier New" w:eastAsia="Courier New" w:hAnsi="Courier New"/>
                <w:sz w:val="10"/>
                <w:szCs w:val="10"/>
                <w:color w:val="auto"/>
                <w:w w:val="75"/>
              </w:rPr>
              <w:t>-------------------------------------------------------</w:t>
            </w:r>
          </w:p>
        </w:tc>
        <w:tc>
          <w:tcPr>
            <w:tcW w:w="10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 Each</w:t>
            </w:r>
          </w:p>
        </w:tc>
        <w:tc>
          <w:tcPr>
            <w:tcW w:w="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w:t>
            </w:r>
          </w:p>
        </w:tc>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22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2880" w:type="dxa"/>
            <w:vAlign w:val="bottom"/>
            <w:gridSpan w:val="2"/>
          </w:tcPr>
          <w:p>
            <w:pPr>
              <w:ind w:left="360"/>
              <w:spacing w:after="0"/>
              <w:rPr>
                <w:sz w:val="20"/>
                <w:szCs w:val="20"/>
                <w:color w:val="auto"/>
              </w:rPr>
            </w:pPr>
            <w:r>
              <w:rPr>
                <w:rFonts w:ascii="Courier New" w:cs="Courier New" w:eastAsia="Courier New" w:hAnsi="Courier New"/>
                <w:sz w:val="10"/>
                <w:szCs w:val="10"/>
                <w:color w:val="auto"/>
                <w:w w:val="75"/>
              </w:rPr>
              <w:t>-------------------------------------------------------</w:t>
            </w:r>
          </w:p>
        </w:tc>
        <w:tc>
          <w:tcPr>
            <w:tcW w:w="10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9)</w:t>
            </w:r>
          </w:p>
        </w:tc>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1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855,792</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Ordinary Shares</w:t>
            </w:r>
          </w:p>
        </w:tc>
      </w:tr>
      <w:tr>
        <w:trPr>
          <w:trHeight w:val="203"/>
        </w:trPr>
        <w:tc>
          <w:tcPr>
            <w:tcW w:w="2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Power</w:t>
            </w:r>
          </w:p>
        </w:tc>
        <w:tc>
          <w:tcPr>
            <w:tcW w:w="10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616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w:t>
            </w:r>
          </w:p>
        </w:tc>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3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-0- Power</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20" w:right="367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11)</w:t>
        <w:tab/>
        <w:t>Aggregate Amount Beneficially 855,792 Ordinary Shares Owned by Each Reporting Person</w:t>
      </w:r>
    </w:p>
    <w:p>
      <w:pPr>
        <w:spacing w:after="0" w:line="208"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if the Aggregate Amount</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Row (11)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0.4%</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Amount in Row (11)</w:t>
            </w:r>
          </w:p>
        </w:tc>
        <w:tc>
          <w:tcPr>
            <w:tcW w:w="640" w:type="dxa"/>
            <w:vAlign w:val="bottom"/>
          </w:tcPr>
          <w:p>
            <w:pPr>
              <w:spacing w:after="0"/>
              <w:rPr>
                <w:sz w:val="17"/>
                <w:szCs w:val="17"/>
                <w:color w:val="auto"/>
              </w:rPr>
            </w:pPr>
          </w:p>
        </w:tc>
      </w:tr>
    </w:tbl>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w:t>
      </w: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9 pages</w:t>
      </w:r>
    </w:p>
    <w:p>
      <w:pPr>
        <w:spacing w:after="0" w:line="200" w:lineRule="exact"/>
        <w:rPr>
          <w:sz w:val="20"/>
          <w:szCs w:val="20"/>
          <w:color w:val="auto"/>
        </w:rPr>
      </w:pPr>
    </w:p>
    <w:p>
      <w:pPr>
        <w:sectPr>
          <w:pgSz w:w="11900" w:h="16838" w:orient="portrait"/>
          <w:cols w:equalWidth="0" w:num="2">
            <w:col w:w="5820" w:space="720"/>
            <w:col w:w="3679"/>
          </w:cols>
          <w:pgMar w:left="240" w:top="520" w:right="1440" w:bottom="1440" w:gutter="0" w:footer="0" w:header="0"/>
        </w:sectPr>
      </w:pPr>
    </w:p>
    <w:p>
      <w:pPr>
        <w:spacing w:after="0" w:line="24" w:lineRule="exact"/>
        <w:rPr>
          <w:sz w:val="20"/>
          <w:szCs w:val="20"/>
          <w:color w:val="auto"/>
        </w:rPr>
      </w:pPr>
    </w:p>
    <w:p>
      <w:pPr>
        <w:ind w:left="320" w:right="540" w:hanging="315"/>
        <w:spacing w:after="0" w:line="275" w:lineRule="auto"/>
        <w:rPr>
          <w:sz w:val="20"/>
          <w:szCs w:val="20"/>
          <w:color w:val="auto"/>
        </w:rPr>
      </w:pPr>
      <w:r>
        <w:rPr>
          <w:rFonts w:ascii="Courier New" w:cs="Courier New" w:eastAsia="Courier New" w:hAnsi="Courier New"/>
          <w:sz w:val="16"/>
          <w:szCs w:val="16"/>
          <w:color w:val="auto"/>
        </w:rPr>
        <w:t>1) Name of Reporting Person I.R.S. Identification No. of Above Person (Entities Only)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WCAS Capital Partners III, L.P.</w:t>
      </w:r>
    </w:p>
    <w:p>
      <w:pPr>
        <w:spacing w:after="0" w:line="831" w:lineRule="exact"/>
        <w:rPr>
          <w:sz w:val="20"/>
          <w:szCs w:val="20"/>
          <w:color w:val="auto"/>
        </w:rPr>
      </w:pPr>
    </w:p>
    <w:p>
      <w:pPr>
        <w:sectPr>
          <w:pgSz w:w="11900" w:h="16838" w:orient="portrait"/>
          <w:cols w:equalWidth="0" w:num="2">
            <w:col w:w="3400" w:space="720"/>
            <w:col w:w="609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right"/>
        <w:ind w:right="5479"/>
        <w:spacing w:after="0"/>
        <w:tabs>
          <w:tab w:leader="none" w:pos="4500" w:val="left"/>
        </w:tabs>
        <w:rPr>
          <w:sz w:val="20"/>
          <w:szCs w:val="20"/>
          <w:color w:val="auto"/>
        </w:rPr>
      </w:pPr>
      <w:r>
        <w:rPr>
          <w:rFonts w:ascii="Courier New" w:cs="Courier New" w:eastAsia="Courier New" w:hAnsi="Courier New"/>
          <w:sz w:val="18"/>
          <w:szCs w:val="18"/>
          <w:color w:val="auto"/>
        </w:rPr>
        <w:t>2) Check the Appropriate Box</w:t>
      </w:r>
      <w:r>
        <w:rPr>
          <w:sz w:val="20"/>
          <w:szCs w:val="20"/>
          <w:color w:val="auto"/>
        </w:rPr>
        <w:tab/>
      </w:r>
      <w:r>
        <w:rPr>
          <w:rFonts w:ascii="Courier New" w:cs="Courier New" w:eastAsia="Courier New" w:hAnsi="Courier New"/>
          <w:sz w:val="16"/>
          <w:szCs w:val="16"/>
          <w:color w:val="auto"/>
        </w:rPr>
        <w:t>(a)[X]</w:t>
      </w:r>
    </w:p>
    <w:p>
      <w:pPr>
        <w:jc w:val="right"/>
        <w:ind w:right="5479"/>
        <w:spacing w:after="0"/>
        <w:tabs>
          <w:tab w:leader="none" w:pos="450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4) Source of Funds</w:t>
      </w:r>
      <w:r>
        <w:rPr>
          <w:sz w:val="20"/>
          <w:szCs w:val="20"/>
          <w:color w:val="auto"/>
        </w:rPr>
        <w:tab/>
      </w:r>
      <w:r>
        <w:rPr>
          <w:rFonts w:ascii="Courier New" w:cs="Courier New" w:eastAsia="Courier New" w:hAnsi="Courier New"/>
          <w:sz w:val="16"/>
          <w:szCs w:val="16"/>
          <w:color w:val="auto"/>
        </w:rPr>
        <w:t>Not Applicable</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if Disclosure of</w:t>
      </w:r>
    </w:p>
    <w:p>
      <w:pPr>
        <w:ind w:left="320"/>
        <w:spacing w:after="0"/>
        <w:tabs>
          <w:tab w:leader="none" w:pos="410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320"/>
        <w:spacing w:after="0" w:line="237" w:lineRule="auto"/>
        <w:rPr>
          <w:sz w:val="20"/>
          <w:szCs w:val="20"/>
          <w:color w:val="auto"/>
        </w:rPr>
      </w:pPr>
      <w:r>
        <w:rPr>
          <w:rFonts w:ascii="Courier New" w:cs="Courier New" w:eastAsia="Courier New" w:hAnsi="Courier New"/>
          <w:sz w:val="18"/>
          <w:szCs w:val="18"/>
          <w:color w:val="auto"/>
        </w:rPr>
        <w:t>Required Pursuant to</w:t>
      </w:r>
    </w:p>
    <w:p>
      <w:pPr>
        <w:ind w:left="320"/>
        <w:spacing w:after="0" w:line="238" w:lineRule="auto"/>
        <w:rPr>
          <w:sz w:val="20"/>
          <w:szCs w:val="20"/>
          <w:color w:val="auto"/>
        </w:rPr>
      </w:pPr>
      <w:r>
        <w:rPr>
          <w:rFonts w:ascii="Courier New" w:cs="Courier New" w:eastAsia="Courier New" w:hAnsi="Courier New"/>
          <w:sz w:val="18"/>
          <w:szCs w:val="18"/>
          <w:color w:val="auto"/>
        </w:rPr>
        <w:t>Items 2(d) or 2(e)</w:t>
      </w:r>
    </w:p>
    <w:p>
      <w:pPr>
        <w:spacing w:after="0" w:line="208"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w:t>
      </w:r>
    </w:p>
    <w:p>
      <w:pPr>
        <w:ind w:left="320"/>
        <w:spacing w:after="0"/>
        <w:tabs>
          <w:tab w:leader="none" w:pos="410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ind w:left="540"/>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480"/>
              <w:spacing w:after="0"/>
              <w:rPr>
                <w:sz w:val="20"/>
                <w:szCs w:val="20"/>
                <w:color w:val="auto"/>
              </w:rPr>
            </w:pPr>
            <w:r>
              <w:rPr>
                <w:rFonts w:ascii="Courier New" w:cs="Courier New" w:eastAsia="Courier New" w:hAnsi="Courier New"/>
                <w:sz w:val="18"/>
                <w:szCs w:val="18"/>
                <w:color w:val="auto"/>
              </w:rPr>
              <w:t>7)</w:t>
            </w:r>
          </w:p>
        </w:tc>
        <w:tc>
          <w:tcPr>
            <w:tcW w:w="21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764,494</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Ordinary Shares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2940" w:type="dxa"/>
            <w:vAlign w:val="bottom"/>
            <w:gridSpan w:val="2"/>
          </w:tcPr>
          <w:p>
            <w:pPr>
              <w:ind w:left="480"/>
              <w:spacing w:after="0"/>
              <w:rPr>
                <w:sz w:val="20"/>
                <w:szCs w:val="20"/>
                <w:color w:val="auto"/>
              </w:rPr>
            </w:pPr>
            <w:r>
              <w:rPr>
                <w:rFonts w:ascii="Courier New" w:cs="Courier New" w:eastAsia="Courier New" w:hAnsi="Courier New"/>
                <w:sz w:val="10"/>
                <w:szCs w:val="10"/>
                <w:color w:val="auto"/>
                <w:w w:val="76"/>
              </w:rPr>
              <w:t>-----------------------------------------------------</w:t>
            </w:r>
          </w:p>
        </w:tc>
        <w:tc>
          <w:tcPr>
            <w:tcW w:w="9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 Each</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21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2940" w:type="dxa"/>
            <w:vAlign w:val="bottom"/>
            <w:gridSpan w:val="2"/>
          </w:tcPr>
          <w:p>
            <w:pPr>
              <w:ind w:left="480"/>
              <w:spacing w:after="0"/>
              <w:rPr>
                <w:sz w:val="20"/>
                <w:szCs w:val="20"/>
                <w:color w:val="auto"/>
              </w:rPr>
            </w:pPr>
            <w:r>
              <w:rPr>
                <w:rFonts w:ascii="Courier New" w:cs="Courier New" w:eastAsia="Courier New" w:hAnsi="Courier New"/>
                <w:sz w:val="10"/>
                <w:szCs w:val="10"/>
                <w:color w:val="auto"/>
                <w:w w:val="76"/>
              </w:rPr>
              <w:t>-----------------------------------------------------</w:t>
            </w:r>
          </w:p>
        </w:tc>
        <w:tc>
          <w:tcPr>
            <w:tcW w:w="9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9)</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764,494</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Ordinary Shares</w:t>
            </w: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9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606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3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-0- Power</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20" w:right="367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11)</w:t>
        <w:tab/>
        <w:t>Aggregate Amount Beneficially 764,494 Ordinary Shares Owned by Each Reporting Person</w:t>
      </w:r>
    </w:p>
    <w:p>
      <w:pPr>
        <w:spacing w:after="0" w:line="208"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if the Aggregate Amount</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Row (11)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0.4%</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Amount in Row (11)</w:t>
            </w:r>
          </w:p>
        </w:tc>
        <w:tc>
          <w:tcPr>
            <w:tcW w:w="640" w:type="dxa"/>
            <w:vAlign w:val="bottom"/>
          </w:tcPr>
          <w:p>
            <w:pPr>
              <w:spacing w:after="0"/>
              <w:rPr>
                <w:sz w:val="17"/>
                <w:szCs w:val="17"/>
                <w:color w:val="auto"/>
              </w:rPr>
            </w:pPr>
          </w:p>
        </w:tc>
      </w:tr>
    </w:tbl>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w:t>
      </w: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9 pages</w:t>
      </w:r>
    </w:p>
    <w:p>
      <w:pPr>
        <w:spacing w:after="0" w:line="200" w:lineRule="exact"/>
        <w:rPr>
          <w:sz w:val="20"/>
          <w:szCs w:val="20"/>
          <w:color w:val="auto"/>
        </w:rPr>
      </w:pPr>
    </w:p>
    <w:p>
      <w:pPr>
        <w:sectPr>
          <w:pgSz w:w="11900" w:h="16838" w:orient="portrait"/>
          <w:cols w:equalWidth="0" w:num="2">
            <w:col w:w="5820" w:space="720"/>
            <w:col w:w="3679"/>
          </w:cols>
          <w:pgMar w:left="240" w:top="520" w:right="1440" w:bottom="1440" w:gutter="0" w:footer="0" w:header="0"/>
        </w:sect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Amendment No. 2 to Schedule 13D</w:t>
      </w:r>
    </w:p>
    <w:p>
      <w:pPr>
        <w:spacing w:after="0" w:line="2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Reference is hereby made to the statement on Schedule 13D filed with the Securities and Exchange Commission on July 15, 2002 and Amendment No. 1 thereto filed August 8, 2002 (the "Schedule 13D"). Terms defined on the Schedule 13D are used herein as so defined.</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Schedule 13D is hereby amended as follows: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Item 2 is hereby amended to remove Lawrence B. Sorrel as a Managing Member of IX Associates and CP III Associates and a General Partner of VII Partners.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Item 5 is hereby amended and restated to read in its entirety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The information below is based on a total of 215,889,000 Ordinary Shares outstanding as of March 31, 2003, as reported in the Issuer's Report on Form 6-K filed on May 15, 2003.</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IX</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1053"/>
        <w:spacing w:after="0" w:line="236" w:lineRule="auto"/>
        <w:rPr>
          <w:sz w:val="20"/>
          <w:szCs w:val="20"/>
          <w:color w:val="auto"/>
        </w:rPr>
      </w:pPr>
      <w:r>
        <w:rPr>
          <w:rFonts w:ascii="Courier New" w:cs="Courier New" w:eastAsia="Courier New" w:hAnsi="Courier New"/>
          <w:sz w:val="18"/>
          <w:szCs w:val="18"/>
          <w:color w:val="auto"/>
        </w:rPr>
        <w:t>WCAS IX owns 6,715,835 Ordinary Shares, or approximately 3.1% of the Ordinary Shares outstanding. IX Associates, as the general partner of WCAS IX, may be deemed to beneficially own the securities owned by WCAS IX.</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VII</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WCAS VII owns 2,928,054 Ordinary Shares, or approximately 1.4% of the Ordinary Shares outstanding. VII Partners, as the general partner of WCAS VII, may be deemed to beneficially own the securities owned by WCAS VII.</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VI</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WCAS VI owns 855,792 Ordinary Shares, or approximately 0.4% of the Ordinary Shares outstanding. VI Partners, as the general partner of WCAS VI, may be deemed to beneficially own the securities owned by WCAS VI.</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9 pages</w:t>
      </w:r>
    </w:p>
    <w:p>
      <w:pPr>
        <w:spacing w:after="0" w:line="200" w:lineRule="exact"/>
        <w:rPr>
          <w:sz w:val="20"/>
          <w:szCs w:val="20"/>
          <w:color w:val="auto"/>
        </w:rPr>
      </w:pPr>
    </w:p>
    <w:p>
      <w:pPr>
        <w:sectPr>
          <w:pgSz w:w="11900" w:h="16838" w:orient="portrait"/>
          <w:cols w:equalWidth="0" w:num="2">
            <w:col w:w="5820" w:space="720"/>
            <w:col w:w="3679"/>
          </w:cols>
          <w:pgMar w:left="240" w:top="520" w:right="1440" w:bottom="1440" w:gutter="0" w:footer="0" w:header="0"/>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WCAS CP III</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WCAS CP III owns 764,494 Ordinary Shares, or approximately 0.4% of the Ordinary Shares outstanding. CP III Associates, as the general partner of WCAS CP III, may be deemed to beneficially own the securities owned by WCAS CP III.</w:t>
      </w:r>
    </w:p>
    <w:p>
      <w:pPr>
        <w:spacing w:after="0" w:line="178"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Managing Members of IX Associates and CP III Associates and General Partners of VII Partners and VI Partners</w:t>
      </w:r>
    </w:p>
    <w:p>
      <w:pPr>
        <w:ind w:left="1060"/>
        <w:spacing w:after="0" w:line="233" w:lineRule="auto"/>
        <w:rPr>
          <w:sz w:val="20"/>
          <w:szCs w:val="20"/>
          <w:color w:val="auto"/>
        </w:rPr>
      </w:pPr>
      <w:r>
        <w:rPr>
          <w:rFonts w:ascii="Courier New" w:cs="Courier New" w:eastAsia="Courier New" w:hAnsi="Courier New"/>
          <w:sz w:val="18"/>
          <w:szCs w:val="18"/>
          <w:color w:val="auto"/>
        </w:rPr>
        <w:t>----------------------------------------------------</w:t>
      </w:r>
    </w:p>
    <w:p>
      <w:pPr>
        <w:spacing w:after="0" w:line="208" w:lineRule="exact"/>
        <w:rPr>
          <w:sz w:val="20"/>
          <w:szCs w:val="20"/>
          <w:color w:val="auto"/>
        </w:rPr>
      </w:pPr>
    </w:p>
    <w:p>
      <w:pPr>
        <w:ind w:right="2419" w:firstLine="1061"/>
        <w:spacing w:after="0" w:line="290"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Welsh directly beneficially owns 937,932 Ordinary Shares, or approximately 0.4% of the Ordinary Shares outstanding.</w:t>
      </w:r>
    </w:p>
    <w:p>
      <w:pPr>
        <w:spacing w:after="0" w:line="169"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Russell L. Carson directly beneficially owns 680,075 Ordinary Shares, and indirectly beneficially owns (through trusts for the benefit of his children) 15,400 Ordinary Shares, or in the aggregate 695,475 Ordinary Shares or approximately 0.3% of the Ordinary Shares outstanding.</w:t>
      </w:r>
    </w:p>
    <w:p>
      <w:pPr>
        <w:spacing w:after="0" w:line="207" w:lineRule="exact"/>
        <w:rPr>
          <w:rFonts w:ascii="Courier New" w:cs="Courier New" w:eastAsia="Courier New" w:hAnsi="Courier New"/>
          <w:sz w:val="18"/>
          <w:szCs w:val="18"/>
          <w:color w:val="auto"/>
        </w:rPr>
      </w:pPr>
    </w:p>
    <w:p>
      <w:pPr>
        <w:ind w:right="1879" w:firstLine="1061"/>
        <w:spacing w:after="0" w:line="235" w:lineRule="auto"/>
        <w:tabs>
          <w:tab w:leader="none" w:pos="168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Bruce K. Anderson directly beneficially owns 1,699,241 Ordinary Shares, or approximately 0.8% of the Ordinary Shares outstanding.</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E. McInerney directly beneficially owns 696,817 Ordinary Shares, or approximately 0.3% of the Ordinary Shares outstanding.</w:t>
      </w:r>
    </w:p>
    <w:p>
      <w:pPr>
        <w:spacing w:after="0" w:line="208" w:lineRule="exact"/>
        <w:rPr>
          <w:rFonts w:ascii="Courier New" w:cs="Courier New" w:eastAsia="Courier New" w:hAnsi="Courier New"/>
          <w:sz w:val="18"/>
          <w:szCs w:val="18"/>
          <w:color w:val="auto"/>
        </w:rPr>
      </w:pPr>
    </w:p>
    <w:p>
      <w:pPr>
        <w:ind w:right="2099" w:firstLine="1061"/>
        <w:spacing w:after="0" w:line="235"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Minicucci directly beneficially owns 324,886 Ordinary Shares, or approximately 0.2% of the Ordinary Shares outstanding.</w:t>
      </w:r>
    </w:p>
    <w:p>
      <w:pPr>
        <w:spacing w:after="0" w:line="208" w:lineRule="exact"/>
        <w:rPr>
          <w:rFonts w:ascii="Courier New" w:cs="Courier New" w:eastAsia="Courier New" w:hAnsi="Courier New"/>
          <w:sz w:val="18"/>
          <w:szCs w:val="18"/>
          <w:color w:val="auto"/>
        </w:rPr>
      </w:pPr>
    </w:p>
    <w:p>
      <w:pPr>
        <w:ind w:right="2099" w:firstLine="1061"/>
        <w:spacing w:after="0" w:line="273"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Anthony J. deNicola directly beneficially owns 88,237 Ordinary Shares, indirectly beneficially owns (through a family foundation) 12,977 Ordinary Shares and indirectly beneficially owns (through trusts for the benefit of his children) 267 Ordinary Shares, or in the aggregate 101,481 Ordinary Shares or less than 0.1% of the Ordinary Shares outstanding.</w:t>
      </w:r>
    </w:p>
    <w:p>
      <w:pPr>
        <w:spacing w:after="0" w:line="184" w:lineRule="exact"/>
        <w:rPr>
          <w:rFonts w:ascii="Courier New" w:cs="Courier New" w:eastAsia="Courier New" w:hAnsi="Courier New"/>
          <w:sz w:val="16"/>
          <w:szCs w:val="16"/>
          <w:color w:val="auto"/>
        </w:rPr>
      </w:pPr>
    </w:p>
    <w:p>
      <w:pPr>
        <w:ind w:right="2419" w:firstLine="1061"/>
        <w:spacing w:after="0" w:line="235" w:lineRule="auto"/>
        <w:tabs>
          <w:tab w:leader="none" w:pos="168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Paul B. Queally directly beneficially owns 61,020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2099" w:firstLine="1061"/>
        <w:spacing w:after="0" w:line="235" w:lineRule="auto"/>
        <w:tabs>
          <w:tab w:leader="none" w:pos="179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M. Rather directly beneficially owns 8,984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D. Clark directly beneficially owns 3,474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1879" w:firstLine="1061"/>
        <w:spacing w:after="0" w:line="235"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Sanjay Swani directly beneficially owns 3,474 Ordinary Shares, or less than 0.1% of the Ordinary Shares outstanding.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type w:val="continuous"/>
        </w:sectPr>
      </w:pPr>
    </w:p>
    <w:bookmarkStart w:id="7" w:name="page8"/>
    <w:bookmarkEnd w:id="7"/>
    <w:p>
      <w:pPr>
        <w:spacing w:after="0"/>
        <w:tabs>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8 of 9 pages</w:t>
      </w:r>
    </w:p>
    <w:p>
      <w:pPr>
        <w:spacing w:after="0" w:line="200" w:lineRule="exact"/>
        <w:rPr>
          <w:sz w:val="20"/>
          <w:szCs w:val="20"/>
          <w:color w:val="auto"/>
        </w:rPr>
      </w:pPr>
    </w:p>
    <w:p>
      <w:pPr>
        <w:spacing w:after="0" w:line="209" w:lineRule="exact"/>
        <w:rPr>
          <w:sz w:val="20"/>
          <w:szCs w:val="20"/>
          <w:color w:val="auto"/>
        </w:rPr>
      </w:pPr>
    </w:p>
    <w:p>
      <w:pPr>
        <w:ind w:right="2519" w:firstLine="1061"/>
        <w:spacing w:after="0" w:line="235"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 Scott Mackesy directly beneficially owns 6,384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2319" w:firstLine="1061"/>
        <w:spacing w:after="0" w:line="235" w:lineRule="auto"/>
        <w:tabs>
          <w:tab w:leader="none" w:pos="168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R. Matthews directly beneficially owns 3,474 Ordinary Shares, or less than 0.1% of the Ordinary Shares outstanding.</w:t>
      </w:r>
    </w:p>
    <w:p>
      <w:pPr>
        <w:spacing w:after="0" w:line="208" w:lineRule="exact"/>
        <w:rPr>
          <w:sz w:val="20"/>
          <w:szCs w:val="20"/>
          <w:color w:val="auto"/>
        </w:rPr>
      </w:pPr>
    </w:p>
    <w:p>
      <w:pPr>
        <w:ind w:right="1779" w:firstLine="1061"/>
        <w:spacing w:after="0" w:line="270" w:lineRule="auto"/>
        <w:tabs>
          <w:tab w:leader="none" w:pos="147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managing members of IX Associates and CP III Associates and general partners of VII Partners and VI Partners may be deemed to share the power to vote or direct the voting of and to dispose or direct the disposition of the Ordinary Shares owned by WCAS IX, WCAS CP III, WCAS VII and WCAS VI, respectively. Each such person has the sole power to vote or direct the voting of and to dispose or direct the disposition of only the Ordinary Shares that he directly beneficially owns. Each of the managing members of IX Associates and CP III Associates and general partners of VII Partners and VI Partners disclaims beneficial ownership of all Ordinary Shares other than the shares he owns directly or by virtue of his indirect pro rata interest, as a managing member of IX Associates and/or CP III Associates and/or general partner of VII Partners and/or VI Partners, in the shares owned by WCAS IX, WCAS CP III, WCAS VII and/or</w:t>
      </w:r>
    </w:p>
    <w:p>
      <w:pPr>
        <w:spacing w:after="0" w:line="18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WCAS VI.</w:t>
      </w:r>
    </w:p>
    <w:p>
      <w:pPr>
        <w:spacing w:after="0" w:line="207" w:lineRule="exact"/>
        <w:rPr>
          <w:rFonts w:ascii="Courier New" w:cs="Courier New" w:eastAsia="Courier New" w:hAnsi="Courier New"/>
          <w:sz w:val="16"/>
          <w:szCs w:val="16"/>
          <w:color w:val="auto"/>
        </w:rPr>
      </w:pPr>
    </w:p>
    <w:p>
      <w:pPr>
        <w:ind w:right="1999" w:firstLine="1061"/>
        <w:spacing w:after="0" w:line="235" w:lineRule="auto"/>
        <w:tabs>
          <w:tab w:leader="none" w:pos="147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31, 2003, Ordinary Shares owned by the Reporting Persons were distributed to their respective partners as follows:</w:t>
      </w:r>
    </w:p>
    <w:p>
      <w:pPr>
        <w:spacing w:after="0" w:line="208" w:lineRule="exact"/>
        <w:rPr>
          <w:rFonts w:ascii="Courier New" w:cs="Courier New" w:eastAsia="Courier New" w:hAnsi="Courier New"/>
          <w:sz w:val="18"/>
          <w:szCs w:val="18"/>
          <w:color w:val="auto"/>
        </w:rPr>
      </w:pPr>
    </w:p>
    <w:p>
      <w:pPr>
        <w:ind w:right="1879" w:firstLine="1272"/>
        <w:spacing w:after="0" w:line="236" w:lineRule="auto"/>
        <w:tabs>
          <w:tab w:leader="none" w:pos="1685"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WCAS IX distributed 5,963,0000 Ordinary Shares to its partners, including 59,623 to IX Associates, immediately followed by the distribution of such 59,623 shares to the members of IX Associates;</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WCAS VII distributed 2,599,000 Ordinary Shares to its partners;</w:t>
      </w:r>
    </w:p>
    <w:p>
      <w:pPr>
        <w:spacing w:after="0" w:line="223" w:lineRule="exact"/>
        <w:rPr>
          <w:rFonts w:ascii="Courier New" w:cs="Courier New" w:eastAsia="Courier New" w:hAnsi="Courier New"/>
          <w:sz w:val="16"/>
          <w:szCs w:val="16"/>
          <w:color w:val="auto"/>
        </w:rPr>
      </w:pPr>
    </w:p>
    <w:p>
      <w:pPr>
        <w:ind w:right="1999" w:firstLine="1272"/>
        <w:spacing w:after="0" w:line="236" w:lineRule="auto"/>
        <w:tabs>
          <w:tab w:leader="none" w:pos="1896"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WCAS VI distributed 759,000 Ordinary Shares to its partners, including 137,334 to VI Partners, immediately followed by the distribution of such 137,334 shares to the partners of VI Partners; and</w:t>
      </w:r>
    </w:p>
    <w:p>
      <w:pPr>
        <w:spacing w:after="0" w:line="208" w:lineRule="exact"/>
        <w:rPr>
          <w:rFonts w:ascii="Courier New" w:cs="Courier New" w:eastAsia="Courier New" w:hAnsi="Courier New"/>
          <w:sz w:val="18"/>
          <w:szCs w:val="18"/>
          <w:color w:val="auto"/>
        </w:rPr>
      </w:pPr>
    </w:p>
    <w:p>
      <w:pPr>
        <w:ind w:right="1879" w:firstLine="1272"/>
        <w:spacing w:after="0" w:line="236" w:lineRule="auto"/>
        <w:tabs>
          <w:tab w:leader="none" w:pos="1791"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CP III distributed 679,000 Ordinary Shares to its partners, including 87,348 to CP III Associates, immediately followed by the distribution of such 87,348 shares to the members of CP III Associates.</w:t>
      </w:r>
    </w:p>
    <w:p>
      <w:pPr>
        <w:spacing w:after="0" w:line="208"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this statement, no person has the power to direct the receipt of dividends on or the proceeds of sales of, the Ordinary Shares owned by the Reporting Persons.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9 of 9 pages</w:t>
      </w:r>
    </w:p>
    <w:p>
      <w:pPr>
        <w:spacing w:after="0" w:line="200" w:lineRule="exact"/>
        <w:rPr>
          <w:sz w:val="20"/>
          <w:szCs w:val="20"/>
          <w:color w:val="auto"/>
        </w:rPr>
      </w:pPr>
    </w:p>
    <w:p>
      <w:pPr>
        <w:sectPr>
          <w:pgSz w:w="11900" w:h="16838" w:orient="portrait"/>
          <w:cols w:equalWidth="0" w:num="2">
            <w:col w:w="5820" w:space="720"/>
            <w:col w:w="3679"/>
          </w:cols>
          <w:pgMar w:left="240" w:top="520" w:right="1440" w:bottom="1440" w:gutter="0" w:footer="0" w:header="0"/>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WELSH,CARSON, ANDERSON &amp; STOWE IX, L.P.</w:t>
      </w:r>
    </w:p>
    <w:p>
      <w:pPr>
        <w:ind w:left="3580"/>
        <w:spacing w:after="0" w:line="238" w:lineRule="auto"/>
        <w:rPr>
          <w:sz w:val="20"/>
          <w:szCs w:val="20"/>
          <w:color w:val="auto"/>
        </w:rPr>
      </w:pPr>
      <w:r>
        <w:rPr>
          <w:rFonts w:ascii="Courier New" w:cs="Courier New" w:eastAsia="Courier New" w:hAnsi="Courier New"/>
          <w:sz w:val="18"/>
          <w:szCs w:val="18"/>
          <w:color w:val="auto"/>
        </w:rPr>
        <w:t>By: WCAS IX Associates, LLC, General Partner</w:t>
      </w:r>
    </w:p>
    <w:p>
      <w:pPr>
        <w:spacing w:after="0" w:line="20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Jonathan M. Rather</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WELSH, CARSON, ANDERSON &amp; STOWE VII, L.P.</w:t>
      </w:r>
    </w:p>
    <w:p>
      <w:pPr>
        <w:ind w:left="3580"/>
        <w:spacing w:after="0" w:line="238" w:lineRule="auto"/>
        <w:rPr>
          <w:sz w:val="20"/>
          <w:szCs w:val="20"/>
          <w:color w:val="auto"/>
        </w:rPr>
      </w:pPr>
      <w:r>
        <w:rPr>
          <w:rFonts w:ascii="Courier New" w:cs="Courier New" w:eastAsia="Courier New" w:hAnsi="Courier New"/>
          <w:sz w:val="18"/>
          <w:szCs w:val="18"/>
          <w:color w:val="auto"/>
        </w:rPr>
        <w:t>By: WCAS VII Partners, L.P., General Partner</w:t>
      </w:r>
    </w:p>
    <w:p>
      <w:pPr>
        <w:spacing w:after="0" w:line="20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Jonathan M. Rather</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199"/>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WELSH, CARSON, ANDERSON &amp; STOWE VI, L.P.</w:t>
      </w:r>
    </w:p>
    <w:p>
      <w:pPr>
        <w:ind w:left="3580"/>
        <w:spacing w:after="0" w:line="238" w:lineRule="auto"/>
        <w:rPr>
          <w:sz w:val="20"/>
          <w:szCs w:val="20"/>
          <w:color w:val="auto"/>
        </w:rPr>
      </w:pPr>
      <w:r>
        <w:rPr>
          <w:rFonts w:ascii="Courier New" w:cs="Courier New" w:eastAsia="Courier New" w:hAnsi="Courier New"/>
          <w:sz w:val="18"/>
          <w:szCs w:val="18"/>
          <w:color w:val="auto"/>
        </w:rPr>
        <w:t>By: WCAS VI Partners, L.P., General Partner</w:t>
      </w:r>
    </w:p>
    <w:p>
      <w:pPr>
        <w:spacing w:after="0" w:line="20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Jonathan M. Rather</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WCAS CAPITAL PARTNERS III, L.P. By: WCAS</w:t>
      </w:r>
    </w:p>
    <w:p>
      <w:pPr>
        <w:ind w:left="3580"/>
        <w:spacing w:after="0" w:line="238" w:lineRule="auto"/>
        <w:rPr>
          <w:sz w:val="20"/>
          <w:szCs w:val="20"/>
          <w:color w:val="auto"/>
        </w:rPr>
      </w:pPr>
      <w:r>
        <w:rPr>
          <w:rFonts w:ascii="Courier New" w:cs="Courier New" w:eastAsia="Courier New" w:hAnsi="Courier New"/>
          <w:sz w:val="18"/>
          <w:szCs w:val="18"/>
          <w:color w:val="auto"/>
        </w:rPr>
        <w:t>CP III Associates, LLC, General Partner</w:t>
      </w:r>
    </w:p>
    <w:p>
      <w:pPr>
        <w:spacing w:after="0" w:line="20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Jonathan M. Rather</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199"/>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sectPr>
      <w:pgSz w:w="11900" w:h="16838" w:orient="portrait"/>
      <w:cols w:equalWidth="0" w:num="1">
        <w:col w:w="10219"/>
      </w:cols>
      <w:pgMar w:left="24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3"/>
    </w:lvl>
  </w:abstractNum>
  <w:abstractNum w:abstractNumId="1">
    <w:nsid w:val="1F16E9E8"/>
    <w:multiLevelType w:val="hybridMultilevel"/>
    <w:lvl w:ilvl="0">
      <w:lvlJc w:val="left"/>
      <w:lvlText w:val="%1)"/>
      <w:numFmt w:val="decimal"/>
      <w:start w:val="4"/>
    </w:lvl>
  </w:abstractNum>
  <w:abstractNum w:abstractNumId="2">
    <w:nsid w:val="1190CDE7"/>
    <w:multiLevelType w:val="hybridMultilevel"/>
    <w:lvl w:ilvl="0">
      <w:lvlJc w:val="left"/>
      <w:lvlText w:val="%1)"/>
      <w:numFmt w:val="decimal"/>
      <w:start w:val="5"/>
    </w:lvl>
  </w:abstractNum>
  <w:abstractNum w:abstractNumId="3">
    <w:nsid w:val="66EF438D"/>
    <w:multiLevelType w:val="hybridMultilevel"/>
    <w:lvl w:ilvl="0">
      <w:lvlJc w:val="left"/>
      <w:lvlText w:val="%1)"/>
      <w:numFmt w:val="decimal"/>
      <w:start w:val="6"/>
    </w:lvl>
  </w:abstractNum>
  <w:abstractNum w:abstractNumId="4">
    <w:nsid w:val="140E0F76"/>
    <w:multiLevelType w:val="hybridMultilevel"/>
    <w:lvl w:ilvl="0">
      <w:lvlJc w:val="left"/>
      <w:lvlText w:val="%1)"/>
      <w:numFmt w:val="decimal"/>
      <w:start w:val="12"/>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lowerRoman"/>
      <w:start w:val="1"/>
    </w:lvl>
  </w:abstractNum>
  <w:abstractNum w:abstractNumId="18">
    <w:nsid w:val="257130A3"/>
    <w:multiLevelType w:val="hybridMultilevel"/>
    <w:lvl w:ilvl="0">
      <w:lvlJc w:val="left"/>
      <w:lvlText w:val="(%1)"/>
      <w:numFmt w:val="lowerRoman"/>
      <w:start w:val="11"/>
    </w:lvl>
  </w:abstractNum>
  <w:abstractNum w:abstractNumId="19">
    <w:nsid w:val="62BBD95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2019-12-14T21:20:15Z</dcterms:created>
  <dcterms:modified xsi:type="dcterms:W3CDTF">2019-12-14T21:20:15Z</dcterms:modified>
</cp:coreProperties>
</file>