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4"/>
          <w:szCs w:val="24"/>
          <w:color w:val="auto"/>
        </w:rPr>
      </w:pPr>
    </w:p>
    <w:p>
      <w:pPr>
        <w:ind w:left="528"/>
        <w:spacing w:after="0"/>
        <w:rPr>
          <w:sz w:val="20"/>
          <w:szCs w:val="20"/>
          <w:color w:val="auto"/>
        </w:rPr>
      </w:pPr>
      <w:r>
        <w:rPr>
          <w:rFonts w:ascii="Courier New" w:cs="Courier New" w:eastAsia="Courier New" w:hAnsi="Courier New"/>
          <w:sz w:val="15"/>
          <w:szCs w:val="15"/>
          <w:color w:val="auto"/>
        </w:rPr>
        <w:t>AS FILED WITH THE SECURITIES AND EXCHANGE COMMISSION ON MAY 6, 1999.</w:t>
      </w:r>
    </w:p>
    <w:p>
      <w:pPr>
        <w:spacing w:after="0" w:line="346" w:lineRule="exact"/>
        <w:rPr>
          <w:sz w:val="24"/>
          <w:szCs w:val="24"/>
          <w:color w:val="auto"/>
        </w:rPr>
      </w:pPr>
    </w:p>
    <w:p>
      <w:pPr>
        <w:ind w:left="4828"/>
        <w:spacing w:after="0"/>
        <w:rPr>
          <w:sz w:val="20"/>
          <w:szCs w:val="20"/>
          <w:color w:val="auto"/>
        </w:rPr>
      </w:pPr>
      <w:r>
        <w:rPr>
          <w:rFonts w:ascii="Courier New" w:cs="Courier New" w:eastAsia="Courier New" w:hAnsi="Courier New"/>
          <w:sz w:val="15"/>
          <w:szCs w:val="15"/>
          <w:color w:val="auto"/>
        </w:rPr>
        <w:t>REGISTRATION NO. 333-75151</w:t>
      </w:r>
    </w:p>
    <w:p>
      <w:pPr>
        <w:spacing w:after="0" w:line="174"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1"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7"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UNITED STATES</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0"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WASHINGTON, D.C. 20549</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AMENDMENT NO. 1</w:t>
      </w:r>
    </w:p>
    <w:p>
      <w:pPr>
        <w:spacing w:after="0" w:line="346" w:lineRule="exact"/>
        <w:rPr>
          <w:sz w:val="24"/>
          <w:szCs w:val="24"/>
          <w:color w:val="auto"/>
        </w:rPr>
      </w:pPr>
    </w:p>
    <w:p>
      <w:pPr>
        <w:ind w:left="3488"/>
        <w:spacing w:after="0"/>
        <w:rPr>
          <w:sz w:val="20"/>
          <w:szCs w:val="20"/>
          <w:color w:val="auto"/>
        </w:rPr>
      </w:pPr>
      <w:r>
        <w:rPr>
          <w:rFonts w:ascii="Courier New" w:cs="Courier New" w:eastAsia="Courier New" w:hAnsi="Courier New"/>
          <w:sz w:val="15"/>
          <w:szCs w:val="15"/>
          <w:color w:val="auto"/>
        </w:rPr>
        <w:t>TO</w:t>
      </w:r>
    </w:p>
    <w:p>
      <w:pPr>
        <w:spacing w:after="0" w:line="346"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F-1</w:t>
      </w:r>
    </w:p>
    <w:p>
      <w:pPr>
        <w:spacing w:after="0" w:line="30"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308"/>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THE SECURITIES ACT OF 1933</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30"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7"/>
          </w:cols>
          <w:pgMar w:left="232" w:top="205" w:right="1440" w:bottom="0" w:gutter="0" w:footer="0" w:header="0"/>
        </w:sectPr>
      </w:pPr>
    </w:p>
    <w:p>
      <w:pPr>
        <w:spacing w:after="0" w:line="200" w:lineRule="exact"/>
        <w:rPr>
          <w:sz w:val="24"/>
          <w:szCs w:val="24"/>
          <w:color w:val="auto"/>
        </w:rPr>
      </w:pPr>
    </w:p>
    <w:p>
      <w:pPr>
        <w:spacing w:after="0" w:line="290" w:lineRule="exact"/>
        <w:rPr>
          <w:sz w:val="24"/>
          <w:szCs w:val="24"/>
          <w:color w:val="auto"/>
        </w:rPr>
      </w:pPr>
    </w:p>
    <w:p>
      <w:pPr>
        <w:ind w:left="188" w:firstLine="626"/>
        <w:spacing w:after="0" w:line="331" w:lineRule="auto"/>
        <w:rPr>
          <w:sz w:val="20"/>
          <w:szCs w:val="20"/>
          <w:color w:val="auto"/>
        </w:rPr>
      </w:pPr>
      <w:r>
        <w:rPr>
          <w:rFonts w:ascii="Courier New" w:cs="Courier New" w:eastAsia="Courier New" w:hAnsi="Courier New"/>
          <w:sz w:val="14"/>
          <w:szCs w:val="14"/>
          <w:color w:val="auto"/>
        </w:rPr>
        <w:t>ISLAND OF GUERNSEY (STATE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7371</w:t>
      </w:r>
    </w:p>
    <w:p>
      <w:pPr>
        <w:spacing w:after="0" w:line="3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NOT APPLICABLE</w:t>
      </w:r>
    </w:p>
    <w:p>
      <w:pPr>
        <w:spacing w:after="0" w:line="30"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325" w:lineRule="exact"/>
        <w:rPr>
          <w:sz w:val="24"/>
          <w:szCs w:val="24"/>
          <w:color w:val="auto"/>
        </w:rPr>
      </w:pPr>
    </w:p>
    <w:p>
      <w:pPr>
        <w:sectPr>
          <w:pgSz w:w="11900" w:h="16838" w:orient="portrait"/>
          <w:cols w:equalWidth="0" w:num="3">
            <w:col w:w="2948" w:space="720"/>
            <w:col w:w="2940" w:space="720"/>
            <w:col w:w="2899"/>
          </w:cols>
          <w:pgMar w:left="232" w:top="205" w:right="1440" w:bottom="0" w:gutter="0" w:footer="0" w:header="0"/>
          <w:type w:val="continuous"/>
        </w:sectPr>
      </w:pPr>
    </w:p>
    <w:p>
      <w:pPr>
        <w:spacing w:after="0" w:line="176"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TOWER HILL HOUSE LE BORDAGE</w:t>
      </w:r>
    </w:p>
    <w:p>
      <w:pPr>
        <w:spacing w:after="0" w:line="346"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011-44-1481-727272</w:t>
      </w:r>
    </w:p>
    <w:p>
      <w:pPr>
        <w:spacing w:after="0" w:line="30"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1610 DES PERES ROAD, ST. LOUIS, MISSOURI 63131</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ATTENTION: THOMAS G. O'BRIEN, TREASURER</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314-821-3242</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46" w:lineRule="exact"/>
        <w:rPr>
          <w:sz w:val="24"/>
          <w:szCs w:val="24"/>
          <w:color w:val="auto"/>
        </w:rPr>
      </w:pPr>
    </w:p>
    <w:p>
      <w:pPr>
        <w:ind w:left="528"/>
        <w:spacing w:after="0"/>
        <w:rPr>
          <w:sz w:val="20"/>
          <w:szCs w:val="20"/>
          <w:color w:val="auto"/>
        </w:rPr>
      </w:pPr>
      <w:r>
        <w:rPr>
          <w:rFonts w:ascii="Courier New" w:cs="Courier New" w:eastAsia="Courier New" w:hAnsi="Courier New"/>
          <w:sz w:val="15"/>
          <w:szCs w:val="15"/>
          <w:color w:val="auto"/>
        </w:rPr>
        <w:t>THE COMMISSION IS REQUESTED TO SEND COPIES OF ALL COMMUNICATIONS TO:</w:t>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tbl>
      <w:tblPr>
        <w:tblLayout w:type="fixed"/>
        <w:tblInd w:w="348" w:type="dxa"/>
        <w:tblCellMar>
          <w:top w:w="0" w:type="dxa"/>
          <w:left w:w="0" w:type="dxa"/>
          <w:bottom w:w="0" w:type="dxa"/>
          <w:right w:w="0" w:type="dxa"/>
        </w:tblCellMar>
      </w:tblPr>
      <w:tr>
        <w:trPr>
          <w:trHeight w:val="172"/>
        </w:trPr>
        <w:tc>
          <w:tcPr>
            <w:tcW w:w="45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8"/>
              </w:rPr>
              <w:t>ROBERT A. SCHWED, ESQ.</w:t>
            </w:r>
          </w:p>
        </w:tc>
        <w:tc>
          <w:tcPr>
            <w:tcW w:w="416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8"/>
              </w:rPr>
              <w:t>PHYLLIS G. KORFF, ESQ.</w:t>
            </w:r>
          </w:p>
        </w:tc>
      </w:tr>
      <w:tr>
        <w:trPr>
          <w:trHeight w:val="172"/>
        </w:trPr>
        <w:tc>
          <w:tcPr>
            <w:tcW w:w="4520" w:type="dxa"/>
            <w:vAlign w:val="bottom"/>
          </w:tcPr>
          <w:p>
            <w:pPr>
              <w:jc w:val="center"/>
              <w:ind w:right="505"/>
              <w:spacing w:after="0"/>
              <w:rPr>
                <w:sz w:val="20"/>
                <w:szCs w:val="20"/>
                <w:color w:val="auto"/>
              </w:rPr>
            </w:pPr>
            <w:r>
              <w:rPr>
                <w:rFonts w:ascii="Courier New" w:cs="Courier New" w:eastAsia="Courier New" w:hAnsi="Courier New"/>
                <w:sz w:val="15"/>
                <w:szCs w:val="15"/>
                <w:color w:val="auto"/>
                <w:w w:val="99"/>
              </w:rPr>
              <w:t>REBOUL, MACMURRAY, HEWITT, MAYNARD &amp; KRISTOL</w:t>
            </w:r>
          </w:p>
        </w:tc>
        <w:tc>
          <w:tcPr>
            <w:tcW w:w="4160" w:type="dxa"/>
            <w:vAlign w:val="bottom"/>
          </w:tcPr>
          <w:p>
            <w:pPr>
              <w:jc w:val="center"/>
              <w:ind w:left="505"/>
              <w:spacing w:after="0"/>
              <w:rPr>
                <w:sz w:val="20"/>
                <w:szCs w:val="20"/>
                <w:color w:val="auto"/>
              </w:rPr>
            </w:pPr>
            <w:r>
              <w:rPr>
                <w:rFonts w:ascii="Courier New" w:cs="Courier New" w:eastAsia="Courier New" w:hAnsi="Courier New"/>
                <w:sz w:val="15"/>
                <w:szCs w:val="15"/>
                <w:color w:val="auto"/>
                <w:w w:val="99"/>
              </w:rPr>
              <w:t>SKADDEN, ARPS, SLATE, MEAGHER &amp; FLOM LLP</w:t>
            </w:r>
          </w:p>
        </w:tc>
      </w:tr>
      <w:tr>
        <w:trPr>
          <w:trHeight w:val="172"/>
        </w:trPr>
        <w:tc>
          <w:tcPr>
            <w:tcW w:w="45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45 ROCKEFELLER PLAZA</w:t>
            </w:r>
          </w:p>
        </w:tc>
        <w:tc>
          <w:tcPr>
            <w:tcW w:w="416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9"/>
              </w:rPr>
              <w:t>919 THIRD AVENUE</w:t>
            </w:r>
          </w:p>
        </w:tc>
      </w:tr>
      <w:tr>
        <w:trPr>
          <w:trHeight w:val="172"/>
        </w:trPr>
        <w:tc>
          <w:tcPr>
            <w:tcW w:w="45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NEW YORK, NEW YORK 10111</w:t>
            </w:r>
          </w:p>
        </w:tc>
        <w:tc>
          <w:tcPr>
            <w:tcW w:w="416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9"/>
              </w:rPr>
              <w:t>NEW YORK, NEW YORK 10022</w:t>
            </w:r>
          </w:p>
        </w:tc>
      </w:tr>
      <w:tr>
        <w:trPr>
          <w:trHeight w:val="252"/>
        </w:trPr>
        <w:tc>
          <w:tcPr>
            <w:tcW w:w="45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8"/>
              </w:rPr>
              <w:t>(212) 841-5700</w:t>
            </w:r>
          </w:p>
        </w:tc>
        <w:tc>
          <w:tcPr>
            <w:tcW w:w="416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8"/>
              </w:rPr>
              <w:t>(212) 735-3000</w:t>
            </w:r>
          </w:p>
        </w:tc>
      </w:tr>
    </w:tbl>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both"/>
        <w:ind w:left="8" w:right="3159" w:firstLine="358"/>
        <w:spacing w:after="0" w:line="359"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80" w:lineRule="exact"/>
        <w:rPr>
          <w:sz w:val="24"/>
          <w:szCs w:val="24"/>
          <w:color w:val="auto"/>
        </w:rPr>
      </w:pPr>
    </w:p>
    <w:p>
      <w:pPr>
        <w:jc w:val="both"/>
        <w:ind w:left="8" w:right="3159" w:firstLine="358"/>
        <w:spacing w:after="0" w:line="256"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please check the following box. [ ]</w:t>
      </w:r>
    </w:p>
    <w:p>
      <w:pPr>
        <w:ind w:left="8"/>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4"/>
          <w:szCs w:val="24"/>
          <w:color w:val="auto"/>
        </w:rPr>
      </w:pPr>
    </w:p>
    <w:p>
      <w:pPr>
        <w:ind w:left="8" w:right="3079" w:firstLine="358"/>
        <w:spacing w:after="0" w:line="25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4"/>
          <w:szCs w:val="24"/>
          <w:color w:val="auto"/>
        </w:rPr>
      </w:pPr>
    </w:p>
    <w:p>
      <w:pPr>
        <w:jc w:val="both"/>
        <w:ind w:left="8" w:right="3339" w:firstLine="358"/>
        <w:spacing w:after="0" w:line="25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4"/>
          <w:szCs w:val="24"/>
          <w:color w:val="auto"/>
        </w:rPr>
      </w:pPr>
    </w:p>
    <w:p>
      <w:pPr>
        <w:ind w:left="8" w:right="3259" w:firstLine="358"/>
        <w:spacing w:after="0" w:line="262"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4"/>
          <w:szCs w:val="24"/>
          <w:color w:val="auto"/>
        </w:rPr>
      </w:pPr>
    </w:p>
    <w:p>
      <w:pPr>
        <w:ind w:left="1708"/>
        <w:spacing w:after="0"/>
        <w:rPr>
          <w:sz w:val="20"/>
          <w:szCs w:val="20"/>
          <w:color w:val="auto"/>
        </w:rPr>
      </w:pPr>
      <w:r>
        <w:rPr>
          <w:rFonts w:ascii="Courier New" w:cs="Courier New" w:eastAsia="Courier New" w:hAnsi="Courier New"/>
          <w:sz w:val="15"/>
          <w:szCs w:val="15"/>
          <w:color w:val="auto"/>
        </w:rPr>
        <w:t>CALCULATION OF ADDITIONAL REGISTRATION FEE</w:t>
      </w:r>
    </w:p>
    <w:p>
      <w:pPr>
        <w:sectPr>
          <w:pgSz w:w="11900" w:h="16838" w:orient="portrait"/>
          <w:cols w:equalWidth="0" w:num="1">
            <w:col w:w="10227"/>
          </w:cols>
          <w:pgMar w:left="232" w:top="205" w:right="1440" w:bottom="0" w:gutter="0" w:footer="0" w:header="0"/>
          <w:type w:val="continuous"/>
        </w:sectPr>
      </w:pPr>
    </w:p>
    <w:bookmarkStart w:id="1" w:name="page2"/>
    <w:bookmarkEnd w:id="1"/>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1"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8" w:type="dxa"/>
        <w:tblCellMar>
          <w:top w:w="0" w:type="dxa"/>
          <w:left w:w="0" w:type="dxa"/>
          <w:bottom w:w="0" w:type="dxa"/>
          <w:right w:w="0" w:type="dxa"/>
        </w:tblCellMar>
      </w:tblPr>
      <w:tr>
        <w:trPr>
          <w:trHeight w:val="157"/>
        </w:trPr>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TITLE OF EACH</w:t>
            </w:r>
          </w:p>
        </w:tc>
        <w:tc>
          <w:tcPr>
            <w:tcW w:w="130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CLASS OF</w:t>
            </w:r>
          </w:p>
        </w:tc>
        <w:tc>
          <w:tcPr>
            <w:tcW w:w="2020" w:type="dxa"/>
            <w:vAlign w:val="bottom"/>
          </w:tcPr>
          <w:p>
            <w:pPr>
              <w:ind w:left="540"/>
              <w:spacing w:after="0" w:line="158" w:lineRule="exact"/>
              <w:rPr>
                <w:sz w:val="20"/>
                <w:szCs w:val="20"/>
                <w:color w:val="auto"/>
              </w:rPr>
            </w:pPr>
            <w:r>
              <w:rPr>
                <w:rFonts w:ascii="Courier New" w:cs="Courier New" w:eastAsia="Courier New" w:hAnsi="Courier New"/>
                <w:sz w:val="15"/>
                <w:szCs w:val="15"/>
                <w:color w:val="auto"/>
              </w:rPr>
              <w:t>ADDITIONAL</w:t>
            </w:r>
          </w:p>
        </w:tc>
        <w:tc>
          <w:tcPr>
            <w:tcW w:w="2360" w:type="dxa"/>
            <w:vAlign w:val="bottom"/>
          </w:tcPr>
          <w:p>
            <w:pPr>
              <w:jc w:val="right"/>
              <w:ind w:right="625"/>
              <w:spacing w:after="0" w:line="158" w:lineRule="exact"/>
              <w:rPr>
                <w:sz w:val="20"/>
                <w:szCs w:val="20"/>
                <w:color w:val="auto"/>
              </w:rPr>
            </w:pPr>
            <w:r>
              <w:rPr>
                <w:rFonts w:ascii="Courier New" w:cs="Courier New" w:eastAsia="Courier New" w:hAnsi="Courier New"/>
                <w:sz w:val="15"/>
                <w:szCs w:val="15"/>
                <w:color w:val="auto"/>
              </w:rPr>
              <w:t>PROPOSED</w:t>
            </w:r>
          </w:p>
        </w:tc>
        <w:tc>
          <w:tcPr>
            <w:tcW w:w="2060" w:type="dxa"/>
            <w:vAlign w:val="bottom"/>
          </w:tcPr>
          <w:p>
            <w:pPr>
              <w:jc w:val="center"/>
              <w:ind w:left="285"/>
              <w:spacing w:after="0" w:line="158" w:lineRule="exact"/>
              <w:rPr>
                <w:sz w:val="20"/>
                <w:szCs w:val="20"/>
                <w:color w:val="auto"/>
              </w:rPr>
            </w:pPr>
            <w:r>
              <w:rPr>
                <w:rFonts w:ascii="Courier New" w:cs="Courier New" w:eastAsia="Courier New" w:hAnsi="Courier New"/>
                <w:sz w:val="15"/>
                <w:szCs w:val="15"/>
                <w:color w:val="auto"/>
                <w:w w:val="99"/>
              </w:rPr>
              <w:t>ADDITIONAL PROPOSED</w:t>
            </w:r>
          </w:p>
        </w:tc>
        <w:tc>
          <w:tcPr>
            <w:tcW w:w="0" w:type="dxa"/>
            <w:vAlign w:val="bottom"/>
          </w:tcPr>
          <w:p>
            <w:pPr>
              <w:spacing w:after="0"/>
              <w:rPr>
                <w:sz w:val="1"/>
                <w:szCs w:val="1"/>
                <w:color w:val="auto"/>
              </w:rPr>
            </w:pPr>
          </w:p>
        </w:tc>
      </w:tr>
      <w:tr>
        <w:trPr>
          <w:trHeight w:val="172"/>
        </w:trPr>
        <w:tc>
          <w:tcPr>
            <w:tcW w:w="14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2020" w:type="dxa"/>
            <w:vAlign w:val="bottom"/>
          </w:tcPr>
          <w:p>
            <w:pPr>
              <w:ind w:left="540"/>
              <w:spacing w:after="0"/>
              <w:rPr>
                <w:sz w:val="20"/>
                <w:szCs w:val="20"/>
                <w:color w:val="auto"/>
              </w:rPr>
            </w:pPr>
            <w:r>
              <w:rPr>
                <w:rFonts w:ascii="Courier New" w:cs="Courier New" w:eastAsia="Courier New" w:hAnsi="Courier New"/>
                <w:sz w:val="15"/>
                <w:szCs w:val="15"/>
                <w:color w:val="auto"/>
              </w:rPr>
              <w:t>AMOUNT TO</w:t>
            </w:r>
          </w:p>
        </w:tc>
        <w:tc>
          <w:tcPr>
            <w:tcW w:w="2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MAXIMUM OFFERING</w:t>
            </w:r>
          </w:p>
        </w:tc>
        <w:tc>
          <w:tcPr>
            <w:tcW w:w="206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MAXIMUM AGGREGATE</w:t>
            </w:r>
          </w:p>
        </w:tc>
        <w:tc>
          <w:tcPr>
            <w:tcW w:w="0" w:type="dxa"/>
            <w:vAlign w:val="bottom"/>
          </w:tcPr>
          <w:p>
            <w:pPr>
              <w:spacing w:after="0"/>
              <w:rPr>
                <w:sz w:val="1"/>
                <w:szCs w:val="1"/>
                <w:color w:val="auto"/>
              </w:rPr>
            </w:pPr>
          </w:p>
        </w:tc>
      </w:tr>
      <w:tr>
        <w:trPr>
          <w:trHeight w:val="200"/>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w w:val="97"/>
              </w:rPr>
              <w:t>SECURITIES TO BE</w:t>
            </w: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REGISTERED</w:t>
            </w:r>
          </w:p>
        </w:tc>
        <w:tc>
          <w:tcPr>
            <w:tcW w:w="2020" w:type="dxa"/>
            <w:vAlign w:val="bottom"/>
          </w:tcPr>
          <w:p>
            <w:pPr>
              <w:ind w:left="360"/>
              <w:spacing w:after="0"/>
              <w:rPr>
                <w:sz w:val="20"/>
                <w:szCs w:val="20"/>
                <w:color w:val="auto"/>
              </w:rPr>
            </w:pPr>
            <w:r>
              <w:rPr>
                <w:rFonts w:ascii="Courier New" w:cs="Courier New" w:eastAsia="Courier New" w:hAnsi="Courier New"/>
                <w:sz w:val="15"/>
                <w:szCs w:val="15"/>
                <w:color w:val="auto"/>
              </w:rPr>
              <w:t>BE REGISTERED</w:t>
            </w:r>
          </w:p>
        </w:tc>
        <w:tc>
          <w:tcPr>
            <w:tcW w:w="2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PRICE PER UNIT(1)</w:t>
            </w:r>
          </w:p>
        </w:tc>
        <w:tc>
          <w:tcPr>
            <w:tcW w:w="206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OFFERING PRICE(1)</w:t>
            </w:r>
          </w:p>
        </w:tc>
        <w:tc>
          <w:tcPr>
            <w:tcW w:w="0" w:type="dxa"/>
            <w:vAlign w:val="bottom"/>
          </w:tcPr>
          <w:p>
            <w:pPr>
              <w:spacing w:after="0"/>
              <w:rPr>
                <w:sz w:val="1"/>
                <w:szCs w:val="1"/>
                <w:color w:val="auto"/>
              </w:rPr>
            </w:pPr>
          </w:p>
        </w:tc>
      </w:tr>
    </w:tbl>
    <w:p>
      <w:pPr>
        <w:ind w:left="8"/>
        <w:spacing w:after="0"/>
        <w:rPr>
          <w:sz w:val="20"/>
          <w:szCs w:val="20"/>
          <w:color w:val="auto"/>
        </w:rPr>
      </w:pPr>
      <w:r>
        <w:rPr>
          <w:rFonts w:ascii="Courier New" w:cs="Courier New" w:eastAsia="Courier New" w:hAnsi="Courier New"/>
          <w:sz w:val="14"/>
          <w:szCs w:val="14"/>
          <w:color w:val="auto"/>
        </w:rPr>
        <w:t>- ----------------------------------------------------------------------------------------------------------</w:t>
      </w:r>
    </w:p>
    <w:p>
      <w:pPr>
        <w:spacing w:after="0" w:line="157"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w w:val="97"/>
              </w:rPr>
              <w:t>Ordinary shares, par</w:t>
            </w:r>
          </w:p>
        </w:tc>
        <w:tc>
          <w:tcPr>
            <w:tcW w:w="3220" w:type="dxa"/>
            <w:vAlign w:val="bottom"/>
          </w:tcPr>
          <w:p>
            <w:pPr>
              <w:jc w:val="right"/>
              <w:ind w:right="2624"/>
              <w:spacing w:after="0"/>
              <w:rPr>
                <w:sz w:val="20"/>
                <w:szCs w:val="20"/>
                <w:color w:val="auto"/>
              </w:rPr>
            </w:pPr>
            <w:r>
              <w:rPr>
                <w:rFonts w:ascii="Courier New" w:cs="Courier New" w:eastAsia="Courier New" w:hAnsi="Courier New"/>
                <w:sz w:val="15"/>
                <w:szCs w:val="15"/>
                <w:color w:val="auto"/>
              </w:rPr>
              <w:t>value</w:t>
            </w:r>
          </w:p>
        </w:tc>
        <w:tc>
          <w:tcPr>
            <w:tcW w:w="2100" w:type="dxa"/>
            <w:vAlign w:val="bottom"/>
            <w:vMerge w:val="restart"/>
          </w:tcPr>
          <w:p>
            <w:pPr>
              <w:jc w:val="right"/>
              <w:ind w:right="685"/>
              <w:spacing w:after="0"/>
              <w:rPr>
                <w:sz w:val="20"/>
                <w:szCs w:val="20"/>
                <w:color w:val="auto"/>
              </w:rPr>
            </w:pPr>
            <w:r>
              <w:rPr>
                <w:rFonts w:ascii="Courier New" w:cs="Courier New" w:eastAsia="Courier New" w:hAnsi="Courier New"/>
                <w:sz w:val="15"/>
                <w:szCs w:val="15"/>
                <w:color w:val="auto"/>
              </w:rPr>
              <w:t>$26.78</w:t>
            </w:r>
          </w:p>
        </w:tc>
        <w:tc>
          <w:tcPr>
            <w:tcW w:w="1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$537,893,118</w:t>
            </w:r>
          </w:p>
        </w:tc>
        <w:tc>
          <w:tcPr>
            <w:tcW w:w="0" w:type="dxa"/>
            <w:vAlign w:val="bottom"/>
          </w:tcPr>
          <w:p>
            <w:pPr>
              <w:spacing w:after="0"/>
              <w:rPr>
                <w:sz w:val="1"/>
                <w:szCs w:val="1"/>
                <w:color w:val="auto"/>
              </w:rPr>
            </w:pPr>
          </w:p>
        </w:tc>
      </w:tr>
      <w:tr>
        <w:trPr>
          <w:trHeight w:val="200"/>
        </w:trPr>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L0.01 per share(3)</w:t>
            </w:r>
          </w:p>
        </w:tc>
        <w:tc>
          <w:tcPr>
            <w:tcW w:w="3220" w:type="dxa"/>
            <w:vAlign w:val="bottom"/>
          </w:tcPr>
          <w:p>
            <w:pPr>
              <w:jc w:val="right"/>
              <w:ind w:right="744"/>
              <w:spacing w:after="0"/>
              <w:rPr>
                <w:sz w:val="20"/>
                <w:szCs w:val="20"/>
                <w:color w:val="auto"/>
              </w:rPr>
            </w:pPr>
            <w:r>
              <w:rPr>
                <w:rFonts w:ascii="Courier New" w:cs="Courier New" w:eastAsia="Courier New" w:hAnsi="Courier New"/>
                <w:sz w:val="15"/>
                <w:szCs w:val="15"/>
                <w:color w:val="auto"/>
                <w:w w:val="99"/>
              </w:rPr>
              <w:t>........20,085,628</w:t>
            </w:r>
          </w:p>
        </w:tc>
        <w:tc>
          <w:tcPr>
            <w:tcW w:w="210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9"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w w:val="97"/>
              </w:rPr>
              <w:t>- ----------------------------</w:t>
            </w: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2"/>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w w:val="97"/>
              </w:rPr>
              <w:t>- ----------------------------</w:t>
            </w: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4"/>
        </w:trPr>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TITLE OF EACH</w:t>
            </w: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CLASS OF</w:t>
            </w: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rPr>
              <w:t>AMOUNT OF ADDITIONAL</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SECURITIES TO BE</w:t>
            </w: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REGISTERED</w:t>
            </w:r>
          </w:p>
        </w:tc>
        <w:tc>
          <w:tcPr>
            <w:tcW w:w="2360" w:type="dxa"/>
            <w:vAlign w:val="bottom"/>
          </w:tcPr>
          <w:p>
            <w:pPr>
              <w:ind w:left="120"/>
              <w:spacing w:after="0"/>
              <w:rPr>
                <w:sz w:val="20"/>
                <w:szCs w:val="20"/>
                <w:color w:val="auto"/>
              </w:rPr>
            </w:pPr>
            <w:r>
              <w:rPr>
                <w:rFonts w:ascii="Courier New" w:cs="Courier New" w:eastAsia="Courier New" w:hAnsi="Courier New"/>
                <w:sz w:val="15"/>
                <w:szCs w:val="15"/>
                <w:color w:val="auto"/>
              </w:rPr>
              <w:t>REGISTRATION FEE(1)(2)</w:t>
            </w:r>
          </w:p>
        </w:tc>
        <w:tc>
          <w:tcPr>
            <w:tcW w:w="0" w:type="dxa"/>
            <w:vAlign w:val="bottom"/>
          </w:tcPr>
          <w:p>
            <w:pPr>
              <w:spacing w:after="0"/>
              <w:rPr>
                <w:sz w:val="1"/>
                <w:szCs w:val="1"/>
                <w:color w:val="auto"/>
              </w:rPr>
            </w:pPr>
          </w:p>
        </w:tc>
      </w:tr>
      <w:tr>
        <w:trPr>
          <w:trHeight w:val="252"/>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w w:val="97"/>
              </w:rPr>
              <w:t>- ----------------------------</w:t>
            </w: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4"/>
        </w:trPr>
        <w:tc>
          <w:tcPr>
            <w:tcW w:w="1520" w:type="dxa"/>
            <w:vAlign w:val="bottom"/>
          </w:tcPr>
          <w:p>
            <w:pPr>
              <w:spacing w:after="0"/>
              <w:rPr>
                <w:sz w:val="20"/>
                <w:szCs w:val="20"/>
                <w:color w:val="auto"/>
              </w:rPr>
            </w:pPr>
            <w:r>
              <w:rPr>
                <w:rFonts w:ascii="Courier New" w:cs="Courier New" w:eastAsia="Courier New" w:hAnsi="Courier New"/>
                <w:sz w:val="15"/>
                <w:szCs w:val="15"/>
                <w:color w:val="auto"/>
              </w:rPr>
              <w:t>Ordinary shares,</w:t>
            </w: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par value</w:t>
            </w:r>
          </w:p>
        </w:tc>
        <w:tc>
          <w:tcPr>
            <w:tcW w:w="2360" w:type="dxa"/>
            <w:vAlign w:val="bottom"/>
            <w:vMerge w:val="restart"/>
          </w:tcPr>
          <w:p>
            <w:pPr>
              <w:ind w:left="760"/>
              <w:spacing w:after="0"/>
              <w:rPr>
                <w:sz w:val="20"/>
                <w:szCs w:val="20"/>
                <w:color w:val="auto"/>
              </w:rPr>
            </w:pPr>
            <w:r>
              <w:rPr>
                <w:rFonts w:ascii="Courier New" w:cs="Courier New" w:eastAsia="Courier New" w:hAnsi="Courier New"/>
                <w:sz w:val="15"/>
                <w:szCs w:val="15"/>
                <w:color w:val="auto"/>
              </w:rPr>
              <w:t>$149,535</w:t>
            </w:r>
          </w:p>
        </w:tc>
        <w:tc>
          <w:tcPr>
            <w:tcW w:w="0" w:type="dxa"/>
            <w:vAlign w:val="bottom"/>
          </w:tcPr>
          <w:p>
            <w:pPr>
              <w:spacing w:after="0"/>
              <w:rPr>
                <w:sz w:val="1"/>
                <w:szCs w:val="1"/>
                <w:color w:val="auto"/>
              </w:rPr>
            </w:pPr>
          </w:p>
        </w:tc>
      </w:tr>
      <w:tr>
        <w:trPr>
          <w:trHeight w:val="200"/>
        </w:trPr>
        <w:tc>
          <w:tcPr>
            <w:tcW w:w="2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L0.01 per share(3)........</w:t>
            </w: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188" w:hanging="188"/>
        <w:spacing w:after="0"/>
        <w:tabs>
          <w:tab w:leader="none" w:pos="1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8" w:right="3159" w:hanging="348"/>
        <w:spacing w:after="0" w:line="281" w:lineRule="auto"/>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computing the registration fee pursuant to Rule 457(o) under the Securities Act of 1933, as amended, based upon the average of the high and low prices of shares as reported on the New York Stock Exchange on May 3, 1999.</w:t>
      </w:r>
    </w:p>
    <w:p>
      <w:pPr>
        <w:spacing w:after="0" w:line="200" w:lineRule="exact"/>
        <w:rPr>
          <w:rFonts w:ascii="Courier New" w:cs="Courier New" w:eastAsia="Courier New" w:hAnsi="Courier New"/>
          <w:sz w:val="15"/>
          <w:szCs w:val="15"/>
          <w:color w:val="auto"/>
        </w:rPr>
      </w:pPr>
    </w:p>
    <w:p>
      <w:pPr>
        <w:spacing w:after="0" w:line="208" w:lineRule="exact"/>
        <w:rPr>
          <w:rFonts w:ascii="Courier New" w:cs="Courier New" w:eastAsia="Courier New" w:hAnsi="Courier New"/>
          <w:sz w:val="15"/>
          <w:szCs w:val="15"/>
          <w:color w:val="auto"/>
        </w:rPr>
      </w:pPr>
    </w:p>
    <w:p>
      <w:pPr>
        <w:ind w:left="348" w:right="3339" w:hanging="348"/>
        <w:spacing w:after="0" w:line="359" w:lineRule="auto"/>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22, 1999, a registration fee of $77,379 was paid with respect to 14,414,372 ordinary shares.</w:t>
      </w:r>
    </w:p>
    <w:p>
      <w:pPr>
        <w:spacing w:after="0" w:line="351" w:lineRule="exact"/>
        <w:rPr>
          <w:rFonts w:ascii="Courier New" w:cs="Courier New" w:eastAsia="Courier New" w:hAnsi="Courier New"/>
          <w:sz w:val="15"/>
          <w:szCs w:val="15"/>
          <w:color w:val="auto"/>
        </w:rPr>
      </w:pPr>
    </w:p>
    <w:p>
      <w:pPr>
        <w:ind w:left="348" w:right="3159" w:hanging="348"/>
        <w:spacing w:after="0" w:line="259" w:lineRule="auto"/>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14,414,372 ordinary shares previously registered, the additional 20,085,628 ordinary shares being registered pursuant to this Registration Statement include up to 11,500,000 ordinary shares that may be delivered upon the exchange of the Amdocs Automatic Common Exchange Securities registered on a separate registration statement on Form N-2 (Registration Nos. 333-73265 and 811-09245). The number of ordinary shares that may be delivered pursuant to the terms of the Amdocs Automatic Common Exchange Securities is subject to adjustment in accordance with Rule 416.</w:t>
      </w:r>
    </w:p>
    <w:p>
      <w:pPr>
        <w:spacing w:after="0" w:line="81"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30"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5" w:lineRule="exact"/>
        <w:rPr>
          <w:sz w:val="20"/>
          <w:szCs w:val="20"/>
          <w:color w:val="auto"/>
        </w:rPr>
      </w:pPr>
    </w:p>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62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EXPLANATORY NOTE</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52" w:lineRule="auto"/>
        <w:rPr>
          <w:sz w:val="20"/>
          <w:szCs w:val="20"/>
          <w:color w:val="auto"/>
        </w:rPr>
      </w:pPr>
      <w:r>
        <w:rPr>
          <w:rFonts w:ascii="Courier New" w:cs="Courier New" w:eastAsia="Courier New" w:hAnsi="Courier New"/>
          <w:sz w:val="15"/>
          <w:szCs w:val="15"/>
          <w:color w:val="auto"/>
        </w:rPr>
        <w:t>This Registration Statement relates to an offering of up to 20,000,000 of our ordinary shares (or 23,000,000 shares if the underwriters' over-allotment option is exercised in full) for sale directly to the public, of which 2,000,000 ordinary shares will be offered by us and 18,000,000 will be offered by the selling shareholders identified in this prospectus, and up to 10,000,000 of our ordinary shares (or 11,500,000 shares if the underwriters' over-allotment option is exercised in full) that may be delivered by the Amdocs Automatic Common Exchange Security Trust, a non-diversified closed-end management investment company, to holders of its Automatic Common Exchange Securities upon exchange of those securities. The Automatic Common Exchange Securities are being offered pursuant to a separate prospectus of the Amdocs Automatic Common Exchange Security Trust included in a registration statement on Form N-2 (Registration Nos. 333-73265 and 811-09245).</w:t>
      </w:r>
    </w:p>
    <w:p>
      <w:pPr>
        <w:spacing w:after="0" w:line="200" w:lineRule="exact"/>
        <w:rPr>
          <w:sz w:val="20"/>
          <w:szCs w:val="20"/>
          <w:color w:val="auto"/>
        </w:rPr>
      </w:pPr>
    </w:p>
    <w:p>
      <w:pPr>
        <w:spacing w:after="0" w:line="233"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This Registration Statement contains two forms of prospectus: one to be used in connection with our ordinary share offering and one to be attached to the Amdocs Automatic Common Exchange Security Trust prospectus. The prospectus to be attached to the Amdocs Automatic Common Exchange Security Trust prospectus will be identical to the one used for the ordinary share offering except for the front and back cover pages and except that the Trust prospectus contains additional sections entitled "Plan of Distribution" and "Trust Prospectus" and does not contain a section entitled "Underwriting".</w:t>
      </w:r>
    </w:p>
    <w:p>
      <w:pPr>
        <w:sectPr>
          <w:pgSz w:w="11900" w:h="16838" w:orient="portrait"/>
          <w:cols w:equalWidth="0" w:num="1">
            <w:col w:w="10219"/>
          </w:cols>
          <w:pgMar w:left="240" w:top="26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41"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Subject to Completion. Dated May 6, 1999.</w:t>
      </w:r>
    </w:p>
    <w:p>
      <w:pPr>
        <w:spacing w:after="0" w:line="200" w:lineRule="exact"/>
        <w:rPr>
          <w:sz w:val="20"/>
          <w:szCs w:val="20"/>
          <w:color w:val="auto"/>
        </w:rPr>
      </w:pPr>
    </w:p>
    <w:p>
      <w:pPr>
        <w:spacing w:after="0" w:line="31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20,000,000 Shares</w:t>
      </w:r>
    </w:p>
    <w:p>
      <w:pPr>
        <w:spacing w:after="0" w:line="200" w:lineRule="exact"/>
        <w:rPr>
          <w:sz w:val="20"/>
          <w:szCs w:val="20"/>
          <w:color w:val="auto"/>
        </w:rPr>
      </w:pPr>
    </w:p>
    <w:p>
      <w:pPr>
        <w:spacing w:after="0" w:line="31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00" w:lineRule="exact"/>
        <w:rPr>
          <w:sz w:val="20"/>
          <w:szCs w:val="20"/>
          <w:color w:val="auto"/>
        </w:rPr>
      </w:pPr>
    </w:p>
    <w:p>
      <w:pPr>
        <w:spacing w:after="0" w:line="31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ORDINARY SHARES</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right="3339" w:firstLine="447"/>
        <w:spacing w:after="0" w:line="301" w:lineRule="auto"/>
        <w:rPr>
          <w:sz w:val="20"/>
          <w:szCs w:val="20"/>
          <w:color w:val="auto"/>
        </w:rPr>
      </w:pPr>
      <w:r>
        <w:rPr>
          <w:rFonts w:ascii="Courier New" w:cs="Courier New" w:eastAsia="Courier New" w:hAnsi="Courier New"/>
          <w:sz w:val="15"/>
          <w:szCs w:val="15"/>
          <w:color w:val="auto"/>
        </w:rPr>
        <w:t>Amdocs is offering 2,000,000 ordinary shares to be sold in the offering. The selling shareholders identified in this prospectus are offering an additional 18,000,000 ordinary shares.</w:t>
      </w:r>
    </w:p>
    <w:p>
      <w:pPr>
        <w:spacing w:after="0" w:line="393"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In addition to the offering described in this prospectus, the Amdocs Automatic Common Exchange Security Trust (the "TRACES Trust") shareholders named in this prospectus are offering up to 10,000,000 ordinary shares (or up to 11,500,000 ordinary shares if the underwriters' over-allotment option is exercised in full) that may be delivered by the TRACES Trust to holders of Automatic Common Exchange Securities of the TRACES Trust upon exchange of such securities on the Exchange Date as defined in the prospectus attached to the TRACES Trust prospectus (the "Trust Prospectus"). The Automatic Common Exchange Securities are being sold by the TRACES Trust in an offering described in the Trust Prospectus. The respective closings of the offerings of the ordinary shares and the Automatic Common Exchange Securities are not dependent upon one another.</w:t>
      </w:r>
    </w:p>
    <w:p>
      <w:pPr>
        <w:spacing w:after="0" w:line="200" w:lineRule="exact"/>
        <w:rPr>
          <w:sz w:val="20"/>
          <w:szCs w:val="20"/>
          <w:color w:val="auto"/>
        </w:rPr>
      </w:pPr>
    </w:p>
    <w:p>
      <w:pPr>
        <w:spacing w:after="0" w:line="231" w:lineRule="exact"/>
        <w:rPr>
          <w:sz w:val="20"/>
          <w:szCs w:val="20"/>
          <w:color w:val="auto"/>
        </w:rPr>
      </w:pPr>
    </w:p>
    <w:p>
      <w:pPr>
        <w:ind w:right="3259" w:firstLine="447"/>
        <w:spacing w:after="0" w:line="301" w:lineRule="auto"/>
        <w:rPr>
          <w:sz w:val="20"/>
          <w:szCs w:val="20"/>
          <w:color w:val="auto"/>
        </w:rPr>
      </w:pPr>
      <w:r>
        <w:rPr>
          <w:rFonts w:ascii="Courier New" w:cs="Courier New" w:eastAsia="Courier New" w:hAnsi="Courier New"/>
          <w:sz w:val="15"/>
          <w:szCs w:val="15"/>
          <w:color w:val="auto"/>
        </w:rPr>
        <w:t>Amdocs will not receive any proceeds from the sale of the ordinary shares by the selling shareholders or the sale of the Automatic Common Exchange Securities by the TRACES Trust.</w:t>
      </w:r>
    </w:p>
    <w:p>
      <w:pPr>
        <w:spacing w:after="0" w:line="393"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The ordinary shares are listed on the New York Stock Exchange under the symbol "DOX." The last reported sale price of our ordinary shares on May 4, 1999 was $26.88 per share.</w:t>
      </w:r>
    </w:p>
    <w:p>
      <w:pPr>
        <w:spacing w:after="0" w:line="49"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right="3519" w:firstLine="447"/>
        <w:spacing w:after="0" w:line="359" w:lineRule="auto"/>
        <w:rPr>
          <w:sz w:val="20"/>
          <w:szCs w:val="20"/>
          <w:color w:val="auto"/>
        </w:rPr>
      </w:pPr>
      <w:r>
        <w:rPr>
          <w:rFonts w:ascii="Courier New" w:cs="Courier New" w:eastAsia="Courier New" w:hAnsi="Courier New"/>
          <w:sz w:val="15"/>
          <w:szCs w:val="15"/>
          <w:color w:val="auto"/>
        </w:rPr>
        <w:t>See "Risk Factors" on page 8 to read about factors you should consider before buying our ordinary shares.</w:t>
      </w:r>
    </w:p>
    <w:p>
      <w:pPr>
        <w:spacing w:after="0" w:line="352" w:lineRule="exact"/>
        <w:rPr>
          <w:sz w:val="20"/>
          <w:szCs w:val="20"/>
          <w:color w:val="auto"/>
        </w:rPr>
      </w:pPr>
    </w:p>
    <w:p>
      <w:pPr>
        <w:ind w:right="3439" w:firstLine="447"/>
        <w:spacing w:after="0" w:line="281"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DETERMINED IF THIS PROSPECTUS IS TRUTHFUL OR COMPLETE. ANY REPRESENTATION TO THE CONTRARY IS A CRIMINAL OFFENSE.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460" w:type="dxa"/>
            <w:vAlign w:val="bottom"/>
          </w:tcPr>
          <w:p>
            <w:pPr>
              <w:spacing w:after="0"/>
              <w:rPr>
                <w:sz w:val="21"/>
                <w:szCs w:val="21"/>
                <w:color w:val="auto"/>
              </w:rPr>
            </w:pPr>
          </w:p>
        </w:tc>
        <w:tc>
          <w:tcPr>
            <w:tcW w:w="3980" w:type="dxa"/>
            <w:vAlign w:val="bottom"/>
          </w:tcPr>
          <w:p>
            <w:pPr>
              <w:ind w:left="112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860"/>
        </w:trPr>
        <w:tc>
          <w:tcPr>
            <w:tcW w:w="14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Per Share</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Total</w:t>
            </w:r>
          </w:p>
        </w:tc>
      </w:tr>
      <w:tr>
        <w:trPr>
          <w:trHeight w:val="344"/>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Initial price to</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public.....................................</w:t>
            </w:r>
          </w:p>
        </w:tc>
        <w:tc>
          <w:tcPr>
            <w:tcW w:w="12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Underwriting discount.......................................</w:t>
            </w:r>
          </w:p>
        </w:tc>
        <w:tc>
          <w:tcPr>
            <w:tcW w:w="12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44"/>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Proceeds, before</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expenses, to Amdocs........................</w:t>
            </w:r>
          </w:p>
        </w:tc>
        <w:tc>
          <w:tcPr>
            <w:tcW w:w="12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44"/>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Proceeds, before</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expenses, to the selling shareholders......</w:t>
            </w:r>
          </w:p>
        </w:tc>
        <w:tc>
          <w:tcPr>
            <w:tcW w:w="12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780"/>
        </w:trPr>
        <w:tc>
          <w:tcPr>
            <w:tcW w:w="67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The underwriters may, under certain circumstances, purchase up to an</w:t>
            </w:r>
          </w:p>
        </w:tc>
        <w:tc>
          <w:tcPr>
            <w:tcW w:w="440" w:type="dxa"/>
            <w:vAlign w:val="bottom"/>
          </w:tcPr>
          <w:p>
            <w:pPr>
              <w:spacing w:after="0"/>
              <w:rPr>
                <w:sz w:val="24"/>
                <w:szCs w:val="24"/>
                <w:color w:val="auto"/>
              </w:rPr>
            </w:pPr>
          </w:p>
        </w:tc>
      </w:tr>
      <w:tr>
        <w:trPr>
          <w:trHeight w:val="172"/>
        </w:trPr>
        <w:tc>
          <w:tcPr>
            <w:tcW w:w="6700" w:type="dxa"/>
            <w:vAlign w:val="bottom"/>
            <w:gridSpan w:val="3"/>
          </w:tcPr>
          <w:p>
            <w:pPr>
              <w:spacing w:after="0"/>
              <w:rPr>
                <w:sz w:val="20"/>
                <w:szCs w:val="20"/>
                <w:color w:val="auto"/>
              </w:rPr>
            </w:pPr>
            <w:r>
              <w:rPr>
                <w:rFonts w:ascii="Courier New" w:cs="Courier New" w:eastAsia="Courier New" w:hAnsi="Courier New"/>
                <w:sz w:val="15"/>
                <w:szCs w:val="15"/>
                <w:color w:val="auto"/>
                <w:w w:val="98"/>
              </w:rPr>
              <w:t>additional 3,000,000 shares from Amdocs and the selling shareholders at the</w:t>
            </w:r>
          </w:p>
        </w:tc>
        <w:tc>
          <w:tcPr>
            <w:tcW w:w="440" w:type="dxa"/>
            <w:vAlign w:val="bottom"/>
          </w:tcPr>
          <w:p>
            <w:pPr>
              <w:spacing w:after="0"/>
              <w:rPr>
                <w:sz w:val="14"/>
                <w:szCs w:val="14"/>
                <w:color w:val="auto"/>
              </w:rPr>
            </w:pPr>
          </w:p>
        </w:tc>
      </w:tr>
      <w:tr>
        <w:trPr>
          <w:trHeight w:val="252"/>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initial price to</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public less the underwriting discount.</w:t>
            </w: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r>
    </w:tbl>
    <w:p>
      <w:pPr>
        <w:spacing w:after="0" w:line="9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63" w:right="1440" w:bottom="16" w:gutter="0" w:footer="0" w:header="0"/>
        </w:sectPr>
      </w:pPr>
    </w:p>
    <w:bookmarkStart w:id="4" w:name="page5"/>
    <w:bookmarkEnd w:id="4"/>
    <w:p>
      <w:pPr>
        <w:ind w:right="3159" w:firstLine="447"/>
        <w:spacing w:after="0" w:line="359" w:lineRule="auto"/>
        <w:rPr>
          <w:sz w:val="20"/>
          <w:szCs w:val="20"/>
          <w:color w:val="auto"/>
        </w:rPr>
      </w:pPr>
      <w:r>
        <w:rPr>
          <w:rFonts w:ascii="Courier New" w:cs="Courier New" w:eastAsia="Courier New" w:hAnsi="Courier New"/>
          <w:sz w:val="15"/>
          <w:szCs w:val="15"/>
          <w:color w:val="auto"/>
        </w:rPr>
        <w:t>The underwriters expect to deliver the shares against payment in New York, New York on , 1999.</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3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BANCBOSTON ROBERTSON STEPHENS</w:t>
      </w:r>
    </w:p>
    <w:p>
      <w:pPr>
        <w:spacing w:after="0" w:line="346"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BT ALEX. BROWN</w:t>
      </w:r>
    </w:p>
    <w:p>
      <w:pPr>
        <w:spacing w:after="0" w:line="346"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LEHMAN BROTHERS</w:t>
      </w:r>
    </w:p>
    <w:p>
      <w:pPr>
        <w:spacing w:after="0" w:line="34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NATIONSBANC MONTGOMERY SECURITIES LLC</w:t>
      </w:r>
    </w:p>
    <w:p>
      <w:pPr>
        <w:spacing w:after="0" w:line="346"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SG COWEN</w:t>
      </w:r>
    </w:p>
    <w:p>
      <w:pPr>
        <w:spacing w:after="0" w:line="200" w:lineRule="exact"/>
        <w:rPr>
          <w:sz w:val="20"/>
          <w:szCs w:val="20"/>
          <w:color w:val="auto"/>
        </w:rPr>
      </w:pPr>
    </w:p>
    <w:p>
      <w:pPr>
        <w:spacing w:after="0" w:line="318" w:lineRule="exact"/>
        <w:rPr>
          <w:sz w:val="20"/>
          <w:szCs w:val="20"/>
          <w:color w:val="auto"/>
        </w:rPr>
      </w:pPr>
    </w:p>
    <w:tbl>
      <w:tblPr>
        <w:tblLayout w:type="fixed"/>
        <w:tblInd w:w="2220" w:type="dxa"/>
        <w:tblCellMar>
          <w:top w:w="0" w:type="dxa"/>
          <w:left w:w="0" w:type="dxa"/>
          <w:bottom w:w="0" w:type="dxa"/>
          <w:right w:w="0" w:type="dxa"/>
        </w:tblCellMar>
      </w:tblPr>
      <w:tr>
        <w:trPr>
          <w:trHeight w:val="252"/>
        </w:trPr>
        <w:tc>
          <w:tcPr>
            <w:tcW w:w="1940" w:type="dxa"/>
            <w:vAlign w:val="bottom"/>
          </w:tcPr>
          <w:p>
            <w:pPr>
              <w:spacing w:after="0"/>
              <w:rPr>
                <w:sz w:val="20"/>
                <w:szCs w:val="20"/>
                <w:color w:val="auto"/>
              </w:rPr>
            </w:pPr>
            <w:r>
              <w:rPr>
                <w:rFonts w:ascii="Courier New" w:cs="Courier New" w:eastAsia="Courier New" w:hAnsi="Courier New"/>
                <w:sz w:val="15"/>
                <w:szCs w:val="15"/>
                <w:color w:val="auto"/>
              </w:rPr>
              <w:t>Prospectus dated May</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1999.</w:t>
            </w:r>
          </w:p>
        </w:tc>
      </w:tr>
    </w:tbl>
    <w:p>
      <w:pPr>
        <w:sectPr>
          <w:pgSz w:w="11900" w:h="16838" w:orient="portrait"/>
          <w:cols w:equalWidth="0" w:num="1">
            <w:col w:w="10219"/>
          </w:cols>
          <w:pgMar w:left="240" w:top="11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4</w:t>
      </w:r>
    </w:p>
    <w:p>
      <w:pPr>
        <w:spacing w:after="0" w:line="346"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We are incorporated under the laws of the Island of Guernsey ("Guernsey"). Several of our directors and officers named herein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 We have irrevocably appointed Amdocs, Inc., one of our U.S. subsidiaries, as our agent to receive service of process in any action against us in any Federal court or court of the State of New York arising out of the offering and sale of securities in connection with this prospectus.</w:t>
      </w:r>
    </w:p>
    <w:p>
      <w:pPr>
        <w:spacing w:after="0" w:line="200" w:lineRule="exact"/>
        <w:rPr>
          <w:sz w:val="20"/>
          <w:szCs w:val="20"/>
          <w:color w:val="auto"/>
        </w:rPr>
      </w:pPr>
    </w:p>
    <w:p>
      <w:pPr>
        <w:spacing w:after="0" w:line="231"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We have been advised by Carey Langlois,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 jurisdiction (according to the rules of private international law currently prevailing in Guernsey) which recognizes and enforces similar Guernsey judgments, provided that:</w:t>
      </w:r>
    </w:p>
    <w:p>
      <w:pPr>
        <w:spacing w:after="0" w:line="200" w:lineRule="exact"/>
        <w:rPr>
          <w:sz w:val="20"/>
          <w:szCs w:val="20"/>
          <w:color w:val="auto"/>
        </w:rPr>
      </w:pPr>
    </w:p>
    <w:p>
      <w:pPr>
        <w:spacing w:after="0" w:line="231" w:lineRule="exact"/>
        <w:rPr>
          <w:sz w:val="20"/>
          <w:szCs w:val="20"/>
          <w:color w:val="auto"/>
        </w:rPr>
      </w:pPr>
    </w:p>
    <w:p>
      <w:pPr>
        <w:ind w:left="620" w:right="3079" w:hanging="181"/>
        <w:spacing w:after="0" w:line="359"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service of process has been effected and the defendant has had a reasonable opportunity to be heard;</w:t>
      </w:r>
    </w:p>
    <w:p>
      <w:pPr>
        <w:spacing w:after="0" w:line="351" w:lineRule="exact"/>
        <w:rPr>
          <w:rFonts w:ascii="Courier New" w:cs="Courier New" w:eastAsia="Courier New" w:hAnsi="Courier New"/>
          <w:sz w:val="15"/>
          <w:szCs w:val="15"/>
          <w:color w:val="auto"/>
        </w:rPr>
      </w:pPr>
    </w:p>
    <w:p>
      <w:pPr>
        <w:ind w:left="620" w:right="3339" w:hanging="181"/>
        <w:spacing w:after="0" w:line="359"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or the enforcement thereof are not contrary to the law, public policy, security or sovereignty of Guernsey;</w:t>
      </w:r>
    </w:p>
    <w:p>
      <w:pPr>
        <w:spacing w:after="0" w:line="351" w:lineRule="exact"/>
        <w:rPr>
          <w:rFonts w:ascii="Courier New" w:cs="Courier New" w:eastAsia="Courier New" w:hAnsi="Courier New"/>
          <w:sz w:val="15"/>
          <w:szCs w:val="15"/>
          <w:color w:val="auto"/>
        </w:rPr>
      </w:pPr>
    </w:p>
    <w:p>
      <w:pPr>
        <w:ind w:left="620" w:right="3159" w:hanging="181"/>
        <w:spacing w:after="0" w:line="301"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were not obtained by fraudulent means and do not conflict with any other valid judgment in the same matter between the same parties; and</w:t>
      </w:r>
    </w:p>
    <w:p>
      <w:pPr>
        <w:spacing w:after="0" w:line="392" w:lineRule="exact"/>
        <w:rPr>
          <w:rFonts w:ascii="Courier New" w:cs="Courier New" w:eastAsia="Courier New" w:hAnsi="Courier New"/>
          <w:sz w:val="15"/>
          <w:szCs w:val="15"/>
          <w:color w:val="auto"/>
        </w:rPr>
      </w:pPr>
    </w:p>
    <w:p>
      <w:pPr>
        <w:jc w:val="both"/>
        <w:ind w:left="620" w:right="3259" w:hanging="181"/>
        <w:spacing w:after="0" w:line="301"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action between the same parties in the same matter is not pending in any Guernsey court at the time the lawsuit is instituted in the foreign court.</w:t>
      </w:r>
    </w:p>
    <w:p>
      <w:pPr>
        <w:spacing w:after="0" w:line="22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5</w:t>
      </w:r>
    </w:p>
    <w:p>
      <w:pPr>
        <w:spacing w:after="0" w:line="34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PROSPECTUS SUMMARY</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You should read the following summary together with the more detailed information regarding our company and the ordinary shares being sold in this offering and our financial statements and notes to those financial statements appearing elsewhere in this prospectus. Unless otherwise indicated, all information in this prospectus assumes the underwriters' option to purchase additional shares in the offering will not be exercised. See "Description of Share Capital" and "Underwriting". References in this prospectus to "Amdocs," "we," "our," "us" and the "Company" refer to Amdocs Limited and its consolidated subsidiaries and their respective predecessors. References to "dollars" or $ are to United States Dollars.</w:t>
      </w:r>
    </w:p>
    <w:p>
      <w:pPr>
        <w:spacing w:after="0" w:line="200" w:lineRule="exact"/>
        <w:rPr>
          <w:sz w:val="20"/>
          <w:szCs w:val="20"/>
          <w:color w:val="auto"/>
        </w:rPr>
      </w:pPr>
    </w:p>
    <w:p>
      <w:pPr>
        <w:spacing w:after="0" w:line="231"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Unless otherwise stated, all references in this prospectus to ordinary shares are to both voting and nonvoting ordinary shares, all references to percentage ownership of our ordinary shares exclude the effect of the ordinary shares being offered by this prospectus and all references to ordinary voting and nonvoting share ownership, as expressed in percentages, are as of April 30, 1999.</w:t>
      </w:r>
    </w:p>
    <w:p>
      <w:pPr>
        <w:spacing w:after="0" w:line="200" w:lineRule="exact"/>
        <w:rPr>
          <w:sz w:val="20"/>
          <w:szCs w:val="20"/>
          <w:color w:val="auto"/>
        </w:rPr>
      </w:pPr>
    </w:p>
    <w:p>
      <w:pPr>
        <w:spacing w:after="0" w:line="21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AMDOCS</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We are a leading provider of product-driven information system solutions to major telecommunications companies in North America, Europe and around the world. Our Business Support Systems consist of families of products designed to meet the mission-critical needs of specific market sectors. We provide integrated, comprehensive customer care and billing systems for wireline and wireless network operators and service providers. We also provide customer care and billing systems to companies that offer multiple service packages, commonly referred to as convergent services, such as local, long distance, international, data, Internet, Voice Over Internet Protocol, cellular, personal communications services and paging. In addition, we provide a full-range of directory sales and publishing systems to publishers of both traditional printed yellow page and white page directories and Internet directories.</w:t>
      </w:r>
    </w:p>
    <w:p>
      <w:pPr>
        <w:spacing w:after="0" w:line="200" w:lineRule="exact"/>
        <w:rPr>
          <w:sz w:val="20"/>
          <w:szCs w:val="20"/>
          <w:color w:val="auto"/>
        </w:rPr>
      </w:pPr>
    </w:p>
    <w:p>
      <w:pPr>
        <w:spacing w:after="0" w:line="231" w:lineRule="exact"/>
        <w:rPr>
          <w:sz w:val="20"/>
          <w:szCs w:val="20"/>
          <w:color w:val="auto"/>
        </w:rPr>
      </w:pPr>
    </w:p>
    <w:p>
      <w:pPr>
        <w:ind w:right="3159" w:firstLine="447"/>
        <w:spacing w:after="0" w:line="255"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telecommunications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the telecommunications industry. Our customer base includes the largest local exchange service providers in the United States, major foreign network operators and service providers such as Deutsche Telekom (Germany) and Telstra Corporation Ltd. (Australia) and emerging market leaders.</w:t>
      </w:r>
    </w:p>
    <w:p>
      <w:pPr>
        <w:spacing w:after="0" w:line="200" w:lineRule="exact"/>
        <w:rPr>
          <w:sz w:val="20"/>
          <w:szCs w:val="20"/>
          <w:color w:val="auto"/>
        </w:rPr>
      </w:pPr>
    </w:p>
    <w:p>
      <w:pPr>
        <w:spacing w:after="0" w:line="231" w:lineRule="exact"/>
        <w:rPr>
          <w:sz w:val="20"/>
          <w:szCs w:val="20"/>
          <w:color w:val="auto"/>
        </w:rPr>
      </w:pPr>
    </w:p>
    <w:p>
      <w:pPr>
        <w:ind w:right="3079" w:firstLine="447"/>
        <w:spacing w:after="0" w:line="250" w:lineRule="auto"/>
        <w:rPr>
          <w:sz w:val="20"/>
          <w:szCs w:val="20"/>
          <w:color w:val="auto"/>
        </w:rPr>
      </w:pPr>
      <w:r>
        <w:rPr>
          <w:rFonts w:ascii="Courier New" w:cs="Courier New" w:eastAsia="Courier New" w:hAnsi="Courier New"/>
          <w:sz w:val="15"/>
          <w:szCs w:val="15"/>
          <w:color w:val="auto"/>
        </w:rPr>
        <w:t>We believe that our total solutions orientation, product functionality and quality personnel permit us to offer effective solutions to our customers that are both highly innovative and reliable. Our software products are based on an advanced three-tier client-server architecture that provides the flexibility and scalability needed by major companies in the highly competitive, rapidly changing telecommunications industry. We have developed an extensive library of Business Support System software products, providing comprehensive support for the various types of telecommunications operations. Core elements include customer care, order management, call rating, invoice calculation, bill formatting, collections, fraud management and directory publishing. Our products have also been configured to support the growing trend for communications companies to provide convergent wireline and wireless services. We also offer our customers a range of support services to provide a complete systems solution. These services include software customization to address each customer's specific requirements, as well as implementation support, system integration, maintenance, ongoing support and outsourcing services.</w:t>
      </w:r>
    </w:p>
    <w:p>
      <w:pPr>
        <w:sectPr>
          <w:pgSz w:w="11900" w:h="16838" w:orient="portrait"/>
          <w:cols w:equalWidth="0" w:num="1">
            <w:col w:w="10219"/>
          </w:cols>
          <w:pgMar w:left="240" w:top="263" w:right="1440" w:bottom="1440" w:gutter="0" w:footer="0" w:header="0"/>
        </w:sectPr>
      </w:pPr>
    </w:p>
    <w:p>
      <w:pPr>
        <w:spacing w:after="0" w:line="26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3"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6</w:t>
      </w:r>
    </w:p>
    <w:p>
      <w:pPr>
        <w:spacing w:after="0" w:line="346"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The telecommunications industry is undergoing rapid and fundamental changes due to the increased demand for telecommunications services, deregulation, privatization and technological advancements. These changes are creating opportunities for new entrants to provide both traditional and new types of services, including Internet, Voice over Internet Protocol telephony, Internet directories, data and convergent services. In this environment, telecommunications service providers increasingly need to compete for customers by providing service and product offerings that are differentiated by factors such as service quality, advanced features, rapid implementation of new services, technological innovation and price.</w:t>
      </w:r>
    </w:p>
    <w:p>
      <w:pPr>
        <w:spacing w:after="0" w:line="200" w:lineRule="exact"/>
        <w:rPr>
          <w:sz w:val="20"/>
          <w:szCs w:val="20"/>
          <w:color w:val="auto"/>
        </w:rPr>
      </w:pPr>
    </w:p>
    <w:p>
      <w:pPr>
        <w:spacing w:after="0" w:line="231" w:lineRule="exact"/>
        <w:rPr>
          <w:sz w:val="20"/>
          <w:szCs w:val="20"/>
          <w:color w:val="auto"/>
        </w:rPr>
      </w:pPr>
    </w:p>
    <w:p>
      <w:pPr>
        <w:ind w:right="3159" w:firstLine="447"/>
        <w:spacing w:after="0" w:line="254" w:lineRule="auto"/>
        <w:rPr>
          <w:sz w:val="20"/>
          <w:szCs w:val="20"/>
          <w:color w:val="auto"/>
        </w:rPr>
      </w:pPr>
      <w:r>
        <w:rPr>
          <w:rFonts w:ascii="Courier New" w:cs="Courier New" w:eastAsia="Courier New" w:hAnsi="Courier New"/>
          <w:sz w:val="15"/>
          <w:szCs w:val="15"/>
          <w:color w:val="auto"/>
        </w:rPr>
        <w:t>As a result of these developments, many telecommunications companies are seeking a new generation of information systems to support their operations and to be more competitive. In addition, many new and existing service providers do not have the financial or human resources or technological capability to internally develop efficient, flexible, cost-effective information systems on a timely basis. Moreover, as many telecommunications companies strive to become more consumer oriented, they are concentrating their efforts and resources on marketing to consumers and expanding their service offerings and many are turning to third party vendors for their information systems. All of these factors create significant opportunities for us to provide information system solutions.</w:t>
      </w: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200" w:lineRule="exact"/>
        <w:rPr>
          <w:sz w:val="20"/>
          <w:szCs w:val="20"/>
          <w:color w:val="auto"/>
        </w:rPr>
      </w:pPr>
    </w:p>
    <w:p>
      <w:pPr>
        <w:spacing w:after="0" w:line="318" w:lineRule="exact"/>
        <w:rPr>
          <w:sz w:val="20"/>
          <w:szCs w:val="20"/>
          <w:color w:val="auto"/>
        </w:rPr>
      </w:pPr>
    </w:p>
    <w:p>
      <w:pPr>
        <w:ind w:right="3339" w:firstLine="439"/>
        <w:spacing w:after="0" w:line="401" w:lineRule="auto"/>
        <w:tabs>
          <w:tab w:leader="none" w:pos="62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our Business Support System products and related services, including license fees and customization and implementation services, and</w:t>
      </w:r>
    </w:p>
    <w:p>
      <w:pPr>
        <w:spacing w:after="0" w:line="330" w:lineRule="exact"/>
        <w:rPr>
          <w:rFonts w:ascii="Courier New" w:cs="Courier New" w:eastAsia="Courier New" w:hAnsi="Courier New"/>
          <w:sz w:val="14"/>
          <w:szCs w:val="14"/>
          <w:color w:val="auto"/>
        </w:rPr>
      </w:pPr>
    </w:p>
    <w:p>
      <w:pPr>
        <w:ind w:right="3259" w:firstLine="439"/>
        <w:spacing w:after="0" w:line="331" w:lineRule="auto"/>
        <w:tabs>
          <w:tab w:leader="none" w:pos="62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revenue from ongoing maintenance, support, outsourcing and related services provided to our customers and to a lesser degree, from incremental license fees resulting from increases in a customer's subscribers.</w:t>
      </w:r>
    </w:p>
    <w:p>
      <w:pPr>
        <w:spacing w:after="0" w:line="3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Customer care and billing systems and related services accounted for $199.6 million or 71.5% of our revenue for the six months ended March 31, 1999 and $251.8 million or 62.4% of our revenue for the year ended September 30, 1998. Directory sales and publishing systems and related services and other activities accounted for $79.7 million or 28.5% of our revenue for the six months ended March 31, 1999 and $151.9 million or 37.6% of our revenue for the year ended September 30, 1998.</w:t>
      </w:r>
    </w:p>
    <w:p>
      <w:pPr>
        <w:spacing w:after="0" w:line="200" w:lineRule="exact"/>
        <w:rPr>
          <w:sz w:val="20"/>
          <w:szCs w:val="20"/>
          <w:color w:val="auto"/>
        </w:rPr>
      </w:pPr>
    </w:p>
    <w:p>
      <w:pPr>
        <w:spacing w:after="0" w:line="222"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As of March 31, 1999, we had approximately 4,150 full-time equivalent employees, of which approximately 3,600 were software and information technology specialists engaged in research, development, maintenance and support activities. Our Israeli subsidiary employs over 2,600 software and information technology specialists and operates our largest development facility. In the United States, our main sales and development center is located in St. Louis, Missouri. The executive offices of our principal subsidiary in the United States are located at 1610 Des Peres Road, St. Louis, Missouri 63131, and the telephone number at that location is (314) 821-3242.</w:t>
      </w:r>
    </w:p>
    <w:p>
      <w:pPr>
        <w:spacing w:after="0" w:line="25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3" w:right="1440" w:bottom="1440" w:gutter="0" w:footer="0" w:header="0"/>
        </w:sectPr>
      </w:pPr>
    </w:p>
    <w:bookmarkStart w:id="8" w:name="page9"/>
    <w:bookmarkEnd w:id="8"/>
    <w:p>
      <w:pPr>
        <w:ind w:left="268"/>
        <w:spacing w:after="0"/>
        <w:rPr>
          <w:sz w:val="20"/>
          <w:szCs w:val="20"/>
          <w:color w:val="auto"/>
        </w:rPr>
      </w:pPr>
      <w:r>
        <w:rPr>
          <w:rFonts w:ascii="Courier New" w:cs="Courier New" w:eastAsia="Courier New" w:hAnsi="Courier New"/>
          <w:sz w:val="15"/>
          <w:szCs w:val="15"/>
          <w:color w:val="auto"/>
        </w:rPr>
        <w:t>7</w:t>
      </w:r>
    </w:p>
    <w:p>
      <w:pPr>
        <w:spacing w:after="0" w:line="346"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Shares offered by Amdocs.............................</w:t>
            </w:r>
          </w:p>
        </w:tc>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rPr>
              <w:t>2,000,000 shares</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Shares offered by the selling shareholders...........</w:t>
            </w:r>
          </w:p>
        </w:tc>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rPr>
              <w:t>18,000,000 shares</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Shares to be outstanding after the offering..........</w:t>
            </w:r>
          </w:p>
        </w:tc>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rPr>
              <w:t>198,800,024(1)</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rPr>
              <w:t>To repay a portion of our outstanding</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w w:val="98"/>
              </w:rPr>
              <w:t>revolving bank debt and for general corporate</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rPr>
              <w:t>purposes, principally working capital and</w:t>
            </w:r>
          </w:p>
        </w:tc>
        <w:tc>
          <w:tcPr>
            <w:tcW w:w="0" w:type="dxa"/>
            <w:vAlign w:val="bottom"/>
          </w:tcPr>
          <w:p>
            <w:pPr>
              <w:spacing w:after="0"/>
              <w:rPr>
                <w:sz w:val="1"/>
                <w:szCs w:val="1"/>
                <w:color w:val="auto"/>
              </w:rPr>
            </w:pPr>
          </w:p>
        </w:tc>
      </w:tr>
      <w:tr>
        <w:trPr>
          <w:trHeight w:val="172"/>
        </w:trPr>
        <w:tc>
          <w:tcPr>
            <w:tcW w:w="4820" w:type="dxa"/>
            <w:vAlign w:val="bottom"/>
            <w:vMerge w:val="restart"/>
          </w:tcPr>
          <w:p>
            <w:pPr>
              <w:spacing w:after="0"/>
              <w:rPr>
                <w:sz w:val="20"/>
                <w:szCs w:val="20"/>
                <w:color w:val="auto"/>
              </w:rPr>
            </w:pPr>
            <w:r>
              <w:rPr>
                <w:rFonts w:ascii="Courier New" w:cs="Courier New" w:eastAsia="Courier New" w:hAnsi="Courier New"/>
                <w:sz w:val="15"/>
                <w:szCs w:val="15"/>
                <w:color w:val="auto"/>
              </w:rPr>
              <w:t>NYSE symbol..........................................</w:t>
            </w:r>
          </w:p>
        </w:tc>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rPr>
              <w:t>capital expenditures. See "Use of Proceeds".</w:t>
            </w:r>
          </w:p>
        </w:tc>
        <w:tc>
          <w:tcPr>
            <w:tcW w:w="0" w:type="dxa"/>
            <w:vAlign w:val="bottom"/>
          </w:tcPr>
          <w:p>
            <w:pPr>
              <w:spacing w:after="0"/>
              <w:rPr>
                <w:sz w:val="1"/>
                <w:szCs w:val="1"/>
                <w:color w:val="auto"/>
              </w:rPr>
            </w:pPr>
          </w:p>
        </w:tc>
      </w:tr>
      <w:tr>
        <w:trPr>
          <w:trHeight w:val="252"/>
        </w:trPr>
        <w:tc>
          <w:tcPr>
            <w:tcW w:w="4820" w:type="dxa"/>
            <w:vAlign w:val="bottom"/>
            <w:vMerge w:val="continue"/>
          </w:tcPr>
          <w:p>
            <w:pPr>
              <w:spacing w:after="0"/>
              <w:rPr>
                <w:sz w:val="21"/>
                <w:szCs w:val="21"/>
                <w:color w:val="auto"/>
              </w:rPr>
            </w:pPr>
          </w:p>
        </w:tc>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rPr>
              <w:t>DOX</w:t>
            </w:r>
          </w:p>
        </w:tc>
        <w:tc>
          <w:tcPr>
            <w:tcW w:w="0" w:type="dxa"/>
            <w:vAlign w:val="bottom"/>
          </w:tcPr>
          <w:p>
            <w:pPr>
              <w:spacing w:after="0"/>
              <w:rPr>
                <w:sz w:val="1"/>
                <w:szCs w:val="1"/>
                <w:color w:val="auto"/>
              </w:rPr>
            </w:pPr>
          </w:p>
        </w:tc>
      </w:tr>
      <w:tr>
        <w:trPr>
          <w:trHeight w:val="688"/>
        </w:trPr>
        <w:tc>
          <w:tcPr>
            <w:tcW w:w="48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8" w:hanging="348"/>
        <w:spacing w:after="0"/>
        <w:tabs>
          <w:tab w:leader="none" w:pos="3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ordinary shares outstanding as of April 30, 1999. Does not include</w:t>
      </w:r>
    </w:p>
    <w:p>
      <w:pPr>
        <w:spacing w:after="0" w:line="30" w:lineRule="exact"/>
        <w:rPr>
          <w:rFonts w:ascii="Courier New" w:cs="Courier New" w:eastAsia="Courier New" w:hAnsi="Courier New"/>
          <w:sz w:val="15"/>
          <w:szCs w:val="15"/>
          <w:color w:val="auto"/>
        </w:rPr>
      </w:pPr>
    </w:p>
    <w:p>
      <w:pPr>
        <w:ind w:left="348" w:right="3079" w:firstLine="10"/>
        <w:spacing w:after="0" w:line="262" w:lineRule="auto"/>
        <w:tabs>
          <w:tab w:leader="none" w:pos="706"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4,231,000 ordinary shares reserved for issuance upon the exercise of stock options that have been granted through March 31, 1999 under our stock option plan and (ii) approximately 2,369,000 ordinary shares to be reserved for future issuance of stock options under our stock option plan.</w:t>
      </w:r>
    </w:p>
    <w:p>
      <w:pPr>
        <w:spacing w:after="0" w:line="200" w:lineRule="exact"/>
        <w:rPr>
          <w:sz w:val="20"/>
          <w:szCs w:val="20"/>
          <w:color w:val="auto"/>
        </w:rPr>
      </w:pPr>
    </w:p>
    <w:p>
      <w:pPr>
        <w:spacing w:after="0" w:line="221" w:lineRule="exact"/>
        <w:rPr>
          <w:sz w:val="20"/>
          <w:szCs w:val="20"/>
          <w:color w:val="auto"/>
        </w:rPr>
      </w:pPr>
    </w:p>
    <w:p>
      <w:pPr>
        <w:ind w:left="8" w:right="3159" w:firstLine="447"/>
        <w:spacing w:after="0" w:line="266" w:lineRule="auto"/>
        <w:rPr>
          <w:sz w:val="20"/>
          <w:szCs w:val="20"/>
          <w:color w:val="auto"/>
        </w:rPr>
      </w:pPr>
      <w:r>
        <w:rPr>
          <w:rFonts w:ascii="Courier New" w:cs="Courier New" w:eastAsia="Courier New" w:hAnsi="Courier New"/>
          <w:sz w:val="15"/>
          <w:szCs w:val="15"/>
          <w:color w:val="auto"/>
        </w:rPr>
        <w:t>In addition to the offering described in this prospectus, the TRACES Trust shareholders named in this prospectus are offering up to 10,000,000 ordinary shares (or up to 11,500,000 ordinary shares if the underwriters' over-allotment option is exercised in full) that may in certain circumstances be delivered by the TRACES Trust to holders of its Automatic Common Exchange Securities upon exchange of those securities on the Exchange Date.</w:t>
      </w:r>
    </w:p>
    <w:p>
      <w:pPr>
        <w:spacing w:after="0" w:line="24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263" w:right="1440" w:bottom="1440" w:gutter="0" w:footer="0" w:header="0"/>
        </w:sectPr>
      </w:pPr>
    </w:p>
    <w:bookmarkStart w:id="9" w:name="page10"/>
    <w:bookmarkEnd w:id="9"/>
    <w:p>
      <w:pPr>
        <w:ind w:left="268"/>
        <w:spacing w:after="0"/>
        <w:rPr>
          <w:sz w:val="20"/>
          <w:szCs w:val="20"/>
          <w:color w:val="auto"/>
        </w:rPr>
      </w:pPr>
      <w:r>
        <w:rPr>
          <w:rFonts w:ascii="Courier New" w:cs="Courier New" w:eastAsia="Courier New" w:hAnsi="Courier New"/>
          <w:sz w:val="15"/>
          <w:szCs w:val="15"/>
          <w:color w:val="auto"/>
        </w:rPr>
        <w:t>8</w:t>
      </w:r>
    </w:p>
    <w:p>
      <w:pPr>
        <w:spacing w:after="0" w:line="346"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SUMMARY CONSOLIDATED FINANCIAL INFORMATION</w:t>
      </w:r>
    </w:p>
    <w:p>
      <w:pPr>
        <w:spacing w:after="0" w:line="200" w:lineRule="exact"/>
        <w:rPr>
          <w:sz w:val="20"/>
          <w:szCs w:val="20"/>
          <w:color w:val="auto"/>
        </w:rPr>
      </w:pPr>
    </w:p>
    <w:p>
      <w:pPr>
        <w:spacing w:after="0" w:line="318" w:lineRule="exact"/>
        <w:rPr>
          <w:sz w:val="20"/>
          <w:szCs w:val="20"/>
          <w:color w:val="auto"/>
        </w:rPr>
      </w:pPr>
    </w:p>
    <w:p>
      <w:pPr>
        <w:ind w:left="8" w:right="3680" w:firstLine="447"/>
        <w:spacing w:after="0" w:line="249" w:lineRule="auto"/>
        <w:rPr>
          <w:sz w:val="20"/>
          <w:szCs w:val="20"/>
          <w:color w:val="auto"/>
        </w:rPr>
      </w:pPr>
      <w:r>
        <w:rPr>
          <w:rFonts w:ascii="Courier New" w:cs="Courier New" w:eastAsia="Courier New" w:hAnsi="Courier New"/>
          <w:sz w:val="15"/>
          <w:szCs w:val="15"/>
          <w:color w:val="auto"/>
        </w:rPr>
        <w:t>Our consolidated financial statements are prepared in accordance with generally accepted accounting principles in the United States ("U.S. GAAP") and presented in dollars. The summary consolidated financial information set forth below has been derived from the combined or consolidated financial statements of Amdocs and its subsidiaries for the fiscal periods presented. During the year ended September 30, 1994, Amdocs' operating subsidiaries were operated as a group of companies owned by common shareholders, and financial statements for such periods were prepared on a combined basis and were not audited. Information as of and for the four years ended September 30, 1998 is derived from our consolidated financial statements which have been audited by Ernst &amp; Young LLP, our independent auditors. The summary consolidated financial information as of and for the six months ended March 31, 1999 and 1998 is derived from our unaudited consolidated financial statements. The unaudited financial information reflects all adjustments (consisting only of normal recurring adjustments) that we consider necessary for a fair statement of our consolidated financial position and the results of operations for such periods. The results of operations for the six months ended March 31, 1999 are not necessarily indicative of results to be expected for any future period.</w:t>
      </w:r>
    </w:p>
    <w:p>
      <w:pPr>
        <w:spacing w:after="0" w:line="200" w:lineRule="exact"/>
        <w:rPr>
          <w:sz w:val="20"/>
          <w:szCs w:val="20"/>
          <w:color w:val="auto"/>
        </w:rPr>
      </w:pPr>
    </w:p>
    <w:p>
      <w:pPr>
        <w:spacing w:after="0" w:line="239" w:lineRule="exact"/>
        <w:rPr>
          <w:sz w:val="20"/>
          <w:szCs w:val="20"/>
          <w:color w:val="auto"/>
        </w:rPr>
      </w:pPr>
    </w:p>
    <w:p>
      <w:pPr>
        <w:ind w:left="8" w:right="3860" w:firstLine="447"/>
        <w:spacing w:after="0" w:line="272" w:lineRule="auto"/>
        <w:rPr>
          <w:sz w:val="20"/>
          <w:szCs w:val="20"/>
          <w:color w:val="auto"/>
        </w:rPr>
      </w:pPr>
      <w:r>
        <w:rPr>
          <w:rFonts w:ascii="Courier New" w:cs="Courier New" w:eastAsia="Courier New" w:hAnsi="Courier New"/>
          <w:sz w:val="15"/>
          <w:szCs w:val="15"/>
          <w:color w:val="auto"/>
        </w:rPr>
        <w:t>The information presented below is qualified by the more detailed consolidated financial statements included elsewhere in this prospectus and should be read in conjunction with those consolidated financial statements and the discussion under "Management's Discussion and Analysis of Financial Condition and Results of Operations"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SIX MONTHS</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ENDED</w:t>
            </w:r>
          </w:p>
        </w:tc>
        <w:tc>
          <w:tcPr>
            <w:tcW w:w="10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YEAR</w:t>
            </w:r>
          </w:p>
        </w:tc>
        <w:tc>
          <w:tcPr>
            <w:tcW w:w="2060" w:type="dxa"/>
            <w:vAlign w:val="bottom"/>
            <w:gridSpan w:val="2"/>
            <w:vMerge w:val="restart"/>
          </w:tcPr>
          <w:p>
            <w:pPr>
              <w:jc w:val="right"/>
              <w:ind w:right="245"/>
              <w:spacing w:after="0"/>
              <w:rPr>
                <w:sz w:val="20"/>
                <w:szCs w:val="20"/>
                <w:color w:val="auto"/>
              </w:rPr>
            </w:pPr>
            <w:r>
              <w:rPr>
                <w:rFonts w:ascii="Courier New" w:cs="Courier New" w:eastAsia="Courier New" w:hAnsi="Courier New"/>
                <w:sz w:val="15"/>
                <w:szCs w:val="15"/>
                <w:color w:val="auto"/>
              </w:rPr>
              <w:t>ENDED SEPTEMBER 30,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MARCH 31,</w:t>
            </w:r>
          </w:p>
        </w:tc>
        <w:tc>
          <w:tcPr>
            <w:tcW w:w="10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5"/>
              </w:rPr>
              <w:t>-------------------</w:t>
            </w:r>
            <w:r>
              <w:rPr>
                <w:rFonts w:ascii="Courier New" w:cs="Courier New" w:eastAsia="Courier New" w:hAnsi="Courier New"/>
                <w:sz w:val="16"/>
                <w:szCs w:val="16"/>
                <w:color w:val="auto"/>
                <w:w w:val="75"/>
                <w:vertAlign w:val="subscript"/>
              </w:rPr>
              <w:t>1999</w:t>
            </w:r>
          </w:p>
        </w:tc>
        <w:tc>
          <w:tcPr>
            <w:tcW w:w="7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1998</w:t>
            </w:r>
          </w:p>
        </w:tc>
        <w:tc>
          <w:tcPr>
            <w:tcW w:w="51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0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480" w:type="dxa"/>
            <w:vAlign w:val="bottom"/>
          </w:tcPr>
          <w:p>
            <w:pPr>
              <w:spacing w:after="0"/>
              <w:rPr>
                <w:sz w:val="21"/>
                <w:szCs w:val="21"/>
                <w:color w:val="auto"/>
              </w:rPr>
            </w:pPr>
          </w:p>
        </w:tc>
        <w:tc>
          <w:tcPr>
            <w:tcW w:w="18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(UNAUDITED)</w:t>
            </w:r>
          </w:p>
        </w:tc>
        <w:tc>
          <w:tcPr>
            <w:tcW w:w="19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(IN THOUSANDS, EXCEPT</w:t>
            </w:r>
          </w:p>
        </w:tc>
        <w:tc>
          <w:tcPr>
            <w:tcW w:w="2060" w:type="dxa"/>
            <w:vAlign w:val="bottom"/>
            <w:gridSpan w:val="2"/>
            <w:vMerge w:val="restart"/>
          </w:tcPr>
          <w:p>
            <w:pPr>
              <w:jc w:val="right"/>
              <w:ind w:right="605"/>
              <w:spacing w:after="0"/>
              <w:rPr>
                <w:sz w:val="20"/>
                <w:szCs w:val="20"/>
                <w:color w:val="auto"/>
              </w:rPr>
            </w:pPr>
            <w:r>
              <w:rPr>
                <w:rFonts w:ascii="Courier New" w:cs="Courier New" w:eastAsia="Courier New" w:hAnsi="Courier New"/>
                <w:sz w:val="15"/>
                <w:szCs w:val="15"/>
                <w:color w:val="auto"/>
              </w:rPr>
              <w:t>PER SHARE DATA)</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$279,255</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$180,566</w:t>
            </w:r>
          </w:p>
        </w:tc>
        <w:tc>
          <w:tcPr>
            <w:tcW w:w="10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$403,767</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$290,102</w:t>
            </w:r>
          </w:p>
        </w:tc>
        <w:tc>
          <w:tcPr>
            <w:tcW w:w="10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$211,720</w:t>
            </w:r>
          </w:p>
        </w:tc>
        <w:tc>
          <w:tcPr>
            <w:tcW w:w="9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$167,312</w:t>
            </w: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$121,310</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65,786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35,970</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84,895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26,969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35,490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15,377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22,047</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income(1).........................</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43,283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12,066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30,107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5,876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24,508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11,224</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16,068</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0.22</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0" w:type="dxa"/>
            <w:vAlign w:val="bottom"/>
          </w:tcPr>
          <w:p>
            <w:pPr>
              <w:spacing w:after="0"/>
              <w:rPr>
                <w:sz w:val="1"/>
                <w:szCs w:val="1"/>
                <w:color w:val="auto"/>
              </w:rPr>
            </w:pPr>
          </w:p>
        </w:tc>
      </w:tr>
      <w:tr>
        <w:trPr>
          <w:trHeight w:val="2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per share(2).......</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140" w:type="dxa"/>
            <w:vAlign w:val="bottom"/>
          </w:tcPr>
          <w:p>
            <w:pPr>
              <w:spacing w:after="0"/>
              <w:rPr>
                <w:sz w:val="14"/>
                <w:szCs w:val="14"/>
                <w:color w:val="auto"/>
              </w:rPr>
            </w:pPr>
          </w:p>
        </w:tc>
        <w:tc>
          <w:tcPr>
            <w:tcW w:w="264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AT MARCH 31,</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0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w w:val="97"/>
              </w:rPr>
              <w:t>AT SEPTEMBER 30,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1780" w:type="dxa"/>
            <w:vAlign w:val="bottom"/>
            <w:vMerge w:val="restart"/>
          </w:tcPr>
          <w:p>
            <w:pPr>
              <w:ind w:left="80"/>
              <w:spacing w:after="0"/>
              <w:rPr>
                <w:sz w:val="20"/>
                <w:szCs w:val="20"/>
                <w:color w:val="auto"/>
              </w:rPr>
            </w:pPr>
            <w:r>
              <w:rPr>
                <w:rFonts w:ascii="Courier New" w:cs="Courier New" w:eastAsia="Courier New" w:hAnsi="Courier New"/>
                <w:sz w:val="9"/>
                <w:szCs w:val="9"/>
                <w:color w:val="auto"/>
                <w:w w:val="74"/>
              </w:rPr>
              <w:t>--------------------------------------</w:t>
            </w:r>
            <w:r>
              <w:rPr>
                <w:rFonts w:ascii="Courier New" w:cs="Courier New" w:eastAsia="Courier New" w:hAnsi="Courier New"/>
                <w:sz w:val="13"/>
                <w:szCs w:val="13"/>
                <w:color w:val="auto"/>
                <w:w w:val="74"/>
                <w:vertAlign w:val="subscript"/>
              </w:rPr>
              <w:t>1999</w:t>
            </w:r>
          </w:p>
        </w:tc>
        <w:tc>
          <w:tcPr>
            <w:tcW w:w="8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1999</w:t>
            </w:r>
          </w:p>
        </w:tc>
        <w:tc>
          <w:tcPr>
            <w:tcW w:w="10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50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1780" w:type="dxa"/>
            <w:vAlign w:val="bottom"/>
          </w:tcPr>
          <w:p>
            <w:pPr>
              <w:jc w:val="right"/>
              <w:ind w:right="729"/>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1780" w:type="dxa"/>
            <w:vAlign w:val="bottom"/>
          </w:tcPr>
          <w:p>
            <w:pPr>
              <w:ind w:left="80"/>
              <w:spacing w:after="0"/>
              <w:rPr>
                <w:sz w:val="20"/>
                <w:szCs w:val="20"/>
                <w:color w:val="auto"/>
              </w:rPr>
            </w:pPr>
            <w:r>
              <w:rPr>
                <w:rFonts w:ascii="Courier New" w:cs="Courier New" w:eastAsia="Courier New" w:hAnsi="Courier New"/>
                <w:sz w:val="15"/>
                <w:szCs w:val="15"/>
                <w:color w:val="auto"/>
              </w:rPr>
              <w:t>(AS ADJUSTED)(4)</w:t>
            </w:r>
          </w:p>
        </w:tc>
        <w:tc>
          <w:tcPr>
            <w:tcW w:w="86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252"/>
        </w:trPr>
        <w:tc>
          <w:tcPr>
            <w:tcW w:w="2140" w:type="dxa"/>
            <w:vAlign w:val="bottom"/>
          </w:tcPr>
          <w:p>
            <w:pPr>
              <w:spacing w:after="0"/>
              <w:rPr>
                <w:sz w:val="21"/>
                <w:szCs w:val="21"/>
                <w:color w:val="auto"/>
              </w:rPr>
            </w:pPr>
          </w:p>
        </w:tc>
        <w:tc>
          <w:tcPr>
            <w:tcW w:w="264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(UNAUDITED)</w:t>
            </w:r>
          </w:p>
        </w:tc>
        <w:tc>
          <w:tcPr>
            <w:tcW w:w="1020" w:type="dxa"/>
            <w:vAlign w:val="bottom"/>
          </w:tcPr>
          <w:p>
            <w:pPr>
              <w:spacing w:after="0"/>
              <w:rPr>
                <w:sz w:val="21"/>
                <w:szCs w:val="21"/>
                <w:color w:val="auto"/>
              </w:rPr>
            </w:pPr>
          </w:p>
        </w:tc>
        <w:tc>
          <w:tcPr>
            <w:tcW w:w="1800" w:type="dxa"/>
            <w:vAlign w:val="bottom"/>
            <w:gridSpan w:val="2"/>
            <w:vMerge w:val="restart"/>
          </w:tcPr>
          <w:p>
            <w:pPr>
              <w:jc w:val="right"/>
              <w:ind w:right="385"/>
              <w:spacing w:after="0"/>
              <w:rPr>
                <w:sz w:val="20"/>
                <w:szCs w:val="20"/>
                <w:color w:val="auto"/>
              </w:rPr>
            </w:pPr>
            <w:r>
              <w:rPr>
                <w:rFonts w:ascii="Courier New" w:cs="Courier New" w:eastAsia="Courier New" w:hAnsi="Courier New"/>
                <w:sz w:val="15"/>
                <w:szCs w:val="15"/>
                <w:color w:val="auto"/>
              </w:rPr>
              <w:t>(IN THOUSANDS)</w:t>
            </w:r>
          </w:p>
        </w:tc>
        <w:tc>
          <w:tcPr>
            <w:tcW w:w="1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780" w:type="dxa"/>
            <w:vAlign w:val="bottom"/>
            <w:vMerge w:val="restart"/>
          </w:tcPr>
          <w:p>
            <w:pPr>
              <w:jc w:val="right"/>
              <w:ind w:right="549"/>
              <w:spacing w:after="0"/>
              <w:rPr>
                <w:sz w:val="20"/>
                <w:szCs w:val="20"/>
                <w:color w:val="auto"/>
              </w:rPr>
            </w:pPr>
            <w:r>
              <w:rPr>
                <w:rFonts w:ascii="Courier New" w:cs="Courier New" w:eastAsia="Courier New" w:hAnsi="Courier New"/>
                <w:sz w:val="15"/>
                <w:szCs w:val="15"/>
                <w:color w:val="auto"/>
              </w:rPr>
              <w:t>$321,285</w:t>
            </w:r>
          </w:p>
        </w:tc>
        <w:tc>
          <w:tcPr>
            <w:tcW w:w="860" w:type="dxa"/>
            <w:vAlign w:val="bottom"/>
            <w:vMerge w:val="restart"/>
          </w:tcPr>
          <w:p>
            <w:pPr>
              <w:spacing w:after="0"/>
              <w:rPr>
                <w:sz w:val="20"/>
                <w:szCs w:val="20"/>
                <w:color w:val="auto"/>
              </w:rPr>
            </w:pPr>
            <w:r>
              <w:rPr>
                <w:rFonts w:ascii="Courier New" w:cs="Courier New" w:eastAsia="Courier New" w:hAnsi="Courier New"/>
                <w:sz w:val="15"/>
                <w:szCs w:val="15"/>
                <w:color w:val="auto"/>
              </w:rPr>
              <w:t>$301,550</w:t>
            </w:r>
          </w:p>
        </w:tc>
        <w:tc>
          <w:tcPr>
            <w:tcW w:w="10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$223,882</w:t>
            </w:r>
          </w:p>
        </w:tc>
        <w:tc>
          <w:tcPr>
            <w:tcW w:w="98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$239,966</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$220,582</w:t>
            </w:r>
          </w:p>
        </w:tc>
        <w:tc>
          <w:tcPr>
            <w:tcW w:w="11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$104,531</w:t>
            </w:r>
          </w:p>
        </w:tc>
        <w:tc>
          <w:tcPr>
            <w:tcW w:w="9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$101,483</w:t>
            </w: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$ 77,106</w:t>
            </w:r>
          </w:p>
        </w:tc>
        <w:tc>
          <w:tcPr>
            <w:tcW w:w="0" w:type="dxa"/>
            <w:vAlign w:val="bottom"/>
          </w:tcPr>
          <w:p>
            <w:pPr>
              <w:spacing w:after="0"/>
              <w:rPr>
                <w:sz w:val="1"/>
                <w:szCs w:val="1"/>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Total assets(4)........</w:t>
            </w:r>
          </w:p>
        </w:tc>
        <w:tc>
          <w:tcPr>
            <w:tcW w:w="1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Long-term obligations</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(net of current</w:t>
            </w:r>
          </w:p>
        </w:tc>
        <w:tc>
          <w:tcPr>
            <w:tcW w:w="1780" w:type="dxa"/>
            <w:vAlign w:val="bottom"/>
            <w:vMerge w:val="restart"/>
          </w:tcPr>
          <w:p>
            <w:pPr>
              <w:jc w:val="right"/>
              <w:ind w:right="549"/>
              <w:spacing w:after="0"/>
              <w:rPr>
                <w:sz w:val="20"/>
                <w:szCs w:val="20"/>
                <w:color w:val="auto"/>
              </w:rPr>
            </w:pPr>
            <w:r>
              <w:rPr>
                <w:rFonts w:ascii="Courier New" w:cs="Courier New" w:eastAsia="Courier New" w:hAnsi="Courier New"/>
                <w:sz w:val="15"/>
                <w:szCs w:val="15"/>
                <w:color w:val="auto"/>
              </w:rPr>
              <w:t>12,675</w:t>
            </w:r>
          </w:p>
        </w:tc>
        <w:tc>
          <w:tcPr>
            <w:tcW w:w="8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12,675</w:t>
            </w:r>
          </w:p>
        </w:tc>
        <w:tc>
          <w:tcPr>
            <w:tcW w:w="10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339,615</w:t>
            </w:r>
          </w:p>
        </w:tc>
        <w:tc>
          <w:tcPr>
            <w:tcW w:w="98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9,215</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7,370</w:t>
            </w:r>
          </w:p>
        </w:tc>
        <w:tc>
          <w:tcPr>
            <w:tcW w:w="11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1,663</w:t>
            </w:r>
          </w:p>
        </w:tc>
        <w:tc>
          <w:tcPr>
            <w:tcW w:w="9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portion).............</w:t>
            </w:r>
          </w:p>
        </w:tc>
        <w:tc>
          <w:tcPr>
            <w:tcW w:w="1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780" w:type="dxa"/>
            <w:vAlign w:val="bottom"/>
            <w:vMerge w:val="restart"/>
          </w:tcPr>
          <w:p>
            <w:pPr>
              <w:jc w:val="right"/>
              <w:ind w:right="549"/>
              <w:spacing w:after="0"/>
              <w:rPr>
                <w:sz w:val="20"/>
                <w:szCs w:val="20"/>
                <w:color w:val="auto"/>
              </w:rPr>
            </w:pPr>
            <w:r>
              <w:rPr>
                <w:rFonts w:ascii="Courier New" w:cs="Courier New" w:eastAsia="Courier New" w:hAnsi="Courier New"/>
                <w:sz w:val="15"/>
                <w:szCs w:val="15"/>
                <w:color w:val="auto"/>
              </w:rPr>
              <w:t>75,506</w:t>
            </w:r>
          </w:p>
        </w:tc>
        <w:tc>
          <w:tcPr>
            <w:tcW w:w="8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25,771</w:t>
            </w:r>
          </w:p>
        </w:tc>
        <w:tc>
          <w:tcPr>
            <w:tcW w:w="10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(273,917)</w:t>
            </w:r>
          </w:p>
        </w:tc>
        <w:tc>
          <w:tcPr>
            <w:tcW w:w="9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(21,889)</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94,253</w:t>
            </w:r>
          </w:p>
        </w:tc>
        <w:tc>
          <w:tcPr>
            <w:tcW w:w="11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15,988</w:t>
            </w:r>
          </w:p>
        </w:tc>
        <w:tc>
          <w:tcPr>
            <w:tcW w:w="9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29,429</w:t>
            </w: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21,872</w:t>
            </w:r>
          </w:p>
        </w:tc>
        <w:tc>
          <w:tcPr>
            <w:tcW w:w="0" w:type="dxa"/>
            <w:vAlign w:val="bottom"/>
          </w:tcPr>
          <w:p>
            <w:pPr>
              <w:spacing w:after="0"/>
              <w:rPr>
                <w:sz w:val="1"/>
                <w:szCs w:val="1"/>
                <w:color w:val="auto"/>
              </w:rPr>
            </w:pPr>
          </w:p>
        </w:tc>
      </w:tr>
      <w:tr>
        <w:trPr>
          <w:trHeight w:val="25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(deficit)(2)(3)(4)...</w:t>
            </w:r>
          </w:p>
        </w:tc>
        <w:tc>
          <w:tcPr>
            <w:tcW w:w="17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6" w:lineRule="exact"/>
        <w:rPr>
          <w:sz w:val="20"/>
          <w:szCs w:val="20"/>
          <w:color w:val="auto"/>
        </w:rPr>
      </w:pPr>
    </w:p>
    <w:p>
      <w:pPr>
        <w:ind w:left="348" w:right="3760" w:hanging="348"/>
        <w:spacing w:after="0" w:line="272" w:lineRule="auto"/>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1997, we recorded nonrecurring charges of $27,563. Of such amount, $25,763 is attributable to the funding of a contribution to a trust and the balance, $1,800, is due to the write-off of in-process technology related to certain software rights acquired from several operating subsidiaries of SBC Communications Inc.</w:t>
      </w:r>
    </w:p>
    <w:p>
      <w:pPr>
        <w:spacing w:after="0" w:line="200" w:lineRule="exact"/>
        <w:rPr>
          <w:rFonts w:ascii="Courier New" w:cs="Courier New" w:eastAsia="Courier New" w:hAnsi="Courier New"/>
          <w:sz w:val="15"/>
          <w:szCs w:val="15"/>
          <w:color w:val="auto"/>
        </w:rPr>
      </w:pPr>
    </w:p>
    <w:p>
      <w:pPr>
        <w:spacing w:after="0" w:line="213"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1998, we paid dividends totaling $478,684.</w:t>
      </w:r>
    </w:p>
    <w:p>
      <w:pPr>
        <w:sectPr>
          <w:pgSz w:w="11900" w:h="16838" w:orient="portrait"/>
          <w:cols w:equalWidth="0" w:num="1">
            <w:col w:w="10828"/>
          </w:cols>
          <w:pgMar w:left="232" w:top="263" w:right="839" w:bottom="16" w:gutter="0" w:footer="0" w:header="0"/>
        </w:sectPr>
      </w:pPr>
    </w:p>
    <w:p>
      <w:pPr>
        <w:spacing w:after="0" w:line="34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828"/>
          </w:cols>
          <w:pgMar w:left="232" w:top="263" w:right="839" w:bottom="16" w:gutter="0" w:footer="0" w:header="0"/>
          <w:type w:val="continuous"/>
        </w:sectPr>
      </w:pPr>
    </w:p>
    <w:bookmarkStart w:id="10" w:name="page11"/>
    <w:bookmarkEnd w:id="10"/>
    <w:p>
      <w:pPr>
        <w:ind w:left="268"/>
        <w:spacing w:after="0"/>
        <w:rPr>
          <w:sz w:val="20"/>
          <w:szCs w:val="20"/>
          <w:color w:val="auto"/>
        </w:rPr>
      </w:pPr>
      <w:r>
        <w:rPr>
          <w:rFonts w:ascii="Courier New" w:cs="Courier New" w:eastAsia="Courier New" w:hAnsi="Courier New"/>
          <w:sz w:val="15"/>
          <w:szCs w:val="15"/>
          <w:color w:val="auto"/>
        </w:rPr>
        <w:t>9</w:t>
      </w:r>
    </w:p>
    <w:p>
      <w:pPr>
        <w:spacing w:after="0" w:line="346" w:lineRule="exact"/>
        <w:rPr>
          <w:sz w:val="20"/>
          <w:szCs w:val="20"/>
          <w:color w:val="auto"/>
        </w:rPr>
      </w:pPr>
    </w:p>
    <w:p>
      <w:pPr>
        <w:ind w:left="348" w:right="3339" w:hanging="348"/>
        <w:spacing w:after="0" w:line="359" w:lineRule="auto"/>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we completed our initial public offering of 18,000 ordinary shares. The net proceeds from the offering to us were $234,190.</w:t>
      </w:r>
    </w:p>
    <w:p>
      <w:pPr>
        <w:spacing w:after="0" w:line="351" w:lineRule="exact"/>
        <w:rPr>
          <w:rFonts w:ascii="Courier New" w:cs="Courier New" w:eastAsia="Courier New" w:hAnsi="Courier New"/>
          <w:sz w:val="15"/>
          <w:szCs w:val="15"/>
          <w:color w:val="auto"/>
        </w:rPr>
      </w:pPr>
    </w:p>
    <w:p>
      <w:pPr>
        <w:ind w:left="348" w:right="3079" w:hanging="348"/>
        <w:spacing w:after="0" w:line="262" w:lineRule="auto"/>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give effect to the sale of the 2,000 ordinary shares by us in the offering, at an assumed public offering price of $26.88 per share, after deducting the underwriting discount and estimated offering expenses. Adjustments assume that $30.0 million of the proceeds we receive in the offering are used to repay outstanding revolving loans under our bank credit facility, which we classify as short-term obligations. See "Use of Proceeds".</w:t>
      </w:r>
    </w:p>
    <w:p>
      <w:pPr>
        <w:spacing w:after="0" w:line="250"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26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RISK FACTORS</w:t>
      </w:r>
    </w:p>
    <w:p>
      <w:pPr>
        <w:spacing w:after="0" w:line="346"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Investing in our ordinary shares involves significant risks. You should carefully consider the following risks before deciding to invest in our ordinary shares. In preparing this document, we have made certain assumptions and projections. We generally use words like "expect," "believe" and "intend" to indicate these assumptions and projections. Our assumptions and projections could be wrong for many reasons, including the reasons discussed in this section. We do not promise to notify you if we learn that our assumptions or projections in this prospectus are wrong. See "Forward-Looking Statements" for more information.</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BUSINESS</w:t>
      </w:r>
    </w:p>
    <w:p>
      <w:pPr>
        <w:spacing w:after="0" w:line="346" w:lineRule="exact"/>
        <w:rPr>
          <w:sz w:val="20"/>
          <w:szCs w:val="20"/>
          <w:color w:val="auto"/>
        </w:rPr>
      </w:pPr>
    </w:p>
    <w:p>
      <w:pPr>
        <w:ind w:right="3079"/>
        <w:spacing w:after="0" w:line="359" w:lineRule="auto"/>
        <w:rPr>
          <w:sz w:val="20"/>
          <w:szCs w:val="20"/>
          <w:color w:val="auto"/>
        </w:rPr>
      </w:pPr>
      <w:r>
        <w:rPr>
          <w:rFonts w:ascii="Courier New" w:cs="Courier New" w:eastAsia="Courier New" w:hAnsi="Courier New"/>
          <w:sz w:val="15"/>
          <w:szCs w:val="15"/>
          <w:color w:val="auto"/>
        </w:rPr>
        <w:t>FUNDAMENTAL CHANGES IN THE TELECOMMUNICATIONS MARKET COULD REDUCE DEMAND FOR OUR SYSTEMS</w:t>
      </w:r>
    </w:p>
    <w:p>
      <w:pPr>
        <w:spacing w:after="0" w:line="352"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Future developments in the telecommunications industry, such as continued industry consolidation, the formation of alliances among network operators and service providers and changes in the regulatory environment, could adversely affect our existing or potential customers. This could reduce the demand for our products and services. As a result, we may be unable to effectively market and sell our information systems to potential customers in the telecommunications industry.</w:t>
      </w:r>
    </w:p>
    <w:p>
      <w:pPr>
        <w:spacing w:after="0" w:line="200" w:lineRule="exact"/>
        <w:rPr>
          <w:sz w:val="20"/>
          <w:szCs w:val="20"/>
          <w:color w:val="auto"/>
        </w:rPr>
      </w:pPr>
    </w:p>
    <w:p>
      <w:pPr>
        <w:spacing w:after="0" w:line="222"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We derive a significant portion of our revenue from products and services provided to directory publishers. We believe that the demand for such products and services will be affected by the extent of increased competition between directory publishers and other media channels, as well as a broader introduction of electronic directories. Our new products for these markets may not be successful or we may be unable to maintain our current level of revenue from directory systems.</w:t>
      </w:r>
    </w:p>
    <w:p>
      <w:pPr>
        <w:spacing w:after="0" w:line="200" w:lineRule="exact"/>
        <w:rPr>
          <w:sz w:val="20"/>
          <w:szCs w:val="20"/>
          <w:color w:val="auto"/>
        </w:rPr>
      </w:pPr>
    </w:p>
    <w:p>
      <w:pPr>
        <w:spacing w:after="0" w:line="222" w:lineRule="exact"/>
        <w:rPr>
          <w:sz w:val="20"/>
          <w:szCs w:val="20"/>
          <w:color w:val="auto"/>
        </w:rPr>
      </w:pPr>
    </w:p>
    <w:p>
      <w:pPr>
        <w:ind w:right="3159"/>
        <w:spacing w:after="0" w:line="359" w:lineRule="auto"/>
        <w:rPr>
          <w:sz w:val="20"/>
          <w:szCs w:val="20"/>
          <w:color w:val="auto"/>
        </w:rPr>
      </w:pPr>
      <w:r>
        <w:rPr>
          <w:rFonts w:ascii="Courier New" w:cs="Courier New" w:eastAsia="Courier New" w:hAnsi="Courier New"/>
          <w:sz w:val="15"/>
          <w:szCs w:val="15"/>
          <w:color w:val="auto"/>
        </w:rPr>
        <w:t>IF WE CANNOT COMPETE SUCCESSFULLY WITH EXISTING OR NEW COMPETITORS OUR BUSINESS COULD BE MATERIALLY ADVERSELY AFFECTED</w:t>
      </w:r>
    </w:p>
    <w:p>
      <w:pPr>
        <w:spacing w:after="0" w:line="180"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236" w:lineRule="exact"/>
        <w:rPr>
          <w:sz w:val="20"/>
          <w:szCs w:val="20"/>
          <w:color w:val="auto"/>
        </w:rPr>
      </w:pPr>
    </w:p>
    <w:p>
      <w:pPr>
        <w:ind w:right="3079" w:firstLine="447"/>
        <w:spacing w:after="0" w:line="276" w:lineRule="auto"/>
        <w:rPr>
          <w:sz w:val="20"/>
          <w:szCs w:val="20"/>
          <w:color w:val="auto"/>
        </w:rPr>
      </w:pPr>
      <w:r>
        <w:rPr>
          <w:rFonts w:ascii="Courier New" w:cs="Courier New" w:eastAsia="Courier New" w:hAnsi="Courier New"/>
          <w:sz w:val="14"/>
          <w:szCs w:val="14"/>
          <w:color w:val="auto"/>
        </w:rPr>
        <w:t>The market for telecommunications information systems is highly competitive and fragmented, and we expect this competition to increase. We compete with independent providers of information systems and services and with in-house software departments of telecommunications companies. Our competitors include firms that provide comprehensive information systems, software vendors that sell products for particular aspects of a total information system, systems integrators, service bureaus and companies that offer software systems in combination with the sale of network equipment. We anticipate continued growth and competition in the telecommunications industry and, consequently, the emergence of new software providers in the industry that will compete with us.</w:t>
      </w:r>
    </w:p>
    <w:p>
      <w:pPr>
        <w:spacing w:after="0" w:line="240" w:lineRule="exact"/>
        <w:rPr>
          <w:sz w:val="20"/>
          <w:szCs w:val="20"/>
          <w:color w:val="auto"/>
        </w:rPr>
      </w:pPr>
    </w:p>
    <w:p>
      <w:pPr>
        <w:ind w:right="3159" w:firstLine="447"/>
        <w:spacing w:after="0" w:line="359" w:lineRule="auto"/>
        <w:rPr>
          <w:sz w:val="20"/>
          <w:szCs w:val="20"/>
          <w:color w:val="auto"/>
        </w:rPr>
      </w:pPr>
      <w:r>
        <w:rPr>
          <w:rFonts w:ascii="Courier New" w:cs="Courier New" w:eastAsia="Courier New" w:hAnsi="Courier New"/>
          <w:sz w:val="15"/>
          <w:szCs w:val="15"/>
          <w:color w:val="auto"/>
        </w:rPr>
        <w:t>We also believe that our ability to compete depends in part on a number of competitive factors, including:</w:t>
      </w:r>
    </w:p>
    <w:p>
      <w:pPr>
        <w:spacing w:after="0" w:line="180" w:lineRule="exact"/>
        <w:rPr>
          <w:sz w:val="20"/>
          <w:szCs w:val="20"/>
          <w:color w:val="auto"/>
        </w:rPr>
      </w:pPr>
    </w:p>
    <w:p>
      <w:pPr>
        <w:ind w:left="620" w:right="3699" w:hanging="181"/>
        <w:spacing w:after="0" w:line="359"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351"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346" w:lineRule="exact"/>
        <w:rPr>
          <w:rFonts w:ascii="Courier New" w:cs="Courier New" w:eastAsia="Courier New" w:hAnsi="Courier New"/>
          <w:sz w:val="15"/>
          <w:szCs w:val="15"/>
          <w:color w:val="auto"/>
        </w:rPr>
      </w:pPr>
    </w:p>
    <w:p>
      <w:pPr>
        <w:ind w:left="620" w:right="3959" w:hanging="181"/>
        <w:spacing w:after="0" w:line="359"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8"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w:t>
      </w:r>
    </w:p>
    <w:p>
      <w:pPr>
        <w:sectPr>
          <w:pgSz w:w="11900" w:h="16838" w:orient="portrait"/>
          <w:cols w:equalWidth="0" w:num="1">
            <w:col w:w="10219"/>
          </w:cols>
          <w:pgMar w:left="240" w:top="263" w:right="1440" w:bottom="532" w:gutter="0" w:footer="0" w:header="0"/>
        </w:sectPr>
      </w:pPr>
    </w:p>
    <w:p>
      <w:pPr>
        <w:spacing w:after="0" w:line="4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3" w:right="1440" w:bottom="532"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11</w:t>
      </w:r>
    </w:p>
    <w:p>
      <w:pPr>
        <w:spacing w:after="0" w:line="346" w:lineRule="exact"/>
        <w:rPr>
          <w:sz w:val="20"/>
          <w:szCs w:val="20"/>
          <w:color w:val="auto"/>
        </w:rPr>
      </w:pPr>
    </w:p>
    <w:p>
      <w:pPr>
        <w:ind w:right="3159"/>
        <w:spacing w:after="0" w:line="280" w:lineRule="auto"/>
        <w:rPr>
          <w:sz w:val="20"/>
          <w:szCs w:val="20"/>
          <w:color w:val="auto"/>
        </w:rPr>
      </w:pPr>
      <w:r>
        <w:rPr>
          <w:rFonts w:ascii="Courier New" w:cs="Courier New" w:eastAsia="Courier New" w:hAnsi="Courier New"/>
          <w:sz w:val="14"/>
          <w:szCs w:val="14"/>
          <w:color w:val="auto"/>
        </w:rPr>
        <w:t>and greater name recognition than do we.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MUST CONTINUALLY ENHANCE OUR PRODUCTS TO REMAIN COMPETITIVE</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Business Support System products that operate on state-of-the-art operating systems. Our present or future products may not satisfy the evolving needs of the telecommunications market. If we are unable to anticipate or respond adequately to such demands, due to resource, technological or other constraints, our business and results of operations could be materially adversely affected.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DEPEND ON SBC COMMUNICATIONS INC. FOR A SIGNIFICANT PORTION OF OUR REVENUES</w:t>
      </w:r>
    </w:p>
    <w:p>
      <w:pPr>
        <w:spacing w:after="0" w:line="200" w:lineRule="exact"/>
        <w:rPr>
          <w:sz w:val="20"/>
          <w:szCs w:val="20"/>
          <w:color w:val="auto"/>
        </w:rPr>
      </w:pPr>
    </w:p>
    <w:p>
      <w:pPr>
        <w:spacing w:after="0" w:line="318" w:lineRule="exact"/>
        <w:rPr>
          <w:sz w:val="20"/>
          <w:szCs w:val="20"/>
          <w:color w:val="auto"/>
        </w:rPr>
      </w:pPr>
    </w:p>
    <w:p>
      <w:pPr>
        <w:ind w:right="3159" w:firstLine="447"/>
        <w:spacing w:after="0" w:line="288" w:lineRule="auto"/>
        <w:rPr>
          <w:sz w:val="20"/>
          <w:szCs w:val="20"/>
          <w:color w:val="auto"/>
        </w:rPr>
      </w:pPr>
      <w:r>
        <w:rPr>
          <w:rFonts w:ascii="Courier New" w:cs="Courier New" w:eastAsia="Courier New" w:hAnsi="Courier New"/>
          <w:sz w:val="14"/>
          <w:szCs w:val="14"/>
          <w:color w:val="auto"/>
        </w:rPr>
        <w:t>Our single largest group of customers are SBC Communications Inc., or SBC, and its operating subsidiaries. SBC International Inc., or SBCI, a wholly owned subsidiary of SBC, is also one of our significant shareholders. It currently holds approximately 22.7% of our outstanding ordinary shares. A significant decrease in the sale of products and services to SBC or its subsidiaries may materially adversely affect our results of operations and financial condition.</w:t>
      </w:r>
    </w:p>
    <w:p>
      <w:pPr>
        <w:spacing w:after="0" w:line="200" w:lineRule="exact"/>
        <w:rPr>
          <w:sz w:val="20"/>
          <w:szCs w:val="20"/>
          <w:color w:val="auto"/>
        </w:rPr>
      </w:pPr>
    </w:p>
    <w:p>
      <w:pPr>
        <w:spacing w:after="0" w:line="206" w:lineRule="exact"/>
        <w:rPr>
          <w:sz w:val="20"/>
          <w:szCs w:val="20"/>
          <w:color w:val="auto"/>
        </w:rPr>
      </w:pPr>
    </w:p>
    <w:p>
      <w:pPr>
        <w:ind w:right="3159" w:firstLine="447"/>
        <w:spacing w:after="0" w:line="255" w:lineRule="auto"/>
        <w:rPr>
          <w:sz w:val="20"/>
          <w:szCs w:val="20"/>
          <w:color w:val="auto"/>
        </w:rPr>
      </w:pPr>
      <w:r>
        <w:rPr>
          <w:rFonts w:ascii="Courier New" w:cs="Courier New" w:eastAsia="Courier New" w:hAnsi="Courier New"/>
          <w:sz w:val="15"/>
          <w:szCs w:val="15"/>
          <w:color w:val="auto"/>
        </w:rPr>
        <w:t>Substantially all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16.6% of our total revenue in the first six months of fiscal 1999 and 20.8%, 34.5% and 38.0% of revenue in fiscal 1998, 1997 and 1996, respectively. The absolute amount of revenue attributable to SBC and such subsidiaries amounted to $46.2 million in the first six months of fiscal 1999 and $84.4 million, $99.9 million and $80.5 million in fiscal 1998, 1997 and 1996, respectively.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BUSINESS IS HIGHLY DEPENDENT ON A LIMITED NUMBER OF SIGNIFICANT CUSTOMERS</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We have approximately 70 customers, and revenue derived from our five largest customers, excluding SBC and its operating subsidiaries, accounted for approximately 23.5% of revenue in the first six months of fiscal 1999 and 27.1%, 33.2% and 42.7% of revenue in fiscal 1998, 1997 and 1996, respectively.</w:t>
      </w:r>
    </w:p>
    <w:p>
      <w:pPr>
        <w:spacing w:after="0" w:line="253"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 installed systems. Therefore, our customers may not continue to purchase new systems, system enhancements and services in amounts similar to previous years.</w:t>
      </w:r>
    </w:p>
    <w:p>
      <w:pPr>
        <w:sectPr>
          <w:pgSz w:w="11900" w:h="16838" w:orient="portrait"/>
          <w:cols w:equalWidth="0" w:num="1">
            <w:col w:w="10219"/>
          </w:cols>
          <w:pgMar w:left="240" w:top="263" w:right="1440" w:bottom="1440" w:gutter="0" w:footer="0" w:header="0"/>
        </w:sectPr>
      </w:pPr>
    </w:p>
    <w:p>
      <w:pPr>
        <w:spacing w:after="0" w:line="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3"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12</w:t>
      </w:r>
    </w:p>
    <w:p>
      <w:pPr>
        <w:spacing w:after="0" w:line="346" w:lineRule="exact"/>
        <w:rPr>
          <w:sz w:val="20"/>
          <w:szCs w:val="20"/>
          <w:color w:val="auto"/>
        </w:rPr>
      </w:pPr>
    </w:p>
    <w:p>
      <w:pPr>
        <w:ind w:right="3439"/>
        <w:spacing w:after="0" w:line="359" w:lineRule="auto"/>
        <w:rPr>
          <w:sz w:val="20"/>
          <w:szCs w:val="20"/>
          <w:color w:val="auto"/>
        </w:rPr>
      </w:pPr>
      <w:r>
        <w:rPr>
          <w:rFonts w:ascii="Courier New" w:cs="Courier New" w:eastAsia="Courier New" w:hAnsi="Courier New"/>
          <w:sz w:val="15"/>
          <w:szCs w:val="15"/>
          <w:color w:val="auto"/>
        </w:rPr>
        <w:t>OUR FUTURE SUCCESS DEPENDS ON OUR ABILITY TO DEVELOP LONG-TERM RELATIONSHIPS WITH NEW CUSTOMERS</w:t>
      </w:r>
    </w:p>
    <w:p>
      <w:pPr>
        <w:spacing w:after="0" w:line="352"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We believe that our future success depends to a significant extent on our ability to develop new long-term relationships with successful network operators and service providers. Many new entrants into the telecommunications market lack significant financial and other resources. We may be unable to develop new customer relationships and our new customers may be unsuccessful. Our failure to attract new customer relationships or the failure of new customers to be successful could have a material adverse effect on our business, results of operations and financial condition.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SKILLED EMPLOYEES THAT WE NEED MAY BE DIFFICULT TO HIRE AND RETAIN</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67" w:lineRule="auto"/>
        <w:rPr>
          <w:sz w:val="20"/>
          <w:szCs w:val="20"/>
          <w:color w:val="auto"/>
        </w:rPr>
      </w:pPr>
      <w:r>
        <w:rPr>
          <w:rFonts w:ascii="Courier New" w:cs="Courier New" w:eastAsia="Courier New" w:hAnsi="Courier New"/>
          <w:sz w:val="14"/>
          <w:szCs w:val="14"/>
          <w:color w:val="auto"/>
        </w:rPr>
        <w:t>Our success depends in large part on our ability to attract, train, motivate and retain highly skilled information technology professionals, software programmers and telecommunications engineers. These types of qualified personnel are in great demand and are likely to remain a limited resource for the foreseeable future. We currently employ 3,600 software and information technology specialists, of which over 2,600 are located in Israel. We intensively recruit technical personnel for our principal development centers in Israel, the United States and Cyprus.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200" w:lineRule="exact"/>
        <w:rPr>
          <w:sz w:val="20"/>
          <w:szCs w:val="20"/>
          <w:color w:val="auto"/>
        </w:rPr>
      </w:pPr>
    </w:p>
    <w:p>
      <w:pPr>
        <w:spacing w:after="0" w:line="318" w:lineRule="exact"/>
        <w:rPr>
          <w:sz w:val="20"/>
          <w:szCs w:val="20"/>
          <w:color w:val="auto"/>
        </w:rPr>
      </w:pPr>
    </w:p>
    <w:p>
      <w:pPr>
        <w:ind w:right="3439" w:firstLine="447"/>
        <w:spacing w:after="0" w:line="281"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200" w:lineRule="exact"/>
        <w:rPr>
          <w:sz w:val="20"/>
          <w:szCs w:val="20"/>
          <w:color w:val="auto"/>
        </w:rPr>
      </w:pPr>
    </w:p>
    <w:p>
      <w:pPr>
        <w:spacing w:after="0" w:line="208" w:lineRule="exact"/>
        <w:rPr>
          <w:sz w:val="20"/>
          <w:szCs w:val="20"/>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cancellations of significant projects by customers;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rates; and</w:t>
      </w:r>
    </w:p>
    <w:p>
      <w:pPr>
        <w:spacing w:after="0" w:line="346"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factors.</w:t>
      </w:r>
    </w:p>
    <w:p>
      <w:pPr>
        <w:spacing w:after="0" w:line="346"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ectPr>
          <w:pgSz w:w="11900" w:h="16838" w:orient="portrait"/>
          <w:cols w:equalWidth="0" w:num="1">
            <w:col w:w="10219"/>
          </w:cols>
          <w:pgMar w:left="240" w:top="263" w:right="1440" w:bottom="0" w:gutter="0" w:footer="0" w:header="0"/>
        </w:sectPr>
      </w:pPr>
    </w:p>
    <w:bookmarkStart w:id="14" w:name="page15"/>
    <w:bookmarkEnd w:id="14"/>
    <w:p>
      <w:pPr>
        <w:ind w:left="22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28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13</w:t>
      </w:r>
    </w:p>
    <w:p>
      <w:pPr>
        <w:spacing w:after="0" w:line="346"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which progress may vary significantly from project to project, we believe that variations in quarterly revenue are sometimes attributable to the timing of initial order placements. Due to the relatively fixed nature of certain of our costs, a decline of revenue in any quarter would result in lower profitability for that quarter and, in such event, the price of our ordinary shares could be materially adversely affected.</w:t>
      </w:r>
    </w:p>
    <w:p>
      <w:pPr>
        <w:spacing w:after="0" w:line="255" w:lineRule="exact"/>
        <w:rPr>
          <w:sz w:val="20"/>
          <w:szCs w:val="20"/>
          <w:color w:val="auto"/>
        </w:rPr>
      </w:pPr>
    </w:p>
    <w:p>
      <w:pPr>
        <w:ind w:right="3259" w:firstLine="447"/>
        <w:spacing w:after="0" w:line="301" w:lineRule="auto"/>
        <w:rPr>
          <w:sz w:val="20"/>
          <w:szCs w:val="20"/>
          <w:color w:val="auto"/>
        </w:rPr>
      </w:pPr>
      <w:r>
        <w:rPr>
          <w:rFonts w:ascii="Courier New" w:cs="Courier New" w:eastAsia="Courier New" w:hAnsi="Courier New"/>
          <w:sz w:val="15"/>
          <w:szCs w:val="15"/>
          <w:color w:val="auto"/>
        </w:rPr>
        <w:t>As a result of these factors and the factors that follow, we believe that period-to-period comparisons of our revenues and operating results are not necessarily meaningful.</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LENGTHY SALES CYCLE MAKES IT DIFFICULT TO ANTICIPATE THE TIMING OF SALES</w:t>
      </w:r>
    </w:p>
    <w:p>
      <w:pPr>
        <w:spacing w:after="0" w:line="346" w:lineRule="exact"/>
        <w:rPr>
          <w:sz w:val="20"/>
          <w:szCs w:val="20"/>
          <w:color w:val="auto"/>
        </w:rPr>
      </w:pPr>
    </w:p>
    <w:p>
      <w:pPr>
        <w:ind w:right="3079" w:firstLine="447"/>
        <w:spacing w:after="0" w:line="273" w:lineRule="auto"/>
        <w:rPr>
          <w:sz w:val="20"/>
          <w:szCs w:val="20"/>
          <w:color w:val="auto"/>
        </w:rPr>
      </w:pPr>
      <w:r>
        <w:rPr>
          <w:rFonts w:ascii="Courier New" w:cs="Courier New" w:eastAsia="Courier New" w:hAnsi="Courier New"/>
          <w:sz w:val="14"/>
          <w:szCs w:val="14"/>
          <w:color w:val="auto"/>
        </w:rPr>
        <w:t>The sales cycle associated with the purchase of our information systems is lengthy, with the time between the making of an initial proposal to a prospective customer and the signing of a sales contract typically being between six and twelve months. Information systems for telecommunications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74" w:lineRule="exact"/>
        <w:rPr>
          <w:sz w:val="20"/>
          <w:szCs w:val="20"/>
          <w:color w:val="auto"/>
        </w:rPr>
      </w:pPr>
    </w:p>
    <w:p>
      <w:pPr>
        <w:ind w:right="3079" w:firstLine="447"/>
        <w:spacing w:after="0" w:line="359" w:lineRule="auto"/>
        <w:rPr>
          <w:sz w:val="20"/>
          <w:szCs w:val="20"/>
          <w:color w:val="auto"/>
        </w:rPr>
      </w:pPr>
      <w:r>
        <w:rPr>
          <w:rFonts w:ascii="Courier New" w:cs="Courier New" w:eastAsia="Courier New" w:hAnsi="Courier New"/>
          <w:sz w:val="15"/>
          <w:szCs w:val="15"/>
          <w:color w:val="auto"/>
        </w:rPr>
        <w:t>We are subject to certain risks inherent in doing business in international markets, including:</w:t>
      </w:r>
    </w:p>
    <w:p>
      <w:pPr>
        <w:spacing w:after="0" w:line="8" w:lineRule="exact"/>
        <w:rPr>
          <w:sz w:val="20"/>
          <w:szCs w:val="20"/>
          <w:color w:val="auto"/>
        </w:rPr>
      </w:pPr>
    </w:p>
    <w:p>
      <w:pPr>
        <w:ind w:left="620"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74" w:lineRule="exact"/>
        <w:rPr>
          <w:rFonts w:ascii="Courier New" w:cs="Courier New" w:eastAsia="Courier New" w:hAnsi="Courier New"/>
          <w:sz w:val="15"/>
          <w:szCs w:val="15"/>
          <w:color w:val="auto"/>
        </w:rPr>
      </w:pPr>
    </w:p>
    <w:p>
      <w:pPr>
        <w:ind w:left="620" w:right="3079" w:hanging="181"/>
        <w:spacing w:after="0" w:line="359"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7"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74" w:lineRule="exact"/>
        <w:rPr>
          <w:rFonts w:ascii="Courier New" w:cs="Courier New" w:eastAsia="Courier New" w:hAnsi="Courier New"/>
          <w:sz w:val="15"/>
          <w:szCs w:val="15"/>
          <w:color w:val="auto"/>
        </w:rPr>
      </w:pPr>
    </w:p>
    <w:p>
      <w:pPr>
        <w:ind w:left="620" w:right="3079" w:hanging="181"/>
        <w:spacing w:after="0" w:line="359"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80" w:lineRule="exact"/>
        <w:rPr>
          <w:sz w:val="20"/>
          <w:szCs w:val="20"/>
          <w:color w:val="auto"/>
        </w:rPr>
      </w:pPr>
    </w:p>
    <w:p>
      <w:pPr>
        <w:ind w:right="3779"/>
        <w:spacing w:after="0" w:line="359" w:lineRule="auto"/>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w:t>
      </w:r>
    </w:p>
    <w:p>
      <w:pPr>
        <w:spacing w:after="0" w:line="180"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We maintain three development facilities located in Israel, the United States and Cyprus, operate a support center located in Brazil and have operations in Europe, North America, Latin America and the Asia-Pacific region. Although a majority of our revenue in fiscal 1998 was derived from customers in North America, we obtain significant revenue from customers in Europe, Australia, and Latin America. Our strategy is to continue to broaden our North American and European customer base and to expand into new international markets, the most significant of which are located in Latin America and the Asia-Pacific region.</w:t>
      </w:r>
    </w:p>
    <w:p>
      <w:pPr>
        <w:spacing w:after="0" w:line="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right="3599"/>
        <w:spacing w:after="0" w:line="359" w:lineRule="auto"/>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8" w:lineRule="exact"/>
        <w:rPr>
          <w:sz w:val="20"/>
          <w:szCs w:val="20"/>
          <w:color w:val="auto"/>
        </w:rPr>
      </w:pPr>
    </w:p>
    <w:p>
      <w:pPr>
        <w:ind w:right="3079" w:firstLine="447"/>
        <w:spacing w:after="0" w:line="254" w:lineRule="auto"/>
        <w:rPr>
          <w:sz w:val="20"/>
          <w:szCs w:val="20"/>
          <w:color w:val="auto"/>
        </w:rPr>
      </w:pPr>
      <w:r>
        <w:rPr>
          <w:rFonts w:ascii="Courier New" w:cs="Courier New" w:eastAsia="Courier New" w:hAnsi="Courier New"/>
          <w:sz w:val="15"/>
          <w:szCs w:val="15"/>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on a lagging basis)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258"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236" w:lineRule="exact"/>
        <w:rPr>
          <w:sz w:val="20"/>
          <w:szCs w:val="20"/>
          <w:color w:val="auto"/>
        </w:rPr>
      </w:pPr>
    </w:p>
    <w:p>
      <w:pPr>
        <w:ind w:right="3259" w:firstLine="447"/>
        <w:spacing w:after="0" w:line="301"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346"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259" w:lineRule="exact"/>
        <w:rPr>
          <w:sz w:val="20"/>
          <w:szCs w:val="20"/>
          <w:color w:val="auto"/>
        </w:rPr>
      </w:pPr>
    </w:p>
    <w:p>
      <w:pPr>
        <w:ind w:right="3159" w:firstLine="447"/>
        <w:spacing w:after="0" w:line="283"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Other companies could independently develop similar or superior technology without violating our proprietary rights.</w:t>
      </w:r>
    </w:p>
    <w:p>
      <w:pPr>
        <w:spacing w:after="0" w:line="67" w:lineRule="exact"/>
        <w:rPr>
          <w:sz w:val="20"/>
          <w:szCs w:val="20"/>
          <w:color w:val="auto"/>
        </w:rPr>
      </w:pPr>
    </w:p>
    <w:p>
      <w:pPr>
        <w:ind w:right="3439" w:firstLine="447"/>
        <w:spacing w:after="0" w:line="301"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and expensive and could involve a high degree of risk.</w:t>
      </w:r>
    </w:p>
    <w:p>
      <w:pPr>
        <w:spacing w:after="0" w:line="49" w:lineRule="exact"/>
        <w:rPr>
          <w:sz w:val="20"/>
          <w:szCs w:val="20"/>
          <w:color w:val="auto"/>
        </w:rPr>
      </w:pPr>
    </w:p>
    <w:p>
      <w:pPr>
        <w:ind w:right="3339"/>
        <w:spacing w:after="0" w:line="359" w:lineRule="auto"/>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8" w:lineRule="exact"/>
        <w:rPr>
          <w:sz w:val="20"/>
          <w:szCs w:val="20"/>
          <w:color w:val="auto"/>
        </w:rPr>
      </w:pPr>
    </w:p>
    <w:p>
      <w:pPr>
        <w:ind w:right="3079" w:firstLine="447"/>
        <w:spacing w:after="0" w:line="273" w:lineRule="auto"/>
        <w:rPr>
          <w:sz w:val="20"/>
          <w:szCs w:val="20"/>
          <w:color w:val="auto"/>
        </w:rPr>
      </w:pPr>
      <w:r>
        <w:rPr>
          <w:rFonts w:ascii="Courier New" w:cs="Courier New" w:eastAsia="Courier New" w:hAnsi="Courier New"/>
          <w:sz w:val="14"/>
          <w:szCs w:val="14"/>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telecommunications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 also include an injunction or other court order that could prevent us from selling our products. Any of these events could seriously harm our business.</w:t>
      </w:r>
    </w:p>
    <w:p>
      <w:pPr>
        <w:spacing w:after="0" w:line="71" w:lineRule="exact"/>
        <w:rPr>
          <w:sz w:val="20"/>
          <w:szCs w:val="20"/>
          <w:color w:val="auto"/>
        </w:rPr>
      </w:pPr>
    </w:p>
    <w:p>
      <w:pPr>
        <w:ind w:right="3159" w:firstLine="447"/>
        <w:spacing w:after="0" w:line="281"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w:t>
      </w:r>
    </w:p>
    <w:p>
      <w:pPr>
        <w:sectPr>
          <w:pgSz w:w="11900" w:h="16838" w:orient="portrait"/>
          <w:cols w:equalWidth="0" w:num="1">
            <w:col w:w="10219"/>
          </w:cols>
          <w:pgMar w:left="240" w:top="263" w:right="1440" w:bottom="1440" w:gutter="0" w:footer="0" w:header="0"/>
        </w:sectPr>
      </w:pPr>
    </w:p>
    <w:p>
      <w:pPr>
        <w:spacing w:after="0" w:line="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63"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right="3259"/>
        <w:spacing w:after="0" w:line="281" w:lineRule="auto"/>
        <w:rPr>
          <w:sz w:val="20"/>
          <w:szCs w:val="20"/>
          <w:color w:val="auto"/>
        </w:rPr>
      </w:pPr>
      <w:r>
        <w:rPr>
          <w:rFonts w:ascii="Courier New" w:cs="Courier New" w:eastAsia="Courier New" w:hAnsi="Courier New"/>
          <w:sz w:val="15"/>
          <w:szCs w:val="15"/>
          <w:color w:val="auto"/>
        </w:rPr>
        <w:t>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36" w:lineRule="exact"/>
        <w:rPr>
          <w:sz w:val="20"/>
          <w:szCs w:val="20"/>
          <w:color w:val="auto"/>
        </w:rPr>
      </w:pPr>
    </w:p>
    <w:p>
      <w:pPr>
        <w:ind w:right="3439"/>
        <w:spacing w:after="0" w:line="359" w:lineRule="auto"/>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352"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5"/>
          <w:szCs w:val="15"/>
          <w:color w:val="auto"/>
        </w:rPr>
        <w:t>We benefit from certain government programs and tax benefits, including programs and benefits in Israel and Cyprus.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250" w:lineRule="exact"/>
        <w:rPr>
          <w:sz w:val="20"/>
          <w:szCs w:val="20"/>
          <w:color w:val="auto"/>
        </w:rPr>
      </w:pPr>
    </w:p>
    <w:p>
      <w:pPr>
        <w:ind w:right="3159" w:firstLine="447"/>
        <w:spacing w:after="0" w:line="359" w:lineRule="auto"/>
        <w:rPr>
          <w:sz w:val="20"/>
          <w:szCs w:val="20"/>
          <w:color w:val="auto"/>
        </w:rPr>
      </w:pPr>
      <w:r>
        <w:rPr>
          <w:rFonts w:ascii="Courier New" w:cs="Courier New" w:eastAsia="Courier New" w:hAnsi="Courier New"/>
          <w:sz w:val="15"/>
          <w:szCs w:val="15"/>
          <w:color w:val="auto"/>
        </w:rPr>
        <w:t>Any of the following could have a material affect on our overall effective tax rate:</w:t>
      </w:r>
    </w:p>
    <w:p>
      <w:pPr>
        <w:spacing w:after="0" w:line="180" w:lineRule="exact"/>
        <w:rPr>
          <w:sz w:val="20"/>
          <w:szCs w:val="20"/>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right="3259" w:hanging="181"/>
        <w:spacing w:after="0" w:line="359"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351" w:lineRule="exact"/>
        <w:rPr>
          <w:rFonts w:ascii="Courier New" w:cs="Courier New" w:eastAsia="Courier New" w:hAnsi="Courier New"/>
          <w:sz w:val="15"/>
          <w:szCs w:val="15"/>
          <w:color w:val="auto"/>
        </w:rPr>
      </w:pPr>
    </w:p>
    <w:p>
      <w:pPr>
        <w:ind w:left="620" w:right="3599" w:hanging="181"/>
        <w:spacing w:after="0" w:line="359"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 or</w:t>
      </w:r>
    </w:p>
    <w:p>
      <w:pPr>
        <w:spacing w:after="0" w:line="179" w:lineRule="exact"/>
        <w:rPr>
          <w:rFonts w:ascii="Courier New" w:cs="Courier New" w:eastAsia="Courier New" w:hAnsi="Courier New"/>
          <w:sz w:val="15"/>
          <w:szCs w:val="15"/>
          <w:color w:val="auto"/>
        </w:rPr>
      </w:pPr>
    </w:p>
    <w:p>
      <w:pPr>
        <w:ind w:left="620" w:right="3159" w:hanging="181"/>
        <w:spacing w:after="0" w:line="272"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74"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69" w:lineRule="exact"/>
        <w:rPr>
          <w:sz w:val="20"/>
          <w:szCs w:val="20"/>
          <w:color w:val="auto"/>
        </w:rPr>
      </w:pPr>
    </w:p>
    <w:p>
      <w:pPr>
        <w:ind w:right="3079" w:firstLine="447"/>
        <w:spacing w:after="0" w:line="250" w:lineRule="auto"/>
        <w:rPr>
          <w:sz w:val="20"/>
          <w:szCs w:val="20"/>
          <w:color w:val="auto"/>
        </w:rPr>
      </w:pPr>
      <w:r>
        <w:rPr>
          <w:rFonts w:ascii="Courier New" w:cs="Courier New" w:eastAsia="Courier New" w:hAnsi="Courier New"/>
          <w:sz w:val="15"/>
          <w:szCs w:val="15"/>
          <w:color w:val="auto"/>
        </w:rPr>
        <w:t>Since our products are generally used by our customers to perform mission-critical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ISSUES" MAY DISRUPT OUR OPERATIONS</w:t>
      </w:r>
    </w:p>
    <w:p>
      <w:pPr>
        <w:spacing w:after="0" w:line="200" w:lineRule="exact"/>
        <w:rPr>
          <w:sz w:val="20"/>
          <w:szCs w:val="20"/>
          <w:color w:val="auto"/>
        </w:rPr>
      </w:pPr>
    </w:p>
    <w:p>
      <w:pPr>
        <w:spacing w:after="0" w:line="318"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The term "year 2000 issues" is a general term used to describe the various problems that may result from the improper processing of dates and faulty date calculations by computers and other machinery in the upcoming millennium. These problems generally arise from the fact that most of the world's legacy computer hardware and software have historically used only two digits to identify the year in a date, often meaning that the computer will fail to distinguish dates in the "2000s" from dates in the "1900s". These problems may also arise from other sources such as the use of special codes and conventions in software that make use of the date field.</w:t>
      </w:r>
    </w:p>
    <w:p>
      <w:pPr>
        <w:sectPr>
          <w:pgSz w:w="11900" w:h="16838" w:orient="portrait"/>
          <w:cols w:equalWidth="0" w:num="1">
            <w:col w:w="10219"/>
          </w:cols>
          <w:pgMar w:left="240" w:top="263" w:right="1440" w:bottom="876" w:gutter="0" w:footer="0" w:header="0"/>
        </w:sectPr>
      </w:pPr>
    </w:p>
    <w:p>
      <w:pPr>
        <w:spacing w:after="0" w:line="25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3" w:right="1440" w:bottom="876"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16</w:t>
      </w:r>
    </w:p>
    <w:p>
      <w:pPr>
        <w:spacing w:after="0" w:line="346" w:lineRule="exact"/>
        <w:rPr>
          <w:sz w:val="20"/>
          <w:szCs w:val="20"/>
          <w:color w:val="auto"/>
        </w:rPr>
      </w:pPr>
    </w:p>
    <w:p>
      <w:pPr>
        <w:ind w:right="3079"/>
        <w:spacing w:after="0" w:line="331" w:lineRule="auto"/>
        <w:rPr>
          <w:sz w:val="20"/>
          <w:szCs w:val="20"/>
          <w:color w:val="auto"/>
        </w:rPr>
      </w:pPr>
      <w:r>
        <w:rPr>
          <w:rFonts w:ascii="Courier New" w:cs="Courier New" w:eastAsia="Courier New" w:hAnsi="Courier New"/>
          <w:sz w:val="14"/>
          <w:szCs w:val="14"/>
          <w:color w:val="auto"/>
        </w:rPr>
        <w:t>This could result in a system failure or miscalculation causing disruptions of operations, including, among other things, total failure of mass systems that depend on computers such as electricity, telephone networks and banking systems.</w:t>
      </w:r>
    </w:p>
    <w:p>
      <w:pPr>
        <w:spacing w:after="0" w:line="376" w:lineRule="exact"/>
        <w:rPr>
          <w:sz w:val="20"/>
          <w:szCs w:val="20"/>
          <w:color w:val="auto"/>
        </w:rPr>
      </w:pPr>
    </w:p>
    <w:p>
      <w:pPr>
        <w:ind w:right="3079" w:firstLine="447"/>
        <w:spacing w:after="0" w:line="251" w:lineRule="auto"/>
        <w:rPr>
          <w:sz w:val="20"/>
          <w:szCs w:val="20"/>
          <w:color w:val="auto"/>
        </w:rPr>
      </w:pPr>
      <w:r>
        <w:rPr>
          <w:rFonts w:ascii="Courier New" w:cs="Courier New" w:eastAsia="Courier New" w:hAnsi="Courier New"/>
          <w:sz w:val="15"/>
          <w:szCs w:val="15"/>
          <w:color w:val="auto"/>
        </w:rPr>
        <w:t>We believe that a small number of computer products marketed by us or currently used by our customers might not be year 2000 compliant. In addition, some products and services provided to our customers by other software vendors may not be year 2000 compliant, thereby disrupting the ability of our customers to use our software. We have accrued $2.0 million at March 31, 1999, representing the estimated costs to modify our software products to address year 2000 issues under existing agreements for previously sold products. See "Management's Discussion and Analysis of Financial Condition and Results of Operation -- Year 2000 Issues". Our ultimate costs to address the year 2000 issues may significantly exceed our estimates, in which case those costs could have a material adverse effect on our results of operations and business and financial condition. Moreover, due to our dependence on a limited number of significant customers, any material adverse impact on such customers due to year 2000 issues could also have a material adverse effect on our results of operations, business and financial conditions.</w:t>
      </w:r>
    </w:p>
    <w:p>
      <w:pPr>
        <w:spacing w:after="0" w:line="200" w:lineRule="exact"/>
        <w:rPr>
          <w:sz w:val="20"/>
          <w:szCs w:val="20"/>
          <w:color w:val="auto"/>
        </w:rPr>
      </w:pPr>
    </w:p>
    <w:p>
      <w:pPr>
        <w:spacing w:after="0" w:line="231" w:lineRule="exact"/>
        <w:rPr>
          <w:sz w:val="20"/>
          <w:szCs w:val="20"/>
          <w:color w:val="auto"/>
        </w:rPr>
      </w:pPr>
    </w:p>
    <w:p>
      <w:pPr>
        <w:ind w:right="3519"/>
        <w:spacing w:after="0" w:line="401" w:lineRule="auto"/>
        <w:rPr>
          <w:sz w:val="20"/>
          <w:szCs w:val="20"/>
          <w:color w:val="auto"/>
        </w:rPr>
      </w:pPr>
      <w:r>
        <w:rPr>
          <w:rFonts w:ascii="Courier New" w:cs="Courier New" w:eastAsia="Courier New" w:hAnsi="Courier New"/>
          <w:sz w:val="14"/>
          <w:szCs w:val="14"/>
          <w:color w:val="auto"/>
        </w:rPr>
        <w:t>OUR SOFTWARE PRODUCTS MAY NOT SUCCESSFULLY ACCEPT THE NEW EUROPEAN MONETARY UNION CURRENCY, OR EURO, OR CONVERT FROM LOCAL CURRENCIES TO THE EURO</w:t>
      </w:r>
    </w:p>
    <w:p>
      <w:pPr>
        <w:spacing w:after="0" w:line="330" w:lineRule="exact"/>
        <w:rPr>
          <w:sz w:val="20"/>
          <w:szCs w:val="20"/>
          <w:color w:val="auto"/>
        </w:rPr>
      </w:pPr>
    </w:p>
    <w:p>
      <w:pPr>
        <w:ind w:right="3079" w:firstLine="447"/>
        <w:spacing w:after="0" w:line="250" w:lineRule="auto"/>
        <w:rPr>
          <w:sz w:val="20"/>
          <w:szCs w:val="20"/>
          <w:color w:val="auto"/>
        </w:rPr>
      </w:pPr>
      <w:r>
        <w:rPr>
          <w:rFonts w:ascii="Courier New" w:cs="Courier New" w:eastAsia="Courier New" w:hAnsi="Courier New"/>
          <w:sz w:val="15"/>
          <w:szCs w:val="15"/>
          <w:color w:val="auto"/>
        </w:rPr>
        <w:t>The euro is being phased in over a three-year period which commenced January 1, 1999 when participating European countries began using the euro currency for non-cash transactions. Computer systems and software products will need to be designed or modified to accept the euro currency and, during a transitional phase, will need to accept both the euro and local currencies. The conversion to the euro currency will require restructuring of databases and internal accounting systems and may require the conversion of historical data. We intend to offer software products that are capable of accepting the euro currency and converting from local currencies to the euro and vice versa. Our software or software provided to our customers by other vendors may not ensure an errorless transition to the euro currency. We have accrued $1.9 million at March 31, 1999, representing the estimated costs to modify our software products to accept the euro currency under existing agreements for previously sold products. Our ultimate costs may significantly exceed our estimates, in which case those costs could have a material adverse effect on our results of operations, business and financial condition.</w:t>
      </w:r>
    </w:p>
    <w:p>
      <w:pPr>
        <w:spacing w:after="0" w:line="200" w:lineRule="exact"/>
        <w:rPr>
          <w:sz w:val="20"/>
          <w:szCs w:val="20"/>
          <w:color w:val="auto"/>
        </w:rPr>
      </w:pPr>
    </w:p>
    <w:p>
      <w:pPr>
        <w:spacing w:after="0" w:line="236" w:lineRule="exact"/>
        <w:rPr>
          <w:sz w:val="20"/>
          <w:szCs w:val="20"/>
          <w:color w:val="auto"/>
        </w:rPr>
      </w:pPr>
    </w:p>
    <w:p>
      <w:pPr>
        <w:ind w:right="3439"/>
        <w:spacing w:after="0" w:line="359" w:lineRule="auto"/>
        <w:rPr>
          <w:sz w:val="20"/>
          <w:szCs w:val="20"/>
          <w:color w:val="auto"/>
        </w:rPr>
      </w:pPr>
      <w:r>
        <w:rPr>
          <w:rFonts w:ascii="Courier New" w:cs="Courier New" w:eastAsia="Courier New" w:hAnsi="Courier New"/>
          <w:sz w:val="15"/>
          <w:szCs w:val="15"/>
          <w:color w:val="auto"/>
        </w:rPr>
        <w:t>OUR DEVELOPMENT FACILITIES IN ISRAEL AND CYPRUS MAY BE ADVERSELY AFFECTED BY POLITICAL AND ECONOMIC CONDITIONS IN THOSE COUNTRIES</w:t>
      </w:r>
    </w:p>
    <w:p>
      <w:pPr>
        <w:spacing w:after="0" w:line="180"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Our largest development center is located in the State of Israel. Although a substantial majority of our sales are made to customers outside Israel and we maintain significant service teams on site with our customers, we are nonetheless directly influenced by the political, economic and military conditions affecting Israel. Any major hostilities involving Israel or the interruption or curtailment of trade between Israel and its current trading partners could have a material adverse effect on our business. We have developed certain contingency plans to move certain development operations to various sites both within and outside of Israel in the event political or military conditions disrupt our normal operations.</w:t>
      </w:r>
    </w:p>
    <w:p>
      <w:pPr>
        <w:spacing w:after="0" w:line="87" w:lineRule="exact"/>
        <w:rPr>
          <w:sz w:val="20"/>
          <w:szCs w:val="20"/>
          <w:color w:val="auto"/>
        </w:rPr>
      </w:pPr>
    </w:p>
    <w:p>
      <w:pPr>
        <w:ind w:right="3079" w:firstLine="447"/>
        <w:spacing w:after="0" w:line="288" w:lineRule="auto"/>
        <w:rPr>
          <w:sz w:val="20"/>
          <w:szCs w:val="20"/>
          <w:color w:val="auto"/>
        </w:rPr>
      </w:pPr>
      <w:r>
        <w:rPr>
          <w:rFonts w:ascii="Courier New" w:cs="Courier New" w:eastAsia="Courier New" w:hAnsi="Courier New"/>
          <w:sz w:val="14"/>
          <w:szCs w:val="14"/>
          <w:color w:val="auto"/>
        </w:rPr>
        <w:t>Israel has entered into peace agreements with both Egypt and Jordan and is in the process of conducting peace negotiations with the Palestinian Community. Moreover, several other countries have announced their intentions to establish trade and other relations with Israel. Israel, however, has not entered into any peace arrangement with Syria or Lebanon. In addition, in recent months there has been a deterioration in Israel's relationship with the Palestinian Community.</w:t>
      </w:r>
    </w:p>
    <w:p>
      <w:pPr>
        <w:spacing w:after="0" w:line="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17</w:t>
      </w:r>
    </w:p>
    <w:p>
      <w:pPr>
        <w:spacing w:after="0" w:line="346" w:lineRule="exact"/>
        <w:rPr>
          <w:sz w:val="20"/>
          <w:szCs w:val="20"/>
          <w:color w:val="auto"/>
        </w:rPr>
      </w:pPr>
    </w:p>
    <w:p>
      <w:pPr>
        <w:ind w:right="3159" w:firstLine="447"/>
        <w:spacing w:after="0" w:line="359" w:lineRule="auto"/>
        <w:rPr>
          <w:sz w:val="20"/>
          <w:szCs w:val="20"/>
          <w:color w:val="auto"/>
        </w:rPr>
      </w:pPr>
      <w:r>
        <w:rPr>
          <w:rFonts w:ascii="Courier New" w:cs="Courier New" w:eastAsia="Courier New" w:hAnsi="Courier New"/>
          <w:sz w:val="15"/>
          <w:szCs w:val="15"/>
          <w:color w:val="auto"/>
        </w:rPr>
        <w:t>Consequently, we cannot predict how the peace process will develop or what effect it may have on us or our business.</w:t>
      </w:r>
    </w:p>
    <w:p>
      <w:pPr>
        <w:spacing w:after="0" w:line="352"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resolve the problem have not yet resulted in an agreeable solution. Recently, tensions between the parties involved have increased significantly over certain military defense issues. Any major hostilities between Cyprus and Turkey may have a material adverse effect on our development facility in Cyprus.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CAPITAL STRUCTURE</w:t>
      </w:r>
    </w:p>
    <w:p>
      <w:pPr>
        <w:spacing w:after="0" w:line="346" w:lineRule="exact"/>
        <w:rPr>
          <w:sz w:val="20"/>
          <w:szCs w:val="20"/>
          <w:color w:val="auto"/>
        </w:rPr>
      </w:pPr>
    </w:p>
    <w:p>
      <w:pPr>
        <w:ind w:right="3599"/>
        <w:spacing w:after="0" w:line="359" w:lineRule="auto"/>
        <w:rPr>
          <w:sz w:val="20"/>
          <w:szCs w:val="20"/>
          <w:color w:val="auto"/>
        </w:rPr>
      </w:pPr>
      <w:r>
        <w:rPr>
          <w:rFonts w:ascii="Courier New" w:cs="Courier New" w:eastAsia="Courier New" w:hAnsi="Courier New"/>
          <w:sz w:val="15"/>
          <w:szCs w:val="15"/>
          <w:color w:val="auto"/>
        </w:rPr>
        <w:t>A FEW OF OUR SHAREHOLDERS MAY BE ABLE TO EXERCISE CONTROL OVER ALL MATTERS REQUIRING SHAREHOLDER APPROVAL</w:t>
      </w:r>
    </w:p>
    <w:p>
      <w:pPr>
        <w:spacing w:after="0" w:line="180"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As a result of the concentration of ownership of our ordinary voting shares, some shareholders may be able to exercise control over matters requiring shareholder approval, including the election of directors and approval of significant corporate transactions. This control may have the effect of delaying or preventing a change in control of Amdocs.</w:t>
      </w:r>
    </w:p>
    <w:p>
      <w:pPr>
        <w:spacing w:after="0" w:line="200" w:lineRule="exact"/>
        <w:rPr>
          <w:sz w:val="20"/>
          <w:szCs w:val="20"/>
          <w:color w:val="auto"/>
        </w:rPr>
      </w:pPr>
    </w:p>
    <w:p>
      <w:pPr>
        <w:spacing w:after="0" w:line="21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ordinary voting shares are currently owned as follows:</w:t>
      </w:r>
    </w:p>
    <w:p>
      <w:pPr>
        <w:spacing w:after="0" w:line="200" w:lineRule="exact"/>
        <w:rPr>
          <w:sz w:val="20"/>
          <w:szCs w:val="20"/>
          <w:color w:val="auto"/>
        </w:rPr>
      </w:pPr>
    </w:p>
    <w:p>
      <w:pPr>
        <w:spacing w:after="0" w:line="318" w:lineRule="exact"/>
        <w:rPr>
          <w:sz w:val="20"/>
          <w:szCs w:val="20"/>
          <w:color w:val="auto"/>
        </w:rPr>
      </w:pPr>
    </w:p>
    <w:p>
      <w:pPr>
        <w:ind w:left="620" w:right="3259" w:hanging="181"/>
        <w:spacing w:after="0" w:line="359"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34.4% by Welsh, Carson, Anderson &amp; Stowe, or WCAS, a private investment firm, and its affiliates,</w:t>
      </w:r>
    </w:p>
    <w:p>
      <w:pPr>
        <w:spacing w:after="0" w:line="351"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8.7% by SBCI, and</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right="3879" w:hanging="181"/>
        <w:spacing w:after="0" w:line="359"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27.6% by Amdocs International Limited, or AIL, a private company beneficially owned by Morris S. Kahn.</w:t>
      </w:r>
    </w:p>
    <w:p>
      <w:pPr>
        <w:spacing w:after="0" w:line="352" w:lineRule="exact"/>
        <w:rPr>
          <w:sz w:val="20"/>
          <w:szCs w:val="20"/>
          <w:color w:val="auto"/>
        </w:rPr>
      </w:pPr>
    </w:p>
    <w:p>
      <w:pPr>
        <w:ind w:right="3159" w:firstLine="447"/>
        <w:spacing w:after="0" w:line="278" w:lineRule="auto"/>
        <w:rPr>
          <w:sz w:val="20"/>
          <w:szCs w:val="20"/>
          <w:color w:val="auto"/>
        </w:rPr>
      </w:pPr>
      <w:r>
        <w:rPr>
          <w:rFonts w:ascii="Courier New" w:cs="Courier New" w:eastAsia="Courier New" w:hAnsi="Courier New"/>
          <w:sz w:val="14"/>
          <w:szCs w:val="14"/>
          <w:color w:val="auto"/>
        </w:rPr>
        <w:t>SBCI also owns ordinary nonvoting shares, which together with its ordinary voting shares represent 22.7% of the ordinary shares outstanding. In addition, WCAS and certain entities in which members of our management have a beneficial interest have granted irrevocable proxies with respect to a portion of the ordinary shares held by them to a company beneficially owned by Morris S. Kahn. Giving effect to such proxies, the company beneficially owned by Morris S. Kahn and AIL together have the right to vote 45.6% of our ordinary voting shares, WCAS and its affiliates have the right to vote 20.3% of our ordinary voting shares and SBCI has the right to vote 8.7% of our ordinary voting shares.</w:t>
      </w:r>
    </w:p>
    <w:p>
      <w:pPr>
        <w:spacing w:after="0" w:line="200" w:lineRule="exact"/>
        <w:rPr>
          <w:sz w:val="20"/>
          <w:szCs w:val="20"/>
          <w:color w:val="auto"/>
        </w:rPr>
      </w:pPr>
    </w:p>
    <w:p>
      <w:pPr>
        <w:spacing w:after="0" w:line="211" w:lineRule="exact"/>
        <w:rPr>
          <w:sz w:val="20"/>
          <w:szCs w:val="20"/>
          <w:color w:val="auto"/>
        </w:rPr>
      </w:pPr>
    </w:p>
    <w:p>
      <w:pPr>
        <w:ind w:right="3079" w:firstLine="447"/>
        <w:spacing w:after="0" w:line="278" w:lineRule="auto"/>
        <w:rPr>
          <w:sz w:val="20"/>
          <w:szCs w:val="20"/>
          <w:color w:val="auto"/>
        </w:rPr>
      </w:pPr>
      <w:r>
        <w:rPr>
          <w:rFonts w:ascii="Courier New" w:cs="Courier New" w:eastAsia="Courier New" w:hAnsi="Courier New"/>
          <w:sz w:val="14"/>
          <w:szCs w:val="14"/>
          <w:color w:val="auto"/>
        </w:rPr>
        <w:t>Affiliates of WCAS and certain other investors, or the WCAS Investors, have granted a call option on some of the ordinary shares that they hold to SBCI, AIL and others who were shareholders of Amdocs prior to our initial public offering in June 1998. The call option may be exercised if we achieve specified revenue and cash flow targets in fiscal 1998 and 1999, which targets were achieved for fiscal 1998. If exercised, the option would increase the relative ownership of SBCI, AIL and those other shareholders and decrease the relative ownership of WCAS. If the targets are met in full, the WCAS Investors will hold 28.4% of our ordinary voting shares and AIL will hold 31.3% of our ordinary voting shares.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MARKET PRICE OF OUR ORDINARY SHARES HAS AND MAY CONTINUE TO FLUCTUATE WIDELY</w:t>
      </w:r>
    </w:p>
    <w:p>
      <w:pPr>
        <w:spacing w:after="0" w:line="200" w:lineRule="exact"/>
        <w:rPr>
          <w:sz w:val="20"/>
          <w:szCs w:val="20"/>
          <w:color w:val="auto"/>
        </w:rPr>
      </w:pPr>
    </w:p>
    <w:p>
      <w:pPr>
        <w:spacing w:after="0" w:line="329" w:lineRule="exact"/>
        <w:rPr>
          <w:sz w:val="20"/>
          <w:szCs w:val="20"/>
          <w:color w:val="auto"/>
        </w:rPr>
      </w:pPr>
    </w:p>
    <w:p>
      <w:pPr>
        <w:ind w:right="3159" w:firstLine="447"/>
        <w:spacing w:after="0" w:line="281" w:lineRule="auto"/>
        <w:rPr>
          <w:sz w:val="20"/>
          <w:szCs w:val="20"/>
          <w:color w:val="auto"/>
        </w:rPr>
      </w:pPr>
      <w:r>
        <w:rPr>
          <w:rFonts w:ascii="Courier New" w:cs="Courier New" w:eastAsia="Courier New" w:hAnsi="Courier New"/>
          <w:sz w:val="15"/>
          <w:szCs w:val="15"/>
          <w:color w:val="auto"/>
        </w:rPr>
        <w:t>The market price of our ordinary shares has fluctuated widely and may continue to do so. For example, since our initial public offering in June 1998 through May 5, 1999 the closing price of our ordinary shares ranged from a high of $28.88 per share to a low of $8.38 per share. Many</w:t>
      </w:r>
    </w:p>
    <w:p>
      <w:pPr>
        <w:sectPr>
          <w:pgSz w:w="11900" w:h="16838" w:orient="portrait"/>
          <w:cols w:equalWidth="0" w:num="1">
            <w:col w:w="10219"/>
          </w:cols>
          <w:pgMar w:left="240" w:top="263" w:right="1440" w:bottom="1048" w:gutter="0" w:footer="0" w:header="0"/>
        </w:sectPr>
      </w:pPr>
    </w:p>
    <w:p>
      <w:pPr>
        <w:spacing w:after="0" w:line="23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63" w:right="1440" w:bottom="1048"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could cause the market price of our ordinary shares to rise and fall.</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Some of these factors are:</w:t>
      </w:r>
    </w:p>
    <w:p>
      <w:pPr>
        <w:spacing w:after="0" w:line="318" w:lineRule="exact"/>
        <w:rPr>
          <w:sz w:val="20"/>
          <w:szCs w:val="20"/>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right="3779" w:hanging="181"/>
        <w:spacing w:after="0" w:line="359"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new products or new pricing policies by us or our competitors;</w:t>
      </w:r>
    </w:p>
    <w:p>
      <w:pPr>
        <w:spacing w:after="0" w:line="351"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telecommunications industry;</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right="3259" w:hanging="181"/>
        <w:spacing w:after="0" w:line="359"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79"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346"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In addition, the stock market experiences significant price and volume fluctuations. These fluctuations particularly affect the market prices of the securities of many high technology companies. These broad market fluctuations could adversely affect the market price of our ordinary shares. When the market price of a stock has been volatile, holders of that stock have often instituted securities class action litigation against the company that issued the stock. If any of our stockholders brought a securities class action lawsuit against us, we could incur substantial costs defending the lawsuit. The lawsuit could also divert the time and attention of our management. Any of these events could seriously harm our business.</w:t>
      </w:r>
    </w:p>
    <w:p>
      <w:pPr>
        <w:spacing w:after="0" w:line="200" w:lineRule="exact"/>
        <w:rPr>
          <w:sz w:val="20"/>
          <w:szCs w:val="20"/>
          <w:color w:val="auto"/>
        </w:rPr>
      </w:pPr>
    </w:p>
    <w:p>
      <w:pPr>
        <w:spacing w:after="0" w:line="231" w:lineRule="exact"/>
        <w:rPr>
          <w:sz w:val="20"/>
          <w:szCs w:val="20"/>
          <w:color w:val="auto"/>
        </w:rPr>
      </w:pPr>
    </w:p>
    <w:p>
      <w:pPr>
        <w:ind w:right="3519"/>
        <w:spacing w:after="0" w:line="359" w:lineRule="auto"/>
        <w:rPr>
          <w:sz w:val="20"/>
          <w:szCs w:val="20"/>
          <w:color w:val="auto"/>
        </w:rPr>
      </w:pPr>
      <w:r>
        <w:rPr>
          <w:rFonts w:ascii="Courier New" w:cs="Courier New" w:eastAsia="Courier New" w:hAnsi="Courier New"/>
          <w:sz w:val="15"/>
          <w:szCs w:val="15"/>
          <w:color w:val="auto"/>
        </w:rPr>
        <w:t>FUTURE SALES BY EXISTING SHAREHOLDERS COULD DEPRESS THE MARKET PRICE OF OUR ORDINARY SHARES</w:t>
      </w:r>
    </w:p>
    <w:p>
      <w:pPr>
        <w:spacing w:after="0" w:line="352" w:lineRule="exact"/>
        <w:rPr>
          <w:sz w:val="20"/>
          <w:szCs w:val="20"/>
          <w:color w:val="auto"/>
        </w:rPr>
      </w:pPr>
    </w:p>
    <w:p>
      <w:pPr>
        <w:ind w:right="3259" w:firstLine="447"/>
        <w:spacing w:after="0" w:line="259" w:lineRule="auto"/>
        <w:rPr>
          <w:sz w:val="20"/>
          <w:szCs w:val="20"/>
          <w:color w:val="auto"/>
        </w:rPr>
      </w:pPr>
      <w:r>
        <w:rPr>
          <w:rFonts w:ascii="Courier New" w:cs="Courier New" w:eastAsia="Courier New" w:hAnsi="Courier New"/>
          <w:sz w:val="15"/>
          <w:szCs w:val="15"/>
          <w:color w:val="auto"/>
        </w:rPr>
        <w:t>Sales of substantial amounts of ordinary shares in the public market, or the perception that such sales could occur, could adversely affect prevailing market prices for the ordinary shares. We currently have 196,800,024 ordinary shares issued and outstanding, all of which are either freely tradeable on the NYSE or currently eligible for sale pursuant to Rule 144, under the Securities Act of 1933, or the Securities Act (subject to compliance with the volume and manner of sale limitation of Rule 144), or pursuant to another exemption from the registration requirements of the Securities Act.</w:t>
      </w:r>
    </w:p>
    <w:p>
      <w:pPr>
        <w:spacing w:after="0" w:line="200" w:lineRule="exact"/>
        <w:rPr>
          <w:sz w:val="20"/>
          <w:szCs w:val="20"/>
          <w:color w:val="auto"/>
        </w:rPr>
      </w:pPr>
    </w:p>
    <w:p>
      <w:pPr>
        <w:spacing w:after="0" w:line="225"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Our principal shareholders have the right, in certain circumstances, to require us to register their shares under the Securities Act for resale to the public. In addition, we expect to register under the Securities Act up to a total of 6,600,000 ordinary shares reserved for issuance upon the exercise of options that have been or may be granted under our stock option plans. The right to exercise options outstanding under these plans is subject to certain vesting requirements.</w:t>
      </w:r>
    </w:p>
    <w:p>
      <w:pPr>
        <w:spacing w:after="0" w:line="250" w:lineRule="exact"/>
        <w:rPr>
          <w:sz w:val="20"/>
          <w:szCs w:val="20"/>
          <w:color w:val="auto"/>
        </w:rPr>
      </w:pPr>
    </w:p>
    <w:p>
      <w:pPr>
        <w:ind w:right="3159"/>
        <w:spacing w:after="0" w:line="359"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w:t>
      </w:r>
    </w:p>
    <w:p>
      <w:pPr>
        <w:spacing w:after="0" w:line="180" w:lineRule="exact"/>
        <w:rPr>
          <w:sz w:val="20"/>
          <w:szCs w:val="20"/>
          <w:color w:val="auto"/>
        </w:rPr>
      </w:pPr>
    </w:p>
    <w:p>
      <w:pPr>
        <w:jc w:val="both"/>
        <w:ind w:right="3779" w:firstLine="447"/>
        <w:spacing w:after="0" w:line="301"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 In addition, the terms of bank debt incurred by our subsidiaries effectively prevent us from paying cash dividends.</w:t>
      </w:r>
    </w:p>
    <w:p>
      <w:pPr>
        <w:spacing w:after="0" w:line="393" w:lineRule="exact"/>
        <w:rPr>
          <w:sz w:val="20"/>
          <w:szCs w:val="20"/>
          <w:color w:val="auto"/>
        </w:rPr>
      </w:pPr>
    </w:p>
    <w:p>
      <w:pPr>
        <w:ind w:right="3079"/>
        <w:spacing w:after="0" w:line="359" w:lineRule="auto"/>
        <w:rPr>
          <w:sz w:val="20"/>
          <w:szCs w:val="20"/>
          <w:color w:val="auto"/>
        </w:rPr>
      </w:pPr>
      <w:r>
        <w:rPr>
          <w:rFonts w:ascii="Courier New" w:cs="Courier New" w:eastAsia="Courier New" w:hAnsi="Courier New"/>
          <w:sz w:val="15"/>
          <w:szCs w:val="15"/>
          <w:color w:val="auto"/>
        </w:rPr>
        <w:t>THE RIGHTS OF SHAREHOLDERS OF GUERNSEY CORPORATIONS DIFFER IN SOME RESPECTS FROM THOSE OF SHAREHOLDERS OF UNITED STATES CORPORATIONS</w:t>
      </w:r>
    </w:p>
    <w:p>
      <w:pPr>
        <w:spacing w:after="0" w:line="352" w:lineRule="exact"/>
        <w:rPr>
          <w:sz w:val="20"/>
          <w:szCs w:val="20"/>
          <w:color w:val="auto"/>
        </w:rPr>
      </w:pPr>
    </w:p>
    <w:p>
      <w:pPr>
        <w:ind w:right="3079" w:firstLine="447"/>
        <w:spacing w:after="0" w:line="288" w:lineRule="auto"/>
        <w:rPr>
          <w:sz w:val="20"/>
          <w:szCs w:val="20"/>
          <w:color w:val="auto"/>
        </w:rPr>
      </w:pPr>
      <w:r>
        <w:rPr>
          <w:rFonts w:ascii="Courier New" w:cs="Courier New" w:eastAsia="Courier New" w:hAnsi="Courier New"/>
          <w:sz w:val="14"/>
          <w:szCs w:val="14"/>
          <w:color w:val="auto"/>
        </w:rPr>
        <w:t>We are incorporated under the laws of Guernsey. The rights of holders of ordinary shares are governed by Guernsey law, including the Companies Act of Guernsey, and by our Articles of Association. These rights differ in some respects from the rights of shareholders in corporations incorporated in the United States. See "Description of Share Capital" and "Comparison of United States and Guernsey Corporate Law" for a discussion of the material differences.</w:t>
      </w:r>
    </w:p>
    <w:p>
      <w:pPr>
        <w:sectPr>
          <w:pgSz w:w="11900" w:h="16838" w:orient="portrait"/>
          <w:cols w:equalWidth="0" w:num="1">
            <w:col w:w="10219"/>
          </w:cols>
          <w:pgMar w:left="240" w:top="263" w:right="1440" w:bottom="0" w:gutter="0" w:footer="0" w:header="0"/>
        </w:sectPr>
      </w:pPr>
    </w:p>
    <w:bookmarkStart w:id="21" w:name="page22"/>
    <w:bookmarkEnd w:id="21"/>
    <w:p>
      <w:pPr>
        <w:ind w:left="22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019"/>
          </w:cols>
          <w:pgMar w:left="1440" w:top="285"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USE OF PROCEEDS</w:t>
      </w:r>
    </w:p>
    <w:p>
      <w:pPr>
        <w:spacing w:after="0" w:line="346" w:lineRule="exact"/>
        <w:rPr>
          <w:sz w:val="20"/>
          <w:szCs w:val="20"/>
          <w:color w:val="auto"/>
        </w:rPr>
      </w:pPr>
    </w:p>
    <w:p>
      <w:pPr>
        <w:jc w:val="both"/>
        <w:ind w:right="3339" w:firstLine="447"/>
        <w:spacing w:after="0" w:line="331" w:lineRule="auto"/>
        <w:rPr>
          <w:sz w:val="20"/>
          <w:szCs w:val="20"/>
          <w:color w:val="auto"/>
        </w:rPr>
      </w:pPr>
      <w:r>
        <w:rPr>
          <w:rFonts w:ascii="Courier New" w:cs="Courier New" w:eastAsia="Courier New" w:hAnsi="Courier New"/>
          <w:sz w:val="14"/>
          <w:szCs w:val="14"/>
          <w:color w:val="auto"/>
        </w:rPr>
        <w:t>The net proceeds to us from our sale of the 2,000,000 ordinary shares in the offering are estimated to be approximately $49.7 million, after deducting the underwriting discount and the estimated offering expenses payable by us.</w:t>
      </w:r>
    </w:p>
    <w:p>
      <w:pPr>
        <w:spacing w:after="0" w:line="376"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We intend to use a portion of the proceeds received by us to repay up to $30.0 million principal amount of outstanding loans under our revolving credit facility. The debt to be repaid matures on June 1999 and bears interest at a rate of approximately 5.5% per annum. We expect that any proceeds not used to repay this debt will be used for general corporate purposes, including working capital and capital expenditures. We may also use a portion of the net proceeds, currently intended for general corporate purposes, to acquire or invest in businesses, technologies, products or services that are complementary to our business. We do not currently have any commitments or agreements with respect to any such acquisitions or investments. Pending any of these uses, we intend to invest the net proceeds from this offering in short-term, interest-bearing, investment grade securities.</w:t>
      </w:r>
    </w:p>
    <w:p>
      <w:pPr>
        <w:spacing w:after="0" w:line="200" w:lineRule="exact"/>
        <w:rPr>
          <w:sz w:val="20"/>
          <w:szCs w:val="20"/>
          <w:color w:val="auto"/>
        </w:rPr>
      </w:pPr>
    </w:p>
    <w:p>
      <w:pPr>
        <w:spacing w:after="0" w:line="231" w:lineRule="exact"/>
        <w:rPr>
          <w:sz w:val="20"/>
          <w:szCs w:val="20"/>
          <w:color w:val="auto"/>
        </w:rPr>
      </w:pPr>
    </w:p>
    <w:p>
      <w:pPr>
        <w:ind w:right="3159" w:firstLine="447"/>
        <w:spacing w:after="0" w:line="301" w:lineRule="auto"/>
        <w:rPr>
          <w:sz w:val="20"/>
          <w:szCs w:val="20"/>
          <w:color w:val="auto"/>
        </w:rPr>
      </w:pPr>
      <w:r>
        <w:rPr>
          <w:rFonts w:ascii="Courier New" w:cs="Courier New" w:eastAsia="Courier New" w:hAnsi="Courier New"/>
          <w:sz w:val="15"/>
          <w:szCs w:val="15"/>
          <w:color w:val="auto"/>
        </w:rPr>
        <w:t>We will not receive any of the proceeds from the sale of the ordinary shares by the selling shareholders or the sale of the Automatic Common Exchange Securities by the TRACES Trust.</w:t>
      </w:r>
    </w:p>
    <w:p>
      <w:pPr>
        <w:spacing w:after="0" w:line="393"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MARKET PRICES AND DIVIDEND POLICY</w:t>
      </w:r>
    </w:p>
    <w:p>
      <w:pPr>
        <w:spacing w:after="0" w:line="200" w:lineRule="exact"/>
        <w:rPr>
          <w:sz w:val="20"/>
          <w:szCs w:val="20"/>
          <w:color w:val="auto"/>
        </w:rPr>
      </w:pPr>
    </w:p>
    <w:p>
      <w:pPr>
        <w:spacing w:after="0" w:line="318" w:lineRule="exact"/>
        <w:rPr>
          <w:sz w:val="20"/>
          <w:szCs w:val="20"/>
          <w:color w:val="auto"/>
        </w:rPr>
      </w:pPr>
    </w:p>
    <w:p>
      <w:pPr>
        <w:jc w:val="both"/>
        <w:ind w:right="3159" w:firstLine="447"/>
        <w:spacing w:after="0" w:line="301" w:lineRule="auto"/>
        <w:rPr>
          <w:sz w:val="20"/>
          <w:szCs w:val="20"/>
          <w:color w:val="auto"/>
        </w:rPr>
      </w:pPr>
      <w:r>
        <w:rPr>
          <w:rFonts w:ascii="Courier New" w:cs="Courier New" w:eastAsia="Courier New" w:hAnsi="Courier New"/>
          <w:sz w:val="15"/>
          <w:szCs w:val="15"/>
          <w:color w:val="auto"/>
        </w:rPr>
        <w:t>Our ordinary shares have been quoted on the NYSE since June 19, 1998 under the symbol "DOX". Through May 4, 1999, the high and low reported closing prices for the ordinary shares were as follows: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HIGH</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LOW</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DIVIDENDS</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8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1998:</w:t>
            </w:r>
          </w:p>
        </w:tc>
        <w:tc>
          <w:tcPr>
            <w:tcW w:w="820" w:type="dxa"/>
            <w:vAlign w:val="bottom"/>
            <w:vMerge w:val="restart"/>
          </w:tcPr>
          <w:p>
            <w:pPr>
              <w:jc w:val="center"/>
              <w:ind w:right="5"/>
              <w:spacing w:after="0"/>
              <w:rPr>
                <w:sz w:val="20"/>
                <w:szCs w:val="20"/>
                <w:color w:val="auto"/>
              </w:rPr>
            </w:pPr>
            <w:r>
              <w:rPr>
                <w:rFonts w:ascii="Courier New" w:cs="Courier New" w:eastAsia="Courier New" w:hAnsi="Courier New"/>
                <w:sz w:val="15"/>
                <w:szCs w:val="15"/>
                <w:color w:val="auto"/>
                <w:w w:val="99"/>
              </w:rPr>
              <w:t>$16.50</w:t>
            </w:r>
          </w:p>
        </w:tc>
        <w:tc>
          <w:tcPr>
            <w:tcW w:w="8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$14.00</w:t>
            </w: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Third Quarter 1998 (since June 19, 1998)..................</w:t>
            </w: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Fourth Quarter 1998.......................................</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$15.50</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$ 8.38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1999:</w:t>
            </w:r>
          </w:p>
        </w:tc>
        <w:tc>
          <w:tcPr>
            <w:tcW w:w="820" w:type="dxa"/>
            <w:vAlign w:val="bottom"/>
            <w:vMerge w:val="restart"/>
          </w:tcPr>
          <w:p>
            <w:pPr>
              <w:jc w:val="center"/>
              <w:ind w:right="5"/>
              <w:spacing w:after="0"/>
              <w:rPr>
                <w:sz w:val="20"/>
                <w:szCs w:val="20"/>
                <w:color w:val="auto"/>
              </w:rPr>
            </w:pPr>
            <w:r>
              <w:rPr>
                <w:rFonts w:ascii="Courier New" w:cs="Courier New" w:eastAsia="Courier New" w:hAnsi="Courier New"/>
                <w:sz w:val="15"/>
                <w:szCs w:val="15"/>
                <w:color w:val="auto"/>
                <w:w w:val="99"/>
              </w:rPr>
              <w:t>$17.25</w:t>
            </w:r>
          </w:p>
        </w:tc>
        <w:tc>
          <w:tcPr>
            <w:tcW w:w="8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$ 8.88</w:t>
            </w: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First Quarter 1999........................................</w:t>
            </w: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Second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$25.81</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$15.06</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Third Quarter 1999 (through May 4,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$28.88</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259" w:firstLine="447"/>
        <w:spacing w:after="0" w:line="272" w:lineRule="auto"/>
        <w:rPr>
          <w:sz w:val="20"/>
          <w:szCs w:val="20"/>
          <w:color w:val="auto"/>
        </w:rPr>
      </w:pPr>
      <w:r>
        <w:rPr>
          <w:rFonts w:ascii="Courier New" w:cs="Courier New" w:eastAsia="Courier New" w:hAnsi="Courier New"/>
          <w:sz w:val="15"/>
          <w:szCs w:val="15"/>
          <w:color w:val="auto"/>
        </w:rPr>
        <w:t>As of May 4, 1999, the last reported closing price of the ordinary shares on the New York Stock Exchange was $26.88 and ordinary shares were held by approximately 139 recordholders. Based on a review of the addresses of such holders, 90 recordholders, holding approximately 62.6% of the outstanding ordinary shares, were residents of the United States.</w:t>
      </w:r>
    </w:p>
    <w:p>
      <w:pPr>
        <w:spacing w:after="0" w:line="241" w:lineRule="exact"/>
        <w:rPr>
          <w:sz w:val="20"/>
          <w:szCs w:val="20"/>
          <w:color w:val="auto"/>
        </w:rPr>
      </w:pPr>
    </w:p>
    <w:p>
      <w:pPr>
        <w:ind w:right="3599" w:firstLine="447"/>
        <w:spacing w:after="0" w:line="359" w:lineRule="auto"/>
        <w:rPr>
          <w:sz w:val="20"/>
          <w:szCs w:val="20"/>
          <w:color w:val="auto"/>
        </w:rPr>
      </w:pPr>
      <w:r>
        <w:rPr>
          <w:rFonts w:ascii="Courier New" w:cs="Courier New" w:eastAsia="Courier New" w:hAnsi="Courier New"/>
          <w:sz w:val="15"/>
          <w:szCs w:val="15"/>
          <w:color w:val="auto"/>
        </w:rPr>
        <w:t>Shareholders are advised to obtain a current market quotation for our ordinary shares.</w:t>
      </w:r>
    </w:p>
    <w:p>
      <w:pPr>
        <w:spacing w:after="0" w:line="180" w:lineRule="exact"/>
        <w:rPr>
          <w:sz w:val="20"/>
          <w:szCs w:val="20"/>
          <w:color w:val="auto"/>
        </w:rPr>
      </w:pPr>
    </w:p>
    <w:p>
      <w:pPr>
        <w:ind w:right="3259" w:firstLine="447"/>
        <w:spacing w:after="0" w:line="266" w:lineRule="auto"/>
        <w:rPr>
          <w:sz w:val="20"/>
          <w:szCs w:val="20"/>
          <w:color w:val="auto"/>
        </w:rPr>
      </w:pPr>
      <w:r>
        <w:rPr>
          <w:rFonts w:ascii="Courier New" w:cs="Courier New" w:eastAsia="Courier New" w:hAnsi="Courier New"/>
          <w:sz w:val="15"/>
          <w:szCs w:val="15"/>
          <w:color w:val="auto"/>
        </w:rPr>
        <w:t>Although in the past we have paid substantial cash dividends, we do not anticipate paying cash dividends on our ordinary shares in the foreseeable future. We declared dividends to our shareholders during fiscal 1998, 1997 and 1996 of $478.7 million, $19.3 million and $37.9 million, respectively. See "Certain Transactions". We currently intend to retain our earnings to finance the development of our business.</w:t>
      </w:r>
    </w:p>
    <w:p>
      <w:pPr>
        <w:spacing w:after="0" w:line="246"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Any future dividend policy will be determined by our board of directors based upon conditions then existing, including our earnings, financial condition and capital requirements, as well as such economic and other conditions as the board of directors may deem relevant. The terms of the revolving credit agreement under which several of our subsidiaries are borrowers effectively prevent us from paying cash dividends. In addition, future agreements under which we or any of our subsidiaries may incur indebtedness may contain limitations on our ability to pay cash dividends.</w:t>
      </w:r>
    </w:p>
    <w:p>
      <w:pPr>
        <w:sectPr>
          <w:pgSz w:w="11900" w:h="16838" w:orient="portrait"/>
          <w:cols w:equalWidth="0" w:num="1">
            <w:col w:w="10219"/>
          </w:cols>
          <w:pgMar w:left="240" w:top="263" w:right="1440" w:bottom="1048" w:gutter="0" w:footer="0" w:header="0"/>
        </w:sectPr>
      </w:pPr>
    </w:p>
    <w:p>
      <w:pPr>
        <w:spacing w:after="0" w:line="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3" w:right="1440" w:bottom="1048" w:gutter="0" w:footer="0" w:header="0"/>
          <w:type w:val="continuous"/>
        </w:sectPr>
      </w:pPr>
    </w:p>
    <w:bookmarkStart w:id="23" w:name="page24"/>
    <w:bookmarkEnd w:id="23"/>
    <w:p>
      <w:pPr>
        <w:ind w:left="268"/>
        <w:spacing w:after="0"/>
        <w:rPr>
          <w:sz w:val="20"/>
          <w:szCs w:val="20"/>
          <w:color w:val="auto"/>
        </w:rPr>
      </w:pPr>
      <w:r>
        <w:rPr>
          <w:rFonts w:ascii="Courier New" w:cs="Courier New" w:eastAsia="Courier New" w:hAnsi="Courier New"/>
          <w:sz w:val="15"/>
          <w:szCs w:val="15"/>
          <w:color w:val="auto"/>
        </w:rPr>
        <w:t>20</w:t>
      </w:r>
    </w:p>
    <w:p>
      <w:pPr>
        <w:spacing w:after="0" w:line="346"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SELECTED CONSOLIDATED FINANCIAL INFORMATION</w:t>
      </w:r>
    </w:p>
    <w:p>
      <w:pPr>
        <w:spacing w:after="0" w:line="200" w:lineRule="exact"/>
        <w:rPr>
          <w:sz w:val="20"/>
          <w:szCs w:val="20"/>
          <w:color w:val="auto"/>
        </w:rPr>
      </w:pPr>
    </w:p>
    <w:p>
      <w:pPr>
        <w:spacing w:after="0" w:line="318" w:lineRule="exact"/>
        <w:rPr>
          <w:sz w:val="20"/>
          <w:szCs w:val="20"/>
          <w:color w:val="auto"/>
        </w:rPr>
      </w:pPr>
    </w:p>
    <w:p>
      <w:pPr>
        <w:ind w:left="8" w:right="4040" w:firstLine="447"/>
        <w:spacing w:after="0" w:line="250" w:lineRule="auto"/>
        <w:rPr>
          <w:sz w:val="20"/>
          <w:szCs w:val="20"/>
          <w:color w:val="auto"/>
        </w:rPr>
      </w:pPr>
      <w:r>
        <w:rPr>
          <w:rFonts w:ascii="Courier New" w:cs="Courier New" w:eastAsia="Courier New" w:hAnsi="Courier New"/>
          <w:sz w:val="15"/>
          <w:szCs w:val="15"/>
          <w:color w:val="auto"/>
        </w:rPr>
        <w:t>Our consolidated financial statements are prepared in accordance with U.S. GAAP and presented in dollars. The selected consolidated financial information set forth below has been derived from the combined or consolidated financial statements of Amdocs and its subsidiaries for the fiscal periods presented. During the year ended September 30, 1994, Amdocs' operating subsidiaries were operated as a group of companies owned by common shareholders and financial statements for such periods were prepared on a combined basis and were not audited. Information as of and for the four years ended September 30, 1998 is derived from our consolidated financial statements which have been audited by Ernst &amp; Young LLP, our independent auditors. The selected consolidated financial information as of and for the six months ended March 31, 1999 and 1998 is derived from our unaudited consolidated financial statements. The unaudited financial information reflects all adjustments (consisting only of normal recurring adjustments) that we consider necessary for a fair statement of our consolidated financial position and the results of operations for such periods. The results of operations for the six months ended March 31, 1999 are not necessarily indicative of results to be expected for any future period.</w:t>
      </w:r>
    </w:p>
    <w:p>
      <w:pPr>
        <w:spacing w:after="0" w:line="259" w:lineRule="exact"/>
        <w:rPr>
          <w:sz w:val="20"/>
          <w:szCs w:val="20"/>
          <w:color w:val="auto"/>
        </w:rPr>
      </w:pPr>
    </w:p>
    <w:p>
      <w:pPr>
        <w:ind w:left="8" w:right="4220" w:firstLine="447"/>
        <w:spacing w:after="0" w:line="272" w:lineRule="auto"/>
        <w:rPr>
          <w:sz w:val="20"/>
          <w:szCs w:val="20"/>
          <w:color w:val="auto"/>
        </w:rPr>
      </w:pPr>
      <w:r>
        <w:rPr>
          <w:rFonts w:ascii="Courier New" w:cs="Courier New" w:eastAsia="Courier New" w:hAnsi="Courier New"/>
          <w:sz w:val="15"/>
          <w:szCs w:val="15"/>
          <w:color w:val="auto"/>
        </w:rPr>
        <w:t>The information presented below is qualified by the more detailed consolidated financial statements included elsewhere in this prospectus and should be read in conjunction with those consolidated financial statements and the discussion under "Management's Discussion and Analysis of Financial Condition and Results of Operations" included elsewhere in this prospectus.</w:t>
      </w:r>
    </w:p>
    <w:p>
      <w:pPr>
        <w:spacing w:after="0" w:line="200" w:lineRule="exact"/>
        <w:rPr>
          <w:sz w:val="20"/>
          <w:szCs w:val="20"/>
          <w:color w:val="auto"/>
        </w:rPr>
      </w:pPr>
    </w:p>
    <w:p>
      <w:pPr>
        <w:spacing w:after="0" w:line="385"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SIX MONTHS</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ENDED</w:t>
            </w:r>
          </w:p>
        </w:tc>
        <w:tc>
          <w:tcPr>
            <w:tcW w:w="10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YEAR</w:t>
            </w:r>
          </w:p>
        </w:tc>
        <w:tc>
          <w:tcPr>
            <w:tcW w:w="2060" w:type="dxa"/>
            <w:vAlign w:val="bottom"/>
            <w:gridSpan w:val="2"/>
            <w:vMerge w:val="restart"/>
          </w:tcPr>
          <w:p>
            <w:pPr>
              <w:jc w:val="right"/>
              <w:ind w:right="245"/>
              <w:spacing w:after="0"/>
              <w:rPr>
                <w:sz w:val="20"/>
                <w:szCs w:val="20"/>
                <w:color w:val="auto"/>
              </w:rPr>
            </w:pPr>
            <w:r>
              <w:rPr>
                <w:rFonts w:ascii="Courier New" w:cs="Courier New" w:eastAsia="Courier New" w:hAnsi="Courier New"/>
                <w:sz w:val="15"/>
                <w:szCs w:val="15"/>
                <w:color w:val="auto"/>
              </w:rPr>
              <w:t>ENDED SEPTEMBER 30,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MARCH 31,</w:t>
            </w:r>
          </w:p>
        </w:tc>
        <w:tc>
          <w:tcPr>
            <w:tcW w:w="10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5"/>
              </w:rPr>
              <w:t>-------------------</w:t>
            </w:r>
            <w:r>
              <w:rPr>
                <w:rFonts w:ascii="Courier New" w:cs="Courier New" w:eastAsia="Courier New" w:hAnsi="Courier New"/>
                <w:sz w:val="16"/>
                <w:szCs w:val="16"/>
                <w:color w:val="auto"/>
                <w:w w:val="75"/>
                <w:vertAlign w:val="subscript"/>
              </w:rPr>
              <w:t>1999</w:t>
            </w:r>
          </w:p>
        </w:tc>
        <w:tc>
          <w:tcPr>
            <w:tcW w:w="7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1998</w:t>
            </w:r>
          </w:p>
        </w:tc>
        <w:tc>
          <w:tcPr>
            <w:tcW w:w="51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08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3480" w:type="dxa"/>
            <w:vAlign w:val="bottom"/>
          </w:tcPr>
          <w:p>
            <w:pPr>
              <w:spacing w:after="0"/>
              <w:rPr>
                <w:sz w:val="21"/>
                <w:szCs w:val="21"/>
                <w:color w:val="auto"/>
              </w:rPr>
            </w:pPr>
          </w:p>
        </w:tc>
        <w:tc>
          <w:tcPr>
            <w:tcW w:w="18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(UNAUDITED)</w:t>
            </w:r>
          </w:p>
        </w:tc>
        <w:tc>
          <w:tcPr>
            <w:tcW w:w="196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(IN THOUSANDS, EXCEPT</w:t>
            </w:r>
          </w:p>
        </w:tc>
        <w:tc>
          <w:tcPr>
            <w:tcW w:w="2060" w:type="dxa"/>
            <w:vAlign w:val="bottom"/>
            <w:gridSpan w:val="2"/>
            <w:vMerge w:val="restart"/>
          </w:tcPr>
          <w:p>
            <w:pPr>
              <w:jc w:val="right"/>
              <w:ind w:right="605"/>
              <w:spacing w:after="0"/>
              <w:rPr>
                <w:sz w:val="20"/>
                <w:szCs w:val="20"/>
                <w:color w:val="auto"/>
              </w:rPr>
            </w:pPr>
            <w:r>
              <w:rPr>
                <w:rFonts w:ascii="Courier New" w:cs="Courier New" w:eastAsia="Courier New" w:hAnsi="Courier New"/>
                <w:sz w:val="15"/>
                <w:szCs w:val="15"/>
                <w:color w:val="auto"/>
              </w:rPr>
              <w:t>PER SHARE DATA)</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$279,255</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$180,566</w:t>
            </w:r>
          </w:p>
        </w:tc>
        <w:tc>
          <w:tcPr>
            <w:tcW w:w="10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$403,767</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$290,102</w:t>
            </w:r>
          </w:p>
        </w:tc>
        <w:tc>
          <w:tcPr>
            <w:tcW w:w="10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$211,720</w:t>
            </w:r>
          </w:p>
        </w:tc>
        <w:tc>
          <w:tcPr>
            <w:tcW w:w="9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$167,312</w:t>
            </w: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$121,310</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65,786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35,970</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84,895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26,969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35,490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15,377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22,047</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income(1).........................</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43,283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12,066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30,107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5,876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24,508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11,224</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16,068</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0.22</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0" w:type="dxa"/>
            <w:vAlign w:val="bottom"/>
          </w:tcPr>
          <w:p>
            <w:pPr>
              <w:spacing w:after="0"/>
              <w:rPr>
                <w:sz w:val="1"/>
                <w:szCs w:val="1"/>
                <w:color w:val="auto"/>
              </w:rPr>
            </w:pPr>
          </w:p>
        </w:tc>
      </w:tr>
      <w:tr>
        <w:trPr>
          <w:trHeight w:val="2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per share(2).......</w:t>
            </w:r>
          </w:p>
        </w:tc>
        <w:tc>
          <w:tcPr>
            <w:tcW w:w="10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500" w:type="dxa"/>
            <w:vAlign w:val="bottom"/>
          </w:tcPr>
          <w:p>
            <w:pPr>
              <w:spacing w:after="0"/>
              <w:rPr>
                <w:sz w:val="14"/>
                <w:szCs w:val="14"/>
                <w:color w:val="auto"/>
              </w:rPr>
            </w:pPr>
          </w:p>
        </w:tc>
        <w:tc>
          <w:tcPr>
            <w:tcW w:w="264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AT MARCH 31,</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0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w w:val="97"/>
              </w:rPr>
              <w:t>AT SEPTEMBER 30,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1780" w:type="dxa"/>
            <w:vAlign w:val="bottom"/>
            <w:vMerge w:val="restart"/>
          </w:tcPr>
          <w:p>
            <w:pPr>
              <w:ind w:left="80"/>
              <w:spacing w:after="0"/>
              <w:rPr>
                <w:sz w:val="20"/>
                <w:szCs w:val="20"/>
                <w:color w:val="auto"/>
              </w:rPr>
            </w:pPr>
            <w:r>
              <w:rPr>
                <w:rFonts w:ascii="Courier New" w:cs="Courier New" w:eastAsia="Courier New" w:hAnsi="Courier New"/>
                <w:sz w:val="9"/>
                <w:szCs w:val="9"/>
                <w:color w:val="auto"/>
                <w:w w:val="74"/>
              </w:rPr>
              <w:t>--------------------------------------</w:t>
            </w:r>
            <w:r>
              <w:rPr>
                <w:rFonts w:ascii="Courier New" w:cs="Courier New" w:eastAsia="Courier New" w:hAnsi="Courier New"/>
                <w:sz w:val="13"/>
                <w:szCs w:val="13"/>
                <w:color w:val="auto"/>
                <w:w w:val="74"/>
                <w:vertAlign w:val="subscript"/>
              </w:rPr>
              <w:t>1999</w:t>
            </w:r>
          </w:p>
        </w:tc>
        <w:tc>
          <w:tcPr>
            <w:tcW w:w="8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1999</w:t>
            </w:r>
          </w:p>
        </w:tc>
        <w:tc>
          <w:tcPr>
            <w:tcW w:w="10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50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1780" w:type="dxa"/>
            <w:vAlign w:val="bottom"/>
          </w:tcPr>
          <w:p>
            <w:pPr>
              <w:jc w:val="right"/>
              <w:ind w:right="729"/>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1780" w:type="dxa"/>
            <w:vAlign w:val="bottom"/>
          </w:tcPr>
          <w:p>
            <w:pPr>
              <w:ind w:left="80"/>
              <w:spacing w:after="0"/>
              <w:rPr>
                <w:sz w:val="20"/>
                <w:szCs w:val="20"/>
                <w:color w:val="auto"/>
              </w:rPr>
            </w:pPr>
            <w:r>
              <w:rPr>
                <w:rFonts w:ascii="Courier New" w:cs="Courier New" w:eastAsia="Courier New" w:hAnsi="Courier New"/>
                <w:sz w:val="15"/>
                <w:szCs w:val="15"/>
                <w:color w:val="auto"/>
              </w:rPr>
              <w:t>(AS ADJUSTED)(4)</w:t>
            </w:r>
          </w:p>
        </w:tc>
        <w:tc>
          <w:tcPr>
            <w:tcW w:w="86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1"/>
                <w:szCs w:val="21"/>
                <w:color w:val="auto"/>
              </w:rPr>
            </w:pPr>
          </w:p>
        </w:tc>
        <w:tc>
          <w:tcPr>
            <w:tcW w:w="264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(UNAUDITED)</w:t>
            </w:r>
          </w:p>
        </w:tc>
        <w:tc>
          <w:tcPr>
            <w:tcW w:w="1020" w:type="dxa"/>
            <w:vAlign w:val="bottom"/>
          </w:tcPr>
          <w:p>
            <w:pPr>
              <w:spacing w:after="0"/>
              <w:rPr>
                <w:sz w:val="21"/>
                <w:szCs w:val="21"/>
                <w:color w:val="auto"/>
              </w:rPr>
            </w:pPr>
          </w:p>
        </w:tc>
        <w:tc>
          <w:tcPr>
            <w:tcW w:w="1800" w:type="dxa"/>
            <w:vAlign w:val="bottom"/>
            <w:gridSpan w:val="2"/>
            <w:vMerge w:val="restart"/>
          </w:tcPr>
          <w:p>
            <w:pPr>
              <w:jc w:val="right"/>
              <w:ind w:right="385"/>
              <w:spacing w:after="0"/>
              <w:rPr>
                <w:sz w:val="20"/>
                <w:szCs w:val="20"/>
                <w:color w:val="auto"/>
              </w:rPr>
            </w:pPr>
            <w:r>
              <w:rPr>
                <w:rFonts w:ascii="Courier New" w:cs="Courier New" w:eastAsia="Courier New" w:hAnsi="Courier New"/>
                <w:sz w:val="15"/>
                <w:szCs w:val="15"/>
                <w:color w:val="auto"/>
              </w:rPr>
              <w:t>(IN THOUSANDS)</w:t>
            </w:r>
          </w:p>
        </w:tc>
        <w:tc>
          <w:tcPr>
            <w:tcW w:w="1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780" w:type="dxa"/>
            <w:vAlign w:val="bottom"/>
            <w:vMerge w:val="restart"/>
          </w:tcPr>
          <w:p>
            <w:pPr>
              <w:jc w:val="right"/>
              <w:ind w:right="549"/>
              <w:spacing w:after="0"/>
              <w:rPr>
                <w:sz w:val="20"/>
                <w:szCs w:val="20"/>
                <w:color w:val="auto"/>
              </w:rPr>
            </w:pPr>
            <w:r>
              <w:rPr>
                <w:rFonts w:ascii="Courier New" w:cs="Courier New" w:eastAsia="Courier New" w:hAnsi="Courier New"/>
                <w:sz w:val="15"/>
                <w:szCs w:val="15"/>
                <w:color w:val="auto"/>
              </w:rPr>
              <w:t>$321,285</w:t>
            </w:r>
          </w:p>
        </w:tc>
        <w:tc>
          <w:tcPr>
            <w:tcW w:w="860" w:type="dxa"/>
            <w:vAlign w:val="bottom"/>
            <w:vMerge w:val="restart"/>
          </w:tcPr>
          <w:p>
            <w:pPr>
              <w:spacing w:after="0"/>
              <w:rPr>
                <w:sz w:val="20"/>
                <w:szCs w:val="20"/>
                <w:color w:val="auto"/>
              </w:rPr>
            </w:pPr>
            <w:r>
              <w:rPr>
                <w:rFonts w:ascii="Courier New" w:cs="Courier New" w:eastAsia="Courier New" w:hAnsi="Courier New"/>
                <w:sz w:val="15"/>
                <w:szCs w:val="15"/>
                <w:color w:val="auto"/>
              </w:rPr>
              <w:t>$301,550</w:t>
            </w:r>
          </w:p>
        </w:tc>
        <w:tc>
          <w:tcPr>
            <w:tcW w:w="10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$223,882</w:t>
            </w: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$239,966</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$220,582</w:t>
            </w:r>
          </w:p>
        </w:tc>
        <w:tc>
          <w:tcPr>
            <w:tcW w:w="11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$104,531</w:t>
            </w:r>
          </w:p>
        </w:tc>
        <w:tc>
          <w:tcPr>
            <w:tcW w:w="9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$101,483</w:t>
            </w: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$ 77,106</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Total assets(4)............</w:t>
            </w:r>
          </w:p>
        </w:tc>
        <w:tc>
          <w:tcPr>
            <w:tcW w:w="1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Long-term obligations (net</w:t>
            </w:r>
          </w:p>
        </w:tc>
        <w:tc>
          <w:tcPr>
            <w:tcW w:w="1780" w:type="dxa"/>
            <w:vAlign w:val="bottom"/>
            <w:vMerge w:val="restart"/>
          </w:tcPr>
          <w:p>
            <w:pPr>
              <w:jc w:val="right"/>
              <w:ind w:right="549"/>
              <w:spacing w:after="0"/>
              <w:rPr>
                <w:sz w:val="20"/>
                <w:szCs w:val="20"/>
                <w:color w:val="auto"/>
              </w:rPr>
            </w:pPr>
            <w:r>
              <w:rPr>
                <w:rFonts w:ascii="Courier New" w:cs="Courier New" w:eastAsia="Courier New" w:hAnsi="Courier New"/>
                <w:sz w:val="15"/>
                <w:szCs w:val="15"/>
                <w:color w:val="auto"/>
              </w:rPr>
              <w:t>12,675</w:t>
            </w:r>
          </w:p>
        </w:tc>
        <w:tc>
          <w:tcPr>
            <w:tcW w:w="8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12,675</w:t>
            </w:r>
          </w:p>
        </w:tc>
        <w:tc>
          <w:tcPr>
            <w:tcW w:w="10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339,615</w:t>
            </w: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9,215</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7,370</w:t>
            </w:r>
          </w:p>
        </w:tc>
        <w:tc>
          <w:tcPr>
            <w:tcW w:w="11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1,663</w:t>
            </w:r>
          </w:p>
        </w:tc>
        <w:tc>
          <w:tcPr>
            <w:tcW w:w="9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of current portion)......</w:t>
            </w:r>
          </w:p>
        </w:tc>
        <w:tc>
          <w:tcPr>
            <w:tcW w:w="1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780" w:type="dxa"/>
            <w:vAlign w:val="bottom"/>
            <w:vMerge w:val="restart"/>
          </w:tcPr>
          <w:p>
            <w:pPr>
              <w:jc w:val="right"/>
              <w:ind w:right="549"/>
              <w:spacing w:after="0"/>
              <w:rPr>
                <w:sz w:val="20"/>
                <w:szCs w:val="20"/>
                <w:color w:val="auto"/>
              </w:rPr>
            </w:pPr>
            <w:r>
              <w:rPr>
                <w:rFonts w:ascii="Courier New" w:cs="Courier New" w:eastAsia="Courier New" w:hAnsi="Courier New"/>
                <w:sz w:val="15"/>
                <w:szCs w:val="15"/>
                <w:color w:val="auto"/>
              </w:rPr>
              <w:t>75,506</w:t>
            </w:r>
          </w:p>
        </w:tc>
        <w:tc>
          <w:tcPr>
            <w:tcW w:w="8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25,771</w:t>
            </w:r>
          </w:p>
        </w:tc>
        <w:tc>
          <w:tcPr>
            <w:tcW w:w="10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(273,917)</w:t>
            </w:r>
          </w:p>
        </w:tc>
        <w:tc>
          <w:tcPr>
            <w:tcW w:w="9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(21,889)</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94,253</w:t>
            </w:r>
          </w:p>
        </w:tc>
        <w:tc>
          <w:tcPr>
            <w:tcW w:w="11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15,988</w:t>
            </w:r>
          </w:p>
        </w:tc>
        <w:tc>
          <w:tcPr>
            <w:tcW w:w="9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29,429</w:t>
            </w:r>
          </w:p>
        </w:tc>
        <w:tc>
          <w:tcPr>
            <w:tcW w:w="11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21,872</w:t>
            </w:r>
          </w:p>
        </w:tc>
        <w:tc>
          <w:tcPr>
            <w:tcW w:w="0" w:type="dxa"/>
            <w:vAlign w:val="bottom"/>
          </w:tcPr>
          <w:p>
            <w:pPr>
              <w:spacing w:after="0"/>
              <w:rPr>
                <w:sz w:val="1"/>
                <w:szCs w:val="1"/>
                <w:color w:val="auto"/>
              </w:rPr>
            </w:pPr>
          </w:p>
        </w:tc>
      </w:tr>
      <w:tr>
        <w:trPr>
          <w:trHeight w:val="25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(deficit)(2)(3)(4).......</w:t>
            </w:r>
          </w:p>
        </w:tc>
        <w:tc>
          <w:tcPr>
            <w:tcW w:w="17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6" w:lineRule="exact"/>
        <w:rPr>
          <w:sz w:val="20"/>
          <w:szCs w:val="20"/>
          <w:color w:val="auto"/>
        </w:rPr>
      </w:pPr>
    </w:p>
    <w:p>
      <w:pPr>
        <w:ind w:left="348" w:right="4120" w:hanging="348"/>
        <w:spacing w:after="0" w:line="272" w:lineRule="auto"/>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1997, we recorded nonrecurring charges of $27,563. Of such amount, $25,763 is attributable to the funding of a contribution to a trust and the balance, $1,800, is due to the write-off of in-process technology related to certain software rights acquired from several operating subsidiaries of SBC Communications Inc.</w:t>
      </w:r>
    </w:p>
    <w:p>
      <w:pPr>
        <w:spacing w:after="0" w:line="200" w:lineRule="exact"/>
        <w:rPr>
          <w:rFonts w:ascii="Courier New" w:cs="Courier New" w:eastAsia="Courier New" w:hAnsi="Courier New"/>
          <w:sz w:val="15"/>
          <w:szCs w:val="15"/>
          <w:color w:val="auto"/>
        </w:rPr>
      </w:pPr>
    </w:p>
    <w:p>
      <w:pPr>
        <w:spacing w:after="0" w:line="213"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1998, we paid dividends totaling $478,684.</w:t>
      </w:r>
    </w:p>
    <w:p>
      <w:pPr>
        <w:sectPr>
          <w:pgSz w:w="11900" w:h="16838" w:orient="portrait"/>
          <w:cols w:equalWidth="0" w:num="1">
            <w:col w:w="11188"/>
          </w:cols>
          <w:pgMar w:left="232" w:top="263" w:right="479" w:bottom="704" w:gutter="0" w:footer="0" w:header="0"/>
        </w:sectPr>
      </w:pP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1188"/>
          </w:cols>
          <w:pgMar w:left="232" w:top="263" w:right="479" w:bottom="704" w:gutter="0" w:footer="0" w:header="0"/>
          <w:type w:val="continuous"/>
        </w:sectPr>
      </w:pPr>
    </w:p>
    <w:bookmarkStart w:id="24" w:name="page25"/>
    <w:bookmarkEnd w:id="24"/>
    <w:p>
      <w:pPr>
        <w:ind w:left="268"/>
        <w:spacing w:after="0"/>
        <w:rPr>
          <w:sz w:val="20"/>
          <w:szCs w:val="20"/>
          <w:color w:val="auto"/>
        </w:rPr>
      </w:pPr>
      <w:r>
        <w:rPr>
          <w:rFonts w:ascii="Courier New" w:cs="Courier New" w:eastAsia="Courier New" w:hAnsi="Courier New"/>
          <w:sz w:val="15"/>
          <w:szCs w:val="15"/>
          <w:color w:val="auto"/>
        </w:rPr>
        <w:t>21</w:t>
      </w:r>
    </w:p>
    <w:p>
      <w:pPr>
        <w:spacing w:after="0" w:line="346" w:lineRule="exact"/>
        <w:rPr>
          <w:sz w:val="20"/>
          <w:szCs w:val="20"/>
          <w:color w:val="auto"/>
        </w:rPr>
      </w:pPr>
    </w:p>
    <w:p>
      <w:pPr>
        <w:ind w:left="348" w:right="3339" w:hanging="348"/>
        <w:spacing w:after="0" w:line="359" w:lineRule="auto"/>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we completed our initial public offering of 18,000 ordinary shares. The net proceeds from the offering to us were $234,190.</w:t>
      </w:r>
    </w:p>
    <w:p>
      <w:pPr>
        <w:spacing w:after="0" w:line="351" w:lineRule="exact"/>
        <w:rPr>
          <w:rFonts w:ascii="Courier New" w:cs="Courier New" w:eastAsia="Courier New" w:hAnsi="Courier New"/>
          <w:sz w:val="15"/>
          <w:szCs w:val="15"/>
          <w:color w:val="auto"/>
        </w:rPr>
      </w:pPr>
    </w:p>
    <w:p>
      <w:pPr>
        <w:ind w:left="348" w:right="3079" w:hanging="348"/>
        <w:spacing w:after="0" w:line="262" w:lineRule="auto"/>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give effect to the sale of the 2,000 ordinary shares by us in the offering, at an assumed public offering price of $26.88 per share, after deducting the underwriting discount and estimated offering expenses. Adjustments assume that $30.0 million of the proceeds we receive in the offering are used to repay outstanding revolving loans under our bank credit facility, which we classify as short-term obligations. See "Use of Proceeds".</w:t>
      </w:r>
    </w:p>
    <w:p>
      <w:pPr>
        <w:spacing w:after="0" w:line="25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7"/>
          </w:cols>
          <w:pgMar w:left="232" w:top="26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ind w:right="3339" w:firstLine="447"/>
        <w:spacing w:after="0" w:line="301" w:lineRule="auto"/>
        <w:rPr>
          <w:sz w:val="20"/>
          <w:szCs w:val="20"/>
          <w:color w:val="auto"/>
        </w:rPr>
      </w:pPr>
      <w:r>
        <w:rPr>
          <w:rFonts w:ascii="Courier New" w:cs="Courier New" w:eastAsia="Courier New" w:hAnsi="Courier New"/>
          <w:sz w:val="15"/>
          <w:szCs w:val="15"/>
          <w:color w:val="auto"/>
        </w:rPr>
        <w:t>In Management's Discussion and Analysis we explain the general financial condition and the results of operations for Amdocs and its subsidiaries including:</w:t>
      </w:r>
    </w:p>
    <w:p>
      <w:pPr>
        <w:spacing w:after="0" w:line="49" w:lineRule="exact"/>
        <w:rPr>
          <w:sz w:val="20"/>
          <w:szCs w:val="20"/>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factors affect our business,</w:t>
      </w:r>
    </w:p>
    <w:p>
      <w:pPr>
        <w:spacing w:after="0" w:line="346" w:lineRule="exact"/>
        <w:rPr>
          <w:rFonts w:ascii="Courier New" w:cs="Courier New" w:eastAsia="Courier New" w:hAnsi="Courier New"/>
          <w:sz w:val="15"/>
          <w:szCs w:val="15"/>
          <w:color w:val="auto"/>
        </w:rPr>
      </w:pPr>
    </w:p>
    <w:p>
      <w:pPr>
        <w:ind w:left="620" w:right="3339" w:hanging="181"/>
        <w:spacing w:after="0" w:line="359"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revenue and costs were in the first six months of fiscal 1999 and 1998 and fiscal 1998, 1997 and 1996,</w:t>
      </w:r>
    </w:p>
    <w:p>
      <w:pPr>
        <w:spacing w:after="0" w:line="179"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those revenue and costs were different from period to period,</w:t>
      </w:r>
    </w:p>
    <w:p>
      <w:pPr>
        <w:spacing w:after="0" w:line="346"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346"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346" w:lineRule="exact"/>
        <w:rPr>
          <w:rFonts w:ascii="Courier New" w:cs="Courier New" w:eastAsia="Courier New" w:hAnsi="Courier New"/>
          <w:sz w:val="15"/>
          <w:szCs w:val="15"/>
          <w:color w:val="auto"/>
        </w:rPr>
      </w:pPr>
    </w:p>
    <w:p>
      <w:pPr>
        <w:ind w:left="620" w:right="3439" w:hanging="181"/>
        <w:spacing w:after="0" w:line="359"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expenditures were in the first six months of fiscal 1999 and 1998 and fiscal 1998, 1997 and 1996, and</w:t>
      </w:r>
    </w:p>
    <w:p>
      <w:pPr>
        <w:spacing w:after="0" w:line="351"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As you read Management's Discussion and Analysis, it may be helpful to refer to Amdocs' financial statements. In Management's Discussion and Analysis, we analyze and explain the six month to six month and annual changes in the specific line items in the consolidated statements of operations. Our analysis may be important to you in making decisions about your investment in Amdocs. Our analysis contains certain forward looking statements that involve risk and uncertainties. Our actual results could differ materially from the results reflected in these forward looking statements as they are subject to a variety of risk factors. See "Risk Factors" for more information. We disclaim any obligation to update our forward looking statements.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We are a leading provider of customized software products and services to the telecommunications industry, primarily customer care and billing systems, or CC&amp;B Systems, for wireline, wireless and multiple-service or convergent network operators and service providers. We also supply directory sales and publishing systems, or Directory Systems, to publishers of both traditional printed yellow page and white page directories and Internet directories. Our products are mission-critical for a customer's operations. Due to the complexity of the process and the expertise required for system support, we also provide extensive customization, implementation, integration, ongoing support, system enhancement, maintenance and outsourcing services.</w:t>
      </w:r>
    </w:p>
    <w:p>
      <w:pPr>
        <w:spacing w:after="0" w:line="200" w:lineRule="exact"/>
        <w:rPr>
          <w:sz w:val="20"/>
          <w:szCs w:val="20"/>
          <w:color w:val="auto"/>
        </w:rPr>
      </w:pPr>
    </w:p>
    <w:p>
      <w:pPr>
        <w:spacing w:after="0" w:line="23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200" w:lineRule="exact"/>
        <w:rPr>
          <w:sz w:val="20"/>
          <w:szCs w:val="20"/>
          <w:color w:val="auto"/>
        </w:rPr>
      </w:pPr>
    </w:p>
    <w:p>
      <w:pPr>
        <w:spacing w:after="0" w:line="318" w:lineRule="exact"/>
        <w:rPr>
          <w:sz w:val="20"/>
          <w:szCs w:val="20"/>
          <w:color w:val="auto"/>
        </w:rPr>
      </w:pPr>
    </w:p>
    <w:p>
      <w:pPr>
        <w:ind w:left="620" w:right="3159" w:hanging="181"/>
        <w:spacing w:after="0" w:line="401" w:lineRule="auto"/>
        <w:tabs>
          <w:tab w:leader="none" w:pos="6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 of our products and related services, including license fees and customization, implementation and integration services; and</w:t>
      </w:r>
    </w:p>
    <w:p>
      <w:pPr>
        <w:spacing w:after="0" w:line="330" w:lineRule="exact"/>
        <w:rPr>
          <w:rFonts w:ascii="Courier New" w:cs="Courier New" w:eastAsia="Courier New" w:hAnsi="Courier New"/>
          <w:sz w:val="14"/>
          <w:szCs w:val="14"/>
          <w:color w:val="auto"/>
        </w:rPr>
      </w:pPr>
    </w:p>
    <w:p>
      <w:pPr>
        <w:ind w:left="620" w:right="3159" w:hanging="181"/>
        <w:spacing w:after="0" w:line="281"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maintenance, support, outsourcing and related services provided to our customers and, to a lesser degree, from incremental license fees resulting from increases in a customer's subscribers.</w:t>
      </w:r>
    </w:p>
    <w:p>
      <w:pPr>
        <w:spacing w:after="0" w:line="200" w:lineRule="exact"/>
        <w:rPr>
          <w:sz w:val="20"/>
          <w:szCs w:val="20"/>
          <w:color w:val="auto"/>
        </w:rPr>
      </w:pPr>
    </w:p>
    <w:p>
      <w:pPr>
        <w:spacing w:after="0" w:line="208" w:lineRule="exact"/>
        <w:rPr>
          <w:sz w:val="20"/>
          <w:szCs w:val="20"/>
          <w:color w:val="auto"/>
        </w:rPr>
      </w:pPr>
    </w:p>
    <w:p>
      <w:pPr>
        <w:ind w:right="3159" w:firstLine="447"/>
        <w:spacing w:after="0" w:line="259" w:lineRule="auto"/>
        <w:rPr>
          <w:sz w:val="20"/>
          <w:szCs w:val="20"/>
          <w:color w:val="auto"/>
        </w:rPr>
      </w:pPr>
      <w:r>
        <w:rPr>
          <w:rFonts w:ascii="Courier New" w:cs="Courier New" w:eastAsia="Courier New" w:hAnsi="Courier New"/>
          <w:sz w:val="15"/>
          <w:szCs w:val="15"/>
          <w:color w:val="auto"/>
        </w:rPr>
        <w:t>License revenue is recognized concurrently as work is performed, using percentage of completion accounting. Service revenue that involves significant ongoing obligations, including fees for customization, implementation and support services, is also recognized as work is performed, under the percentage of completion method. Revenue from ongoing support and outsourcing services is recognized as work is performed. Revenue from third party hardware and software sales is recognized upon delivery. Maintenance revenue is recognized ratably over the</w:t>
      </w:r>
    </w:p>
    <w:p>
      <w:pPr>
        <w:sectPr>
          <w:pgSz w:w="11900" w:h="16838" w:orient="portrait"/>
          <w:cols w:equalWidth="0" w:num="1">
            <w:col w:w="10219"/>
          </w:cols>
          <w:pgMar w:left="240" w:top="263" w:right="1440" w:bottom="188" w:gutter="0" w:footer="0" w:header="0"/>
        </w:sectPr>
      </w:pPr>
    </w:p>
    <w:p>
      <w:pPr>
        <w:spacing w:after="0" w:line="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63" w:right="1440" w:bottom="188"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23</w:t>
      </w:r>
    </w:p>
    <w:p>
      <w:pPr>
        <w:spacing w:after="0" w:line="346" w:lineRule="exact"/>
        <w:rPr>
          <w:sz w:val="20"/>
          <w:szCs w:val="20"/>
          <w:color w:val="auto"/>
        </w:rPr>
      </w:pPr>
    </w:p>
    <w:p>
      <w:pPr>
        <w:ind w:right="3259"/>
        <w:spacing w:after="0" w:line="281" w:lineRule="auto"/>
        <w:rPr>
          <w:sz w:val="20"/>
          <w:szCs w:val="20"/>
          <w:color w:val="auto"/>
        </w:rPr>
      </w:pPr>
      <w:r>
        <w:rPr>
          <w:rFonts w:ascii="Courier New" w:cs="Courier New" w:eastAsia="Courier New" w:hAnsi="Courier New"/>
          <w:sz w:val="15"/>
          <w:szCs w:val="15"/>
          <w:color w:val="auto"/>
        </w:rPr>
        <w:t>term of the maintenance agreement. As a result of our percentage of completion accounting policies, our annual and quarterly operating results may be significantly affected by the size and timing of customer projects and our progress in completing such projects.</w:t>
      </w:r>
    </w:p>
    <w:p>
      <w:pPr>
        <w:spacing w:after="0" w:line="200" w:lineRule="exact"/>
        <w:rPr>
          <w:sz w:val="20"/>
          <w:szCs w:val="20"/>
          <w:color w:val="auto"/>
        </w:rPr>
      </w:pPr>
    </w:p>
    <w:p>
      <w:pPr>
        <w:spacing w:after="0" w:line="208"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Since 1992, we have invested substantial resources to develop our information technology and to expand our range of products. As a result of significant information technology expenditures, we were able to offer a full range of integrated applications for our CC&amp;B Systems; at the same time factors such as increased demand for services, deregulation, privatization and technological advancements began to transform the telecommunications industry.</w:t>
      </w:r>
    </w:p>
    <w:p>
      <w:pPr>
        <w:spacing w:after="0" w:line="200" w:lineRule="exact"/>
        <w:rPr>
          <w:sz w:val="20"/>
          <w:szCs w:val="20"/>
          <w:color w:val="auto"/>
        </w:rPr>
      </w:pPr>
    </w:p>
    <w:p>
      <w:pPr>
        <w:spacing w:after="0" w:line="218" w:lineRule="exact"/>
        <w:rPr>
          <w:sz w:val="20"/>
          <w:szCs w:val="20"/>
          <w:color w:val="auto"/>
        </w:rPr>
      </w:pPr>
    </w:p>
    <w:p>
      <w:pPr>
        <w:ind w:left="620" w:right="3079" w:hanging="181"/>
        <w:spacing w:after="0" w:line="301"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fees from the sale of CC&amp;B Systems amounted to $199.6 million for the six months ended March 31, 1999, representing 71.5% of our revenue for such period.</w:t>
      </w:r>
    </w:p>
    <w:p>
      <w:pPr>
        <w:spacing w:after="0" w:line="393" w:lineRule="exact"/>
        <w:rPr>
          <w:sz w:val="20"/>
          <w:szCs w:val="20"/>
          <w:color w:val="auto"/>
        </w:rPr>
      </w:pPr>
    </w:p>
    <w:p>
      <w:pPr>
        <w:jc w:val="both"/>
        <w:ind w:right="3339" w:firstLine="447"/>
        <w:spacing w:after="0" w:line="331" w:lineRule="auto"/>
        <w:rPr>
          <w:sz w:val="20"/>
          <w:szCs w:val="20"/>
          <w:color w:val="auto"/>
        </w:rPr>
      </w:pPr>
      <w:r>
        <w:rPr>
          <w:rFonts w:ascii="Courier New" w:cs="Courier New" w:eastAsia="Courier New" w:hAnsi="Courier New"/>
          <w:sz w:val="14"/>
          <w:szCs w:val="14"/>
          <w:color w:val="auto"/>
        </w:rPr>
        <w:t>We believe that the demand for CC&amp;B Systems will continue to increase as the size and complexity of the telecommunications industry increases and that CC&amp;B Systems will account for a larger share of our total revenue over time.</w:t>
      </w:r>
    </w:p>
    <w:p>
      <w:pPr>
        <w:spacing w:after="0" w:line="376"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Although the business of publishing traditional yellow page and white page directories is a mature business in the United States, it continues to be a significant source of revenue for us worldwide. We believe that we are a leading provider of Directory Systems in most of the markets we serve.</w:t>
      </w:r>
    </w:p>
    <w:p>
      <w:pPr>
        <w:spacing w:after="0" w:line="200" w:lineRule="exact"/>
        <w:rPr>
          <w:sz w:val="20"/>
          <w:szCs w:val="20"/>
          <w:color w:val="auto"/>
        </w:rPr>
      </w:pPr>
    </w:p>
    <w:p>
      <w:pPr>
        <w:spacing w:after="0" w:line="208" w:lineRule="exact"/>
        <w:rPr>
          <w:sz w:val="20"/>
          <w:szCs w:val="20"/>
          <w:color w:val="auto"/>
        </w:rPr>
      </w:pPr>
    </w:p>
    <w:p>
      <w:pPr>
        <w:ind w:left="620" w:right="3159" w:hanging="181"/>
        <w:spacing w:after="0" w:line="301"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 revenue from the sale of Directory Systems totaled $79.7 million for the six months ended March 31, 1999 accounting for 28.5% of our revenue for such period.</w:t>
      </w:r>
    </w:p>
    <w:p>
      <w:pPr>
        <w:spacing w:after="0" w:line="393" w:lineRule="exact"/>
        <w:rPr>
          <w:sz w:val="20"/>
          <w:szCs w:val="20"/>
          <w:color w:val="auto"/>
        </w:rPr>
      </w:pPr>
    </w:p>
    <w:p>
      <w:pPr>
        <w:ind w:right="3079" w:firstLine="447"/>
        <w:spacing w:after="0" w:line="283" w:lineRule="auto"/>
        <w:rPr>
          <w:sz w:val="20"/>
          <w:szCs w:val="20"/>
          <w:color w:val="auto"/>
        </w:rPr>
      </w:pPr>
      <w:r>
        <w:rPr>
          <w:rFonts w:ascii="Courier New" w:cs="Courier New" w:eastAsia="Courier New" w:hAnsi="Courier New"/>
          <w:sz w:val="14"/>
          <w:szCs w:val="14"/>
          <w:color w:val="auto"/>
        </w:rPr>
        <w:t>We believe that the demand for Directory Systems will be favorably impacted by a broader introduction of electronic directories. However, we anticipate that the relative contribution of license and service fees for Directory Systems to total revenue will decrease over time. We have also recently introduced a number of new products for Internet and electronic commerce applications. We anticipate that over the next several years products developed or to be developed for such applications will make a modest but increasing contribution to revenue.</w:t>
      </w:r>
    </w:p>
    <w:p>
      <w:pPr>
        <w:spacing w:after="0" w:line="200" w:lineRule="exact"/>
        <w:rPr>
          <w:sz w:val="20"/>
          <w:szCs w:val="20"/>
          <w:color w:val="auto"/>
        </w:rPr>
      </w:pPr>
    </w:p>
    <w:p>
      <w:pPr>
        <w:spacing w:after="0" w:line="211" w:lineRule="exact"/>
        <w:rPr>
          <w:sz w:val="20"/>
          <w:szCs w:val="20"/>
          <w:color w:val="auto"/>
        </w:rPr>
      </w:pPr>
    </w:p>
    <w:p>
      <w:pPr>
        <w:ind w:right="3079" w:firstLine="447"/>
        <w:spacing w:after="0" w:line="283" w:lineRule="auto"/>
        <w:rPr>
          <w:sz w:val="20"/>
          <w:szCs w:val="20"/>
          <w:color w:val="auto"/>
        </w:rPr>
      </w:pPr>
      <w:r>
        <w:rPr>
          <w:rFonts w:ascii="Courier New" w:cs="Courier New" w:eastAsia="Courier New" w:hAnsi="Courier New"/>
          <w:sz w:val="14"/>
          <w:szCs w:val="14"/>
          <w:color w:val="auto"/>
        </w:rPr>
        <w:t>Our research and development activities involve the development of new software modules and product offerings in response to an identified market demand, usually in conjunction with a customer project. We also expend additional amounts on applied research and software development activities to keep abreast of new technologies in the telecommunications market. In the next several years, we intend to continue to make significant investments in our research and development activities both for CC&amp;B Systems and Directory Systems.</w:t>
      </w:r>
    </w:p>
    <w:p>
      <w:pPr>
        <w:spacing w:after="0" w:line="23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6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24</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200" w:lineRule="exact"/>
        <w:rPr>
          <w:sz w:val="20"/>
          <w:szCs w:val="20"/>
          <w:color w:val="auto"/>
        </w:rPr>
      </w:pPr>
    </w:p>
    <w:p>
      <w:pPr>
        <w:spacing w:after="0" w:line="318" w:lineRule="exact"/>
        <w:rPr>
          <w:sz w:val="20"/>
          <w:szCs w:val="20"/>
          <w:color w:val="auto"/>
        </w:rPr>
      </w:pPr>
    </w:p>
    <w:p>
      <w:pPr>
        <w:jc w:val="both"/>
        <w:ind w:right="3079" w:firstLine="447"/>
        <w:spacing w:after="0" w:line="281" w:lineRule="auto"/>
        <w:rPr>
          <w:sz w:val="20"/>
          <w:szCs w:val="20"/>
          <w:color w:val="auto"/>
        </w:rPr>
      </w:pPr>
      <w:r>
        <w:rPr>
          <w:rFonts w:ascii="Courier New" w:cs="Courier New" w:eastAsia="Courier New" w:hAnsi="Courier New"/>
          <w:sz w:val="15"/>
          <w:szCs w:val="15"/>
          <w:color w:val="auto"/>
        </w:rPr>
        <w:t>The following table sets forth, for the six months ended March 31, 1999 and 1998 and for the years ended September 30, 1998, 1997 and 1996, certain items in our consolidated statements of operations reflected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8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SIX MONTHS</w:t>
            </w:r>
          </w:p>
        </w:tc>
        <w:tc>
          <w:tcPr>
            <w:tcW w:w="680" w:type="dxa"/>
            <w:vAlign w:val="bottom"/>
          </w:tcPr>
          <w:p>
            <w:pPr>
              <w:spacing w:after="0"/>
              <w:rPr>
                <w:sz w:val="14"/>
                <w:szCs w:val="14"/>
                <w:color w:val="auto"/>
              </w:rPr>
            </w:pPr>
          </w:p>
        </w:tc>
        <w:tc>
          <w:tcPr>
            <w:tcW w:w="10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5"/>
              </w:rPr>
              <w:t>YEAR ENDED</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MARCH 31,</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Courier New" w:cs="Courier New" w:eastAsia="Courier New" w:hAnsi="Courier New"/>
                <w:sz w:val="16"/>
                <w:szCs w:val="16"/>
                <w:color w:val="auto"/>
                <w:w w:val="71"/>
                <w:vertAlign w:val="subscript"/>
              </w:rPr>
              <w:t>1999</w:t>
            </w:r>
            <w:r>
              <w:rPr>
                <w:rFonts w:ascii="Courier New" w:cs="Courier New" w:eastAsia="Courier New" w:hAnsi="Courier New"/>
                <w:sz w:val="10"/>
                <w:szCs w:val="10"/>
                <w:color w:val="auto"/>
                <w:w w:val="71"/>
              </w:rPr>
              <w:t>--------------</w:t>
            </w:r>
          </w:p>
        </w:tc>
        <w:tc>
          <w:tcPr>
            <w:tcW w:w="68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94"/>
              </w:rPr>
              <w:t>1998</w:t>
            </w:r>
          </w:p>
        </w:tc>
        <w:tc>
          <w:tcPr>
            <w:tcW w:w="2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c>
          <w:tcPr>
            <w:tcW w:w="0" w:type="dxa"/>
            <w:vAlign w:val="bottom"/>
          </w:tcPr>
          <w:p>
            <w:pPr>
              <w:spacing w:after="0"/>
              <w:rPr>
                <w:sz w:val="1"/>
                <w:szCs w:val="1"/>
                <w:color w:val="auto"/>
              </w:rPr>
            </w:pPr>
          </w:p>
        </w:tc>
      </w:tr>
      <w:tr>
        <w:trPr>
          <w:trHeight w:val="252"/>
        </w:trPr>
        <w:tc>
          <w:tcPr>
            <w:tcW w:w="43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64"/>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11.6%</w:t>
            </w:r>
          </w:p>
        </w:tc>
        <w:tc>
          <w:tcPr>
            <w:tcW w:w="6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10.2%</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10.6%</w:t>
            </w:r>
          </w:p>
        </w:tc>
        <w:tc>
          <w:tcPr>
            <w:tcW w:w="1060" w:type="dxa"/>
            <w:vAlign w:val="bottom"/>
            <w:vMerge w:val="restart"/>
          </w:tcPr>
          <w:p>
            <w:pPr>
              <w:jc w:val="right"/>
              <w:ind w:right="185"/>
              <w:spacing w:after="0"/>
              <w:rPr>
                <w:sz w:val="20"/>
                <w:szCs w:val="20"/>
                <w:color w:val="auto"/>
              </w:rPr>
            </w:pPr>
            <w:r>
              <w:rPr>
                <w:rFonts w:ascii="Courier New" w:cs="Courier New" w:eastAsia="Courier New" w:hAnsi="Courier New"/>
                <w:sz w:val="15"/>
                <w:szCs w:val="15"/>
                <w:color w:val="auto"/>
              </w:rPr>
              <w:t>9.0%</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7.7%</w:t>
            </w: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License.......................................</w:t>
            </w:r>
          </w:p>
        </w:tc>
        <w:tc>
          <w:tcPr>
            <w:tcW w:w="8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88.4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89.8</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89.4</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92.3</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2"/>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100.0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100.0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100.0</w:t>
            </w:r>
          </w:p>
        </w:tc>
        <w:tc>
          <w:tcPr>
            <w:tcW w:w="0" w:type="dxa"/>
            <w:vAlign w:val="bottom"/>
          </w:tcPr>
          <w:p>
            <w:pPr>
              <w:spacing w:after="0"/>
              <w:rPr>
                <w:sz w:val="1"/>
                <w:szCs w:val="1"/>
                <w:color w:val="auto"/>
              </w:rPr>
            </w:pPr>
          </w:p>
        </w:tc>
      </w:tr>
      <w:tr>
        <w:trPr>
          <w:trHeight w:val="92"/>
        </w:trPr>
        <w:tc>
          <w:tcPr>
            <w:tcW w:w="4380" w:type="dxa"/>
            <w:vAlign w:val="bottom"/>
            <w:vMerge w:val="continue"/>
          </w:tcPr>
          <w:p>
            <w:pPr>
              <w:spacing w:after="0"/>
              <w:rPr>
                <w:sz w:val="7"/>
                <w:szCs w:val="7"/>
                <w:color w:val="auto"/>
              </w:rPr>
            </w:pPr>
          </w:p>
        </w:tc>
        <w:tc>
          <w:tcPr>
            <w:tcW w:w="88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1.0</w:t>
            </w:r>
          </w:p>
        </w:tc>
        <w:tc>
          <w:tcPr>
            <w:tcW w:w="6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3.2</w:t>
            </w:r>
          </w:p>
        </w:tc>
        <w:tc>
          <w:tcPr>
            <w:tcW w:w="6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2.7</w:t>
            </w:r>
          </w:p>
        </w:tc>
        <w:tc>
          <w:tcPr>
            <w:tcW w:w="106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1.3</w:t>
            </w:r>
          </w:p>
        </w:tc>
        <w:tc>
          <w:tcPr>
            <w:tcW w:w="5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license...............................</w:t>
            </w:r>
          </w:p>
        </w:tc>
        <w:tc>
          <w:tcPr>
            <w:tcW w:w="8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service...............................</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57.4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61.0</w:t>
            </w: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6.3</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w:t>
            </w: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 charges..........................</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76.5</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80.1</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90.7</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83.2</w:t>
            </w:r>
          </w:p>
        </w:tc>
        <w:tc>
          <w:tcPr>
            <w:tcW w:w="0" w:type="dxa"/>
            <w:vAlign w:val="bottom"/>
          </w:tcPr>
          <w:p>
            <w:pPr>
              <w:spacing w:after="0"/>
              <w:rPr>
                <w:sz w:val="1"/>
                <w:szCs w:val="1"/>
                <w:color w:val="auto"/>
              </w:rPr>
            </w:pPr>
          </w:p>
        </w:tc>
      </w:tr>
      <w:tr>
        <w:trPr>
          <w:trHeight w:val="172"/>
        </w:trPr>
        <w:tc>
          <w:tcPr>
            <w:tcW w:w="43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2"/>
        </w:trPr>
        <w:tc>
          <w:tcPr>
            <w:tcW w:w="4380" w:type="dxa"/>
            <w:vAlign w:val="bottom"/>
            <w:vMerge w:val="continue"/>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23.5</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16.8</w:t>
            </w: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expense, net..............................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172"/>
        </w:trPr>
        <w:tc>
          <w:tcPr>
            <w:tcW w:w="43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2"/>
        </w:trPr>
        <w:tc>
          <w:tcPr>
            <w:tcW w:w="4380" w:type="dxa"/>
            <w:vAlign w:val="bottom"/>
            <w:vMerge w:val="continue"/>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22.1</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13.4</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w:t>
            </w: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taxes....................................</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252"/>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92"/>
        </w:trPr>
        <w:tc>
          <w:tcPr>
            <w:tcW w:w="4380" w:type="dxa"/>
            <w:vAlign w:val="bottom"/>
            <w:vMerge w:val="continue"/>
          </w:tcPr>
          <w:p>
            <w:pPr>
              <w:spacing w:after="0"/>
              <w:rPr>
                <w:sz w:val="7"/>
                <w:szCs w:val="7"/>
                <w:color w:val="auto"/>
              </w:rPr>
            </w:pPr>
          </w:p>
        </w:tc>
        <w:tc>
          <w:tcPr>
            <w:tcW w:w="88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principle, net................................</w:t>
            </w:r>
          </w:p>
        </w:tc>
        <w:tc>
          <w:tcPr>
            <w:tcW w:w="8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c>
          <w:tcPr>
            <w:tcW w:w="0" w:type="dxa"/>
            <w:vAlign w:val="bottom"/>
          </w:tcPr>
          <w:p>
            <w:pPr>
              <w:spacing w:after="0"/>
              <w:rPr>
                <w:sz w:val="1"/>
                <w:szCs w:val="1"/>
                <w:color w:val="auto"/>
              </w:rPr>
            </w:pPr>
          </w:p>
        </w:tc>
      </w:tr>
      <w:tr>
        <w:trPr>
          <w:trHeight w:val="252"/>
        </w:trPr>
        <w:tc>
          <w:tcPr>
            <w:tcW w:w="4380" w:type="dxa"/>
            <w:vAlign w:val="bottom"/>
          </w:tcPr>
          <w:p>
            <w:pPr>
              <w:spacing w:after="0"/>
              <w:rPr>
                <w:sz w:val="21"/>
                <w:szCs w:val="21"/>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0.1%</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MARCH 31, 1999 AND 1998</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52" w:lineRule="auto"/>
        <w:rPr>
          <w:sz w:val="20"/>
          <w:szCs w:val="20"/>
          <w:color w:val="auto"/>
        </w:rPr>
      </w:pPr>
      <w:r>
        <w:rPr>
          <w:rFonts w:ascii="Courier New" w:cs="Courier New" w:eastAsia="Courier New" w:hAnsi="Courier New"/>
          <w:sz w:val="15"/>
          <w:szCs w:val="15"/>
          <w:color w:val="auto"/>
        </w:rPr>
        <w:t>REVENUE. Revenue for the six months ended March 31, 1999 was $279.3 million, an increase of $98.7 million, or 54.7%, compared to the six months ended March 31, 1998, primarily due to additional CC&amp;B Systems sales to European customers. License revenue increased from $18.4 million in the first six months of fiscal 1998 to $32.3 million in the first six months of fiscal 1999, an increase of 75.5%, and service revenue increased 52.3% by $84.8 million in the first six months of fiscal 1999, from $162.1 million in the first six months of fiscal 1998 to $246.9 million in the first six months of fiscal 1999. Total CC&amp;B Systems revenue for the six months ended March 31, 1999 was $199.6 million, an increase of $98.6 million, or 97.6%, compared to the prior year's first six months. Revenue attributable to Directory Systems was $79.7 million for the six months ended March 31, 1999, an increase of $0.1 million, or 0.1%, from the first six months of fiscal 1998.</w:t>
      </w:r>
    </w:p>
    <w:p>
      <w:pPr>
        <w:spacing w:after="0" w:line="200" w:lineRule="exact"/>
        <w:rPr>
          <w:sz w:val="20"/>
          <w:szCs w:val="20"/>
          <w:color w:val="auto"/>
        </w:rPr>
      </w:pPr>
    </w:p>
    <w:p>
      <w:pPr>
        <w:spacing w:after="0" w:line="233" w:lineRule="exact"/>
        <w:rPr>
          <w:sz w:val="20"/>
          <w:szCs w:val="20"/>
          <w:color w:val="auto"/>
        </w:rPr>
      </w:pPr>
    </w:p>
    <w:p>
      <w:pPr>
        <w:ind w:right="3439" w:firstLine="447"/>
        <w:spacing w:after="0" w:line="281" w:lineRule="auto"/>
        <w:rPr>
          <w:sz w:val="20"/>
          <w:szCs w:val="20"/>
          <w:color w:val="auto"/>
        </w:rPr>
      </w:pPr>
      <w:r>
        <w:rPr>
          <w:rFonts w:ascii="Courier New" w:cs="Courier New" w:eastAsia="Courier New" w:hAnsi="Courier New"/>
          <w:sz w:val="15"/>
          <w:szCs w:val="15"/>
          <w:color w:val="auto"/>
        </w:rPr>
        <w:t>In the six months ended March 31, 1999, revenue from customers in North America, Europe and the rest of the world accounted for 44%, 36% and 20%, respectively, compared to 58%, 20%, and 22% respectively, in the six months ended March 31, 1998.</w:t>
      </w:r>
    </w:p>
    <w:p>
      <w:pPr>
        <w:spacing w:after="0" w:line="200" w:lineRule="exact"/>
        <w:rPr>
          <w:sz w:val="20"/>
          <w:szCs w:val="20"/>
          <w:color w:val="auto"/>
        </w:rPr>
      </w:pPr>
    </w:p>
    <w:p>
      <w:pPr>
        <w:spacing w:after="0" w:line="208"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COST OF LICENSE. Cost of license for the six months ended March 31, 1999 was $2.7 million, a decrease of $3.2 million, or 54.1%, from cost of license for the six months ended March 31, 1998. Cost of license includes amortization of purchased computer software and intellectual property rights.</w:t>
      </w:r>
    </w:p>
    <w:p>
      <w:pPr>
        <w:sectPr>
          <w:pgSz w:w="11900" w:h="16838" w:orient="portrait"/>
          <w:cols w:equalWidth="0" w:num="1">
            <w:col w:w="10219"/>
          </w:cols>
          <w:pgMar w:left="240" w:top="263" w:right="1440" w:bottom="532" w:gutter="0" w:footer="0" w:header="0"/>
        </w:sectPr>
      </w:pPr>
    </w:p>
    <w:p>
      <w:pPr>
        <w:spacing w:after="0" w:line="23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63" w:right="1440" w:bottom="532"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25</w:t>
      </w:r>
    </w:p>
    <w:p>
      <w:pPr>
        <w:spacing w:after="0" w:line="346"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COST OF SERVICE. Cost of service for the first six months of fiscal 1999 was $160.2 million, an increase of $55.4 million, or 52.9%, compared to the cost of service of $104.8 million for the first six months of fiscal 1998. As a percentage of revenue, cost of service decreased to 57.4% in the six months ended March 31, 1999 from 58.0% in the first six months of fiscal 1998. The absolute increase in cost of service is consistent with the increase in revenue for the first six months of fiscal 1999, as these costs are predominately compensation related and reflect increased employment levels required to support the growth in revenue.</w:t>
      </w:r>
    </w:p>
    <w:p>
      <w:pPr>
        <w:spacing w:after="0" w:line="200" w:lineRule="exact"/>
        <w:rPr>
          <w:sz w:val="20"/>
          <w:szCs w:val="20"/>
          <w:color w:val="auto"/>
        </w:rPr>
      </w:pPr>
    </w:p>
    <w:p>
      <w:pPr>
        <w:spacing w:after="0" w:line="227" w:lineRule="exact"/>
        <w:rPr>
          <w:sz w:val="20"/>
          <w:szCs w:val="20"/>
          <w:color w:val="auto"/>
        </w:rPr>
      </w:pPr>
    </w:p>
    <w:p>
      <w:pPr>
        <w:ind w:right="3339" w:firstLine="447"/>
        <w:spacing w:after="0" w:line="283" w:lineRule="auto"/>
        <w:rPr>
          <w:sz w:val="20"/>
          <w:szCs w:val="20"/>
          <w:color w:val="auto"/>
        </w:rPr>
      </w:pPr>
      <w:r>
        <w:rPr>
          <w:rFonts w:ascii="Courier New" w:cs="Courier New" w:eastAsia="Courier New" w:hAnsi="Courier New"/>
          <w:sz w:val="14"/>
          <w:szCs w:val="14"/>
          <w:color w:val="auto"/>
        </w:rPr>
        <w:t>RESEARCH AND DEVELOPMENT. Research and development expense is primarily comprised of compensation expense attributed to research and development activities, usually in conjunction with customer contracts. In the six months ended March 31, 1999, research and development expense was $17.5 million, or 6.3% of revenue, compared with $11.0 million, or 6.1% of revenue, in the six months ended March 31, 1998. The increase in research and development expense represents ongoing expenditures for both CC&amp;B Systems and Directory Systems.</w:t>
      </w:r>
    </w:p>
    <w:p>
      <w:pPr>
        <w:spacing w:after="0" w:line="200" w:lineRule="exact"/>
        <w:rPr>
          <w:sz w:val="20"/>
          <w:szCs w:val="20"/>
          <w:color w:val="auto"/>
        </w:rPr>
      </w:pPr>
    </w:p>
    <w:p>
      <w:pPr>
        <w:spacing w:after="0" w:line="211" w:lineRule="exact"/>
        <w:rPr>
          <w:sz w:val="20"/>
          <w:szCs w:val="20"/>
          <w:color w:val="auto"/>
        </w:rPr>
      </w:pPr>
    </w:p>
    <w:p>
      <w:pPr>
        <w:ind w:right="3079" w:firstLine="447"/>
        <w:spacing w:after="0" w:line="307"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and increased by 43.6% to $33.1 million, or 11.8% of revenue, in the six months ended March 31, 1999 from $23.0 million, or 12.8% of revenue, in the corresponding period of fiscal 1998.</w:t>
      </w:r>
    </w:p>
    <w:p>
      <w:pPr>
        <w:spacing w:after="0" w:line="393"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OPERATING INCOME. Operating income in the six months ended March 31, 1999 was $65.8 million, as compared with $36.0 million in the first six months of fiscal 1998, an increase of 82.9%. As a percentage of revenue, operating income was 23.5% in the first six months of fiscal 1999 as compared to 19.9% in the first six months of fiscal 1998, primarily due to an increase in license revenue and a decrease in cost of license. In addition, selling, general and administrative expense increased at a lesser rate than revenue.</w:t>
      </w:r>
    </w:p>
    <w:p>
      <w:pPr>
        <w:spacing w:after="0" w:line="200" w:lineRule="exact"/>
        <w:rPr>
          <w:sz w:val="20"/>
          <w:szCs w:val="20"/>
          <w:color w:val="auto"/>
        </w:rPr>
      </w:pPr>
    </w:p>
    <w:p>
      <w:pPr>
        <w:spacing w:after="0" w:line="222"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OTHER EXPENSE, NET. Other expense, net is primarily interest expense incurred by us related to senior bank debt and subordinated debt, which was substantially repaid from the proceeds of our initial public offering. In the first six months of fiscal 1999, other expense, net was $4.0 million, a decrease of $7.8 million from the first six months of fiscal 1998.</w:t>
      </w:r>
    </w:p>
    <w:p>
      <w:pPr>
        <w:spacing w:after="0" w:line="200" w:lineRule="exact"/>
        <w:rPr>
          <w:sz w:val="20"/>
          <w:szCs w:val="20"/>
          <w:color w:val="auto"/>
        </w:rPr>
      </w:pPr>
    </w:p>
    <w:p>
      <w:pPr>
        <w:spacing w:after="0" w:line="213"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INCOME TAXES.</w:t>
      </w:r>
      <w:r>
        <w:rPr>
          <w:sz w:val="20"/>
          <w:szCs w:val="20"/>
          <w:color w:val="auto"/>
        </w:rPr>
        <w:tab/>
      </w:r>
      <w:r>
        <w:rPr>
          <w:rFonts w:ascii="Courier New" w:cs="Courier New" w:eastAsia="Courier New" w:hAnsi="Courier New"/>
          <w:sz w:val="14"/>
          <w:szCs w:val="14"/>
          <w:color w:val="auto"/>
        </w:rPr>
        <w:t>Income taxes in the six months ended March 31, 1999 were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$18.6 million on income before taxes of $61.8 million. In the prior year's first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half, income taxes were $12.1 million on income before taxes of $24.1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discussion below "-- Effective Tax Rate".</w:t>
      </w:r>
    </w:p>
    <w:p>
      <w:pPr>
        <w:spacing w:after="0" w:line="200" w:lineRule="exact"/>
        <w:rPr>
          <w:sz w:val="20"/>
          <w:szCs w:val="20"/>
          <w:color w:val="auto"/>
        </w:rPr>
      </w:pPr>
    </w:p>
    <w:p>
      <w:pPr>
        <w:spacing w:after="0" w:line="290"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NET INCOME. Net income was $43.3 million in the first six months of fiscal 1999 compared to $12.1 for the first six months of fiscal 1998. The increase was primarily the result of an increase in operating income and a decrease in interest expense, which also resulted in an increase in earnings per share from $.09 in the first six months of fiscal 1998 to $0.22 in the first six months of fiscal 1999.</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SEPTEMBER 30, 1998 AND 1997</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54" w:lineRule="auto"/>
        <w:rPr>
          <w:sz w:val="20"/>
          <w:szCs w:val="20"/>
          <w:color w:val="auto"/>
        </w:rPr>
      </w:pPr>
      <w:r>
        <w:rPr>
          <w:rFonts w:ascii="Courier New" w:cs="Courier New" w:eastAsia="Courier New" w:hAnsi="Courier New"/>
          <w:sz w:val="15"/>
          <w:szCs w:val="15"/>
          <w:color w:val="auto"/>
        </w:rPr>
        <w:t>REVENUE. Revenue for the year ended September 30, 1998 was $403.8 million, an increase of $113.7 million, or 39.2%, compared to the prior year. License revenue increased from $26.0 million in fiscal 1997 to $42.9 million in fiscal 1998, an increase of 65.0%, and service revenue increased 36.6%, or $96.8 million, in fiscal 1998. Total CC&amp;B Systems revenue for the year ended September 30, 1998 was $251.8 million, an increase of $85.5 million, or 51.4%, compared to the prior fiscal year. Revenue attributable to Directory Systems was $151.9 million for the year ended September 30, 1998, an increase of $28.2 million, or 22.8%, from fiscal 1997. The growth in revenue is attributable to sales to new customers as well as sales of additional products and services to existing customers.</w:t>
      </w:r>
    </w:p>
    <w:p>
      <w:pPr>
        <w:spacing w:after="0" w:line="200" w:lineRule="exact"/>
        <w:rPr>
          <w:sz w:val="20"/>
          <w:szCs w:val="20"/>
          <w:color w:val="auto"/>
        </w:rPr>
      </w:pPr>
    </w:p>
    <w:p>
      <w:pPr>
        <w:spacing w:after="0" w:line="230" w:lineRule="exact"/>
        <w:rPr>
          <w:sz w:val="20"/>
          <w:szCs w:val="20"/>
          <w:color w:val="auto"/>
        </w:rPr>
      </w:pPr>
    </w:p>
    <w:p>
      <w:pPr>
        <w:ind w:right="3259" w:firstLine="447"/>
        <w:spacing w:after="0" w:line="301" w:lineRule="auto"/>
        <w:rPr>
          <w:sz w:val="20"/>
          <w:szCs w:val="20"/>
          <w:color w:val="auto"/>
        </w:rPr>
      </w:pPr>
      <w:r>
        <w:rPr>
          <w:rFonts w:ascii="Courier New" w:cs="Courier New" w:eastAsia="Courier New" w:hAnsi="Courier New"/>
          <w:sz w:val="15"/>
          <w:szCs w:val="15"/>
          <w:color w:val="auto"/>
        </w:rPr>
        <w:t>In fiscal 1998, revenue from customers in North America, Europe and the rest of the world accounted for 52.2%, 27.2% and 20.6%, respectively, compared to 63.8%, 11.3% and 24.9%, respectively, in fiscal 1997.</w:t>
      </w:r>
    </w:p>
    <w:p>
      <w:pPr>
        <w:sectPr>
          <w:pgSz w:w="11900" w:h="16838" w:orient="portrait"/>
          <w:cols w:equalWidth="0" w:num="1">
            <w:col w:w="10219"/>
          </w:cols>
          <w:pgMar w:left="240" w:top="263" w:right="1440" w:bottom="704" w:gutter="0" w:footer="0" w:header="0"/>
        </w:sectPr>
      </w:pPr>
    </w:p>
    <w:p>
      <w:pPr>
        <w:spacing w:after="0" w:line="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63" w:right="1440" w:bottom="704"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26</w:t>
      </w:r>
    </w:p>
    <w:p>
      <w:pPr>
        <w:spacing w:after="0" w:line="346"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COST OF LICENSE. Cost of license for fiscal 1998 was $10.7 million, an increase of $7.0 million, or 189.2%, from cost of license for fiscal 1997. Cost of license in fiscal 1998 includes amortization of purchased computer software and intellectual property rights, and in fiscal 1997 included royalty expense paid to some subsidiaries of SBC in connection with the grant to us of licenses to use certain software jointly developed with those subsidiaries.</w:t>
      </w:r>
    </w:p>
    <w:p>
      <w:pPr>
        <w:spacing w:after="0" w:line="200" w:lineRule="exact"/>
        <w:rPr>
          <w:sz w:val="20"/>
          <w:szCs w:val="20"/>
          <w:color w:val="auto"/>
        </w:rPr>
      </w:pPr>
    </w:p>
    <w:p>
      <w:pPr>
        <w:spacing w:after="0" w:line="218"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COST OF SERVICE. Cost of service for fiscal 1998 was $231.4 million, an increase of $57.7 million, or 33.2%, from cost of service of $173.7 million for fiscal 1997. As a percentage of revenue, cost of service decreased to 57.3% in fiscal 1998 from 59.9% in fiscal 1997. The absolute increase in cost of service is consistent with the increase in revenue for the period, as these costs are predominately for compensation and reflect increased employment levels needed to support the growth in revenue.</w:t>
      </w:r>
    </w:p>
    <w:p>
      <w:pPr>
        <w:spacing w:after="0" w:line="200" w:lineRule="exact"/>
        <w:rPr>
          <w:sz w:val="20"/>
          <w:szCs w:val="20"/>
          <w:color w:val="auto"/>
        </w:rPr>
      </w:pPr>
    </w:p>
    <w:p>
      <w:pPr>
        <w:spacing w:after="0" w:line="222"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5"/>
          <w:szCs w:val="15"/>
          <w:color w:val="auto"/>
        </w:rPr>
        <w:t>RESEARCH AND DEVELOPMENT. Research and development expense is primarily comprised of compensation expense for employees engaged in research and development activities, usually in conjunction with customer contracts. In fiscal 1998, research and development expense was $25.6 million, or 6.3% of revenue, compared with $17.4 million, or 6.0% of revenue, in fiscal 1997. The increase in research and development expense in fiscal 1998 represents ongoing expenditures for both CC&amp;B Systems and Directory Systems.</w:t>
      </w:r>
    </w:p>
    <w:p>
      <w:pPr>
        <w:spacing w:after="0" w:line="200" w:lineRule="exact"/>
        <w:rPr>
          <w:sz w:val="20"/>
          <w:szCs w:val="20"/>
          <w:color w:val="auto"/>
        </w:rPr>
      </w:pPr>
    </w:p>
    <w:p>
      <w:pPr>
        <w:spacing w:after="0" w:line="222"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SELLING, GENERAL AND ADMINISTRATIVE. Compensation is the largest component of selling, general and administrative expense. Selling, general and administrative expense increased by 25.5% to $51.2 million, in fiscal 1998 from $40.8 million in the prior fiscal year. However, selling, general and administrative expense as a percentage of revenue decreased from 14.0% of revenue in fiscal 1997 to 12.7% of revenue in fiscal 1998.</w:t>
      </w:r>
    </w:p>
    <w:p>
      <w:pPr>
        <w:spacing w:after="0" w:line="200" w:lineRule="exact"/>
        <w:rPr>
          <w:sz w:val="20"/>
          <w:szCs w:val="20"/>
          <w:color w:val="auto"/>
        </w:rPr>
      </w:pPr>
    </w:p>
    <w:p>
      <w:pPr>
        <w:spacing w:after="0" w:line="218" w:lineRule="exact"/>
        <w:rPr>
          <w:sz w:val="20"/>
          <w:szCs w:val="20"/>
          <w:color w:val="auto"/>
        </w:rPr>
      </w:pPr>
    </w:p>
    <w:p>
      <w:pPr>
        <w:ind w:right="3159" w:firstLine="447"/>
        <w:spacing w:after="0" w:line="295" w:lineRule="auto"/>
        <w:rPr>
          <w:sz w:val="20"/>
          <w:szCs w:val="20"/>
          <w:color w:val="auto"/>
        </w:rPr>
      </w:pPr>
      <w:r>
        <w:rPr>
          <w:rFonts w:ascii="Courier New" w:cs="Courier New" w:eastAsia="Courier New" w:hAnsi="Courier New"/>
          <w:sz w:val="14"/>
          <w:szCs w:val="14"/>
          <w:color w:val="auto"/>
        </w:rPr>
        <w:t>OPERATING INCOME. Operating income in fiscal 1998 was $84.9 million, as compared with $54.5 million in fiscal 1997, excluding the effect of the nonrecurring charges in that fiscal year, an increase of 55.8%. As a percentage of revenue, operating income was 21.0% in fiscal 1998 compared to 18.8% in fiscal 1997, excluding the effect of the nonrecurring charges in fiscal 1997.</w:t>
      </w:r>
    </w:p>
    <w:p>
      <w:pPr>
        <w:spacing w:after="0" w:line="200" w:lineRule="exact"/>
        <w:rPr>
          <w:sz w:val="20"/>
          <w:szCs w:val="20"/>
          <w:color w:val="auto"/>
        </w:rPr>
      </w:pPr>
    </w:p>
    <w:p>
      <w:pPr>
        <w:spacing w:after="0" w:line="201"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OTHER EXPENSE, NET. Other expense, net is primarily interest expense incurred by us related to senior bank debt and subordinated debt, which debt was substantially repaid from the proceeds of our initial public offering. In fiscal 1998, such interest expense was $24.1 million, an increase of $20.8 million from fiscal 1997.</w:t>
      </w:r>
    </w:p>
    <w:p>
      <w:pPr>
        <w:spacing w:after="0" w:line="200" w:lineRule="exact"/>
        <w:rPr>
          <w:sz w:val="20"/>
          <w:szCs w:val="20"/>
          <w:color w:val="auto"/>
        </w:rPr>
      </w:pPr>
    </w:p>
    <w:p>
      <w:pPr>
        <w:spacing w:after="0" w:line="213"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INCOME TAXES. Income taxes in fiscal 1998 were $30.4 million on income before taxes of $60.8 million. In the prior year, income taxes were $17.8 million on income before taxes of $23.7 million. Our consolidated effective tax rate for fiscal 1998 was 50%, due to significant interest expense in a tax jurisdiction in which we are tax exempt, which resulted in no tax benefit to offset the tax expense incurred in other jurisdictions. In fiscal 1997, we sustained a loss in a tax jurisdiction in which we are tax exempt, which resulted in no tax benefit to offset tax expense incurred in other jurisdictions.</w:t>
      </w: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INCOME. Our net income was $30.1 million in fiscal 1998 compared with</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of $5.9 million in fiscal 1997. The increase was primarily the result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 increase in operating income. In addition, in fiscal 1998 we incurred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$24.1 million in interest expense related to outstanding debt; while in fiscal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we had a nonrecurring charge of $27.6 million.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SEPTEMBER 30, 1997 AND 1996</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REVENUE. Revenue for fiscal 1997 was $290.1 million, an increase of $78.4 million, or 37.0%, from fiscal 1996. License revenue increased from $16.3 million in fiscal 1996 to $26.0 million in fiscal 1997, an increase of 59.5%, and service revenue increased 35.1% or $68.7 million in fiscal 1997. The majority of the increase in total revenue was due to the expansion of the CC&amp;B Systems business. Total CC&amp;B Systems revenue for fiscal 1997 was $166.3 million, an increase</w:t>
      </w:r>
    </w:p>
    <w:p>
      <w:pPr>
        <w:sectPr>
          <w:pgSz w:w="11900" w:h="16838" w:orient="portrait"/>
          <w:cols w:equalWidth="0" w:num="1">
            <w:col w:w="10219"/>
          </w:cols>
          <w:pgMar w:left="240" w:top="263" w:right="1440" w:bottom="360" w:gutter="0" w:footer="0" w:header="0"/>
        </w:sectPr>
      </w:pPr>
    </w:p>
    <w:p>
      <w:pPr>
        <w:spacing w:after="0" w:line="2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63" w:right="1440" w:bottom="36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27</w:t>
      </w:r>
    </w:p>
    <w:p>
      <w:pPr>
        <w:spacing w:after="0" w:line="346" w:lineRule="exact"/>
        <w:rPr>
          <w:sz w:val="20"/>
          <w:szCs w:val="20"/>
          <w:color w:val="auto"/>
        </w:rPr>
      </w:pPr>
    </w:p>
    <w:p>
      <w:pPr>
        <w:ind w:right="3599"/>
        <w:spacing w:after="0" w:line="301" w:lineRule="auto"/>
        <w:rPr>
          <w:sz w:val="20"/>
          <w:szCs w:val="20"/>
          <w:color w:val="auto"/>
        </w:rPr>
      </w:pPr>
      <w:r>
        <w:rPr>
          <w:rFonts w:ascii="Courier New" w:cs="Courier New" w:eastAsia="Courier New" w:hAnsi="Courier New"/>
          <w:sz w:val="15"/>
          <w:szCs w:val="15"/>
          <w:color w:val="auto"/>
        </w:rPr>
        <w:t>of $63.9 million, or 62.3%, from the prior year. Revenue attributable to Directory Systems was $123.8 million for fiscal 1997, an increase of $14.5 million, or 13.3%, from fiscal 1996.</w:t>
      </w:r>
    </w:p>
    <w:p>
      <w:pPr>
        <w:spacing w:after="0" w:line="393"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In fiscal 1997, revenue from customers in North America, Europe and the rest of the world accounted for 63.8%, 11.3% and 24.9% respectively, compared to 67.5%, 14.5% and 18.0%, respectively, in fiscal 1996.</w:t>
      </w:r>
    </w:p>
    <w:p>
      <w:pPr>
        <w:spacing w:after="0" w:line="393"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COST OF LICENSE. Cost of license for fiscal 1997 was $3.7 million, a decrease of $0.3 million, or 7.5%, from fiscal 1996 cost of license of $4.0 million. The decrease was due to the acquisition of certain software rights from several operating subsidiaries of SBC, which eliminated the requirement to pay royalties.</w:t>
      </w:r>
    </w:p>
    <w:p>
      <w:pPr>
        <w:spacing w:after="0" w:line="200" w:lineRule="exact"/>
        <w:rPr>
          <w:sz w:val="20"/>
          <w:szCs w:val="20"/>
          <w:color w:val="auto"/>
        </w:rPr>
      </w:pPr>
    </w:p>
    <w:p>
      <w:pPr>
        <w:spacing w:after="0" w:line="213"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5"/>
          <w:szCs w:val="15"/>
          <w:color w:val="auto"/>
        </w:rPr>
        <w:t>COST OF SERVICE. Cost of service for fiscal 1997 was $173.7 million, an increase of $44.5 million, or 34.4%, from fiscal 1996 cost of service of $129.2 million. As a percentage of revenue, cost of service decreased to 59.9% in fiscal 1997 from 61.0% in fiscal 1996. The absolute increase in cost of service was consistent with the increase in revenue for the period, and reflected increased compensation attributable to higher employment levels needed to support the growth in revenue.</w:t>
      </w:r>
    </w:p>
    <w:p>
      <w:pPr>
        <w:spacing w:after="0" w:line="200" w:lineRule="exact"/>
        <w:rPr>
          <w:sz w:val="20"/>
          <w:szCs w:val="20"/>
          <w:color w:val="auto"/>
        </w:rPr>
      </w:pPr>
    </w:p>
    <w:p>
      <w:pPr>
        <w:spacing w:after="0" w:line="222"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RESEARCH AND DEVELOPMENT. In fiscal 1997, research and development expense was $17.4 million, or 6.0% of revenue, compared with $14.7 million, or 6.9% of revenue, in fiscal 1996. The absolute increase in research and development expense in fiscal 1997 represented ongoing expenditures for both CC&amp;B Systems and Directory Systems, while the decrease as a percentage of revenue was attributable to the overall increase in revenue for the period.</w:t>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SELLING, GENERAL AND ADMINISTRATIVE. Selling, general and administrative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increased to $40.8 million, or 14.0% of revenue, in fiscal 1997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$28.3 million, or 13.4% of revenue, in the prior year, an increase of 43.8%. The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was primarily attributable to increased marketing efforts for our CC&amp;B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Systems.</w:t>
      </w:r>
    </w:p>
    <w:p>
      <w:pPr>
        <w:spacing w:after="0" w:line="200" w:lineRule="exact"/>
        <w:rPr>
          <w:sz w:val="20"/>
          <w:szCs w:val="20"/>
          <w:color w:val="auto"/>
        </w:rPr>
      </w:pPr>
    </w:p>
    <w:p>
      <w:pPr>
        <w:spacing w:after="0" w:line="290"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NONRECURRING CHARGES. In the fourth quarter of fiscal 1997, we recorded nonrecurring charges of $27.6 million. Of such amount, $1.8 million was due to the write-off of in-process research and development for technology related to certain software rights (which rights include the termination of related future royalty payment obligations) acquired from several operating subsidiaries of SBC and the balance, $25.8 million, was attributable to the funding of a contribution to a trust for the benefit of certain officers and employees. See "Management -- Employee Trust Agreement".</w:t>
      </w:r>
    </w:p>
    <w:p>
      <w:pPr>
        <w:spacing w:after="0" w:line="200" w:lineRule="exact"/>
        <w:rPr>
          <w:sz w:val="20"/>
          <w:szCs w:val="20"/>
          <w:color w:val="auto"/>
        </w:rPr>
      </w:pPr>
    </w:p>
    <w:p>
      <w:pPr>
        <w:spacing w:after="0" w:line="225"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OPERATING INCOME. As a result of the $27.6 million of nonrecurring charges recognized in fiscal 1997, operating income in fiscal 1997 was $27.0 million, as compared with $35.5 million in fiscal 1996. As a percentage of revenue, operating income was 9.3% in fiscal 1997 as compared to 16.8% in fiscal 1996. Excluding the effect of the nonrecurring charges, operating income would have been $54.5 million in fiscal 1997, or 18.8% of revenue, an increase of $19.0 million, or 53.4%, between fiscal 1997 and 1996. The increase in operating income as a percentage of revenue (excluding the effect of the nonrecurring charges) was primarily attributable to increased license revenue.</w:t>
      </w:r>
    </w:p>
    <w:p>
      <w:pPr>
        <w:spacing w:after="0" w:line="200" w:lineRule="exact"/>
        <w:rPr>
          <w:sz w:val="20"/>
          <w:szCs w:val="20"/>
          <w:color w:val="auto"/>
        </w:rPr>
      </w:pPr>
    </w:p>
    <w:p>
      <w:pPr>
        <w:spacing w:after="0" w:line="227" w:lineRule="exact"/>
        <w:rPr>
          <w:sz w:val="20"/>
          <w:szCs w:val="20"/>
          <w:color w:val="auto"/>
        </w:rPr>
      </w:pPr>
    </w:p>
    <w:p>
      <w:pPr>
        <w:ind w:right="3259" w:firstLine="447"/>
        <w:spacing w:after="0" w:line="266" w:lineRule="auto"/>
        <w:rPr>
          <w:sz w:val="20"/>
          <w:szCs w:val="20"/>
          <w:color w:val="auto"/>
        </w:rPr>
      </w:pPr>
      <w:r>
        <w:rPr>
          <w:rFonts w:ascii="Courier New" w:cs="Courier New" w:eastAsia="Courier New" w:hAnsi="Courier New"/>
          <w:sz w:val="15"/>
          <w:szCs w:val="15"/>
          <w:color w:val="auto"/>
        </w:rPr>
        <w:t>OTHER EXPENSE, NET. Other expense, net was an expense of $0.5 million in fiscal 1996 and an expense of $3.3 million in fiscal 1997. The increase in fiscal 1997 was attributable to the settlement of the claims of various taxing authorities for additional taxes for years prior to such fiscal year. Approximately $3.0 million of expense was included in fiscal 1997 for interest on the tax assessments.</w:t>
      </w:r>
    </w:p>
    <w:p>
      <w:pPr>
        <w:spacing w:after="0" w:line="200" w:lineRule="exact"/>
        <w:rPr>
          <w:sz w:val="20"/>
          <w:szCs w:val="20"/>
          <w:color w:val="auto"/>
        </w:rPr>
      </w:pPr>
    </w:p>
    <w:p>
      <w:pPr>
        <w:spacing w:after="0" w:line="218"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INCOME TAXES. Income taxes in fiscal 1997 were $17.8 million on income before taxes of $23.7 million. In fiscal 1996, income taxes were $10.5 million on income before taxes of $35.0 million. In fiscal 1997, we paid income taxes for the operations of our subsidiaries, principally in</w:t>
      </w:r>
    </w:p>
    <w:p>
      <w:pPr>
        <w:sectPr>
          <w:pgSz w:w="11900" w:h="16838" w:orient="portrait"/>
          <w:cols w:equalWidth="0" w:num="1">
            <w:col w:w="10219"/>
          </w:cols>
          <w:pgMar w:left="240" w:top="263" w:right="1440" w:bottom="704" w:gutter="0" w:footer="0" w:header="0"/>
        </w:sectPr>
      </w:pPr>
    </w:p>
    <w:p>
      <w:pPr>
        <w:spacing w:after="0" w:line="23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63" w:right="1440" w:bottom="704"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28</w:t>
      </w:r>
    </w:p>
    <w:p>
      <w:pPr>
        <w:spacing w:after="0" w:line="346" w:lineRule="exact"/>
        <w:rPr>
          <w:sz w:val="20"/>
          <w:szCs w:val="20"/>
          <w:color w:val="auto"/>
        </w:rPr>
      </w:pPr>
    </w:p>
    <w:p>
      <w:pPr>
        <w:ind w:right="3779"/>
        <w:spacing w:after="0" w:line="359" w:lineRule="auto"/>
        <w:rPr>
          <w:sz w:val="20"/>
          <w:szCs w:val="20"/>
          <w:color w:val="auto"/>
        </w:rPr>
      </w:pPr>
      <w:r>
        <w:rPr>
          <w:rFonts w:ascii="Courier New" w:cs="Courier New" w:eastAsia="Courier New" w:hAnsi="Courier New"/>
          <w:sz w:val="15"/>
          <w:szCs w:val="15"/>
          <w:color w:val="auto"/>
        </w:rPr>
        <w:t>the United States, the United Kingdom and Israel, and recorded a loss in Guernsey, a jurisdiction in which we are tax-exempt.</w:t>
      </w:r>
    </w:p>
    <w:p>
      <w:pPr>
        <w:spacing w:after="0" w:line="352" w:lineRule="exact"/>
        <w:rPr>
          <w:sz w:val="20"/>
          <w:szCs w:val="20"/>
          <w:color w:val="auto"/>
        </w:rPr>
      </w:pPr>
    </w:p>
    <w:p>
      <w:pPr>
        <w:jc w:val="both"/>
        <w:ind w:right="3159" w:firstLine="447"/>
        <w:spacing w:after="0" w:line="301" w:lineRule="auto"/>
        <w:rPr>
          <w:sz w:val="20"/>
          <w:szCs w:val="20"/>
          <w:color w:val="auto"/>
        </w:rPr>
      </w:pPr>
      <w:r>
        <w:rPr>
          <w:rFonts w:ascii="Courier New" w:cs="Courier New" w:eastAsia="Courier New" w:hAnsi="Courier New"/>
          <w:sz w:val="15"/>
          <w:szCs w:val="15"/>
          <w:color w:val="auto"/>
        </w:rPr>
        <w:t>NET INCOME. We had net income of $5.9 million in fiscal 1997 compared with net income of $24.5 million in fiscal 1996, primarily as a result of the $27.6 million for the nonrecurring charges incurred in fiscal 1997.</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FINANCING TRANSACTIONS</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We have primarily financed our operations through cash generated from operations and borrowings from banks and other lenders. Cash and cash equivalents totaled $26.9 million at March 31, 1999 compared to $25.4 million at September 30, 1998. Net cash provided by operating activities amounted to $38.3 million and $11.8 million for the first half of fiscal 1999 and 1998, respectively.</w:t>
      </w:r>
    </w:p>
    <w:p>
      <w:pPr>
        <w:spacing w:after="0" w:line="200" w:lineRule="exact"/>
        <w:rPr>
          <w:sz w:val="20"/>
          <w:szCs w:val="20"/>
          <w:color w:val="auto"/>
        </w:rPr>
      </w:pPr>
    </w:p>
    <w:p>
      <w:pPr>
        <w:spacing w:after="0" w:line="218" w:lineRule="exact"/>
        <w:rPr>
          <w:sz w:val="20"/>
          <w:szCs w:val="20"/>
          <w:color w:val="auto"/>
        </w:rPr>
      </w:pPr>
    </w:p>
    <w:p>
      <w:pPr>
        <w:jc w:val="both"/>
        <w:ind w:right="3159" w:firstLine="447"/>
        <w:spacing w:after="0" w:line="301" w:lineRule="auto"/>
        <w:rPr>
          <w:sz w:val="20"/>
          <w:szCs w:val="20"/>
          <w:color w:val="auto"/>
        </w:rPr>
      </w:pPr>
      <w:r>
        <w:rPr>
          <w:rFonts w:ascii="Courier New" w:cs="Courier New" w:eastAsia="Courier New" w:hAnsi="Courier New"/>
          <w:sz w:val="15"/>
          <w:szCs w:val="15"/>
          <w:color w:val="auto"/>
        </w:rPr>
        <w:t>We currently intend to retain our earnings to repay our outstanding loans and to finance the development of our business. The terms of our bank agreement effectively restrict our ability to pay cash dividends.</w:t>
      </w:r>
    </w:p>
    <w:p>
      <w:pPr>
        <w:spacing w:after="0" w:line="393"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At March 31, 1999, we had short term lines of credit totaling $152.0 million from various banks or bank groups, of which $75.9 million was outstanding. As of that date, we had also utilized approximately $8.2 million of our revolving credit facility to support outstanding letters of credit. We intend to use a portion of the net proceeds from our sale of ordinary shares in the offering to repay a portion of amounts outstanding under our revolving credit facility. See "Use of Proceeds".</w:t>
      </w:r>
    </w:p>
    <w:p>
      <w:pPr>
        <w:spacing w:after="0" w:line="200" w:lineRule="exact"/>
        <w:rPr>
          <w:sz w:val="20"/>
          <w:szCs w:val="20"/>
          <w:color w:val="auto"/>
        </w:rPr>
      </w:pPr>
    </w:p>
    <w:p>
      <w:pPr>
        <w:spacing w:after="0" w:line="222" w:lineRule="exact"/>
        <w:rPr>
          <w:sz w:val="20"/>
          <w:szCs w:val="20"/>
          <w:color w:val="auto"/>
        </w:rPr>
      </w:pPr>
    </w:p>
    <w:p>
      <w:pPr>
        <w:ind w:right="3159" w:firstLine="447"/>
        <w:spacing w:after="0" w:line="259" w:lineRule="auto"/>
        <w:rPr>
          <w:sz w:val="20"/>
          <w:szCs w:val="20"/>
          <w:color w:val="auto"/>
        </w:rPr>
      </w:pPr>
      <w:r>
        <w:rPr>
          <w:rFonts w:ascii="Courier New" w:cs="Courier New" w:eastAsia="Courier New" w:hAnsi="Courier New"/>
          <w:sz w:val="15"/>
          <w:szCs w:val="15"/>
          <w:color w:val="auto"/>
        </w:rPr>
        <w:t>At March 31, 1999, we had negative working capital of $48.3 million as compared to negative working capital of $84.3 million at September 30, 1998. We do not believe this will have a negative impact on our liquidity as this temporary situation is primarily a result of a three-year revolving credit facility which we intend to repay with part of the proceeds we receive in the offering and with cash flows from operations. We believe that cash generated from operations and our current lines of credit will provide sufficient resources to meet our needs in the near future.</w:t>
      </w:r>
    </w:p>
    <w:p>
      <w:pPr>
        <w:spacing w:after="0" w:line="200" w:lineRule="exact"/>
        <w:rPr>
          <w:sz w:val="20"/>
          <w:szCs w:val="20"/>
          <w:color w:val="auto"/>
        </w:rPr>
      </w:pPr>
    </w:p>
    <w:p>
      <w:pPr>
        <w:spacing w:after="0" w:line="225" w:lineRule="exact"/>
        <w:rPr>
          <w:sz w:val="20"/>
          <w:szCs w:val="20"/>
          <w:color w:val="auto"/>
        </w:rPr>
      </w:pPr>
    </w:p>
    <w:p>
      <w:pPr>
        <w:ind w:right="3699" w:firstLine="447"/>
        <w:spacing w:after="0" w:line="359" w:lineRule="auto"/>
        <w:rPr>
          <w:sz w:val="20"/>
          <w:szCs w:val="20"/>
          <w:color w:val="auto"/>
        </w:rPr>
      </w:pPr>
      <w:r>
        <w:rPr>
          <w:rFonts w:ascii="Courier New" w:cs="Courier New" w:eastAsia="Courier New" w:hAnsi="Courier New"/>
          <w:sz w:val="15"/>
          <w:szCs w:val="15"/>
          <w:color w:val="auto"/>
        </w:rPr>
        <w:t>At March 31, 1999, we had long-term obligations outstanding of $16.9 million in connection with vehicle leasing arrangements.</w:t>
      </w:r>
    </w:p>
    <w:p>
      <w:pPr>
        <w:spacing w:after="0" w:line="352" w:lineRule="exact"/>
        <w:rPr>
          <w:sz w:val="20"/>
          <w:szCs w:val="20"/>
          <w:color w:val="auto"/>
        </w:rPr>
      </w:pPr>
    </w:p>
    <w:p>
      <w:pPr>
        <w:jc w:val="both"/>
        <w:ind w:right="3159" w:firstLine="447"/>
        <w:spacing w:after="0" w:line="301" w:lineRule="auto"/>
        <w:rPr>
          <w:sz w:val="20"/>
          <w:szCs w:val="20"/>
          <w:color w:val="auto"/>
        </w:rPr>
      </w:pPr>
      <w:r>
        <w:rPr>
          <w:rFonts w:ascii="Courier New" w:cs="Courier New" w:eastAsia="Courier New" w:hAnsi="Courier New"/>
          <w:sz w:val="15"/>
          <w:szCs w:val="15"/>
          <w:color w:val="auto"/>
        </w:rPr>
        <w:t>Currently, our capital expenditures are funded primarily by operating cash flows and capital leasing arrangements. We do not anticipate any change to this policy in the foreseeable future.</w:t>
      </w:r>
    </w:p>
    <w:p>
      <w:pPr>
        <w:spacing w:after="0" w:line="39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DEFERRED TAX ASSETS</w:t>
      </w:r>
    </w:p>
    <w:p>
      <w:pPr>
        <w:spacing w:after="0" w:line="200" w:lineRule="exact"/>
        <w:rPr>
          <w:sz w:val="20"/>
          <w:szCs w:val="20"/>
          <w:color w:val="auto"/>
        </w:rPr>
      </w:pPr>
    </w:p>
    <w:p>
      <w:pPr>
        <w:spacing w:after="0" w:line="318"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Based on our assessment, it is more likely than not that all the net deferred tax assets at March 31, 1999 will be realized through future taxable earnings. No significant increase in future taxable earnings would be required to fully realize the net deferred tax assets.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ISSUES</w:t>
      </w:r>
    </w:p>
    <w:p>
      <w:pPr>
        <w:spacing w:after="0" w:line="200" w:lineRule="exact"/>
        <w:rPr>
          <w:sz w:val="20"/>
          <w:szCs w:val="20"/>
          <w:color w:val="auto"/>
        </w:rPr>
      </w:pPr>
    </w:p>
    <w:p>
      <w:pPr>
        <w:spacing w:after="0" w:line="318"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5"/>
          <w:szCs w:val="15"/>
          <w:color w:val="auto"/>
        </w:rPr>
        <w:t>OUR STATE OF READINESS. We have identified the information technology, or IT, and non-IT systems, software and products which could be affected by year 2000 issues, and have assessed the efforts required to remediate or replace them. We have also identified versions of our products that will not be made compliant and are assisting customers in upgrading or migrating to year 2000 compliant versions. By the end of 1999, it is our intention that all of the major or key systems, software and products will be remediated or replaced.</w:t>
      </w:r>
    </w:p>
    <w:p>
      <w:pPr>
        <w:sectPr>
          <w:pgSz w:w="11900" w:h="16838" w:orient="portrait"/>
          <w:cols w:equalWidth="0" w:num="1">
            <w:col w:w="10219"/>
          </w:cols>
          <w:pgMar w:left="240" w:top="263" w:right="1440" w:bottom="0" w:gutter="0" w:footer="0" w:header="0"/>
        </w:sectPr>
      </w:pPr>
    </w:p>
    <w:p>
      <w:pPr>
        <w:spacing w:after="0" w:line="2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63" w:right="1440" w:bottom="0" w:gutter="0" w:footer="0" w:header="0"/>
          <w:type w:val="continuous"/>
        </w:sectPr>
      </w:pPr>
    </w:p>
    <w:bookmarkStart w:id="32" w:name="page33"/>
    <w:bookmarkEnd w:id="32"/>
    <w:p>
      <w:pPr>
        <w:spacing w:after="0" w:line="10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29</w:t>
      </w:r>
    </w:p>
    <w:p>
      <w:pPr>
        <w:spacing w:after="0" w:line="346" w:lineRule="exact"/>
        <w:rPr>
          <w:sz w:val="20"/>
          <w:szCs w:val="20"/>
          <w:color w:val="auto"/>
        </w:rPr>
      </w:pPr>
    </w:p>
    <w:p>
      <w:pPr>
        <w:ind w:right="3079" w:firstLine="447"/>
        <w:spacing w:after="0" w:line="359" w:lineRule="auto"/>
        <w:rPr>
          <w:sz w:val="20"/>
          <w:szCs w:val="20"/>
          <w:color w:val="auto"/>
        </w:rPr>
      </w:pPr>
      <w:r>
        <w:rPr>
          <w:rFonts w:ascii="Courier New" w:cs="Courier New" w:eastAsia="Courier New" w:hAnsi="Courier New"/>
          <w:sz w:val="15"/>
          <w:szCs w:val="15"/>
          <w:color w:val="auto"/>
        </w:rPr>
        <w:t>We began evaluating year 2000 compliance issues in mid-1996. Since then the following functions have been performed:</w:t>
      </w:r>
    </w:p>
    <w:p>
      <w:pPr>
        <w:spacing w:after="0" w:line="352" w:lineRule="exact"/>
        <w:rPr>
          <w:sz w:val="20"/>
          <w:szCs w:val="20"/>
          <w:color w:val="auto"/>
        </w:rPr>
      </w:pPr>
    </w:p>
    <w:p>
      <w:pPr>
        <w:ind w:left="620" w:hanging="181"/>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thorough examination and study of year 2000 compliance status;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a work plan;</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solution alternatives; and</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our technical and business year 2000 policies.</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52" w:lineRule="auto"/>
        <w:rPr>
          <w:sz w:val="20"/>
          <w:szCs w:val="20"/>
          <w:color w:val="auto"/>
        </w:rPr>
      </w:pPr>
      <w:r>
        <w:rPr>
          <w:rFonts w:ascii="Courier New" w:cs="Courier New" w:eastAsia="Courier New" w:hAnsi="Courier New"/>
          <w:sz w:val="15"/>
          <w:szCs w:val="15"/>
          <w:color w:val="auto"/>
        </w:rPr>
        <w:t>In recent years, new systems have been developed as year 2000 compliant; older generations of applications are being made year 2000 compliant in cooperation with our customers (using Amdocs year 2000 methodology and tool kit). None of these systems need mass data conversion, which is usually the most sensitive portion of the year 2000 migration. Recognizing the importance of year 2000 support in the IT industry and to provide an additional level of assurance to our customers, we have decided to conduct a thorough and systematic verification process. This effort is based on the application of industry-wide standards for year 2000 compliance. This verification process utilizes a specialized tool kit developed by us including a powerful search utility. For many customers we offer to conduct the verification process, since the ultimate verification for year 2000 compliance should be executed in their own working environment.</w:t>
      </w:r>
    </w:p>
    <w:p>
      <w:pPr>
        <w:spacing w:after="0" w:line="200" w:lineRule="exact"/>
        <w:rPr>
          <w:sz w:val="20"/>
          <w:szCs w:val="20"/>
          <w:color w:val="auto"/>
        </w:rPr>
      </w:pPr>
    </w:p>
    <w:p>
      <w:pPr>
        <w:spacing w:after="0" w:line="233"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We anticipate completing the majority of the testing, implementation of changes and necessary refinements by mid-1999 but to continue extensive testing through calendar 1999. We expect that systems, software and products for which we have responsibility currently are year 2000 compliant or will be compliant on a timely basis. We are not aware of any year 2000 issues with our customers that cannot be remedied.</w:t>
      </w:r>
    </w:p>
    <w:p>
      <w:pPr>
        <w:spacing w:after="0" w:line="200" w:lineRule="exact"/>
        <w:rPr>
          <w:sz w:val="20"/>
          <w:szCs w:val="20"/>
          <w:color w:val="auto"/>
        </w:rPr>
      </w:pPr>
    </w:p>
    <w:p>
      <w:pPr>
        <w:spacing w:after="0" w:line="218" w:lineRule="exact"/>
        <w:rPr>
          <w:sz w:val="20"/>
          <w:szCs w:val="20"/>
          <w:color w:val="auto"/>
        </w:rPr>
      </w:pPr>
    </w:p>
    <w:p>
      <w:pPr>
        <w:ind w:right="3159" w:firstLine="447"/>
        <w:spacing w:after="0" w:line="259" w:lineRule="auto"/>
        <w:rPr>
          <w:sz w:val="20"/>
          <w:szCs w:val="20"/>
          <w:color w:val="auto"/>
        </w:rPr>
      </w:pPr>
      <w:r>
        <w:rPr>
          <w:rFonts w:ascii="Courier New" w:cs="Courier New" w:eastAsia="Courier New" w:hAnsi="Courier New"/>
          <w:sz w:val="15"/>
          <w:szCs w:val="15"/>
          <w:color w:val="auto"/>
        </w:rPr>
        <w:t>We have contacted all of our customers, and several of our vendors and other third parties with whom we deal to identify potential year 2000 issues. These communications are also used to clarify which year 2000 issues are our responsibility and which are the responsibility of the third party. We do not anticipate that our third party year 2000 issues will be different than those encountered by other providers of information services, including our competitors. At this time, we are not aware of any year 2000 issues or problems relating to third parties with which we have a material relationship.</w:t>
      </w:r>
    </w:p>
    <w:p>
      <w:pPr>
        <w:spacing w:after="0" w:line="200" w:lineRule="exact"/>
        <w:rPr>
          <w:sz w:val="20"/>
          <w:szCs w:val="20"/>
          <w:color w:val="auto"/>
        </w:rPr>
      </w:pPr>
    </w:p>
    <w:p>
      <w:pPr>
        <w:spacing w:after="0" w:line="225"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With respect to our internal IT systems (including IT-based office facilities such as data and voice communications, building management and security systems, human resources and recruitment systems, purchasing, invoicing, finance and budget systems, general ledger and other administrative systems), both third party software and in-house developments, we have adopted standard industry practices, as published by the British Standards Institute, and methodologies suggested by the Gartner Group (INSPCT), in preparing for the year 2000 date change. Our year 2000 internal readiness program primarily covers:</w:t>
      </w:r>
    </w:p>
    <w:p>
      <w:pPr>
        <w:spacing w:after="0" w:line="200" w:lineRule="exact"/>
        <w:rPr>
          <w:sz w:val="20"/>
          <w:szCs w:val="20"/>
          <w:color w:val="auto"/>
        </w:rPr>
      </w:pPr>
    </w:p>
    <w:p>
      <w:pPr>
        <w:spacing w:after="0" w:line="227" w:lineRule="exact"/>
        <w:rPr>
          <w:sz w:val="20"/>
          <w:szCs w:val="20"/>
          <w:color w:val="auto"/>
        </w:rPr>
      </w:pPr>
    </w:p>
    <w:p>
      <w:pPr>
        <w:ind w:left="620" w:hanging="181"/>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taking inventory of hardware, software and embedded systems;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assessing business risks associated with such systems;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creating action plans to address known risks;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executing and monitoring action plans; and</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contingency planning.</w:t>
      </w:r>
    </w:p>
    <w:p>
      <w:pPr>
        <w:spacing w:after="0" w:line="200" w:lineRule="exact"/>
        <w:rPr>
          <w:sz w:val="20"/>
          <w:szCs w:val="20"/>
          <w:color w:val="auto"/>
        </w:rPr>
      </w:pPr>
    </w:p>
    <w:p>
      <w:pPr>
        <w:spacing w:after="0" w:line="318" w:lineRule="exact"/>
        <w:rPr>
          <w:sz w:val="20"/>
          <w:szCs w:val="20"/>
          <w:color w:val="auto"/>
        </w:rPr>
      </w:pPr>
    </w:p>
    <w:p>
      <w:pPr>
        <w:ind w:right="3259" w:firstLine="447"/>
        <w:spacing w:after="0" w:line="331" w:lineRule="auto"/>
        <w:rPr>
          <w:sz w:val="20"/>
          <w:szCs w:val="20"/>
          <w:color w:val="auto"/>
        </w:rPr>
      </w:pPr>
      <w:r>
        <w:rPr>
          <w:rFonts w:ascii="Courier New" w:cs="Courier New" w:eastAsia="Courier New" w:hAnsi="Courier New"/>
          <w:sz w:val="14"/>
          <w:szCs w:val="14"/>
          <w:color w:val="auto"/>
        </w:rPr>
        <w:t>Although we do not believe that we will incur any material cost or experience material disruptions in our business associated with preparing our internal systems for the year 2000, there can be no assurance that we will not</w:t>
      </w:r>
    </w:p>
    <w:p>
      <w:pPr>
        <w:sectPr>
          <w:pgSz w:w="11900" w:h="16944" w:orient="portrait"/>
          <w:cols w:equalWidth="0" w:num="1">
            <w:col w:w="10219"/>
          </w:cols>
          <w:pgMar w:left="240" w:top="263" w:right="1440" w:bottom="0" w:gutter="0" w:footer="0" w:header="0"/>
        </w:sectPr>
      </w:pPr>
    </w:p>
    <w:bookmarkStart w:id="33" w:name="page34"/>
    <w:bookmarkEnd w:id="33"/>
    <w:p>
      <w:pPr>
        <w:jc w:val="both"/>
        <w:ind w:right="3339"/>
        <w:spacing w:after="0" w:line="331" w:lineRule="auto"/>
        <w:rPr>
          <w:sz w:val="20"/>
          <w:szCs w:val="20"/>
          <w:color w:val="auto"/>
        </w:rPr>
      </w:pPr>
      <w:r>
        <w:rPr>
          <w:rFonts w:ascii="Courier New" w:cs="Courier New" w:eastAsia="Courier New" w:hAnsi="Courier New"/>
          <w:sz w:val="14"/>
          <w:szCs w:val="14"/>
          <w:color w:val="auto"/>
        </w:rPr>
        <w:t>experience serious unanticipated negative consequences and/or material costs caused by undetected errors or defects in the technology used in our internal systems, which are composed of third party software, third party hardware</w:t>
      </w:r>
    </w:p>
    <w:p>
      <w:pPr>
        <w:spacing w:after="0" w:line="3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11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30</w:t>
      </w:r>
    </w:p>
    <w:p>
      <w:pPr>
        <w:spacing w:after="0" w:line="346"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that contains embedded software and our own software products. We are in the process of implementing action plans for the remediation of high risk areas and we are scheduled to implement remediation plans for medium to low risk areas during the remainder of fiscal 1999. We expect our contingency plans to include, among other things, manual "work-arounds" for software and hardware failure, as well as substitution of systems, if necessary.</w:t>
      </w:r>
    </w:p>
    <w:p>
      <w:pPr>
        <w:spacing w:after="0" w:line="200" w:lineRule="exact"/>
        <w:rPr>
          <w:sz w:val="20"/>
          <w:szCs w:val="20"/>
          <w:color w:val="auto"/>
        </w:rPr>
      </w:pPr>
    </w:p>
    <w:p>
      <w:pPr>
        <w:spacing w:after="0" w:line="218"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COSTS TO ADDRESS OUR YEAR 2000 ISSUES. A significant portion of our year 2000 compliance efforts have occurred or are occurring in connection with system upgrades or replacements that were otherwise planned (but perhaps accelerated due to the year 2000 issue) or which have significant improvements and benefits unrelated to year 2000 issues. The remainder of the costs that are incremental and directly related to year 2000 issues are not expected to be material to our financial position or results of operations.</w:t>
      </w:r>
    </w:p>
    <w:p>
      <w:pPr>
        <w:spacing w:after="0" w:line="200" w:lineRule="exact"/>
        <w:rPr>
          <w:sz w:val="20"/>
          <w:szCs w:val="20"/>
          <w:color w:val="auto"/>
        </w:rPr>
      </w:pPr>
    </w:p>
    <w:p>
      <w:pPr>
        <w:spacing w:after="0" w:line="222"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At March 31, 1999, we have accrued approximately $2.0 million representing the estimated remaining costs to modify previously sold customized software products. We do not anticipate capitalizing any of these costs as they relate to warranties related to products developed for customers.</w:t>
      </w:r>
    </w:p>
    <w:p>
      <w:pPr>
        <w:spacing w:after="0" w:line="200" w:lineRule="exact"/>
        <w:rPr>
          <w:sz w:val="20"/>
          <w:szCs w:val="20"/>
          <w:color w:val="auto"/>
        </w:rPr>
      </w:pPr>
    </w:p>
    <w:p>
      <w:pPr>
        <w:spacing w:after="0" w:line="208" w:lineRule="exact"/>
        <w:rPr>
          <w:sz w:val="20"/>
          <w:szCs w:val="20"/>
          <w:color w:val="auto"/>
        </w:rPr>
      </w:pPr>
    </w:p>
    <w:p>
      <w:pPr>
        <w:ind w:right="3259" w:firstLine="447"/>
        <w:spacing w:after="0" w:line="288" w:lineRule="auto"/>
        <w:rPr>
          <w:sz w:val="20"/>
          <w:szCs w:val="20"/>
          <w:color w:val="auto"/>
        </w:rPr>
      </w:pPr>
      <w:r>
        <w:rPr>
          <w:rFonts w:ascii="Courier New" w:cs="Courier New" w:eastAsia="Courier New" w:hAnsi="Courier New"/>
          <w:sz w:val="14"/>
          <w:szCs w:val="14"/>
          <w:color w:val="auto"/>
        </w:rPr>
        <w:t>OUR CONTINGENCY PLANS. Detailed contingency plans are being prepared and will be refined as appropriate. Those plans will focus on matters which appear to be our most likely year 2000 risks, such as possible additional customer support efforts by us that would be necessary if customers or vendors are not year 2000 compliant, or if a year 2000 issue should not be timely detected in our own compliance efforts. See "Risk Factors" for more information.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MONETARY UNION CURRENCY</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51" w:lineRule="auto"/>
        <w:rPr>
          <w:sz w:val="20"/>
          <w:szCs w:val="20"/>
          <w:color w:val="auto"/>
        </w:rPr>
      </w:pPr>
      <w:r>
        <w:rPr>
          <w:rFonts w:ascii="Courier New" w:cs="Courier New" w:eastAsia="Courier New" w:hAnsi="Courier New"/>
          <w:sz w:val="15"/>
          <w:szCs w:val="15"/>
          <w:color w:val="auto"/>
        </w:rPr>
        <w:t>The European Monetary Union currency, or the euro, will be phased in over the three-year period commencing January 1, 1999, when participating European countries began using the euro currency for non-cash transactions. We intend to offer software products that are capable of handling the euro currency and converting from local currencies to the euro. There can be no assurance that our software or software provided to our customers by other vendors will ensure an errorless transition to the euro currency. At March 31, 1999, we have accrued approximately $1.9 million representing estimated remaining costs to modify our software products to accept the euro currency under existing agreements with customers relating to previously sold products. We do not currently anticipate recovering these expenditures from our customers, as they relate to warranty agreements. There can be no assurance that such costs will not significantly exceed such estimate, in which case such costs could have a material adverse effect on our results of operations and financial condition.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Our overall effective tax rate has historically been approximately 30% due to the various corporate income tax rates in the countries in which we operate and the relative magnitude of our business in those countries. Our consolidated effective tax rate for the first half of the fiscal 1999 was 30% compared to 50% in the prior period. The consolidated effective tax rate of 50% for 1998 was due to significant interest expense in a tax jurisdiction in which we are tax exempt, which resulted in no tax benefit to offset the tax expense incurred in other jurisdictions.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Approximately 80% of our revenue are in dollars or linked to the dollar and therefore the dollar is our functional currency. Approximately 60% of our operating expenses are paid in dollars or are linked to dollars. Other significant currencies in which we receive revenue or pay expenses are Australian dollars, the euro, British pounds, Canadian dollars and Israeli shekels. Historically, the effect of fluctuations in currency exchange rates has had a minimal impact on our operations. As we expand our operations outside of the United States, our exposure to</w:t>
      </w:r>
    </w:p>
    <w:p>
      <w:pPr>
        <w:sectPr>
          <w:pgSz w:w="11900" w:h="16838" w:orient="portrait"/>
          <w:cols w:equalWidth="0" w:num="1">
            <w:col w:w="10219"/>
          </w:cols>
          <w:pgMar w:left="240" w:top="263" w:right="1440" w:bottom="876" w:gutter="0" w:footer="0" w:header="0"/>
        </w:sectPr>
      </w:pPr>
    </w:p>
    <w:p>
      <w:pPr>
        <w:spacing w:after="0" w:line="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63" w:right="1440" w:bottom="876" w:gutter="0" w:footer="0" w:header="0"/>
          <w:type w:val="continuous"/>
        </w:sectPr>
      </w:pPr>
    </w:p>
    <w:bookmarkStart w:id="35" w:name="page36"/>
    <w:bookmarkEnd w:id="35"/>
    <w:p>
      <w:pPr>
        <w:ind w:left="268"/>
        <w:spacing w:after="0"/>
        <w:rPr>
          <w:sz w:val="20"/>
          <w:szCs w:val="20"/>
          <w:color w:val="auto"/>
        </w:rPr>
      </w:pPr>
      <w:r>
        <w:rPr>
          <w:rFonts w:ascii="Courier New" w:cs="Courier New" w:eastAsia="Courier New" w:hAnsi="Courier New"/>
          <w:sz w:val="15"/>
          <w:szCs w:val="15"/>
          <w:color w:val="auto"/>
        </w:rPr>
        <w:t>31</w:t>
      </w:r>
    </w:p>
    <w:p>
      <w:pPr>
        <w:spacing w:after="0" w:line="346" w:lineRule="exact"/>
        <w:rPr>
          <w:sz w:val="20"/>
          <w:szCs w:val="20"/>
          <w:color w:val="auto"/>
        </w:rPr>
      </w:pPr>
    </w:p>
    <w:p>
      <w:pPr>
        <w:ind w:left="8" w:right="3079"/>
        <w:spacing w:after="0" w:line="281" w:lineRule="auto"/>
        <w:rPr>
          <w:sz w:val="20"/>
          <w:szCs w:val="20"/>
          <w:color w:val="auto"/>
        </w:rPr>
      </w:pPr>
      <w:r>
        <w:rPr>
          <w:rFonts w:ascii="Courier New" w:cs="Courier New" w:eastAsia="Courier New" w:hAnsi="Courier New"/>
          <w:sz w:val="15"/>
          <w:szCs w:val="15"/>
          <w:color w:val="auto"/>
        </w:rPr>
        <w:t>fluctuations in currency exchange rates could increase. In managing our foreign exchange risk, we enter from time to time into various foreign exchange contracts. As of March 31, 1999, we had hedged most of our significant exposures in currencies other than the dollar.</w:t>
      </w:r>
    </w:p>
    <w:p>
      <w:pPr>
        <w:spacing w:after="0" w:line="200" w:lineRule="exact"/>
        <w:rPr>
          <w:sz w:val="20"/>
          <w:szCs w:val="20"/>
          <w:color w:val="auto"/>
        </w:rPr>
      </w:pPr>
    </w:p>
    <w:p>
      <w:pPr>
        <w:spacing w:after="0" w:line="208"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FOREIGN CURRENCY RISK</w:t>
      </w:r>
    </w:p>
    <w:p>
      <w:pPr>
        <w:spacing w:after="0" w:line="200" w:lineRule="exact"/>
        <w:rPr>
          <w:sz w:val="20"/>
          <w:szCs w:val="20"/>
          <w:color w:val="auto"/>
        </w:rPr>
      </w:pPr>
    </w:p>
    <w:p>
      <w:pPr>
        <w:spacing w:after="0" w:line="318" w:lineRule="exact"/>
        <w:rPr>
          <w:sz w:val="20"/>
          <w:szCs w:val="20"/>
          <w:color w:val="auto"/>
        </w:rPr>
      </w:pPr>
    </w:p>
    <w:p>
      <w:pPr>
        <w:ind w:left="8" w:right="3079" w:firstLine="447"/>
        <w:spacing w:after="0" w:line="259" w:lineRule="auto"/>
        <w:rPr>
          <w:sz w:val="20"/>
          <w:szCs w:val="20"/>
          <w:color w:val="auto"/>
        </w:rPr>
      </w:pPr>
      <w:r>
        <w:rPr>
          <w:rFonts w:ascii="Courier New" w:cs="Courier New" w:eastAsia="Courier New" w:hAnsi="Courier New"/>
          <w:sz w:val="15"/>
          <w:szCs w:val="15"/>
          <w:color w:val="auto"/>
        </w:rPr>
        <w:t>We enter into foreign exchange forward contracts to hedge some of our foreign currency exposure. We use such contracts to hedge exposure to changes in foreign currency exchange rates associated with revenue denominated in a foreign currency and anticipated costs to be incurred in a foreign currency. We seek to minimize the risk that the fair value of sales of our products and services and cash flow required for our expenses denominated in a currency other than our functional currency, the dollar, will be affected by changes in exchange rates. See Note 18 to our consolidated financial statements.</w:t>
      </w:r>
    </w:p>
    <w:p>
      <w:pPr>
        <w:spacing w:after="0" w:line="200" w:lineRule="exact"/>
        <w:rPr>
          <w:sz w:val="20"/>
          <w:szCs w:val="20"/>
          <w:color w:val="auto"/>
        </w:rPr>
      </w:pPr>
    </w:p>
    <w:p>
      <w:pPr>
        <w:spacing w:after="0" w:line="225" w:lineRule="exact"/>
        <w:rPr>
          <w:sz w:val="20"/>
          <w:szCs w:val="20"/>
          <w:color w:val="auto"/>
        </w:rPr>
      </w:pPr>
    </w:p>
    <w:p>
      <w:pPr>
        <w:ind w:left="8" w:right="3079" w:firstLine="447"/>
        <w:spacing w:after="0" w:line="266" w:lineRule="auto"/>
        <w:rPr>
          <w:sz w:val="20"/>
          <w:szCs w:val="20"/>
          <w:color w:val="auto"/>
        </w:rPr>
      </w:pPr>
      <w:r>
        <w:rPr>
          <w:rFonts w:ascii="Courier New" w:cs="Courier New" w:eastAsia="Courier New" w:hAnsi="Courier New"/>
          <w:sz w:val="15"/>
          <w:szCs w:val="15"/>
          <w:color w:val="auto"/>
        </w:rPr>
        <w:t>The following table summarizes our foreign currency forward exchange agreements as of September 30, 1998. The table presents the notional amounts (dollars in millions), weighted average exchange rates by expected (contractual) maturity dates, and fair value of the total derivative instruments. Notional values and average contract rates are calculated based on forward rates at September 30, 1998 dollar translated.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3"/>
          </w:tcPr>
          <w:p>
            <w:pPr>
              <w:jc w:val="right"/>
              <w:ind w:right="425"/>
              <w:spacing w:after="0"/>
              <w:rPr>
                <w:sz w:val="20"/>
                <w:szCs w:val="20"/>
                <w:color w:val="auto"/>
              </w:rPr>
            </w:pPr>
            <w:r>
              <w:rPr>
                <w:rFonts w:ascii="Courier New" w:cs="Courier New" w:eastAsia="Courier New" w:hAnsi="Courier New"/>
                <w:sz w:val="15"/>
                <w:szCs w:val="15"/>
                <w:color w:val="auto"/>
              </w:rPr>
              <w:t>AT SEPTEMBER 30,</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FV</w:t>
            </w:r>
          </w:p>
        </w:tc>
        <w:tc>
          <w:tcPr>
            <w:tcW w:w="0" w:type="dxa"/>
            <w:vAlign w:val="bottom"/>
          </w:tcPr>
          <w:p>
            <w:pPr>
              <w:spacing w:after="0"/>
              <w:rPr>
                <w:sz w:val="1"/>
                <w:szCs w:val="1"/>
                <w:color w:val="auto"/>
              </w:rPr>
            </w:pPr>
          </w:p>
        </w:tc>
      </w:tr>
      <w:tr>
        <w:trPr>
          <w:trHeight w:val="172"/>
        </w:trPr>
        <w:tc>
          <w:tcPr>
            <w:tcW w:w="304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
                <w:szCs w:val="1"/>
                <w:color w:val="auto"/>
                <w:w w:val="33"/>
              </w:rPr>
              <w:t>----------------------------------------</w:t>
            </w:r>
          </w:p>
        </w:tc>
        <w:tc>
          <w:tcPr>
            <w:tcW w:w="6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88"/>
              </w:rPr>
              <w:t>1999</w:t>
            </w:r>
          </w:p>
        </w:tc>
        <w:tc>
          <w:tcPr>
            <w:tcW w:w="220" w:type="dxa"/>
            <w:vAlign w:val="bottom"/>
          </w:tcPr>
          <w:p>
            <w:pPr>
              <w:spacing w:after="0"/>
              <w:rPr>
                <w:sz w:val="14"/>
                <w:szCs w:val="14"/>
                <w:color w:val="auto"/>
              </w:rPr>
            </w:pPr>
          </w:p>
        </w:tc>
        <w:tc>
          <w:tcPr>
            <w:tcW w:w="5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4"/>
              </w:rPr>
              <w:t>2000</w:t>
            </w:r>
          </w:p>
        </w:tc>
        <w:tc>
          <w:tcPr>
            <w:tcW w:w="7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7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2002</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AFTER</w:t>
            </w:r>
          </w:p>
        </w:tc>
        <w:tc>
          <w:tcPr>
            <w:tcW w:w="4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OF FORWARDS</w:t>
            </w:r>
          </w:p>
        </w:tc>
        <w:tc>
          <w:tcPr>
            <w:tcW w:w="0" w:type="dxa"/>
            <w:vAlign w:val="bottom"/>
          </w:tcPr>
          <w:p>
            <w:pPr>
              <w:spacing w:after="0"/>
              <w:rPr>
                <w:sz w:val="1"/>
                <w:szCs w:val="1"/>
                <w:color w:val="auto"/>
              </w:rPr>
            </w:pPr>
          </w:p>
        </w:tc>
      </w:tr>
      <w:tr>
        <w:trPr>
          <w:trHeight w:val="252"/>
        </w:trPr>
        <w:tc>
          <w:tcPr>
            <w:tcW w:w="3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21"/>
                <w:szCs w:val="21"/>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4"/>
        </w:trPr>
        <w:tc>
          <w:tcPr>
            <w:tcW w:w="3040" w:type="dxa"/>
            <w:vAlign w:val="bottom"/>
          </w:tcPr>
          <w:p>
            <w:pPr>
              <w:spacing w:after="0"/>
              <w:rPr>
                <w:sz w:val="20"/>
                <w:szCs w:val="20"/>
                <w:color w:val="auto"/>
              </w:rPr>
            </w:pPr>
            <w:r>
              <w:rPr>
                <w:rFonts w:ascii="Courier New" w:cs="Courier New" w:eastAsia="Courier New" w:hAnsi="Courier New"/>
                <w:sz w:val="15"/>
                <w:szCs w:val="15"/>
                <w:color w:val="auto"/>
              </w:rPr>
              <w:t>Forward contracts to sell foreign</w:t>
            </w: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currencies for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British Pounds</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31.00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1.70</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spacing w:after="0"/>
              <w:rPr>
                <w:sz w:val="20"/>
                <w:szCs w:val="20"/>
                <w:color w:val="auto"/>
              </w:rPr>
            </w:pPr>
            <w:r>
              <w:rPr>
                <w:rFonts w:ascii="Courier New" w:cs="Courier New" w:eastAsia="Courier New" w:hAnsi="Courier New"/>
                <w:sz w:val="15"/>
                <w:szCs w:val="15"/>
                <w:color w:val="auto"/>
              </w:rPr>
              <w:t>(1.60)</w:t>
            </w: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1.66</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Austrian Schillings</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14.80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0.90</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spacing w:after="0"/>
              <w:rPr>
                <w:sz w:val="20"/>
                <w:szCs w:val="20"/>
                <w:color w:val="auto"/>
              </w:rPr>
            </w:pPr>
            <w:r>
              <w:rPr>
                <w:rFonts w:ascii="Courier New" w:cs="Courier New" w:eastAsia="Courier New" w:hAnsi="Courier New"/>
                <w:sz w:val="15"/>
                <w:szCs w:val="15"/>
                <w:color w:val="auto"/>
              </w:rPr>
              <w:t>(0.50)</w:t>
            </w: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11.64</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11.52</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Canadian Dollars</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58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Japanese Yen</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3.20</w:t>
            </w:r>
          </w:p>
        </w:tc>
        <w:tc>
          <w:tcPr>
            <w:tcW w:w="220" w:type="dxa"/>
            <w:vAlign w:val="bottom"/>
          </w:tcPr>
          <w:p>
            <w:pPr>
              <w:spacing w:after="0"/>
              <w:rPr>
                <w:sz w:val="14"/>
                <w:szCs w:val="14"/>
                <w:color w:val="auto"/>
              </w:rPr>
            </w:pPr>
          </w:p>
        </w:tc>
        <w:tc>
          <w:tcPr>
            <w:tcW w:w="58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2"/>
              </w:rPr>
              <w:t>133.80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Forward contracts to buy foreign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currencies for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Australian Dollars</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15.60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9.10</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$4.90</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$5.50</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$4.30</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spacing w:after="0"/>
              <w:rPr>
                <w:sz w:val="20"/>
                <w:szCs w:val="20"/>
                <w:color w:val="auto"/>
              </w:rPr>
            </w:pPr>
            <w:r>
              <w:rPr>
                <w:rFonts w:ascii="Courier New" w:cs="Courier New" w:eastAsia="Courier New" w:hAnsi="Courier New"/>
                <w:sz w:val="15"/>
                <w:szCs w:val="15"/>
                <w:color w:val="auto"/>
              </w:rPr>
              <w:t>(3.10)</w:t>
            </w: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0.60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Israeli Shekels</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80.40</w:t>
            </w:r>
          </w:p>
        </w:tc>
        <w:tc>
          <w:tcPr>
            <w:tcW w:w="220" w:type="dxa"/>
            <w:vAlign w:val="bottom"/>
          </w:tcPr>
          <w:p>
            <w:pPr>
              <w:spacing w:after="0"/>
              <w:rPr>
                <w:sz w:val="14"/>
                <w:szCs w:val="14"/>
                <w:color w:val="auto"/>
              </w:rPr>
            </w:pPr>
          </w:p>
        </w:tc>
        <w:tc>
          <w:tcPr>
            <w:tcW w:w="58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0.50</w:t>
            </w:r>
          </w:p>
        </w:tc>
        <w:tc>
          <w:tcPr>
            <w:tcW w:w="0" w:type="dxa"/>
            <w:vAlign w:val="bottom"/>
          </w:tcPr>
          <w:p>
            <w:pPr>
              <w:spacing w:after="0"/>
              <w:rPr>
                <w:sz w:val="1"/>
                <w:szCs w:val="1"/>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21"/>
                <w:szCs w:val="21"/>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3.94</w:t>
            </w:r>
          </w:p>
        </w:tc>
        <w:tc>
          <w:tcPr>
            <w:tcW w:w="220" w:type="dxa"/>
            <w:vAlign w:val="bottom"/>
          </w:tcPr>
          <w:p>
            <w:pPr>
              <w:spacing w:after="0"/>
              <w:rPr>
                <w:sz w:val="21"/>
                <w:szCs w:val="21"/>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188" w:hanging="188"/>
        <w:spacing w:after="0"/>
        <w:tabs>
          <w:tab w:leader="none" w:pos="18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$100,000.</w:t>
      </w:r>
    </w:p>
    <w:p>
      <w:pPr>
        <w:spacing w:after="0" w:line="146"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RISK</w:t>
      </w:r>
    </w:p>
    <w:p>
      <w:pPr>
        <w:spacing w:after="0" w:line="346" w:lineRule="exact"/>
        <w:rPr>
          <w:sz w:val="20"/>
          <w:szCs w:val="20"/>
          <w:color w:val="auto"/>
        </w:rPr>
      </w:pPr>
    </w:p>
    <w:p>
      <w:pPr>
        <w:ind w:left="8" w:right="3079" w:firstLine="447"/>
        <w:spacing w:after="0" w:line="281" w:lineRule="auto"/>
        <w:rPr>
          <w:sz w:val="20"/>
          <w:szCs w:val="20"/>
          <w:color w:val="auto"/>
        </w:rPr>
      </w:pPr>
      <w:r>
        <w:rPr>
          <w:rFonts w:ascii="Courier New" w:cs="Courier New" w:eastAsia="Courier New" w:hAnsi="Courier New"/>
          <w:sz w:val="15"/>
          <w:szCs w:val="15"/>
          <w:color w:val="auto"/>
        </w:rPr>
        <w:t>Our interest expenses are most sensitive to changes in the London InterBank Offered Rate, or LIBOR, as all of our short-term borrowings bear a LIBOR-based interest rate. Excess liquidity invested in short-term investments bears minimal interest rate risk.</w:t>
      </w:r>
    </w:p>
    <w:p>
      <w:pPr>
        <w:spacing w:after="0" w:line="200" w:lineRule="exact"/>
        <w:rPr>
          <w:sz w:val="20"/>
          <w:szCs w:val="20"/>
          <w:color w:val="auto"/>
        </w:rPr>
      </w:pPr>
    </w:p>
    <w:p>
      <w:pPr>
        <w:spacing w:after="0" w:line="208" w:lineRule="exact"/>
        <w:rPr>
          <w:sz w:val="20"/>
          <w:szCs w:val="20"/>
          <w:color w:val="auto"/>
        </w:rPr>
      </w:pPr>
    </w:p>
    <w:p>
      <w:pPr>
        <w:ind w:left="8" w:right="3159" w:firstLine="447"/>
        <w:spacing w:after="0" w:line="281" w:lineRule="auto"/>
        <w:rPr>
          <w:sz w:val="20"/>
          <w:szCs w:val="20"/>
          <w:color w:val="auto"/>
        </w:rPr>
      </w:pPr>
      <w:r>
        <w:rPr>
          <w:rFonts w:ascii="Courier New" w:cs="Courier New" w:eastAsia="Courier New" w:hAnsi="Courier New"/>
          <w:sz w:val="15"/>
          <w:szCs w:val="15"/>
          <w:color w:val="auto"/>
        </w:rPr>
        <w:t>At September 30, 1998, we had approximately $91.6 million outstanding on our revolving line of credit and short-term credit agreements and $12.2 million recorded as long-term lease obligations. The potential loss to us over one year that would result from a hypothetical,</w:t>
      </w:r>
    </w:p>
    <w:p>
      <w:pPr>
        <w:sectPr>
          <w:pgSz w:w="11900" w:h="16838" w:orient="portrait"/>
          <w:cols w:equalWidth="0" w:num="1">
            <w:col w:w="10227"/>
          </w:cols>
          <w:pgMar w:left="232" w:top="263" w:right="1440" w:bottom="1440" w:gutter="0" w:footer="0" w:header="0"/>
        </w:sectPr>
      </w:pPr>
    </w:p>
    <w:p>
      <w:pPr>
        <w:spacing w:after="0" w:line="23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7"/>
          </w:cols>
          <w:pgMar w:left="232" w:top="263" w:right="1440" w:bottom="1440" w:gutter="0" w:footer="0" w:header="0"/>
          <w:type w:val="continuous"/>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32</w:t>
      </w:r>
    </w:p>
    <w:p>
      <w:pPr>
        <w:spacing w:after="0" w:line="346" w:lineRule="exact"/>
        <w:rPr>
          <w:sz w:val="20"/>
          <w:szCs w:val="20"/>
          <w:color w:val="auto"/>
        </w:rPr>
      </w:pPr>
    </w:p>
    <w:p>
      <w:pPr>
        <w:ind w:right="3159"/>
        <w:spacing w:after="0" w:line="253" w:lineRule="auto"/>
        <w:rPr>
          <w:sz w:val="20"/>
          <w:szCs w:val="20"/>
          <w:color w:val="auto"/>
        </w:rPr>
      </w:pPr>
      <w:r>
        <w:rPr>
          <w:rFonts w:ascii="Courier New" w:cs="Courier New" w:eastAsia="Courier New" w:hAnsi="Courier New"/>
          <w:sz w:val="15"/>
          <w:szCs w:val="15"/>
          <w:color w:val="auto"/>
        </w:rPr>
        <w:t>instantaneous, and unfavorable change of 100 basis points in the interest rates of all applicable financial assets and liabilities on September 30, 1998 would be approximately $1.0 million. The above sensitivity analysis is based on the assumption of an unfavorable 100 basis point movement of the interest rates applicable to each homogenous category of financial assets and liabilities and sustained over a period of one year. A homogenous category is defined according to the currency in which financial assets and liabilities are denominated and assumes the same interest rate movement within each homogenous category. As a result, our interest rate risk sensitivity model may overstate the impact of interest rate fluctuations for such financial instruments, as consistently unfavorable movements of all interest rates are unlikely. See Note 8 to our consolidated financial statements.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ARCHITEL TRANSACTION</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On March 2, 1999, we entered into a combination agreement with Architel Systems Corporation, a Canadian corporation, by which we would acquire Architel in a stock transaction valued at approximately $400 million at the time of the agreement. On April 8, 1999, Architel announced that it had restructured its relationship with its largest customer, and expected revenue and earnings for future periods to be substantially less than originally anticipated. As a result of these developments, on April 22, 1999, we terminated the combination agreement.</w:t>
      </w:r>
    </w:p>
    <w:p>
      <w:pPr>
        <w:spacing w:after="0" w:line="25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6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33</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BUSINESS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346"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We are a leading provider of product-driven information system solutions to major telecommunications companies in North America, Europe and around the world.</w:t>
      </w:r>
    </w:p>
    <w:p>
      <w:pPr>
        <w:spacing w:after="0" w:line="393" w:lineRule="exact"/>
        <w:rPr>
          <w:sz w:val="20"/>
          <w:szCs w:val="20"/>
          <w:color w:val="auto"/>
        </w:rPr>
      </w:pPr>
    </w:p>
    <w:p>
      <w:pPr>
        <w:ind w:right="3079" w:firstLine="447"/>
        <w:spacing w:after="0" w:line="271" w:lineRule="auto"/>
        <w:rPr>
          <w:sz w:val="20"/>
          <w:szCs w:val="20"/>
          <w:color w:val="auto"/>
        </w:rPr>
      </w:pPr>
      <w:r>
        <w:rPr>
          <w:rFonts w:ascii="Courier New" w:cs="Courier New" w:eastAsia="Courier New" w:hAnsi="Courier New"/>
          <w:sz w:val="14"/>
          <w:szCs w:val="14"/>
          <w:color w:val="auto"/>
        </w:rPr>
        <w:t>Our Business Support Systems, or BSS, consist of families of customized software products and services designed to meet the mission-critical needs of specific telecommunications market sectors. We provide primarily CC&amp;B Systems for wireline (local, long distance, international, data, Internet and Voice Over Internet Protocol, or VOIP) and wireless (cellular, personal communications services, or PCS, and paging) network operators and service providers, as well as for companies that offer multiple service packages, commonly referred to as convergent services (combinations of local, long distance, international, mobile, cable television, data and Internet services). In addition, we provide a full range of Directory Systems to publishers of both traditional printed yellow page and white page directories and electronic Internet directories. Due to the complexity of the process and the expertise required for system support, we also provide extensive customization, implementation, system integration, ongoing support, system enhancement, maintenance and outsourcing services.</w:t>
      </w:r>
    </w:p>
    <w:p>
      <w:pPr>
        <w:spacing w:after="0" w:line="245" w:lineRule="exact"/>
        <w:rPr>
          <w:sz w:val="20"/>
          <w:szCs w:val="20"/>
          <w:color w:val="auto"/>
        </w:rPr>
      </w:pPr>
    </w:p>
    <w:p>
      <w:pPr>
        <w:ind w:right="3159" w:firstLine="447"/>
        <w:spacing w:after="0" w:line="254"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telecommunications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the telecommunications industry. Our customer base includes the largest local exchange service providers in the United States (including all the regional Bell operating companies), major foreign network operators and service providers (including Deutsche Telekom (Germany) and Telstra Corporation Ltd. (Australia)) and emerging market leaders.</w:t>
      </w:r>
    </w:p>
    <w:p>
      <w:pPr>
        <w:spacing w:after="0" w:line="258"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Our BSS products and related services are designed to manage and improve key aspects of the business operations of telecommunications companies, such as customer care, order management, call rating, invoice calculation, bill formatting, collections, fraud management and directory publishing services. The BSS products are tailored to address the unique needs of each telecommunications provider.</w:t>
      </w:r>
    </w:p>
    <w:p>
      <w:pPr>
        <w:spacing w:after="0" w:line="200" w:lineRule="exact"/>
        <w:rPr>
          <w:sz w:val="20"/>
          <w:szCs w:val="20"/>
          <w:color w:val="auto"/>
        </w:rPr>
      </w:pPr>
    </w:p>
    <w:p>
      <w:pPr>
        <w:spacing w:after="0" w:line="218"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Our products are designed to support a variety of service offerings, including wireline, wireless, data and convergent multi-service environments, in a network-independent manner.</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TELECOMMUNICATIONS INDUSTRY</w:t>
      </w:r>
    </w:p>
    <w:p>
      <w:pPr>
        <w:spacing w:after="0" w:line="346" w:lineRule="exact"/>
        <w:rPr>
          <w:sz w:val="20"/>
          <w:szCs w:val="20"/>
          <w:color w:val="auto"/>
        </w:rPr>
      </w:pPr>
    </w:p>
    <w:p>
      <w:pPr>
        <w:ind w:right="3079" w:firstLine="447"/>
        <w:spacing w:after="0" w:line="250" w:lineRule="auto"/>
        <w:rPr>
          <w:sz w:val="20"/>
          <w:szCs w:val="20"/>
          <w:color w:val="auto"/>
        </w:rPr>
      </w:pPr>
      <w:r>
        <w:rPr>
          <w:rFonts w:ascii="Courier New" w:cs="Courier New" w:eastAsia="Courier New" w:hAnsi="Courier New"/>
          <w:sz w:val="15"/>
          <w:szCs w:val="15"/>
          <w:color w:val="auto"/>
        </w:rPr>
        <w:t>The global telecommunications industry is becoming increasingly more competitive due to deregulation and the development of new service technologies. Competition in the U.S. market began to increase in 1984 when AT&amp;T was required to divest its local telephone operations and many new operators began to enter the long distance market. The Telecommunications Act of 1996 has increased competition in the United States even further by allowing new and existing local (e.g., competitive local exchange carriers), long distance and cable companies to offer competing services. Many companies are beginning to compete by providing multiple or convergent services, offering combinations of local exchange, long distance, wireless and data communications services to customers in single geographic markets. Deregulation is also creating opportunities for new ways of doing business, such as wholesaling and reselling telecommunications services. Internationally, privatization and deregulation are resulting in increased international competition and the emergence of newly authorized telecommunications network operators and service providers, especially in Europe, Latin America and the Asia-Pacific</w:t>
      </w:r>
    </w:p>
    <w:p>
      <w:pPr>
        <w:sectPr>
          <w:pgSz w:w="11900" w:h="16838" w:orient="portrait"/>
          <w:cols w:equalWidth="0" w:num="1">
            <w:col w:w="10219"/>
          </w:cols>
          <w:pgMar w:left="240" w:top="263" w:right="1440" w:bottom="1440" w:gutter="0" w:footer="0" w:header="0"/>
        </w:sectPr>
      </w:pPr>
    </w:p>
    <w:p>
      <w:pPr>
        <w:spacing w:after="0" w:line="2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63" w:right="1440"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region. As markets are opened to competition, new competitors within these markets typically compete for market share with more established carriers, initially by providing access to service and then by providing competitive prices, by introducing new features and services and by being more responsive to customer needs. In addition, global expansion by multinational companies and concurrent technological advances are opening markets in less developed countries to enhanced telecommunications services and competition.</w:t>
      </w:r>
    </w:p>
    <w:p>
      <w:pPr>
        <w:spacing w:after="0" w:line="78" w:lineRule="exact"/>
        <w:rPr>
          <w:sz w:val="20"/>
          <w:szCs w:val="20"/>
          <w:color w:val="auto"/>
        </w:rPr>
      </w:pPr>
    </w:p>
    <w:p>
      <w:pPr>
        <w:ind w:right="3079" w:firstLine="447"/>
        <w:spacing w:after="0" w:line="252" w:lineRule="auto"/>
        <w:rPr>
          <w:sz w:val="20"/>
          <w:szCs w:val="20"/>
          <w:color w:val="auto"/>
        </w:rPr>
      </w:pPr>
      <w:r>
        <w:rPr>
          <w:rFonts w:ascii="Courier New" w:cs="Courier New" w:eastAsia="Courier New" w:hAnsi="Courier New"/>
          <w:sz w:val="15"/>
          <w:szCs w:val="15"/>
          <w:color w:val="auto"/>
        </w:rPr>
        <w:t>In recent years, there has also been an explosion of new communications technologies, including the Internet, PCS, Direct Broadcast Satellites and Enhanced Specialized Mobile Radio, and improvements to existing services such as call-forwarding, caller ID and voice mail, as well as the introduction of advanced intelligent networks that offer new services such as voice activated dialing. Additionally, companies in the directory publishing industry, which is currently dominated by telecommunications companies that are owned by or affiliated with the public telecommunications carriers, generally employ a local sales force numbering thousands of representatives, serve an advertiser customer base of hundreds of thousands of businesses and publish hundreds of different directories each year. With the introduction of new technologies and distribution platforms, including Internet directories, the directory publishing industry is also experiencing significant changes.</w:t>
      </w:r>
    </w:p>
    <w:p>
      <w:pPr>
        <w:spacing w:after="0" w:line="8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INFORMATION SYSTEMS</w:t>
      </w:r>
    </w:p>
    <w:p>
      <w:pPr>
        <w:spacing w:after="0" w:line="174" w:lineRule="exact"/>
        <w:rPr>
          <w:sz w:val="20"/>
          <w:szCs w:val="20"/>
          <w:color w:val="auto"/>
        </w:rPr>
      </w:pPr>
    </w:p>
    <w:p>
      <w:pPr>
        <w:ind w:right="3079" w:firstLine="447"/>
        <w:spacing w:after="0" w:line="274" w:lineRule="auto"/>
        <w:rPr>
          <w:sz w:val="20"/>
          <w:szCs w:val="20"/>
          <w:color w:val="auto"/>
        </w:rPr>
      </w:pPr>
      <w:r>
        <w:rPr>
          <w:rFonts w:ascii="Courier New" w:cs="Courier New" w:eastAsia="Courier New" w:hAnsi="Courier New"/>
          <w:sz w:val="14"/>
          <w:szCs w:val="14"/>
          <w:color w:val="auto"/>
        </w:rPr>
        <w:t>As a result of these developments, many telecommunications companies are seeking a new generation of information systems to support their operations and to be more competitive. Many are looking to offer single-contact, single-invoice solutions with integrated pricing plans for all services ("one-stop shopping"). Traditional telecommunications information systems are generally not able to support multiple services or convergent systems efficiently. In addition, these legacy information systems generally utilize antiquated technology, are costly to maintain, are oriented to supporting a single-service approach and require significant time and effort to accommodate new products or features, such as pricing changes. In this dynamic environment, integrated, flexible and scalable information systems are increasingly a means of differentiating competitors.</w:t>
      </w:r>
    </w:p>
    <w:p>
      <w:pPr>
        <w:spacing w:after="0" w:line="72" w:lineRule="exact"/>
        <w:rPr>
          <w:sz w:val="20"/>
          <w:szCs w:val="20"/>
          <w:color w:val="auto"/>
        </w:rPr>
      </w:pPr>
    </w:p>
    <w:p>
      <w:pPr>
        <w:ind w:right="3079" w:firstLine="447"/>
        <w:spacing w:after="0" w:line="254" w:lineRule="auto"/>
        <w:rPr>
          <w:sz w:val="20"/>
          <w:szCs w:val="20"/>
          <w:color w:val="auto"/>
        </w:rPr>
      </w:pPr>
      <w:r>
        <w:rPr>
          <w:rFonts w:ascii="Courier New" w:cs="Courier New" w:eastAsia="Courier New" w:hAnsi="Courier New"/>
          <w:sz w:val="15"/>
          <w:szCs w:val="15"/>
          <w:color w:val="auto"/>
        </w:rPr>
        <w:t>Many new and existing telecommunications companies do not have the financial or human resources or technological capability to internally develop efficient, flexible, cost-effective information systems on a timely basis. Moreover, as many telecommunications companies strive to become more consumer-oriented, they are concentrating their efforts and resources on marketing to consumers and expanding their service offerings, and many are turning to third-party vendors for their information systems which creates significant opportunities for us. Unlike us, however, many third-party vendors generally provide only generic software packages and maintenance services, while customization, implementation and other related and ongoing tasks are performed by a separate systems integration company.</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AMDOCS SOLUTION</w:t>
      </w:r>
    </w:p>
    <w:p>
      <w:pPr>
        <w:spacing w:after="0" w:line="346"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We believe that our total solutions orientation, product-driven approach and commitment to and support of quality personnel permit us to offer effective solutions to our customers that are both highly innovative and reliable. We believe that our success derives from a combination of the following factors that differentiate us from most of our competitors.</w:t>
      </w:r>
    </w:p>
    <w:p>
      <w:pPr>
        <w:spacing w:after="0" w:line="200" w:lineRule="exact"/>
        <w:rPr>
          <w:sz w:val="20"/>
          <w:szCs w:val="20"/>
          <w:color w:val="auto"/>
        </w:rPr>
      </w:pPr>
    </w:p>
    <w:p>
      <w:pPr>
        <w:spacing w:after="0" w:line="213"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TOTAL SOLUTIONS ORIENTATION. We offer our customers total solutions that include BSS product-driven software tailored to the customer's specific requirements, implementation services, systems integration, maintenance and ongoing support. By providing services directly to the customer, rather than through intermediaries and system integrators, we are able to utilize effectively our intensive technical knowledge of our BSS products in the overall execution of the project, significantly reducing project risk. Our product-driven software solutions approach is</w:t>
      </w:r>
    </w:p>
    <w:p>
      <w:pPr>
        <w:spacing w:after="0" w:line="25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63"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5"/>
          <w:szCs w:val="15"/>
          <w:color w:val="auto"/>
        </w:rPr>
        <w:t>distinctly different from the project-based strategy that has traditionally characterized many of the telecommunications information systems providers over the past twenty years. Our product-driven software solutions uses our BSS products as the starting point for each project. This approach enhances our ability to provide our customers with timely, cost-effective, low-risk solutions at a consistent level of quality.</w:t>
      </w:r>
    </w:p>
    <w:p>
      <w:pPr>
        <w:spacing w:after="0" w:line="246" w:lineRule="exact"/>
        <w:rPr>
          <w:sz w:val="20"/>
          <w:szCs w:val="20"/>
          <w:color w:val="auto"/>
        </w:rPr>
      </w:pPr>
    </w:p>
    <w:p>
      <w:pPr>
        <w:ind w:right="3339" w:firstLine="447"/>
        <w:spacing w:after="0" w:line="262" w:lineRule="auto"/>
        <w:rPr>
          <w:sz w:val="20"/>
          <w:szCs w:val="20"/>
          <w:color w:val="auto"/>
        </w:rPr>
      </w:pPr>
      <w:r>
        <w:rPr>
          <w:rFonts w:ascii="Courier New" w:cs="Courier New" w:eastAsia="Courier New" w:hAnsi="Courier New"/>
          <w:sz w:val="15"/>
          <w:szCs w:val="15"/>
          <w:color w:val="auto"/>
        </w:rPr>
        <w:t>FUNCTIONAL AND FLEXIBLE BSS PRODUCTS. Our BSS products are based on an open, three-tier, client-server, rule-based architecture that provides the functionality, scalability, modularity and adaptability required in today's deregulated, highly competitive telecommunications industry. Through the flexibility of our BSS products, our customers have achieved significant time-to-market advantages and reduced their dependence on technical and other staff.</w:t>
      </w:r>
    </w:p>
    <w:p>
      <w:pPr>
        <w:spacing w:after="0" w:line="250"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HIGHLY SKILLED PERSONNEL. We are able to offer our customers superior products and services on a worldwide basis in large part due to our highly qualified and trained technical, sales, marketing and managerial personnel. We invest significantly in the ongoing training of our personnel in key areas such as industry knowledge, software technologies and management capabilities. Primarily based on the skills and knowledge of our employees, we believe that we have developed a reputation for the reliable delivery of quality solutions within agreed time frames and budgets. We have global recruitment capabilities and have development centers in Israel, the United States and Cyprus.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4" w:lineRule="exact"/>
        <w:rPr>
          <w:sz w:val="20"/>
          <w:szCs w:val="20"/>
          <w:color w:val="auto"/>
        </w:rPr>
      </w:pPr>
    </w:p>
    <w:p>
      <w:pPr>
        <w:ind w:right="3339" w:firstLine="447"/>
        <w:spacing w:after="0" w:line="281" w:lineRule="auto"/>
        <w:rPr>
          <w:sz w:val="20"/>
          <w:szCs w:val="20"/>
          <w:color w:val="auto"/>
        </w:rPr>
      </w:pPr>
      <w:r>
        <w:rPr>
          <w:rFonts w:ascii="Courier New" w:cs="Courier New" w:eastAsia="Courier New" w:hAnsi="Courier New"/>
          <w:sz w:val="15"/>
          <w:szCs w:val="15"/>
          <w:color w:val="auto"/>
        </w:rPr>
        <w:t>Our goal is to provide advanced information technology software products and related customer service and support to the world's leading telecommunications companies. We seek to accomplish our goal by pursuing the strategies described below.</w:t>
      </w:r>
    </w:p>
    <w:p>
      <w:pPr>
        <w:spacing w:after="0" w:line="64" w:lineRule="exact"/>
        <w:rPr>
          <w:sz w:val="20"/>
          <w:szCs w:val="20"/>
          <w:color w:val="auto"/>
        </w:rPr>
      </w:pPr>
    </w:p>
    <w:p>
      <w:pPr>
        <w:ind w:left="620" w:right="3079" w:hanging="181"/>
        <w:spacing w:after="0" w:line="259"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FOCUS ON THE TELECOMMUNICATIONS INDUSTRY. We intend to continue to concentrate our resources and efforts on providing strategic information systems to the growing number of telecommunications industry participants. This strategy has enabled us to develop the specialized industry know-how and capability necessary to deliver the technologically advanced, large-scale, specifications-intensive information systems solutions required by the leading telecommunications companies in the wireless, wireline and convergent service sectors.</w:t>
      </w:r>
    </w:p>
    <w:p>
      <w:pPr>
        <w:spacing w:after="0" w:line="253" w:lineRule="exact"/>
        <w:rPr>
          <w:rFonts w:ascii="Courier New" w:cs="Courier New" w:eastAsia="Courier New" w:hAnsi="Courier New"/>
          <w:sz w:val="15"/>
          <w:szCs w:val="15"/>
          <w:color w:val="auto"/>
        </w:rPr>
      </w:pPr>
    </w:p>
    <w:p>
      <w:pPr>
        <w:ind w:left="620" w:right="3079" w:hanging="181"/>
        <w:spacing w:after="0" w:line="271" w:lineRule="auto"/>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INDUSTRY LEADERS AND PROMISING NEW ENTRANTS. We intend to continue to direct our marketing efforts principally towards the major telecommunications companies and new entrants that are believed to have the potential to be market leaders. Our customer base includes the largest local exchange service providers in the United States (including all the regional Bell operating companies), major foreign network operators and service providers (including Deutsche Telekom (Germany), Vodafone Group (United Kingdom) and Telstra Corporation Ltd. (Australia)) and emerging market leaders. We believe that the development of this premier customer base has helped position us as a market leader, while contributing to the stability of our business. By targeting industry leaders and promising new entrants that require the most sophisticated information systems solutions, we believe that we are best able to ensure that we remain at the forefront of developments in the industry.</w:t>
      </w:r>
    </w:p>
    <w:p>
      <w:pPr>
        <w:spacing w:after="0" w:line="200" w:lineRule="exact"/>
        <w:rPr>
          <w:rFonts w:ascii="Courier New" w:cs="Courier New" w:eastAsia="Courier New" w:hAnsi="Courier New"/>
          <w:sz w:val="14"/>
          <w:szCs w:val="14"/>
          <w:color w:val="auto"/>
        </w:rPr>
      </w:pPr>
    </w:p>
    <w:p>
      <w:pPr>
        <w:spacing w:after="0" w:line="396" w:lineRule="exact"/>
        <w:rPr>
          <w:rFonts w:ascii="Courier New" w:cs="Courier New" w:eastAsia="Courier New" w:hAnsi="Courier New"/>
          <w:sz w:val="14"/>
          <w:szCs w:val="14"/>
          <w:color w:val="auto"/>
        </w:rPr>
      </w:pPr>
    </w:p>
    <w:p>
      <w:pPr>
        <w:ind w:left="620" w:right="3079" w:hanging="181"/>
        <w:spacing w:after="0" w:line="276" w:lineRule="auto"/>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AND SUPPORT TOTAL SOLUTIONS. Our strategy is to use our BSS products as the basis for providing customers with total systems solutions. Using this product-driven solutions strategy, we strive to tailor our core software modules to the specific, individualized requirements of our customers. Working directly with the customer, development personnel prepare the detailed functional specifications of the system required by the customer. In accordance with such specifications, system modules are then adapted or customized to meet the customer's specific business requirements. We believe that this approach minimizes risks and increases efficiencies by drawing on field-proven BSS</w:t>
      </w:r>
    </w:p>
    <w:p>
      <w:pPr>
        <w:spacing w:after="0" w:line="6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6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ind w:left="520" w:right="3079"/>
        <w:spacing w:after="0" w:line="272" w:lineRule="auto"/>
        <w:rPr>
          <w:sz w:val="20"/>
          <w:szCs w:val="20"/>
          <w:color w:val="auto"/>
        </w:rPr>
      </w:pPr>
      <w:r>
        <w:rPr>
          <w:rFonts w:ascii="Courier New" w:cs="Courier New" w:eastAsia="Courier New" w:hAnsi="Courier New"/>
          <w:sz w:val="15"/>
          <w:szCs w:val="15"/>
          <w:color w:val="auto"/>
        </w:rPr>
        <w:t>products and techniques, and also helps to create for our customers significant time-to-market and other competitive advantages. By leveraging our specialized product knowledge, we believe that we can provide more effective system integration and implementation support services to our customers.</w:t>
      </w:r>
    </w:p>
    <w:p>
      <w:pPr>
        <w:spacing w:after="0" w:line="241" w:lineRule="exact"/>
        <w:rPr>
          <w:sz w:val="20"/>
          <w:szCs w:val="20"/>
          <w:color w:val="auto"/>
        </w:rPr>
      </w:pPr>
    </w:p>
    <w:p>
      <w:pPr>
        <w:ind w:left="620" w:right="3159" w:hanging="181"/>
        <w:spacing w:after="0" w:line="25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AND DEVELOP LONG-TERM CUSTOMER RELATIONSHIPS. We seek to maintain and develop long-term, mutually beneficial relationships with our customers. As a result of this strategy, we have been able to establish long-term working relationships with many of our customers. Of our current base of over 70 customers, 18 have been customers for five years or more. These relationships have generally involved additional product sales, as well as ongoing support, system enhancement and maintenance services. We believe that such relationships are facilitated in many cases by the mission-critical strategic nature of the systems provided by us and by the customer's reliance on our specialized skills and knowledge. In addition, our strategy is to solidify our existing customer relationships by means of long-term support and maintenance contracts.</w:t>
      </w:r>
    </w:p>
    <w:p>
      <w:pPr>
        <w:spacing w:after="0" w:line="260" w:lineRule="exact"/>
        <w:rPr>
          <w:rFonts w:ascii="Courier New" w:cs="Courier New" w:eastAsia="Courier New" w:hAnsi="Courier New"/>
          <w:sz w:val="15"/>
          <w:szCs w:val="15"/>
          <w:color w:val="auto"/>
        </w:rPr>
      </w:pPr>
    </w:p>
    <w:p>
      <w:pPr>
        <w:ind w:left="620" w:right="3079" w:hanging="181"/>
        <w:spacing w:after="0" w:line="251"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ENHANCE GLOBAL CAPABILITIES. We intend to continue to develop and enhance our global business strategy by targeting advanced telecommunications markets around the world. The worldwide demand for telecommunications services is increasing rapidly, due, in part, to the needs of many underserved national markets and, in part, to increased competition among established and new network operators and service providers in more mature markets. We believe we have developed the human and other resources required to conduct business on a global basis and we are well positioned to respond to the demands of a worldwide industry, including the increasing trend for the major telecommunications companies to invest in new national markets, often in partnership with local companies. We have also developed the capability for the rapid global deployment of appropriately skilled personnel, when and where required, to support customer projects.</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346" w:lineRule="exact"/>
        <w:rPr>
          <w:sz w:val="20"/>
          <w:szCs w:val="20"/>
          <w:color w:val="auto"/>
        </w:rPr>
      </w:pPr>
    </w:p>
    <w:p>
      <w:pPr>
        <w:ind w:right="3079" w:firstLine="447"/>
        <w:spacing w:after="0" w:line="252" w:lineRule="auto"/>
        <w:rPr>
          <w:sz w:val="20"/>
          <w:szCs w:val="20"/>
          <w:color w:val="auto"/>
        </w:rPr>
      </w:pPr>
      <w:r>
        <w:rPr>
          <w:rFonts w:ascii="Courier New" w:cs="Courier New" w:eastAsia="Courier New" w:hAnsi="Courier New"/>
          <w:sz w:val="15"/>
          <w:szCs w:val="15"/>
          <w:color w:val="auto"/>
        </w:rPr>
        <w:t>We have developed core competencies in various advanced technologies that are used in our BSS products. By utilizing technologies such as rule-based techniques, intelligent agents over the Internet, object-oriented design and programming and data mining, we are able to provide telecommunications companies with the flexibility required in a highly competitive, dynamic environment. For example, the use of rule and table-based technologies allows telecommunications companies to implement changes to the key elements of their marketing and customer service activities simply and rapidly, such as the introduction of new services, price plans, discount schemes and bill formats, eliminating the need to modify system code. Similarly, by drawing on Web-enabled and Internet technologies, we have been able to improve access to information for remote users, both internally within a telecommunications company's organization and between the organization and its subscribers.</w:t>
      </w:r>
    </w:p>
    <w:p>
      <w:pPr>
        <w:spacing w:after="0" w:line="200" w:lineRule="exact"/>
        <w:rPr>
          <w:sz w:val="20"/>
          <w:szCs w:val="20"/>
          <w:color w:val="auto"/>
        </w:rPr>
      </w:pPr>
    </w:p>
    <w:p>
      <w:pPr>
        <w:spacing w:after="0" w:line="233"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These technologies are integrated in an open, multi-tier, client-server, service-oriented architecture. In order to support the ability of our customers to operate all of their distributed and mainframe applications, our BSS products are designed to work in a number of network and operating system environments, including UNIX, MVS and Windows NT.</w:t>
      </w:r>
    </w:p>
    <w:p>
      <w:pPr>
        <w:spacing w:after="0" w:line="241" w:lineRule="exact"/>
        <w:rPr>
          <w:sz w:val="20"/>
          <w:szCs w:val="20"/>
          <w:color w:val="auto"/>
        </w:rPr>
      </w:pPr>
    </w:p>
    <w:p>
      <w:pPr>
        <w:ind w:right="4139" w:firstLine="447"/>
        <w:spacing w:after="0" w:line="359" w:lineRule="auto"/>
        <w:rPr>
          <w:sz w:val="20"/>
          <w:szCs w:val="20"/>
          <w:color w:val="auto"/>
        </w:rPr>
      </w:pPr>
      <w:r>
        <w:rPr>
          <w:rFonts w:ascii="Courier New" w:cs="Courier New" w:eastAsia="Courier New" w:hAnsi="Courier New"/>
          <w:sz w:val="15"/>
          <w:szCs w:val="15"/>
          <w:color w:val="auto"/>
        </w:rPr>
        <w:t>The architecture of the BSS products includes the following key characteristics:</w:t>
      </w:r>
    </w:p>
    <w:p>
      <w:pPr>
        <w:spacing w:after="0" w:line="8" w:lineRule="exact"/>
        <w:rPr>
          <w:sz w:val="20"/>
          <w:szCs w:val="20"/>
          <w:color w:val="auto"/>
        </w:rPr>
      </w:pPr>
    </w:p>
    <w:p>
      <w:pPr>
        <w:ind w:left="620" w:right="3159" w:hanging="181"/>
        <w:spacing w:after="0" w:line="27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SCALABILITY. The BSS products are designed to take full advantage of the proven scalability of the UNIX platform, allowing progressive system expansion, proportional with the customer's growth in business volumes. Using the same software, our BSS products can support operations for small as well as very large service providers.</w:t>
      </w:r>
    </w:p>
    <w:p>
      <w:pPr>
        <w:spacing w:after="0" w:line="241" w:lineRule="exact"/>
        <w:rPr>
          <w:rFonts w:ascii="Courier New" w:cs="Courier New" w:eastAsia="Courier New" w:hAnsi="Courier New"/>
          <w:sz w:val="15"/>
          <w:szCs w:val="15"/>
          <w:color w:val="auto"/>
        </w:rPr>
      </w:pPr>
    </w:p>
    <w:p>
      <w:pPr>
        <w:ind w:left="620" w:right="3079" w:hanging="181"/>
        <w:spacing w:after="0" w:line="301"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MODULARITY. The BSS products are comprised of sets of functional modules. Each module can be installed on an individual stand alone basis, interfacing with the customer's existing</w:t>
      </w:r>
    </w:p>
    <w:p>
      <w:pPr>
        <w:sectPr>
          <w:pgSz w:w="11900" w:h="16838" w:orient="portrait"/>
          <w:cols w:equalWidth="0" w:num="1">
            <w:col w:w="10219"/>
          </w:cols>
          <w:pgMar w:left="240" w:top="263" w:right="1440" w:bottom="1440" w:gutter="0" w:footer="0" w:header="0"/>
        </w:sectPr>
      </w:pPr>
    </w:p>
    <w:p>
      <w:pPr>
        <w:spacing w:after="0" w:line="22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63" w:right="1440" w:bottom="1440" w:gutter="0" w:footer="0" w:header="0"/>
          <w:type w:val="continuous"/>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37</w:t>
      </w:r>
    </w:p>
    <w:p>
      <w:pPr>
        <w:spacing w:after="0" w:line="346" w:lineRule="exact"/>
        <w:rPr>
          <w:sz w:val="20"/>
          <w:szCs w:val="20"/>
          <w:color w:val="auto"/>
        </w:rPr>
      </w:pPr>
    </w:p>
    <w:p>
      <w:pPr>
        <w:ind w:left="520" w:right="3079"/>
        <w:spacing w:after="0" w:line="266" w:lineRule="auto"/>
        <w:rPr>
          <w:sz w:val="20"/>
          <w:szCs w:val="20"/>
          <w:color w:val="auto"/>
        </w:rPr>
      </w:pPr>
      <w:r>
        <w:rPr>
          <w:rFonts w:ascii="Courier New" w:cs="Courier New" w:eastAsia="Courier New" w:hAnsi="Courier New"/>
          <w:sz w:val="15"/>
          <w:szCs w:val="15"/>
          <w:color w:val="auto"/>
        </w:rPr>
        <w:t>systems, or as part of an integrated BSS environment. This modularity provides our customers with a highly flexible and cost-effective solution that is able to incrementally expand with the customers' growing needs and capabilities. The modular approach also preserves the customer's initial investment in BSS products, while minimizing future disruptions and the overall cost of system implementation.</w:t>
      </w:r>
    </w:p>
    <w:p>
      <w:pPr>
        <w:spacing w:after="0" w:line="246" w:lineRule="exact"/>
        <w:rPr>
          <w:sz w:val="20"/>
          <w:szCs w:val="20"/>
          <w:color w:val="auto"/>
        </w:rPr>
      </w:pPr>
    </w:p>
    <w:p>
      <w:pPr>
        <w:ind w:left="620" w:right="3079" w:hanging="181"/>
        <w:spacing w:after="0" w:line="262"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PORTABILITY. The architecture of the BSS products, by utilizing a UNIX platform, ensures that our customers are able to choose from a variety of hardware vendors, including Compaq, Hewlett Packard, IBM and Sun Microsystems. In implementing solutions for wireline companies, we are also able to employ MVS and hybrid UNIX/MVS platforms. The BSS products utilize, where applicable, Java-based design and programming to augment cross-platform portability.</w:t>
      </w:r>
    </w:p>
    <w:p>
      <w:pPr>
        <w:spacing w:after="0" w:line="77" w:lineRule="exact"/>
        <w:rPr>
          <w:rFonts w:ascii="Courier New" w:cs="Courier New" w:eastAsia="Courier New" w:hAnsi="Courier New"/>
          <w:sz w:val="15"/>
          <w:szCs w:val="15"/>
          <w:color w:val="auto"/>
        </w:rPr>
      </w:pPr>
    </w:p>
    <w:p>
      <w:pPr>
        <w:ind w:left="620" w:right="3079" w:hanging="181"/>
        <w:spacing w:after="0" w:line="253"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OPEN SYSTEMS. The BSS products accommodate well-defined application program interfaces with legacy systems and with other third-party modules or packages. The systems are not dependent on any single hardware vendor or specific relational database management system, enabling our customers to select among multiple hardware platforms and a variety of network and operating system environments. Similarly, BSS products utilize standard programming languages, such as C++, to ensure compatibility with the operating environments employed in most telecommunications companies. It is also our general policy to deliver to our customers complete copies of all source code, system documentation and other product information, which permits the customer to maintain and further customize the BSS products.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346"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We have developed an extensive library of BSS software products, providing comprehensive information systems functionality for wireless (cellular, PCS and paging), wireline (local, long distance, international, data, Internet and VOIP) and directory publishing operations. Core elements include customer care, order management, call rating, invoice calculation, bill formatting, collections, fraud management and directory publishing services.</w:t>
      </w:r>
    </w:p>
    <w:p>
      <w:pPr>
        <w:spacing w:after="0" w:line="200" w:lineRule="exact"/>
        <w:rPr>
          <w:sz w:val="20"/>
          <w:szCs w:val="20"/>
          <w:color w:val="auto"/>
        </w:rPr>
      </w:pPr>
    </w:p>
    <w:p>
      <w:pPr>
        <w:spacing w:after="0" w:line="218"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Specialized modules are provided to support specific functionalities required in the different network environments (roaming functionality for wireless carriers, SIM card functionality for GSM networks, value added services introduced by Advanced Intelligent Network (AIN) and preferred interexchange carrier functionality for long distance carriers). In addition, we have developed systems to support resellers and wholesalers of telecommunication services. Our systems also support telecommunications providers that offer multiple service packages, commonly referred to as convergent services (combinations of local, long distance, international, mobile, cable television, data and Internet services).</w:t>
      </w:r>
    </w:p>
    <w:p>
      <w:pPr>
        <w:spacing w:after="0" w:line="200" w:lineRule="exact"/>
        <w:rPr>
          <w:sz w:val="20"/>
          <w:szCs w:val="20"/>
          <w:color w:val="auto"/>
        </w:rPr>
      </w:pPr>
    </w:p>
    <w:p>
      <w:pPr>
        <w:spacing w:after="0" w:line="231" w:lineRule="exact"/>
        <w:rPr>
          <w:sz w:val="20"/>
          <w:szCs w:val="20"/>
          <w:color w:val="auto"/>
        </w:rPr>
      </w:pPr>
    </w:p>
    <w:p>
      <w:pPr>
        <w:ind w:right="3079" w:firstLine="447"/>
        <w:spacing w:after="0" w:line="270" w:lineRule="auto"/>
        <w:rPr>
          <w:sz w:val="20"/>
          <w:szCs w:val="20"/>
          <w:color w:val="auto"/>
        </w:rPr>
      </w:pPr>
      <w:r>
        <w:rPr>
          <w:rFonts w:ascii="Courier New" w:cs="Courier New" w:eastAsia="Courier New" w:hAnsi="Courier New"/>
          <w:sz w:val="14"/>
          <w:szCs w:val="14"/>
          <w:color w:val="auto"/>
        </w:rPr>
        <w:t>We configure individual BSS modules into families of products, which serve as marketing packages oriented to the needs of specific customer segments. We offer Ensemble, our Customer Care and Billing System, in a number of versions to serve the different needs of telecommunications operators in the various network and business segments, such as wholesale and retail operations, and local, cellular, long distance, international, data, Internet, VOIP and convergent operations. We also offer our new generation, or NG, line of "ADS (NG)/Family of Products" which provides comprehensive support for directory publishing operations. Each individual module from the product families can be installed as an independent stand-alone application, interfacing with the customer's legacy and third-party systems, or as part of an integrated Amdocs Solution. We have also recently introduced a number of new products for Internet and electronic commerce applications, such as Internet-based bill viewing. We anticipate that over the next several years products developed or to be developed for such applications will make a modest but increasing contribution to revenue.</w:t>
      </w:r>
    </w:p>
    <w:p>
      <w:pPr>
        <w:spacing w:after="0" w:line="2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63"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CARE AND BILLING</w:t>
      </w:r>
    </w:p>
    <w:p>
      <w:pPr>
        <w:spacing w:after="0" w:line="174" w:lineRule="exact"/>
        <w:rPr>
          <w:sz w:val="20"/>
          <w:szCs w:val="20"/>
          <w:color w:val="auto"/>
        </w:rPr>
      </w:pPr>
    </w:p>
    <w:p>
      <w:pPr>
        <w:ind w:right="3599" w:firstLine="447"/>
        <w:spacing w:after="0" w:line="359" w:lineRule="auto"/>
        <w:rPr>
          <w:sz w:val="20"/>
          <w:szCs w:val="20"/>
          <w:color w:val="auto"/>
        </w:rPr>
      </w:pPr>
      <w:r>
        <w:rPr>
          <w:rFonts w:ascii="Courier New" w:cs="Courier New" w:eastAsia="Courier New" w:hAnsi="Courier New"/>
          <w:sz w:val="15"/>
          <w:szCs w:val="15"/>
          <w:color w:val="auto"/>
        </w:rPr>
        <w:t>The Ensemble suite of products we offer encompasses the following key application areas:</w:t>
      </w:r>
    </w:p>
    <w:p>
      <w:pPr>
        <w:spacing w:after="0" w:line="180" w:lineRule="exact"/>
        <w:rPr>
          <w:sz w:val="20"/>
          <w:szCs w:val="20"/>
          <w:color w:val="auto"/>
        </w:rPr>
      </w:pPr>
    </w:p>
    <w:p>
      <w:pPr>
        <w:ind w:left="620" w:right="3339" w:hanging="181"/>
        <w:spacing w:after="0" w:line="331"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Care -- provides customer account information management and service support, including account initiation, on-line assistance in choosing a price plan, installation scheduling and complaint handling.</w:t>
      </w:r>
    </w:p>
    <w:p>
      <w:pPr>
        <w:spacing w:after="0" w:line="375" w:lineRule="exact"/>
        <w:rPr>
          <w:rFonts w:ascii="Courier New" w:cs="Courier New" w:eastAsia="Courier New" w:hAnsi="Courier New"/>
          <w:sz w:val="14"/>
          <w:szCs w:val="14"/>
          <w:color w:val="auto"/>
        </w:rPr>
      </w:pPr>
    </w:p>
    <w:p>
      <w:pPr>
        <w:ind w:left="620" w:right="3259" w:hanging="181"/>
        <w:spacing w:after="0" w:line="281"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Management -- supports the ordering of products and services for all lines of business. This module assists customer service representatives in capturing the customer's order, negotiating with the customer and monitoring service delivery.</w:t>
      </w:r>
    </w:p>
    <w:p>
      <w:pPr>
        <w:spacing w:after="0" w:line="236" w:lineRule="exact"/>
        <w:rPr>
          <w:rFonts w:ascii="Courier New" w:cs="Courier New" w:eastAsia="Courier New" w:hAnsi="Courier New"/>
          <w:sz w:val="15"/>
          <w:szCs w:val="15"/>
          <w:color w:val="auto"/>
        </w:rPr>
      </w:pPr>
    </w:p>
    <w:p>
      <w:pPr>
        <w:ind w:left="620" w:right="3079" w:hanging="181"/>
        <w:spacing w:after="0" w:line="259"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Message Processing -- calculates charges for usage (i.e., call rating) of telecommunications services, such as telephone calls and data transfer. Usage of the telecommunications network creates "messages" or call data records, which contain information such as the origin and destination of the call and its duration. In addition, this module provides for acquisition and formatting of the raw message data received from a switch, as well as calculates the charges for each call based on the service packages and price plans applicable to each individual user.</w:t>
      </w:r>
    </w:p>
    <w:p>
      <w:pPr>
        <w:spacing w:after="0" w:line="81" w:lineRule="exact"/>
        <w:rPr>
          <w:rFonts w:ascii="Courier New" w:cs="Courier New" w:eastAsia="Courier New" w:hAnsi="Courier New"/>
          <w:sz w:val="15"/>
          <w:szCs w:val="15"/>
          <w:color w:val="auto"/>
        </w:rPr>
      </w:pPr>
    </w:p>
    <w:p>
      <w:pPr>
        <w:ind w:left="620" w:right="3079" w:hanging="181"/>
        <w:spacing w:after="0" w:line="281"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Invoicing -- provides comprehensive functionality for bill preparation (totaling of usage and other charges, application of discounts, taxes and credits) and bill production, as well as the ability to offer so-called "hot billing" (or real-time billing).</w:t>
      </w:r>
    </w:p>
    <w:p>
      <w:pPr>
        <w:spacing w:after="0" w:line="64" w:lineRule="exact"/>
        <w:rPr>
          <w:rFonts w:ascii="Courier New" w:cs="Courier New" w:eastAsia="Courier New" w:hAnsi="Courier New"/>
          <w:sz w:val="15"/>
          <w:szCs w:val="15"/>
          <w:color w:val="auto"/>
        </w:rPr>
      </w:pPr>
    </w:p>
    <w:p>
      <w:pPr>
        <w:ind w:left="620" w:right="3339" w:hanging="181"/>
        <w:spacing w:after="0" w:line="281"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Flexible Bill Formatter -- enables the flexible definition and modification of bill formats, according to user requests (e.g., to combine charges from multiple services onto a single bill or to permit certain types of charges to be highlighted).</w:t>
      </w:r>
    </w:p>
    <w:p>
      <w:pPr>
        <w:spacing w:after="0" w:line="64" w:lineRule="exact"/>
        <w:rPr>
          <w:rFonts w:ascii="Courier New" w:cs="Courier New" w:eastAsia="Courier New" w:hAnsi="Courier New"/>
          <w:sz w:val="15"/>
          <w:szCs w:val="15"/>
          <w:color w:val="auto"/>
        </w:rPr>
      </w:pPr>
    </w:p>
    <w:p>
      <w:pPr>
        <w:ind w:left="620" w:right="3159" w:hanging="181"/>
        <w:spacing w:after="0" w:line="281"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Management -- provides comprehensive functionality for accounts receivable and collections, including invoice receipt, payment receipt, payment posting, financial reporting and automated handling of customers with outstanding debts.</w:t>
      </w:r>
    </w:p>
    <w:p>
      <w:pPr>
        <w:spacing w:after="0" w:line="64" w:lineRule="exact"/>
        <w:rPr>
          <w:rFonts w:ascii="Courier New" w:cs="Courier New" w:eastAsia="Courier New" w:hAnsi="Courier New"/>
          <w:sz w:val="15"/>
          <w:szCs w:val="15"/>
          <w:color w:val="auto"/>
        </w:rPr>
      </w:pPr>
    </w:p>
    <w:p>
      <w:pPr>
        <w:ind w:left="620" w:right="3259" w:hanging="181"/>
        <w:spacing w:after="0" w:line="272"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Resource Mediation -- manages the carrier's inventory of telephone numbers and SIM cards. This module also manages the interface between a wireless carrier's customer care and billing system and the network, transferring instructions regarding the provision or discontinuation of network services to specified users.</w:t>
      </w:r>
    </w:p>
    <w:p>
      <w:pPr>
        <w:spacing w:after="0" w:line="69" w:lineRule="exact"/>
        <w:rPr>
          <w:rFonts w:ascii="Courier New" w:cs="Courier New" w:eastAsia="Courier New" w:hAnsi="Courier New"/>
          <w:sz w:val="15"/>
          <w:szCs w:val="15"/>
          <w:color w:val="auto"/>
        </w:rPr>
      </w:pPr>
    </w:p>
    <w:p>
      <w:pPr>
        <w:ind w:left="620" w:right="3259" w:hanging="181"/>
        <w:spacing w:after="0" w:line="301"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Channels -- manages the financial relationship between a wireless carrier and its authorized dealers, including commission calculation, chargebacks and residual compensation.</w:t>
      </w:r>
    </w:p>
    <w:p>
      <w:pPr>
        <w:spacing w:after="0" w:line="48" w:lineRule="exact"/>
        <w:rPr>
          <w:rFonts w:ascii="Courier New" w:cs="Courier New" w:eastAsia="Courier New" w:hAnsi="Courier New"/>
          <w:sz w:val="15"/>
          <w:szCs w:val="15"/>
          <w:color w:val="auto"/>
        </w:rPr>
      </w:pPr>
    </w:p>
    <w:p>
      <w:pPr>
        <w:ind w:left="620" w:right="3259" w:hanging="181"/>
        <w:spacing w:after="0" w:line="301"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Fraud Management -- employs sophisticated data analysis tools and makes use of the integrated user database to detect the fraudulent use of wireless phones and phone numbers.</w:t>
      </w:r>
    </w:p>
    <w:p>
      <w:pPr>
        <w:spacing w:after="0" w:line="48" w:lineRule="exact"/>
        <w:rPr>
          <w:rFonts w:ascii="Courier New" w:cs="Courier New" w:eastAsia="Courier New" w:hAnsi="Courier New"/>
          <w:sz w:val="15"/>
          <w:szCs w:val="15"/>
          <w:color w:val="auto"/>
        </w:rPr>
      </w:pPr>
    </w:p>
    <w:p>
      <w:pPr>
        <w:ind w:left="620" w:right="3439" w:hanging="181"/>
        <w:spacing w:after="0" w:line="359"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Bill Viewing -- enables user interaction and bill view capabilities over the Internet through www.self.service.</w:t>
      </w:r>
    </w:p>
    <w:p>
      <w:pPr>
        <w:spacing w:after="0" w:line="179" w:lineRule="exact"/>
        <w:rPr>
          <w:rFonts w:ascii="Courier New" w:cs="Courier New" w:eastAsia="Courier New" w:hAnsi="Courier New"/>
          <w:sz w:val="15"/>
          <w:szCs w:val="15"/>
          <w:color w:val="auto"/>
        </w:rPr>
      </w:pPr>
    </w:p>
    <w:p>
      <w:pPr>
        <w:ind w:left="620" w:right="3439" w:hanging="181"/>
        <w:spacing w:after="0" w:line="301"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Churn Management -- uses data mining techniques to identify customers with a high probability of switching to another carrier or of disconnecting service.</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DIRECTORY PUBLISHING</w:t>
      </w:r>
    </w:p>
    <w:p>
      <w:pPr>
        <w:spacing w:after="0" w:line="346" w:lineRule="exact"/>
        <w:rPr>
          <w:sz w:val="20"/>
          <w:szCs w:val="20"/>
          <w:color w:val="auto"/>
        </w:rPr>
      </w:pPr>
    </w:p>
    <w:p>
      <w:pPr>
        <w:ind w:right="3259" w:firstLine="447"/>
        <w:spacing w:after="0" w:line="295" w:lineRule="auto"/>
        <w:rPr>
          <w:sz w:val="20"/>
          <w:szCs w:val="20"/>
          <w:color w:val="auto"/>
        </w:rPr>
      </w:pPr>
      <w:r>
        <w:rPr>
          <w:rFonts w:ascii="Courier New" w:cs="Courier New" w:eastAsia="Courier New" w:hAnsi="Courier New"/>
          <w:sz w:val="14"/>
          <w:szCs w:val="14"/>
          <w:color w:val="auto"/>
        </w:rPr>
        <w:t>The "ADS(NG)/Family of Products," our main products in the Directory Systems area, provides comprehensive support for yellow page and white page directory sales and publishing operations, as well as for Internet directories and catalogs, including fully integrated electronic commerce capabilities. The directory line of products comprises a series of modules, including:</w:t>
      </w:r>
    </w:p>
    <w:p>
      <w:pPr>
        <w:spacing w:after="0" w:line="57" w:lineRule="exact"/>
        <w:rPr>
          <w:sz w:val="20"/>
          <w:szCs w:val="20"/>
          <w:color w:val="auto"/>
        </w:rPr>
      </w:pPr>
    </w:p>
    <w:p>
      <w:pPr>
        <w:ind w:left="620" w:right="3079" w:hanging="181"/>
        <w:spacing w:after="0" w:line="281" w:lineRule="auto"/>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 addresses all aspects of managing sales to advertisers, including preparation and management of the overall sales campaign, which</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encompasses selecting the advertisers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63"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left="520" w:right="3079"/>
        <w:spacing w:after="0" w:line="266" w:lineRule="auto"/>
        <w:rPr>
          <w:sz w:val="20"/>
          <w:szCs w:val="20"/>
          <w:color w:val="auto"/>
        </w:rPr>
      </w:pPr>
      <w:r>
        <w:rPr>
          <w:rFonts w:ascii="Courier New" w:cs="Courier New" w:eastAsia="Courier New" w:hAnsi="Courier New"/>
          <w:sz w:val="15"/>
          <w:szCs w:val="15"/>
          <w:color w:val="auto"/>
        </w:rPr>
        <w:t>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 sales representative, including laptop-based applications for use by members of the sales force in the field.</w:t>
      </w:r>
    </w:p>
    <w:p>
      <w:pPr>
        <w:spacing w:after="0" w:line="74" w:lineRule="exact"/>
        <w:rPr>
          <w:sz w:val="20"/>
          <w:szCs w:val="20"/>
          <w:color w:val="auto"/>
        </w:rPr>
      </w:pPr>
    </w:p>
    <w:p>
      <w:pPr>
        <w:ind w:left="620" w:right="3079" w:hanging="181"/>
        <w:spacing w:after="0" w:line="272"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Publishing -- supports the process of entering, proofing and extracting the telephone listing and advertising information that is to be published in a directory. These modules encompass contract processing, service order processing, listing information management and directory extract in preparation for the actual production of the directory.</w:t>
      </w:r>
    </w:p>
    <w:p>
      <w:pPr>
        <w:spacing w:after="0" w:line="69" w:lineRule="exact"/>
        <w:rPr>
          <w:rFonts w:ascii="Courier New" w:cs="Courier New" w:eastAsia="Courier New" w:hAnsi="Courier New"/>
          <w:sz w:val="15"/>
          <w:szCs w:val="15"/>
          <w:color w:val="auto"/>
        </w:rPr>
      </w:pPr>
    </w:p>
    <w:p>
      <w:pPr>
        <w:ind w:left="620" w:right="3079" w:hanging="181"/>
        <w:spacing w:after="0" w:line="257"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Information Analysis -- includes corporate data warehousing techniques, online analytical processing and data mining capabilities, oriented to the specific marketing needs of the directory publisher. For example, these modules can be used to identify changed patterns of 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82" w:lineRule="exact"/>
        <w:rPr>
          <w:rFonts w:ascii="Courier New" w:cs="Courier New" w:eastAsia="Courier New" w:hAnsi="Courier New"/>
          <w:sz w:val="15"/>
          <w:szCs w:val="15"/>
          <w:color w:val="auto"/>
        </w:rPr>
      </w:pPr>
    </w:p>
    <w:p>
      <w:pPr>
        <w:ind w:left="620" w:right="3079" w:hanging="181"/>
        <w:spacing w:after="0" w:line="272"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Prepress -- 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w:t>
      </w:r>
    </w:p>
    <w:p>
      <w:pPr>
        <w:spacing w:after="0" w:line="69" w:lineRule="exact"/>
        <w:rPr>
          <w:rFonts w:ascii="Courier New" w:cs="Courier New" w:eastAsia="Courier New" w:hAnsi="Courier New"/>
          <w:sz w:val="15"/>
          <w:szCs w:val="15"/>
          <w:color w:val="auto"/>
        </w:rPr>
      </w:pPr>
    </w:p>
    <w:p>
      <w:pPr>
        <w:ind w:left="620" w:right="3159" w:hanging="181"/>
        <w:spacing w:after="0" w:line="301"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 -- permits online support for handling customer inquiries and resolving customer complaints, including online correction of advertising data and billing adjustments.</w:t>
      </w:r>
    </w:p>
    <w:p>
      <w:pPr>
        <w:spacing w:after="0" w:line="48" w:lineRule="exact"/>
        <w:rPr>
          <w:rFonts w:ascii="Courier New" w:cs="Courier New" w:eastAsia="Courier New" w:hAnsi="Courier New"/>
          <w:sz w:val="15"/>
          <w:szCs w:val="15"/>
          <w:color w:val="auto"/>
        </w:rPr>
      </w:pPr>
    </w:p>
    <w:p>
      <w:pPr>
        <w:ind w:left="620" w:right="3599" w:hanging="181"/>
        <w:spacing w:after="0" w:line="390" w:lineRule="auto"/>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Management -- specifically designed for the directory publisher's billing, accounts receivable and collections functions.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1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We believe that the methodology we employ to deliver BSS products is one of the key factors that enables us to achieve the time-frame, budget and quality objectives of our customers' projects. Our methodology emphasizes rigorous project management, software development, solutions implementation and integration planning, as well as active customer participation at all stages to help prioritize and implement time-critical information system solutions that address the customer's individual needs.</w:t>
      </w:r>
    </w:p>
    <w:p>
      <w:pPr>
        <w:spacing w:after="0" w:line="78" w:lineRule="exact"/>
        <w:rPr>
          <w:sz w:val="20"/>
          <w:szCs w:val="20"/>
          <w:color w:val="auto"/>
        </w:rPr>
      </w:pPr>
    </w:p>
    <w:p>
      <w:pPr>
        <w:ind w:right="3259" w:firstLine="447"/>
        <w:spacing w:after="0" w:line="259" w:lineRule="auto"/>
        <w:rPr>
          <w:sz w:val="20"/>
          <w:szCs w:val="20"/>
          <w:color w:val="auto"/>
        </w:rPr>
      </w:pPr>
      <w:r>
        <w:rPr>
          <w:rFonts w:ascii="Courier New" w:cs="Courier New" w:eastAsia="Courier New" w:hAnsi="Courier New"/>
          <w:sz w:val="15"/>
          <w:szCs w:val="15"/>
          <w:color w:val="auto"/>
        </w:rPr>
        <w:t>This process of customizing a system involves creating a tailored BSS product to address a customer's specific technical and business requirements. Following detailed functional design sessions with the customer, we modify our BSS software modules to provide the complete functionality needed by the customer. The process permits both Amdocs and the customer to identify and jointly plan for ongoing resource requirements, as well as jointly to create specific guidelines for the types of organizational and other changes that may be required for implementation and integration.</w:t>
      </w:r>
    </w:p>
    <w:p>
      <w:pPr>
        <w:spacing w:after="0" w:line="81" w:lineRule="exact"/>
        <w:rPr>
          <w:sz w:val="20"/>
          <w:szCs w:val="20"/>
          <w:color w:val="auto"/>
        </w:rPr>
      </w:pPr>
    </w:p>
    <w:p>
      <w:pPr>
        <w:ind w:right="3159" w:firstLine="447"/>
        <w:spacing w:after="0" w:line="246" w:lineRule="auto"/>
        <w:rPr>
          <w:sz w:val="20"/>
          <w:szCs w:val="20"/>
          <w:color w:val="auto"/>
        </w:rPr>
      </w:pPr>
      <w:r>
        <w:rPr>
          <w:rFonts w:ascii="Courier New" w:cs="Courier New" w:eastAsia="Courier New" w:hAnsi="Courier New"/>
          <w:sz w:val="15"/>
          <w:szCs w:val="15"/>
          <w:color w:val="auto"/>
        </w:rPr>
        <w:t>System implementation and integration activities are conducted by joint teams from Amdocs and the customer in parallel with the customization effort. Implementation and integration activities include, for example, project management, development of training, methods and procedures, design of work flows, hardware planning and installation, network and system design 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we are able to provide full system implementation and integration services.</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63"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right="3079" w:firstLine="447"/>
        <w:spacing w:after="0" w:line="280" w:lineRule="auto"/>
        <w:rPr>
          <w:sz w:val="20"/>
          <w:szCs w:val="20"/>
          <w:color w:val="auto"/>
        </w:rPr>
      </w:pPr>
      <w:r>
        <w:rPr>
          <w:rFonts w:ascii="Courier New" w:cs="Courier New" w:eastAsia="Courier New" w:hAnsi="Courier New"/>
          <w:sz w:val="14"/>
          <w:szCs w:val="14"/>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BSS product has been followed by the sale of additional systems and modules. In recent years, we have established long-term maintenance and support contracts with a number of our customers. These contracts have generally involved an expansion in the scope of support provided, while also ensuring a recurring source of revenue to us.</w:t>
      </w:r>
    </w:p>
    <w:p>
      <w:pPr>
        <w:spacing w:after="0" w:line="68"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Our business is conducted on a global basis. We maintain three development facilities located in Israel, the United States and Cyprus, operate a support center located in Brazil and have operations in Europe, North America, Latin America and the Asia-Pacific region. Support for implementation and integration activities is performed typically at the customer site. Once the system is operational or in production, ongoing support and maintenance are provided by a combination of remote support from the development centers with local support at the customer site.</w:t>
      </w:r>
    </w:p>
    <w:p>
      <w:pPr>
        <w:spacing w:after="0" w:line="253"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As part of our effort to provide comprehensive solutions to our customers, we also offer outsourcing services to support the operation of the customer's BSS products. These functions would include full responsibility for the ongoing development and enhancement of our BSS products, the purchase and management of all related hardware assets and overall management of the customer's associated data centers. We concluded our first major multi-year services agreement in May 1998, entering into a six-year agreement with an affiliate of Telstra Corporation Ltd. of Australia. Under the agreement, we are responsible for software development, maintenance, support and facility management for Telstra's directory publishing activities.</w:t>
      </w: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4"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Our sales and marketing activities are primarily directed at major telecommunications companies and at emerging network operators or services providers that are potential market leaders. As a result of the strategic importance of our information systems to the operations of such companies, a number of constituencies within a customer's organization are typically involved in purchase decisions, including senior management, information systems personnel and user groups such as the finance and marketing departments. Due to the comprehensiveness and large scale of our systems, the time between the making of an initial proposal to a prospective customer and the signing of a sales contract is typically between six and twelve months.</w:t>
      </w:r>
    </w:p>
    <w:p>
      <w:pPr>
        <w:spacing w:after="0" w:line="259" w:lineRule="exact"/>
        <w:rPr>
          <w:sz w:val="20"/>
          <w:szCs w:val="20"/>
          <w:color w:val="auto"/>
        </w:rPr>
      </w:pPr>
    </w:p>
    <w:p>
      <w:pPr>
        <w:ind w:right="3079" w:firstLine="447"/>
        <w:spacing w:after="0" w:line="251" w:lineRule="auto"/>
        <w:rPr>
          <w:sz w:val="20"/>
          <w:szCs w:val="20"/>
          <w:color w:val="auto"/>
        </w:rPr>
      </w:pPr>
      <w:r>
        <w:rPr>
          <w:rFonts w:ascii="Courier New" w:cs="Courier New" w:eastAsia="Courier New" w:hAnsi="Courier New"/>
          <w:sz w:val="15"/>
          <w:szCs w:val="15"/>
          <w:color w:val="auto"/>
        </w:rPr>
        <w:t>We employ a relatively small dedicated sales force and maintain sales offices in the United States, the United Kingdom, and several other countries. Our sales activities are supported by a marketing group, which is responsible for advertising, preparation of sales proposals and market research and analysis of industry trends and developments. Our sales efforts are dependent upon close cooperation between our sales representatives and development personnel. Development personnel are intensively involved from the early stages of the sales cycle. This approach enables us to demonstrate our technical and professional skills to potential customers, while creating the opportunity to discuss with the customer its system needs. To ensure that we have a clear understanding of customer needs and expectations, it is our policy to have development personnel involved in a particular sales proposal continue to work with the customer. This approach creates continuity from the initial sales proposal through project development and beyond, into the ongoing production phase.</w:t>
      </w:r>
    </w:p>
    <w:p>
      <w:pPr>
        <w:spacing w:after="0" w:line="259" w:lineRule="exact"/>
        <w:rPr>
          <w:sz w:val="20"/>
          <w:szCs w:val="20"/>
          <w:color w:val="auto"/>
        </w:rPr>
      </w:pPr>
    </w:p>
    <w:p>
      <w:pPr>
        <w:ind w:right="3259" w:firstLine="447"/>
        <w:spacing w:after="0" w:line="266" w:lineRule="auto"/>
        <w:rPr>
          <w:sz w:val="20"/>
          <w:szCs w:val="20"/>
          <w:color w:val="auto"/>
        </w:rPr>
      </w:pPr>
      <w:r>
        <w:rPr>
          <w:rFonts w:ascii="Courier New" w:cs="Courier New" w:eastAsia="Courier New" w:hAnsi="Courier New"/>
          <w:sz w:val="15"/>
          <w:szCs w:val="15"/>
          <w:color w:val="auto"/>
        </w:rPr>
        <w:t>The management of our operating subsidiaries is closely involved in establishing sales policies and overseeing sales activities. Management's role includes the setting of priorities among the multiple sales opportunities available at any point in time. Management is also responsible for allocating sufficient resources to each project to meet our quality standards while also adhering to the project's cost and schedule parameters.</w:t>
      </w:r>
    </w:p>
    <w:p>
      <w:pPr>
        <w:spacing w:after="0" w:line="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63"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41</w:t>
      </w:r>
    </w:p>
    <w:p>
      <w:pPr>
        <w:spacing w:after="0" w:line="174"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We also interact with various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4"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Our target market is comprised of telecommunications companies that require information systems with advanced functionality and technology. The companies in this market segment are typically industry leaders or innovative, well-backed new entrants. By working with such companies, we help ensure that we remain at the forefront of developments in the telecommunications industry and that our product offerings continue to address the market's most sophisticated needs. We have an international orientation, focusing on potential customers in the developed, industrialized countries in North America, Europe, Latin America and the Asia-Pacific region.</w:t>
      </w:r>
    </w:p>
    <w:p>
      <w:pPr>
        <w:spacing w:after="0" w:line="255"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We have a world-class customer base comprising over 70 telecommunications companies. Our customers include global telecommunications leaders, as well as other leading network operators and service providers and directory publishers in the United States and around the world. Our customers include SBC and a number of its operating subsidiaries, such as Southwestern Bell Mobile Systems, Southwestern Bell Yellow Pages, Southwestern Bell Communications Services (SBC's long distance provider) and Southwestern Bell Telephone Company. Additional customers include:</w:t>
      </w:r>
    </w:p>
    <w:p>
      <w:pPr>
        <w:spacing w:after="0" w:line="200" w:lineRule="exact"/>
        <w:rPr>
          <w:sz w:val="20"/>
          <w:szCs w:val="20"/>
          <w:color w:val="auto"/>
        </w:rPr>
      </w:pPr>
    </w:p>
    <w:p>
      <w:pPr>
        <w:spacing w:after="0" w:line="22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Bell Atlantic</w:t>
      </w:r>
    </w:p>
    <w:p>
      <w:pPr>
        <w:spacing w:after="0" w:line="34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BellSouth</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U.S. West</w:t>
      </w:r>
    </w:p>
    <w:p>
      <w:pPr>
        <w:spacing w:after="0" w:line="34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GTE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Sprint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Deutsche Telekom (Germany)</w:t>
      </w:r>
    </w:p>
    <w:p>
      <w:pPr>
        <w:spacing w:after="0" w:line="34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Mannesmann (Germany)</w:t>
      </w:r>
    </w:p>
    <w:p>
      <w:pPr>
        <w:spacing w:after="0" w:line="34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SEAT (Italy)</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Telstra Corporation Ltd. (Australia)</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Telus (Canada)</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 Eireann (Ireland)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Korean Telecom (South Korea)</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Vodafone Group (United Kingdom)</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Bezeq (Israel)</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BCP (Brazil)</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 New Zealand (New Zealand)</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We have been able to establish long-term working relationships with many of our customers. Of our total customer base, 18 have been customers for five or more years. These long-term relationships are due, in part, to our broad-based expertise and our ability to address the evolving needs of a dynamic telecommunications industry.</w:t>
      </w:r>
    </w:p>
    <w:p>
      <w:pPr>
        <w:sectPr>
          <w:pgSz w:w="11900" w:h="16838" w:orient="portrait"/>
          <w:cols w:equalWidth="0" w:num="1">
            <w:col w:w="10219"/>
          </w:cols>
          <w:pgMar w:left="240" w:top="263" w:right="1440" w:bottom="83" w:gutter="0" w:footer="0" w:header="0"/>
        </w:sectPr>
      </w:pPr>
    </w:p>
    <w:bookmarkStart w:id="46" w:name="page47"/>
    <w:bookmarkEnd w:id="46"/>
    <w:p>
      <w:pPr>
        <w:ind w:right="3079" w:firstLine="447"/>
        <w:spacing w:after="0" w:line="257" w:lineRule="auto"/>
        <w:rPr>
          <w:sz w:val="20"/>
          <w:szCs w:val="20"/>
          <w:color w:val="auto"/>
        </w:rPr>
      </w:pPr>
      <w:r>
        <w:rPr>
          <w:rFonts w:ascii="Courier New" w:cs="Courier New" w:eastAsia="Courier New" w:hAnsi="Courier New"/>
          <w:sz w:val="15"/>
          <w:szCs w:val="15"/>
          <w:color w:val="auto"/>
        </w:rPr>
        <w:t>Our single largest group of customers is SBC and its operating subsidiaries, which accounted for in the aggregate 16.6% of our revenue in the first six months of fiscal 1999 and for 20.8%, 34.5% and 38.0% of our revenue in fiscal 1998, 1997 and 1996, respectively. Our next largest customer is BellSouth, which accounted for 9.6% of our revenue in the first six months of fiscal 1999 and for 15.8%, 4.5% and 1.5% of our revenue in fiscal 1998, 1997 and 1996, respectively. Our third largest customer is Telstra, which accounted for 7.0% of our revenue in the first half of fiscal 1999 and for 8.2%, 13.0% and 16.0% of our revenue in fiscal 1998, 1997 and 1996, respectively.</w:t>
      </w:r>
    </w:p>
    <w:p>
      <w:pPr>
        <w:spacing w:after="0" w:line="200" w:lineRule="exact"/>
        <w:rPr>
          <w:sz w:val="20"/>
          <w:szCs w:val="20"/>
          <w:color w:val="auto"/>
        </w:rPr>
      </w:pPr>
    </w:p>
    <w:p>
      <w:pPr>
        <w:spacing w:after="0" w:line="227"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Revenue derived from our five largest customers, excluding SBC and its operating subsidiaries, accounted for approximately 23.5% of total revenue for the first six months of fiscal 1999 and 27.1%, 33.2% and 42.7% of revenue in fiscal 1998, 1997 and 1996, respectively.</w:t>
      </w:r>
    </w:p>
    <w:p>
      <w:pPr>
        <w:spacing w:after="0" w:line="23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113"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ind w:right="3699" w:firstLine="447"/>
        <w:spacing w:after="0" w:line="401" w:lineRule="auto"/>
        <w:rPr>
          <w:sz w:val="20"/>
          <w:szCs w:val="20"/>
          <w:color w:val="auto"/>
        </w:rPr>
      </w:pPr>
      <w:r>
        <w:rPr>
          <w:rFonts w:ascii="Courier New" w:cs="Courier New" w:eastAsia="Courier New" w:hAnsi="Courier New"/>
          <w:sz w:val="14"/>
          <w:szCs w:val="14"/>
          <w:color w:val="auto"/>
        </w:rPr>
        <w:t>The following is a summary of revenue by geographic area. Revenue is attributed to geographic region based on the location of the customers: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14"/>
                <w:szCs w:val="14"/>
                <w:color w:val="auto"/>
              </w:rPr>
            </w:pPr>
          </w:p>
        </w:tc>
        <w:tc>
          <w:tcPr>
            <w:tcW w:w="15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SIX MONTHS</w:t>
            </w:r>
          </w:p>
        </w:tc>
        <w:tc>
          <w:tcPr>
            <w:tcW w:w="6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6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SEPTEMBER 30,</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15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ENDED</w:t>
            </w:r>
          </w:p>
        </w:tc>
        <w:tc>
          <w:tcPr>
            <w:tcW w:w="620" w:type="dxa"/>
            <w:vAlign w:val="bottom"/>
            <w:vMerge w:val="restart"/>
          </w:tcPr>
          <w:p>
            <w:pPr>
              <w:ind w:left="180"/>
              <w:spacing w:after="0"/>
              <w:rPr>
                <w:sz w:val="20"/>
                <w:szCs w:val="20"/>
                <w:color w:val="auto"/>
              </w:rPr>
            </w:pPr>
            <w:r>
              <w:rPr>
                <w:rFonts w:ascii="Courier New" w:cs="Courier New" w:eastAsia="Courier New" w:hAnsi="Courier New"/>
                <w:sz w:val="7"/>
                <w:szCs w:val="7"/>
                <w:color w:val="auto"/>
                <w:w w:val="70"/>
                <w:vertAlign w:val="subscript"/>
              </w:rPr>
              <w:t>1998</w:t>
            </w:r>
            <w:r>
              <w:rPr>
                <w:rFonts w:ascii="Courier New" w:cs="Courier New" w:eastAsia="Courier New" w:hAnsi="Courier New"/>
                <w:sz w:val="4"/>
                <w:szCs w:val="4"/>
                <w:color w:val="auto"/>
                <w:w w:val="70"/>
              </w:rPr>
              <w:t>--------------------</w:t>
            </w:r>
          </w:p>
        </w:tc>
        <w:tc>
          <w:tcPr>
            <w:tcW w:w="9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1997</w:t>
            </w:r>
          </w:p>
        </w:tc>
        <w:tc>
          <w:tcPr>
            <w:tcW w:w="440" w:type="dxa"/>
            <w:vAlign w:val="bottom"/>
            <w:vMerge w:val="restart"/>
          </w:tcPr>
          <w:p>
            <w:pPr>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MARCH 31, 1999</w:t>
            </w:r>
          </w:p>
        </w:tc>
        <w:tc>
          <w:tcPr>
            <w:tcW w:w="6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920" w:type="dxa"/>
            <w:vAlign w:val="bottom"/>
          </w:tcPr>
          <w:p>
            <w:pPr>
              <w:spacing w:after="0"/>
              <w:rPr>
                <w:sz w:val="21"/>
                <w:szCs w:val="21"/>
                <w:color w:val="auto"/>
              </w:rPr>
            </w:pP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0"/>
                <w:szCs w:val="20"/>
                <w:color w:val="auto"/>
              </w:rPr>
            </w:pPr>
            <w:r>
              <w:rPr>
                <w:rFonts w:ascii="Courier New" w:cs="Courier New" w:eastAsia="Courier New" w:hAnsi="Courier New"/>
                <w:sz w:val="15"/>
                <w:szCs w:val="15"/>
                <w:color w:val="auto"/>
              </w:rPr>
              <w:t>North America.........................................</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44.0%</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52.2%</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63.8%</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67.5%</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36.4%</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27.2%</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11.3%</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14.5%</w:t>
            </w:r>
          </w:p>
        </w:tc>
        <w:tc>
          <w:tcPr>
            <w:tcW w:w="0" w:type="dxa"/>
            <w:vAlign w:val="bottom"/>
          </w:tcPr>
          <w:p>
            <w:pPr>
              <w:spacing w:after="0"/>
              <w:rPr>
                <w:sz w:val="1"/>
                <w:szCs w:val="1"/>
                <w:color w:val="auto"/>
              </w:rPr>
            </w:pPr>
          </w:p>
        </w:tc>
      </w:tr>
      <w:tr>
        <w:trPr>
          <w:trHeight w:val="252"/>
        </w:trPr>
        <w:tc>
          <w:tcPr>
            <w:tcW w:w="492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19.6%</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20.6%</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24.9%</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346"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The market for telecommunications information systems is highly competitive and fragmented, and we expect competition to increase. We compete with many independent providers of information systems and services, including Alltel Corporation, American Management Systems, IBM, Kenan Systems (a subsidiary of Lucent Technologies), LHS Group Inc., Saville Systems and SEMA Group, with system integrators, such as Andersen Consulting and EDS, and internal information systems departments of larger telecommunications carriers. We expect continued growth and competition in the telecommunications industry and the entrance of new competitors into the software information systems market in the future.</w:t>
      </w:r>
    </w:p>
    <w:p>
      <w:pPr>
        <w:spacing w:after="0" w:line="200" w:lineRule="exact"/>
        <w:rPr>
          <w:sz w:val="20"/>
          <w:szCs w:val="20"/>
          <w:color w:val="auto"/>
        </w:rPr>
      </w:pPr>
    </w:p>
    <w:p>
      <w:pPr>
        <w:spacing w:after="0" w:line="231" w:lineRule="exact"/>
        <w:rPr>
          <w:sz w:val="20"/>
          <w:szCs w:val="20"/>
          <w:color w:val="auto"/>
        </w:rPr>
      </w:pPr>
    </w:p>
    <w:p>
      <w:pPr>
        <w:ind w:right="3079" w:firstLine="447"/>
        <w:spacing w:after="0" w:line="359" w:lineRule="auto"/>
        <w:rPr>
          <w:sz w:val="20"/>
          <w:szCs w:val="20"/>
          <w:color w:val="auto"/>
        </w:rPr>
      </w:pPr>
      <w:r>
        <w:rPr>
          <w:rFonts w:ascii="Courier New" w:cs="Courier New" w:eastAsia="Courier New" w:hAnsi="Courier New"/>
          <w:sz w:val="15"/>
          <w:szCs w:val="15"/>
          <w:color w:val="auto"/>
        </w:rPr>
        <w:t>We believe that we are able to differentiate ourselves from the competition by, among other things,</w:t>
      </w:r>
    </w:p>
    <w:p>
      <w:pPr>
        <w:spacing w:after="0" w:line="352" w:lineRule="exact"/>
        <w:rPr>
          <w:sz w:val="20"/>
          <w:szCs w:val="20"/>
          <w:color w:val="auto"/>
        </w:rPr>
      </w:pPr>
    </w:p>
    <w:p>
      <w:pPr>
        <w:ind w:left="620" w:hanging="181"/>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customers a total information system from a single vendor,</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high quality reliable, scalable products,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managing effectively the timely implementation of products,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right="3699" w:hanging="181"/>
        <w:spacing w:after="0" w:line="359"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responding to customer service and support needs through a skilled professional organization, and</w:t>
      </w:r>
    </w:p>
    <w:p>
      <w:pPr>
        <w:spacing w:after="0" w:line="351" w:lineRule="exact"/>
        <w:rPr>
          <w:rFonts w:ascii="Courier New" w:cs="Courier New" w:eastAsia="Courier New" w:hAnsi="Courier New"/>
          <w:sz w:val="15"/>
          <w:szCs w:val="15"/>
          <w:color w:val="auto"/>
        </w:rPr>
      </w:pPr>
    </w:p>
    <w:p>
      <w:pPr>
        <w:ind w:left="620" w:right="3439" w:hanging="181"/>
        <w:spacing w:after="0" w:line="359"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BSS solutions independent of any specific vendor of network equipment, hardware or software.</w:t>
      </w:r>
    </w:p>
    <w:p>
      <w:pPr>
        <w:spacing w:after="0" w:line="352" w:lineRule="exact"/>
        <w:rPr>
          <w:sz w:val="20"/>
          <w:szCs w:val="20"/>
          <w:color w:val="auto"/>
        </w:rPr>
      </w:pPr>
    </w:p>
    <w:p>
      <w:pPr>
        <w:ind w:right="3079" w:firstLine="447"/>
        <w:spacing w:after="0" w:line="251"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us.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we would to new or emerging technologies and changes in customer requirements, or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74" w:lineRule="exact"/>
        <w:rPr>
          <w:sz w:val="20"/>
          <w:szCs w:val="20"/>
          <w:color w:val="auto"/>
        </w:rPr>
      </w:pPr>
    </w:p>
    <w:p>
      <w:pPr>
        <w:ind w:right="3159" w:firstLine="447"/>
        <w:spacing w:after="0" w:line="259" w:lineRule="auto"/>
        <w:rPr>
          <w:sz w:val="20"/>
          <w:szCs w:val="20"/>
          <w:color w:val="auto"/>
        </w:rPr>
      </w:pPr>
      <w:r>
        <w:rPr>
          <w:rFonts w:ascii="Courier New" w:cs="Courier New" w:eastAsia="Courier New" w:hAnsi="Courier New"/>
          <w:sz w:val="15"/>
          <w:szCs w:val="15"/>
          <w:color w:val="auto"/>
        </w:rPr>
        <w:t>We regard significant portions of our software products and systems as proprietary and rely on a combination of statutory and common law copyright, trademark and trade secret laws, customer licensing agreements, employee and third-party nondisclosure agreements and other methods to protect our proprietary rights. We generally enter into confidentiality agreements with our employees, consultants, customers and potential customers and limit access to, and distribution of, our proprietary information. We believe that the sophistication and complexity of</w:t>
      </w:r>
    </w:p>
    <w:p>
      <w:pPr>
        <w:sectPr>
          <w:pgSz w:w="11900" w:h="16838" w:orient="portrait"/>
          <w:cols w:equalWidth="0" w:num="1">
            <w:col w:w="10219"/>
          </w:cols>
          <w:pgMar w:left="240" w:top="263" w:right="1440" w:bottom="188" w:gutter="0" w:footer="0" w:header="0"/>
        </w:sectPr>
      </w:pPr>
    </w:p>
    <w:p>
      <w:pPr>
        <w:spacing w:after="0" w:line="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63" w:right="1440" w:bottom="188" w:gutter="0" w:footer="0" w:header="0"/>
          <w:type w:val="continuous"/>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ind w:right="3259"/>
        <w:spacing w:after="0" w:line="359" w:lineRule="auto"/>
        <w:rPr>
          <w:sz w:val="20"/>
          <w:szCs w:val="20"/>
          <w:color w:val="auto"/>
        </w:rPr>
      </w:pPr>
      <w:r>
        <w:rPr>
          <w:rFonts w:ascii="Courier New" w:cs="Courier New" w:eastAsia="Courier New" w:hAnsi="Courier New"/>
          <w:sz w:val="15"/>
          <w:szCs w:val="15"/>
          <w:color w:val="auto"/>
        </w:rPr>
        <w:t>our systems make it very difficult to copy such information or to subject such information to unauthorized use.</w:t>
      </w:r>
    </w:p>
    <w:p>
      <w:pPr>
        <w:spacing w:after="0" w:line="8"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We have developed a unique methodology for product development. Initially, we develop a core idea and the initial modules in-house. Thereafter, we approach a customer and introduce the initial developments to a customer and further develop the product in conjunction with a project conducted for such a customer, thus allowing us to resolve and develop specific, novel information technology solutions addressing actual needs of the market. We maintain sole ownership of our products.</w:t>
      </w:r>
    </w:p>
    <w:p>
      <w:pPr>
        <w:spacing w:after="0" w:line="250"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As a result of strategic development projects conducted with SBC and some of its subsidiaries, some of our products were jointly developed and owned in the past by us and SBC subsidiaries. In September 1997, we entered into a series of agreements with such SBC subsidiaries pursuant to which we purchased certain rights from these SBC subsidiaries and terminated related future royalty payment obligations for a total consideration of $40.0 million.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200" w:lineRule="exact"/>
        <w:rPr>
          <w:sz w:val="20"/>
          <w:szCs w:val="20"/>
          <w:color w:val="auto"/>
        </w:rPr>
      </w:pPr>
    </w:p>
    <w:p>
      <w:pPr>
        <w:spacing w:after="0" w:line="318"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5"/>
          <w:szCs w:val="15"/>
          <w:color w:val="auto"/>
        </w:rPr>
        <w:t>As of March 31, 1999, we employed on a full-time basis approximately 3,600 software and information technology specialists, engaged in research, development, maintenance and support activities, and approximately 550 managers and administrative professionals. We employ over 2,600 software and information technology specialists in Israel, with the remaining 1,000 located in North America, Europe and the Asia-Pacific region. We often maintain teams of employees at a customer's premises to work on specific projects.</w:t>
      </w:r>
    </w:p>
    <w:p>
      <w:pPr>
        <w:spacing w:after="0" w:line="250" w:lineRule="exact"/>
        <w:rPr>
          <w:sz w:val="20"/>
          <w:szCs w:val="20"/>
          <w:color w:val="auto"/>
        </w:rPr>
      </w:pPr>
    </w:p>
    <w:p>
      <w:pPr>
        <w:ind w:right="3159" w:firstLine="447"/>
        <w:spacing w:after="0" w:line="254" w:lineRule="auto"/>
        <w:rPr>
          <w:sz w:val="20"/>
          <w:szCs w:val="20"/>
          <w:color w:val="auto"/>
        </w:rPr>
      </w:pPr>
      <w:r>
        <w:rPr>
          <w:rFonts w:ascii="Courier New" w:cs="Courier New" w:eastAsia="Courier New" w:hAnsi="Courier New"/>
          <w:sz w:val="15"/>
          <w:szCs w:val="15"/>
          <w:color w:val="auto"/>
        </w:rPr>
        <w:t>We invest significant resources in recruitment, training and retention of quality personnel. Training programs cover areas such as technology, applications, development methodology, project methodology, programming standards, industry background and management development. Our management development scheme is reinforced by a divisional structure, which provides opportunities for talented managers to gain experience in general management roles at the division level. We also invest considerable resources in personnel motivation, including providing various incentive plans for senior employees. Our future success depends in large part upon our continuing ability to attract and retain highly qualified managerial, technical, sales and marketing personnel.</w:t>
      </w:r>
    </w:p>
    <w:p>
      <w:pPr>
        <w:spacing w:after="0" w:line="86"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We have to comply with various labor and immigration laws throughout the world, including laws and regulations in Australia, Brazil, Europe, Israel, Japan and the United States. To date, compliance with such laws has not been a material burden for us. As the number of our employees increases over time, our compliance with such regulations could become more burdensome.</w:t>
      </w:r>
    </w:p>
    <w:p>
      <w:pPr>
        <w:spacing w:after="0" w:line="241"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Our operating subsidiaries are not party to any collective bargaining agreements. However, our Israeli subsidiary is subject to certain labor-related statutes and to certain provisions of collective bargaining agreements between the Histadrut (General Federation of Labor in Israel) and the Coordinating Bureau of Economic Organizations (including the Industrialists' Association), which are applicable to our Israeli employees by virtue of expansion orders of the Israeli Ministry of Labor and Welfare. A significant provision applicable to all employees in Israel under collective bargaining agreements and expansion orders is the automatic adjustment of wages in relation to increases in the CPI. The amount and frequency of these adjustments are modified from time to time. We consider our relationship with our employees to be good and have never experienced a labor dispute, strike or work stoppage.</w:t>
      </w: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jc w:val="both"/>
        <w:ind w:right="3339" w:firstLine="447"/>
        <w:spacing w:after="0" w:line="301" w:lineRule="auto"/>
        <w:rPr>
          <w:sz w:val="20"/>
          <w:szCs w:val="20"/>
          <w:color w:val="auto"/>
        </w:rPr>
      </w:pPr>
      <w:r>
        <w:rPr>
          <w:rFonts w:ascii="Courier New" w:cs="Courier New" w:eastAsia="Courier New" w:hAnsi="Courier New"/>
          <w:sz w:val="15"/>
          <w:szCs w:val="15"/>
          <w:color w:val="auto"/>
        </w:rPr>
        <w:t>The goals of our research and development staff are to be responsive to customer needs, to keep abreast of industry developments, to apply technology selectively to our systems, to build</w:t>
      </w:r>
    </w:p>
    <w:p>
      <w:pPr>
        <w:spacing w:after="0" w:line="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6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right="3079"/>
        <w:spacing w:after="0" w:line="255" w:lineRule="auto"/>
        <w:rPr>
          <w:sz w:val="20"/>
          <w:szCs w:val="20"/>
          <w:color w:val="auto"/>
        </w:rPr>
      </w:pPr>
      <w:r>
        <w:rPr>
          <w:rFonts w:ascii="Courier New" w:cs="Courier New" w:eastAsia="Courier New" w:hAnsi="Courier New"/>
          <w:sz w:val="15"/>
          <w:szCs w:val="15"/>
          <w:color w:val="auto"/>
        </w:rPr>
        <w:t>transition plans for adopting new technologies and to build a system architecture that is capable of absorbing such technologies. We have historically developed new modules and product offerings in response to an identified market demand. Our product development strategy is to fund the research and development of an advanced prototype, typically based on our existing products or modules. Products are usually developed in conjunction with a customer project. By adopting this strategy, we seek to remain at the forefront of technological development by working on technologically advanced solutions with our customers. Close cooperation with customers helps to ensure the relevance and timeliness of the products developed.</w:t>
      </w:r>
    </w:p>
    <w:p>
      <w:pPr>
        <w:spacing w:after="0" w:line="87"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We believe that our ability to identify innovative applications for emerging technologies has yielded us considerable competitive advantages. Examples of such innovations include the application of rule and table-based techniques to network mediation systems, intelligent agent systems in directory pagination, Web-enabled technology for Internet-based customer care and data mining technology for fraud management and churn control.</w:t>
      </w:r>
    </w:p>
    <w:p>
      <w:pPr>
        <w:spacing w:after="0" w:line="246" w:lineRule="exact"/>
        <w:rPr>
          <w:sz w:val="20"/>
          <w:szCs w:val="20"/>
          <w:color w:val="auto"/>
        </w:rPr>
      </w:pPr>
    </w:p>
    <w:p>
      <w:pPr>
        <w:ind w:right="3259" w:firstLine="447"/>
        <w:spacing w:after="0" w:line="295" w:lineRule="auto"/>
        <w:rPr>
          <w:sz w:val="20"/>
          <w:szCs w:val="20"/>
          <w:color w:val="auto"/>
        </w:rPr>
      </w:pPr>
      <w:r>
        <w:rPr>
          <w:rFonts w:ascii="Courier New" w:cs="Courier New" w:eastAsia="Courier New" w:hAnsi="Courier New"/>
          <w:sz w:val="14"/>
          <w:szCs w:val="14"/>
          <w:color w:val="auto"/>
        </w:rPr>
        <w:t>We spent $17.5 million, $25.6 million, $17.4 million and $14.7 million on research and development activities in the first six months of fiscal 1999 and in fiscal 1998, 1997 and 1996, respectively, or 6.3%, 6.3%, 6.0% and 6.9%, respectively, of total revenue in those periods. For fiscal 1999, we expect to spend approximately $40.0 million on research and development activities.</w:t>
      </w: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We lease space in numerous facilities in Israel, aggregating approximately 550,000 square feet, pursuant to leases expiring on various dates between December 1999 and December 2008, and have various options to extend the terms of such leases. Approximately 69,000 square feet of such facilities are owned by related companies which lease such facilities to us. In Israel, we currently pay total yearly rental fees of approximately $9.5 million which are linked, in most cases, to the U.S. dollar.</w:t>
      </w:r>
    </w:p>
    <w:p>
      <w:pPr>
        <w:spacing w:after="0" w:line="78"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In June 1998, our Israeli subsidiary entered into a ten-year lease for 297,000 square feet in Ra'anana, Israel. In June 1998, the Israeli subsidiary relocated its main offices and most of its operations to this location. The annual rent for the Ra'anana facility is approximately $5.4 million. Subject to the modification of certain tax rules, the Israeli subsidiary will also have the option to extend the lease term for an additional eight years. In addition, the Israeli subsidiary holds, subject to certain terms and conditions, an option to acquire certain parts of the Ra'anana facility. In November 1998, the Israeli subsidiary rented an additional 18,950 square feet in Ra'anana.</w:t>
      </w:r>
    </w:p>
    <w:p>
      <w:pPr>
        <w:spacing w:after="0" w:line="255"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In August 1998, we entered into a seven-year lease (commencing December 1998) for 90,600 square feet in Chesterfield, Missouri. We intend to relocate our development center and all of our administrative personnel, now principally centered around St. Louis, Missouri, to Chesterfield. The annual rent for the facility will be approximately $2.0 million. In July 1999, we intend to terminate our St. Louis lease under which we pay approximately $300,000 annually in rent. We also hold a number of other leases in the United States, with an aggregate annual rent of approximately $75,000.</w:t>
      </w:r>
    </w:p>
    <w:p>
      <w:pPr>
        <w:spacing w:after="0" w:line="253" w:lineRule="exact"/>
        <w:rPr>
          <w:sz w:val="20"/>
          <w:szCs w:val="20"/>
          <w:color w:val="auto"/>
        </w:rPr>
      </w:pPr>
    </w:p>
    <w:p>
      <w:pPr>
        <w:ind w:right="3159" w:firstLine="447"/>
        <w:spacing w:after="0" w:line="359" w:lineRule="auto"/>
        <w:rPr>
          <w:sz w:val="20"/>
          <w:szCs w:val="20"/>
          <w:color w:val="auto"/>
        </w:rPr>
      </w:pPr>
      <w:r>
        <w:rPr>
          <w:rFonts w:ascii="Courier New" w:cs="Courier New" w:eastAsia="Courier New" w:hAnsi="Courier New"/>
          <w:sz w:val="15"/>
          <w:szCs w:val="15"/>
          <w:color w:val="auto"/>
        </w:rPr>
        <w:t>We also lease 37,670 square feet for our development facility in Cyprus at an annual rent of approximately $460,000.</w:t>
      </w:r>
    </w:p>
    <w:p>
      <w:pPr>
        <w:spacing w:after="0" w:line="8" w:lineRule="exact"/>
        <w:rPr>
          <w:sz w:val="20"/>
          <w:szCs w:val="20"/>
          <w:color w:val="auto"/>
        </w:rPr>
      </w:pPr>
    </w:p>
    <w:p>
      <w:pPr>
        <w:ind w:right="3079" w:firstLine="447"/>
        <w:spacing w:after="0" w:line="359" w:lineRule="auto"/>
        <w:rPr>
          <w:sz w:val="20"/>
          <w:szCs w:val="20"/>
          <w:color w:val="auto"/>
        </w:rPr>
      </w:pPr>
      <w:r>
        <w:rPr>
          <w:rFonts w:ascii="Courier New" w:cs="Courier New" w:eastAsia="Courier New" w:hAnsi="Courier New"/>
          <w:sz w:val="15"/>
          <w:szCs w:val="15"/>
          <w:color w:val="auto"/>
        </w:rPr>
        <w:t>We lease additional office space in the United Kingdom, Australia, Germany, Japan, Korea and Brazil.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are not involved in any material legal proceedings.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63" w:right="1440" w:bottom="1440" w:gutter="0" w:footer="0" w:header="0"/>
        </w:sectPr>
      </w:pPr>
    </w:p>
    <w:bookmarkStart w:id="50" w:name="page51"/>
    <w:bookmarkEnd w:id="50"/>
    <w:p>
      <w:pPr>
        <w:ind w:left="268"/>
        <w:spacing w:after="0"/>
        <w:rPr>
          <w:sz w:val="20"/>
          <w:szCs w:val="20"/>
          <w:color w:val="auto"/>
        </w:rPr>
      </w:pPr>
      <w:r>
        <w:rPr>
          <w:rFonts w:ascii="Courier New" w:cs="Courier New" w:eastAsia="Courier New" w:hAnsi="Courier New"/>
          <w:sz w:val="15"/>
          <w:szCs w:val="15"/>
          <w:color w:val="auto"/>
        </w:rPr>
        <w:t>45</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w:t>
      </w:r>
    </w:p>
    <w:p>
      <w:pPr>
        <w:spacing w:after="0" w:line="346" w:lineRule="exact"/>
        <w:rPr>
          <w:sz w:val="20"/>
          <w:szCs w:val="20"/>
          <w:color w:val="auto"/>
        </w:rPr>
      </w:pPr>
    </w:p>
    <w:p>
      <w:pPr>
        <w:ind w:left="8" w:right="3079" w:firstLine="447"/>
        <w:spacing w:after="0" w:line="259" w:lineRule="auto"/>
        <w:rPr>
          <w:sz w:val="20"/>
          <w:szCs w:val="20"/>
          <w:color w:val="auto"/>
        </w:rPr>
      </w:pPr>
      <w:r>
        <w:rPr>
          <w:rFonts w:ascii="Courier New" w:cs="Courier New" w:eastAsia="Courier New" w:hAnsi="Courier New"/>
          <w:sz w:val="15"/>
          <w:szCs w:val="15"/>
          <w:color w:val="auto"/>
        </w:rPr>
        <w:t>Amdocs Limited is organized under the laws of Guernsey and, as set forth in its Articles of Association, is a holding company for the various subsidiaries that conduct our business on a worldwide basis. Our principal operating subsidiaries are Amdocs (Israel) Limited (Israel), Amdocs, Inc. (the United States) and Amdocs (UK) Limited (the United Kingdom). We rely on the executive officers of our operating subsidiaries to manage our business. In addition, Amdocs Management Limited, our management subsidiary, performs certain executive coordination functions for all our operating subsidiaries.</w:t>
      </w:r>
    </w:p>
    <w:p>
      <w:pPr>
        <w:spacing w:after="0" w:line="25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EXECUTIVE OFFICERS AND DIRECTORS AND OTHER KEY EMPLOYEES</w:t>
      </w:r>
    </w:p>
    <w:p>
      <w:pPr>
        <w:spacing w:after="0" w:line="346" w:lineRule="exact"/>
        <w:rPr>
          <w:sz w:val="20"/>
          <w:szCs w:val="20"/>
          <w:color w:val="auto"/>
        </w:rPr>
      </w:pPr>
    </w:p>
    <w:p>
      <w:pPr>
        <w:ind w:left="8" w:right="3779" w:firstLine="447"/>
        <w:spacing w:after="0" w:line="359" w:lineRule="auto"/>
        <w:rPr>
          <w:sz w:val="20"/>
          <w:szCs w:val="20"/>
          <w:color w:val="auto"/>
        </w:rPr>
      </w:pPr>
      <w:r>
        <w:rPr>
          <w:rFonts w:ascii="Courier New" w:cs="Courier New" w:eastAsia="Courier New" w:hAnsi="Courier New"/>
          <w:sz w:val="15"/>
          <w:szCs w:val="15"/>
          <w:color w:val="auto"/>
        </w:rPr>
        <w:t>The board of directors and the executive officers of Amdocs and our subsidiaries and their ages as of April 30, 1999, are as follows: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560" w:type="dxa"/>
            <w:vAlign w:val="bottom"/>
          </w:tcPr>
          <w:p>
            <w:pPr>
              <w:ind w:left="1980"/>
              <w:spacing w:after="0"/>
              <w:rPr>
                <w:sz w:val="20"/>
                <w:szCs w:val="20"/>
                <w:color w:val="auto"/>
              </w:rPr>
            </w:pPr>
            <w:r>
              <w:rPr>
                <w:rFonts w:ascii="Courier New" w:cs="Courier New" w:eastAsia="Courier New" w:hAnsi="Courier New"/>
                <w:sz w:val="15"/>
                <w:szCs w:val="15"/>
                <w:color w:val="auto"/>
              </w:rPr>
              <w:t>POSITION</w:t>
            </w:r>
          </w:p>
        </w:tc>
        <w:tc>
          <w:tcPr>
            <w:tcW w:w="0" w:type="dxa"/>
            <w:vAlign w:val="bottom"/>
          </w:tcPr>
          <w:p>
            <w:pPr>
              <w:spacing w:after="0"/>
              <w:rPr>
                <w:sz w:val="1"/>
                <w:szCs w:val="1"/>
                <w:color w:val="auto"/>
              </w:rPr>
            </w:pPr>
          </w:p>
        </w:tc>
      </w:tr>
      <w:tr>
        <w:trPr>
          <w:trHeight w:val="252"/>
        </w:trPr>
        <w:tc>
          <w:tcPr>
            <w:tcW w:w="3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560" w:type="dxa"/>
            <w:vAlign w:val="bottom"/>
          </w:tcPr>
          <w:p>
            <w:pPr>
              <w:ind w:left="21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840" w:type="dxa"/>
            <w:vAlign w:val="bottom"/>
          </w:tcPr>
          <w:p>
            <w:pPr>
              <w:spacing w:after="0"/>
              <w:rPr>
                <w:sz w:val="20"/>
                <w:szCs w:val="20"/>
                <w:color w:val="auto"/>
              </w:rPr>
            </w:pPr>
            <w:r>
              <w:rPr>
                <w:rFonts w:ascii="Courier New" w:cs="Courier New" w:eastAsia="Courier New" w:hAnsi="Courier New"/>
                <w:sz w:val="15"/>
                <w:szCs w:val="15"/>
                <w:color w:val="auto"/>
              </w:rPr>
              <w:t>Bruce K. Anderson(2)(3)...................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59</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w w:val="98"/>
              </w:rPr>
              <w:t>Chairman of the Board and Chief Executive Officer,</w:t>
            </w:r>
          </w:p>
        </w:tc>
        <w:tc>
          <w:tcPr>
            <w:tcW w:w="0" w:type="dxa"/>
            <w:vAlign w:val="bottom"/>
          </w:tcPr>
          <w:p>
            <w:pPr>
              <w:spacing w:after="0"/>
              <w:rPr>
                <w:sz w:val="1"/>
                <w:szCs w:val="1"/>
                <w:color w:val="auto"/>
              </w:rPr>
            </w:pPr>
          </w:p>
        </w:tc>
      </w:tr>
      <w:tr>
        <w:trPr>
          <w:trHeight w:val="172"/>
        </w:trPr>
        <w:tc>
          <w:tcPr>
            <w:tcW w:w="3840" w:type="dxa"/>
            <w:vAlign w:val="bottom"/>
            <w:vMerge w:val="restart"/>
          </w:tcPr>
          <w:p>
            <w:pPr>
              <w:spacing w:after="0"/>
              <w:rPr>
                <w:sz w:val="20"/>
                <w:szCs w:val="20"/>
                <w:color w:val="auto"/>
              </w:rPr>
            </w:pPr>
            <w:r>
              <w:rPr>
                <w:rFonts w:ascii="Courier New" w:cs="Courier New" w:eastAsia="Courier New" w:hAnsi="Courier New"/>
                <w:sz w:val="15"/>
                <w:szCs w:val="15"/>
                <w:color w:val="auto"/>
              </w:rPr>
              <w:t>Robert A. Minicucci(2)(3)</w:t>
            </w:r>
          </w:p>
        </w:tc>
        <w:tc>
          <w:tcPr>
            <w:tcW w:w="6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46</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Amdocs Limited</w:t>
            </w:r>
          </w:p>
        </w:tc>
        <w:tc>
          <w:tcPr>
            <w:tcW w:w="0" w:type="dxa"/>
            <w:vAlign w:val="bottom"/>
          </w:tcPr>
          <w:p>
            <w:pPr>
              <w:spacing w:after="0"/>
              <w:rPr>
                <w:sz w:val="1"/>
                <w:szCs w:val="1"/>
                <w:color w:val="auto"/>
              </w:rPr>
            </w:pPr>
          </w:p>
        </w:tc>
      </w:tr>
      <w:tr>
        <w:trPr>
          <w:trHeight w:val="172"/>
        </w:trPr>
        <w:tc>
          <w:tcPr>
            <w:tcW w:w="3840" w:type="dxa"/>
            <w:vAlign w:val="bottom"/>
            <w:vMerge w:val="continue"/>
          </w:tcPr>
          <w:p>
            <w:pPr>
              <w:ind w:left="2220"/>
              <w:spacing w:after="0" w:line="152" w:lineRule="exact"/>
              <w:rPr>
                <w:sz w:val="20"/>
                <w:szCs w:val="20"/>
                <w:color w:val="auto"/>
              </w:rPr>
            </w:pPr>
            <w:r>
              <w:rPr>
                <w:rFonts w:ascii="Courier New" w:cs="Courier New" w:eastAsia="Courier New" w:hAnsi="Courier New"/>
                <w:sz w:val="15"/>
                <w:szCs w:val="15"/>
                <w:color w:val="auto"/>
              </w:rPr>
              <w:t>.................</w:t>
            </w:r>
          </w:p>
        </w:tc>
        <w:tc>
          <w:tcPr>
            <w:tcW w:w="620" w:type="dxa"/>
            <w:vAlign w:val="bottom"/>
            <w:vMerge w:val="continue"/>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 and Chief Financial Officer, Amdocs</w:t>
            </w:r>
          </w:p>
        </w:tc>
        <w:tc>
          <w:tcPr>
            <w:tcW w:w="0" w:type="dxa"/>
            <w:vAlign w:val="bottom"/>
          </w:tcPr>
          <w:p>
            <w:pPr>
              <w:spacing w:after="0"/>
              <w:rPr>
                <w:sz w:val="1"/>
                <w:szCs w:val="1"/>
                <w:color w:val="auto"/>
              </w:rPr>
            </w:pPr>
          </w:p>
        </w:tc>
      </w:tr>
      <w:tr>
        <w:trPr>
          <w:trHeight w:val="172"/>
        </w:trPr>
        <w:tc>
          <w:tcPr>
            <w:tcW w:w="3840" w:type="dxa"/>
            <w:vAlign w:val="bottom"/>
            <w:vMerge w:val="restart"/>
          </w:tcPr>
          <w:p>
            <w:pPr>
              <w:spacing w:after="0"/>
              <w:rPr>
                <w:sz w:val="20"/>
                <w:szCs w:val="20"/>
                <w:color w:val="auto"/>
              </w:rPr>
            </w:pPr>
            <w:r>
              <w:rPr>
                <w:rFonts w:ascii="Courier New" w:cs="Courier New" w:eastAsia="Courier New" w:hAnsi="Courier New"/>
                <w:sz w:val="15"/>
                <w:szCs w:val="15"/>
                <w:color w:val="auto"/>
              </w:rPr>
              <w:t>Avinoam Naor..............................</w:t>
            </w:r>
          </w:p>
        </w:tc>
        <w:tc>
          <w:tcPr>
            <w:tcW w:w="6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50</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Limited</w:t>
            </w:r>
          </w:p>
        </w:tc>
        <w:tc>
          <w:tcPr>
            <w:tcW w:w="0" w:type="dxa"/>
            <w:vAlign w:val="bottom"/>
          </w:tcPr>
          <w:p>
            <w:pPr>
              <w:spacing w:after="0"/>
              <w:rPr>
                <w:sz w:val="1"/>
                <w:szCs w:val="1"/>
                <w:color w:val="auto"/>
              </w:rPr>
            </w:pPr>
          </w:p>
        </w:tc>
      </w:tr>
      <w:tr>
        <w:trPr>
          <w:trHeight w:val="172"/>
        </w:trPr>
        <w:tc>
          <w:tcPr>
            <w:tcW w:w="38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 of Amdocs Limited and Chief Executive</w:t>
            </w:r>
          </w:p>
        </w:tc>
        <w:tc>
          <w:tcPr>
            <w:tcW w:w="0" w:type="dxa"/>
            <w:vAlign w:val="bottom"/>
          </w:tcPr>
          <w:p>
            <w:pPr>
              <w:spacing w:after="0"/>
              <w:rPr>
                <w:sz w:val="1"/>
                <w:szCs w:val="1"/>
                <w:color w:val="auto"/>
              </w:rPr>
            </w:pPr>
          </w:p>
        </w:tc>
      </w:tr>
      <w:tr>
        <w:trPr>
          <w:trHeight w:val="172"/>
        </w:trPr>
        <w:tc>
          <w:tcPr>
            <w:tcW w:w="3840" w:type="dxa"/>
            <w:vAlign w:val="bottom"/>
            <w:vMerge w:val="restart"/>
          </w:tcPr>
          <w:p>
            <w:pPr>
              <w:spacing w:after="0"/>
              <w:rPr>
                <w:sz w:val="20"/>
                <w:szCs w:val="20"/>
                <w:color w:val="auto"/>
              </w:rPr>
            </w:pPr>
            <w:r>
              <w:rPr>
                <w:rFonts w:ascii="Courier New" w:cs="Courier New" w:eastAsia="Courier New" w:hAnsi="Courier New"/>
                <w:sz w:val="15"/>
                <w:szCs w:val="15"/>
                <w:color w:val="auto"/>
              </w:rPr>
              <w:t>Dov Baharav...............................</w:t>
            </w:r>
          </w:p>
        </w:tc>
        <w:tc>
          <w:tcPr>
            <w:tcW w:w="6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48</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Officer of Amdocs Management Limited</w:t>
            </w:r>
          </w:p>
        </w:tc>
        <w:tc>
          <w:tcPr>
            <w:tcW w:w="0" w:type="dxa"/>
            <w:vAlign w:val="bottom"/>
          </w:tcPr>
          <w:p>
            <w:pPr>
              <w:spacing w:after="0"/>
              <w:rPr>
                <w:sz w:val="1"/>
                <w:szCs w:val="1"/>
                <w:color w:val="auto"/>
              </w:rPr>
            </w:pPr>
          </w:p>
        </w:tc>
      </w:tr>
      <w:tr>
        <w:trPr>
          <w:trHeight w:val="172"/>
        </w:trPr>
        <w:tc>
          <w:tcPr>
            <w:tcW w:w="38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w w:val="98"/>
              </w:rPr>
              <w:t>Senior Vice President and Chief Financial Officer,</w:t>
            </w:r>
          </w:p>
        </w:tc>
        <w:tc>
          <w:tcPr>
            <w:tcW w:w="0" w:type="dxa"/>
            <w:vAlign w:val="bottom"/>
          </w:tcPr>
          <w:p>
            <w:pPr>
              <w:spacing w:after="0"/>
              <w:rPr>
                <w:sz w:val="1"/>
                <w:szCs w:val="1"/>
                <w:color w:val="auto"/>
              </w:rPr>
            </w:pPr>
          </w:p>
        </w:tc>
      </w:tr>
      <w:tr>
        <w:trPr>
          <w:trHeight w:val="172"/>
        </w:trPr>
        <w:tc>
          <w:tcPr>
            <w:tcW w:w="3840" w:type="dxa"/>
            <w:vAlign w:val="bottom"/>
            <w:vMerge w:val="restart"/>
          </w:tcPr>
          <w:p>
            <w:pPr>
              <w:spacing w:after="0"/>
              <w:rPr>
                <w:sz w:val="20"/>
                <w:szCs w:val="20"/>
                <w:color w:val="auto"/>
              </w:rPr>
            </w:pPr>
            <w:r>
              <w:rPr>
                <w:rFonts w:ascii="Courier New" w:cs="Courier New" w:eastAsia="Courier New" w:hAnsi="Courier New"/>
                <w:sz w:val="15"/>
                <w:szCs w:val="15"/>
                <w:color w:val="auto"/>
              </w:rPr>
              <w:t>Thomas G. O'Brien.........................</w:t>
            </w:r>
          </w:p>
        </w:tc>
        <w:tc>
          <w:tcPr>
            <w:tcW w:w="6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38</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Amdocs Management Limited</w:t>
            </w:r>
          </w:p>
        </w:tc>
        <w:tc>
          <w:tcPr>
            <w:tcW w:w="0" w:type="dxa"/>
            <w:vAlign w:val="bottom"/>
          </w:tcPr>
          <w:p>
            <w:pPr>
              <w:spacing w:after="0"/>
              <w:rPr>
                <w:sz w:val="1"/>
                <w:szCs w:val="1"/>
                <w:color w:val="auto"/>
              </w:rPr>
            </w:pPr>
          </w:p>
        </w:tc>
      </w:tr>
      <w:tr>
        <w:trPr>
          <w:trHeight w:val="172"/>
        </w:trPr>
        <w:tc>
          <w:tcPr>
            <w:tcW w:w="38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Treasurer and Secretary, Amdocs Limited</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Nehemia Lemelbaum.........................</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Mario Segal...............................</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Joshua Ehrlich............................</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49</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Simon Cassif..............................</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(UK) Limited</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James W. Andrews..........................</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34</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General Manager, Amdocs (UK) Limited</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Adrian Gardner(1)(2)(3)...................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36</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Stephen Hermer............................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37</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James Kahan...............................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Paz Littman(2)(3).........................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Revital Naveh(1)..........................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Lawrence Perlman(1).......................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61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5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Michael J. Price..........................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348" w:hanging="348"/>
        <w:spacing w:after="0"/>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146"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Executive Committee</w:t>
      </w:r>
    </w:p>
    <w:p>
      <w:pPr>
        <w:spacing w:after="0" w:line="346" w:lineRule="exact"/>
        <w:rPr>
          <w:sz w:val="20"/>
          <w:szCs w:val="20"/>
          <w:color w:val="auto"/>
        </w:rPr>
      </w:pPr>
    </w:p>
    <w:p>
      <w:pPr>
        <w:ind w:left="8" w:right="3159" w:firstLine="447"/>
        <w:spacing w:after="0" w:line="255" w:lineRule="auto"/>
        <w:rPr>
          <w:sz w:val="20"/>
          <w:szCs w:val="20"/>
          <w:color w:val="auto"/>
        </w:rPr>
      </w:pPr>
      <w:r>
        <w:rPr>
          <w:rFonts w:ascii="Courier New" w:cs="Courier New" w:eastAsia="Courier New" w:hAnsi="Courier New"/>
          <w:sz w:val="15"/>
          <w:szCs w:val="15"/>
          <w:color w:val="auto"/>
        </w:rPr>
        <w:t>Bruce K. Anderson has been Chief Executive Officer and Chairman of the Board of Amdocs since September 1997. Since August 1978, he has been a general partner of WCAS, an investment firm which specializes in the acquisition of companies in the information services, communications and health care industries. Investment partnerships affiliated with WCAS are collectively our largest stockholder. Mr. Anderson served for nine years with Automated Data Processing, Inc., or ADP, until his resignation as Executive Vice President and a director of ADP, and President of ADP International, effective August 1978. Mr. Anderson serves on the board of directors of Medquist, Inc. and several private companies.</w:t>
      </w:r>
    </w:p>
    <w:p>
      <w:pPr>
        <w:spacing w:after="0" w:line="25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263"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Robert A. Minicucci has been Chief Financial Officer and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Mr. Minicucci served for twelve years with Lehman Brothers (and its predecessors) until his resignation as a Managing Director in 1991. He is also a director of several private companies.</w:t>
      </w:r>
    </w:p>
    <w:p>
      <w:pPr>
        <w:spacing w:after="0" w:line="255" w:lineRule="exact"/>
        <w:rPr>
          <w:sz w:val="20"/>
          <w:szCs w:val="20"/>
          <w:color w:val="auto"/>
        </w:rPr>
      </w:pPr>
    </w:p>
    <w:p>
      <w:pPr>
        <w:ind w:right="3259" w:firstLine="447"/>
        <w:spacing w:after="0" w:line="257" w:lineRule="auto"/>
        <w:rPr>
          <w:sz w:val="20"/>
          <w:szCs w:val="20"/>
          <w:color w:val="auto"/>
        </w:rPr>
      </w:pPr>
      <w:r>
        <w:rPr>
          <w:rFonts w:ascii="Courier New" w:cs="Courier New" w:eastAsia="Courier New" w:hAnsi="Courier New"/>
          <w:sz w:val="15"/>
          <w:szCs w:val="15"/>
          <w:color w:val="auto"/>
        </w:rPr>
        <w:t>Avinoam Naor has been a director of Amdocs Limited since January 1999 and is Chief Executive Officer of Amdocs Management Limited having overall coordination responsibility for the operations and activities of our operating subsidiaries. Mr. Naor joined Amdocs in 1982 and initially served as a Senior Vice President. He has been involved with software development for 28 years, working on projects for the development of infrastructure software for communications systems and developing and marketing directory assistance systems. Mr. Naor was a member of the team that established the computerized system for Golden Pages, the Israel Yellow Pages company.</w:t>
      </w:r>
    </w:p>
    <w:p>
      <w:pPr>
        <w:spacing w:after="0" w:line="255" w:lineRule="exact"/>
        <w:rPr>
          <w:sz w:val="20"/>
          <w:szCs w:val="20"/>
          <w:color w:val="auto"/>
        </w:rPr>
      </w:pPr>
    </w:p>
    <w:p>
      <w:pPr>
        <w:ind w:right="3159" w:firstLine="447"/>
        <w:spacing w:after="0" w:line="259" w:lineRule="auto"/>
        <w:rPr>
          <w:sz w:val="20"/>
          <w:szCs w:val="20"/>
          <w:color w:val="auto"/>
        </w:rPr>
      </w:pPr>
      <w:r>
        <w:rPr>
          <w:rFonts w:ascii="Courier New" w:cs="Courier New" w:eastAsia="Courier New" w:hAnsi="Courier New"/>
          <w:sz w:val="15"/>
          <w:szCs w:val="15"/>
          <w:color w:val="auto"/>
        </w:rPr>
        <w:t>Dov Baharav is a Senior Vice President and the Chief Financial Officer of Amdocs Management Limited, and has overall coordination responsibility for the financial reporting of our operating subsidiaries. Mr. Baharav joined Amdocs in 1991 in St. Louis, Missouri and until 1995 served as Vice President and President of Amdocs, Inc., our principal U.S. subsidiary. Prior to joining Amdocs, Mr. Baharav served as Chief Operating Officer of Oprotech Ltd., a publicly held company that develops, manufactures and markets electro-optical devices.</w:t>
      </w:r>
    </w:p>
    <w:p>
      <w:pPr>
        <w:spacing w:after="0" w:line="81"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Thomas G. O'Brien is Treasurer and Secretary of Amdocs Limited and since July 1995 has held other financial management positions within Amdocs. From July 1993 to July 1995, Mr. O'Brien was Controller of Big River Minerals Corporation, a diversified natural resources company. From 1989 to 1993, Mr. O'Brien was the Assistant Controller for Big River Minerals Corporation. From 1983 to 1989, Mr. O'Brien was a certified public accountant with Arthur Young and Company (now Ernst &amp; Young LLP). Mr. O'Brien is a member of the American Institute of Certified Public Accountants and the Missouri Society of Certified Public Accountants.</w:t>
      </w:r>
    </w:p>
    <w:p>
      <w:pPr>
        <w:spacing w:after="0" w:line="255"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Nehemia Lemelbaum is Senior Vice President, Strategy and Corporate Development, of Amdocs Management Limited. He joined Amdocs in 1985, with initial responsibility for our U.S. operations. Mr. Lemelbaum led our development of graphic products for the Yellow Pages industry and directed our development of CC&amp;B Systems. He served for nine years with Contahal Ltd., a leading Israeli software house, first as a senior consultant, and later as Managing Director. From 1967 to 1976, Mr. Lemelbaum was employed by the Ministry of Communications of Israel (in effect the organization that is currently Bezeq, the Israel Telecommunication Corp. Ltd.), with responsibility for computer technology in the area of business data processing.</w:t>
      </w:r>
    </w:p>
    <w:p>
      <w:pPr>
        <w:spacing w:after="0" w:line="259"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Mario Segal is a Senior Vice President and the Chief Operating Officer of Amdocs Management Limited. He joined Amdocs in 1984 as Senior Vice President and was a leading member of the team that developed the "ADS(NG)/Family of Products" directory automation systems and the "Customer Care and Billing Platform." Mr. Segal was also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253"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Joshua Ehrlich is Senior Vice President, Business Development, of Amdocs Management Limited. Mr. Ehrlich has overall responsibility for coordinating new business development. He joined Amdocs in 1985. Mr. Ehrlich served as the account manager for one of our major North American installations, and subsequently had responsibility for major product development efforts. Following that, he assumed the responsibility for coordinating our sales support activities.</w:t>
      </w:r>
    </w:p>
    <w:p>
      <w:pPr>
        <w:spacing w:after="0" w:line="2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63"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right="3079"/>
        <w:spacing w:after="0" w:line="331" w:lineRule="auto"/>
        <w:rPr>
          <w:sz w:val="20"/>
          <w:szCs w:val="20"/>
          <w:color w:val="auto"/>
        </w:rPr>
      </w:pPr>
      <w:r>
        <w:rPr>
          <w:rFonts w:ascii="Courier New" w:cs="Courier New" w:eastAsia="Courier New" w:hAnsi="Courier New"/>
          <w:sz w:val="14"/>
          <w:szCs w:val="14"/>
          <w:color w:val="auto"/>
        </w:rPr>
        <w:t>Prior to joining Amdocs, Mr. Ehrlich managed the industrial application division of a leading Israeli software company, with responsibility for business development, overall project control and coordination of sales support.</w:t>
      </w:r>
    </w:p>
    <w:p>
      <w:pPr>
        <w:spacing w:after="0" w:line="204"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Simon Cassif is a Senior Vice President of Amdocs (UK) Limited. He has principal responsibility for developing our relationships with strategic customers in Europe. Mr. Cassif joined Amdocs in January 1994 and has since been devoting most of his efforts to business development in the area of customer care and billing. Prior to joining Amdocs, Mr. Cassif was Chief Information Officer and Vice President, Systems and Computers at Bezeq, the Israel Telecommunication Corp. Ltd. Mr. Cassif held this position for twelve years, with full responsibility for Bezeq Information Technology strategy, systems development, maintenance and operations.</w:t>
      </w:r>
    </w:p>
    <w:p>
      <w:pPr>
        <w:spacing w:after="0" w:line="255" w:lineRule="exact"/>
        <w:rPr>
          <w:sz w:val="20"/>
          <w:szCs w:val="20"/>
          <w:color w:val="auto"/>
        </w:rPr>
      </w:pPr>
    </w:p>
    <w:p>
      <w:pPr>
        <w:ind w:right="3259" w:firstLine="447"/>
        <w:spacing w:after="0" w:line="257" w:lineRule="auto"/>
        <w:rPr>
          <w:sz w:val="20"/>
          <w:szCs w:val="20"/>
          <w:color w:val="auto"/>
        </w:rPr>
      </w:pPr>
      <w:r>
        <w:rPr>
          <w:rFonts w:ascii="Courier New" w:cs="Courier New" w:eastAsia="Courier New" w:hAnsi="Courier New"/>
          <w:sz w:val="15"/>
          <w:szCs w:val="15"/>
          <w:color w:val="auto"/>
        </w:rPr>
        <w:t>James W. Andrews is General Manager of Amdocs (UK) Limited, with responsibility for supervising financial reporting and control, insurance, administration and human resources. Mr. Andrews joined Amdocs in 1991 and has served in a number of financial management positions, including Financial Controller. Prior to joining Amdocs, Mr. Andrews was the Accounting Supervisor at Arch Mineral Corporation. He also served at Arthur Andersen &amp; Co. as a certified public accountant. Mr. Andrews is a member of the American Institute of Certified Public Accountants and the Missouri Society of Certified Public Accountants.</w:t>
      </w:r>
    </w:p>
    <w:p>
      <w:pPr>
        <w:spacing w:after="0" w:line="83" w:lineRule="exact"/>
        <w:rPr>
          <w:sz w:val="20"/>
          <w:szCs w:val="20"/>
          <w:color w:val="auto"/>
        </w:rPr>
      </w:pPr>
    </w:p>
    <w:p>
      <w:pPr>
        <w:ind w:right="3079" w:firstLine="447"/>
        <w:spacing w:after="0" w:line="288" w:lineRule="auto"/>
        <w:rPr>
          <w:sz w:val="20"/>
          <w:szCs w:val="20"/>
          <w:color w:val="auto"/>
        </w:rPr>
      </w:pPr>
      <w:r>
        <w:rPr>
          <w:rFonts w:ascii="Courier New" w:cs="Courier New" w:eastAsia="Courier New" w:hAnsi="Courier New"/>
          <w:sz w:val="14"/>
          <w:szCs w:val="14"/>
          <w:color w:val="auto"/>
        </w:rPr>
        <w:t>Adrian Gardner has been a director of Amdocs since April 1998. Mr. Gardner is an Executive Director of Lazard Brothers &amp; Co., Limited, based in London and working with technology and telecommunications-related companies. Prior to joining Lazard Brothers in 1989, Mr. Gardner qualified as a chartered accountant with Price Waterhouse. Mr. Gardner is a member of the Institute of Chartered Accountants in England and Wales and a member of The Securities Institute.</w:t>
      </w:r>
    </w:p>
    <w:p>
      <w:pPr>
        <w:spacing w:after="0" w:line="62"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Stephen Hermer has been a director of Amdocs since April 1998. In 1998, Mr. Hermer joined the law firm of Olswang, based in London, where he practices corporate and securities law. Prior to that, he was a partner with the London law firm of Frere Cholmeley Bischoff.</w:t>
      </w:r>
    </w:p>
    <w:p>
      <w:pPr>
        <w:spacing w:after="0" w:line="6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James S. Kahan has been a director of Amdocs since April 1998. Mr. Kahan has worked at SBC since 1983, and currently serves as its Senior Vice President-Corporate Development, a position he has held since 1992. Prior to joining SBC Mr. Kahan held various positions at several telecommunications companies, including Western Electric, Bell Laboratories, South Central Bell and AT&amp;T.</w:t>
      </w:r>
    </w:p>
    <w:p>
      <w:pPr>
        <w:spacing w:after="0" w:line="246" w:lineRule="exact"/>
        <w:rPr>
          <w:sz w:val="20"/>
          <w:szCs w:val="20"/>
          <w:color w:val="auto"/>
        </w:rPr>
      </w:pPr>
    </w:p>
    <w:p>
      <w:pPr>
        <w:ind w:right="3339" w:firstLine="447"/>
        <w:spacing w:after="0" w:line="272" w:lineRule="auto"/>
        <w:rPr>
          <w:sz w:val="20"/>
          <w:szCs w:val="20"/>
          <w:color w:val="auto"/>
        </w:rPr>
      </w:pPr>
      <w:r>
        <w:rPr>
          <w:rFonts w:ascii="Courier New" w:cs="Courier New" w:eastAsia="Courier New" w:hAnsi="Courier New"/>
          <w:sz w:val="15"/>
          <w:szCs w:val="15"/>
          <w:color w:val="auto"/>
        </w:rPr>
        <w:t>Paz Littman has been a director of Amdocs since September 1997. Since October 1996, he has served as President of Aurum Management and Consulting Ltd., a privately held company, which makes and manages investments for shareholders of the Aurec Group. From 1991 to 1996, Mr. Littman was an active partner with the law firm of Meitar, Littman &amp; Co.</w:t>
      </w:r>
    </w:p>
    <w:p>
      <w:pPr>
        <w:spacing w:after="0" w:line="200" w:lineRule="exact"/>
        <w:rPr>
          <w:sz w:val="20"/>
          <w:szCs w:val="20"/>
          <w:color w:val="auto"/>
        </w:rPr>
      </w:pPr>
    </w:p>
    <w:p>
      <w:pPr>
        <w:spacing w:after="0" w:line="213"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Revital Naveh has been a director of Amdocs since April 1998. In July 1997, Ms. Naveh joined Aurum Management and Consulting Ltd., a privately held company, which makes and manages investments for shareholders of the Aurec Group. Prior to that, Ms. Naveh was an associate at the New York law firm of Skadden, Arps, Slate, Meagher &amp; Flom LLP.</w:t>
      </w:r>
    </w:p>
    <w:p>
      <w:pPr>
        <w:spacing w:after="0" w:line="241" w:lineRule="exact"/>
        <w:rPr>
          <w:sz w:val="20"/>
          <w:szCs w:val="20"/>
          <w:color w:val="auto"/>
        </w:rPr>
      </w:pPr>
    </w:p>
    <w:p>
      <w:pPr>
        <w:ind w:right="3259" w:firstLine="447"/>
        <w:spacing w:after="0" w:line="259" w:lineRule="auto"/>
        <w:rPr>
          <w:sz w:val="20"/>
          <w:szCs w:val="20"/>
          <w:color w:val="auto"/>
        </w:rPr>
      </w:pPr>
      <w:r>
        <w:rPr>
          <w:rFonts w:ascii="Courier New" w:cs="Courier New" w:eastAsia="Courier New" w:hAnsi="Courier New"/>
          <w:sz w:val="15"/>
          <w:szCs w:val="15"/>
          <w:color w:val="auto"/>
        </w:rPr>
        <w:t>Lawrence Perlman has been a director of Amdocs since April 1998. He has been Chairman of Ceridian Corporation since 1992, and its Chief Executive Officer since 1990. Ceridian Corporation is a provider of information services to employers to administer various human resource functions, as well as information services for the transportation and electronic media markets. Mr. Perlman is a director and Chairman of Seagate Technology, Inc., and a director of The Valspar Corporation and Computer Network Technology Corporation. Mr. Perlman has been a director of Ceridian since 1985.</w:t>
      </w:r>
    </w:p>
    <w:p>
      <w:pPr>
        <w:spacing w:after="0" w:line="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63"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48</w:t>
      </w:r>
    </w:p>
    <w:p>
      <w:pPr>
        <w:spacing w:after="0" w:line="346"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Michael J. Price has been a director of Amdocs since January 1998. He is co-Chief Executive Officer of FirstMark Communications LLC, a broadband wireless telecommunications company. Prior to that, he worked at Lazard Freres &amp; Co. L.L.C., starting in 1987, serving first as a Vice President and then as a Managing Director, where he led its technology and telecommunications group.</w:t>
      </w: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4"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All directors hold office until the next annual meeting of our shareholders or until their respective successors are duly elected and qualified or their positions are earlier vacated by resignation or otherwise.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74"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Executive officers of Amdocs are elected by the board of directors on an annual basis and serve until the next annual meeting of the board of directors or until their respective successors have been duly elected or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or qualified or their positions are earlier vacated by resignation or otherwise.</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74"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The Audit Committee of the board of directors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w:t>
      </w:r>
    </w:p>
    <w:p>
      <w:pPr>
        <w:spacing w:after="0" w:line="69" w:lineRule="exact"/>
        <w:rPr>
          <w:sz w:val="20"/>
          <w:szCs w:val="20"/>
          <w:color w:val="auto"/>
        </w:rPr>
      </w:pPr>
    </w:p>
    <w:p>
      <w:pPr>
        <w:ind w:right="3159" w:firstLine="447"/>
        <w:spacing w:after="0" w:line="295" w:lineRule="auto"/>
        <w:rPr>
          <w:sz w:val="20"/>
          <w:szCs w:val="20"/>
          <w:color w:val="auto"/>
        </w:rPr>
      </w:pPr>
      <w:r>
        <w:rPr>
          <w:rFonts w:ascii="Courier New" w:cs="Courier New" w:eastAsia="Courier New" w:hAnsi="Courier New"/>
          <w:sz w:val="14"/>
          <w:szCs w:val="14"/>
          <w:color w:val="auto"/>
        </w:rPr>
        <w:t>The Compensation Committee of the board of directors determines the salaries and incentive compensation of the officers of Amdocs and our subsidiaries and provides recommendations for the salaries and incentive compensation of other employees and the consultants. The Compensation Committee also administers various compensation, stock and benefit plans of Amdocs.</w:t>
      </w:r>
    </w:p>
    <w:p>
      <w:pPr>
        <w:spacing w:after="0" w:line="57" w:lineRule="exact"/>
        <w:rPr>
          <w:sz w:val="20"/>
          <w:szCs w:val="20"/>
          <w:color w:val="auto"/>
        </w:rPr>
      </w:pPr>
    </w:p>
    <w:p>
      <w:pPr>
        <w:jc w:val="both"/>
        <w:ind w:right="3079" w:firstLine="447"/>
        <w:spacing w:after="0" w:line="301" w:lineRule="auto"/>
        <w:rPr>
          <w:sz w:val="20"/>
          <w:szCs w:val="20"/>
          <w:color w:val="auto"/>
        </w:rPr>
      </w:pPr>
      <w:r>
        <w:rPr>
          <w:rFonts w:ascii="Courier New" w:cs="Courier New" w:eastAsia="Courier New" w:hAnsi="Courier New"/>
          <w:sz w:val="15"/>
          <w:szCs w:val="15"/>
          <w:color w:val="auto"/>
        </w:rPr>
        <w:t>We have also established an Executive Committee which may act from time to time instead of the full board of directors and has such responsibilities as may be delegated to it by the Board.</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346" w:lineRule="exact"/>
        <w:rPr>
          <w:sz w:val="20"/>
          <w:szCs w:val="20"/>
          <w:color w:val="auto"/>
        </w:rPr>
      </w:pPr>
    </w:p>
    <w:p>
      <w:pPr>
        <w:jc w:val="both"/>
        <w:ind w:right="3079" w:firstLine="447"/>
        <w:spacing w:after="0" w:line="301" w:lineRule="auto"/>
        <w:rPr>
          <w:sz w:val="20"/>
          <w:szCs w:val="20"/>
          <w:color w:val="auto"/>
        </w:rPr>
      </w:pPr>
      <w:r>
        <w:rPr>
          <w:rFonts w:ascii="Courier New" w:cs="Courier New" w:eastAsia="Courier New" w:hAnsi="Courier New"/>
          <w:sz w:val="15"/>
          <w:szCs w:val="15"/>
          <w:color w:val="auto"/>
        </w:rPr>
        <w:t>Our Compensation Committee consists of Messrs. Anderson, Minicucci, Gardner and Littman. None of the members of the Committee was an employee of ours at any time during fiscal 1998 or the first six months of fiscal 1999.</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 AND EXECUTIVE OFFICERS</w:t>
      </w:r>
    </w:p>
    <w:p>
      <w:pPr>
        <w:spacing w:after="0" w:line="346"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We pay our non-employee directors who are not associated with any of our principal shareholders (1) $10,000 per annum and (2) $1,500 per meeting of the board of directors and $500 per meeting of a committee of the Board. We reimburse all of our directors for their reasonable travel expenses incurred in connection with attending meetings of the board of directors or committees thereof. Under certain circumstances, directors are also eligible to receive stock options. During fiscal year 1998, we granted options to two non-employee directors to purchase a total of 21,000 ordinary shares at a price of $14 per share, vesting over three years.</w:t>
      </w:r>
    </w:p>
    <w:p>
      <w:pPr>
        <w:spacing w:after="0" w:line="25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63"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A total of nine persons who served either as an executive officer or director of Amdocs during fiscal year 1998 received remuneration from Amdocs. The aggregate remuneration paid by us to such persons was approximately $4 million, which includes amounts set aside or accrued to provide pension, retirement or similar benefits, but does not include amounts expended by us for automobiles made available to our officers, expenses (including business travel, professional and business association dues) or other fringe benefits.</w:t>
      </w:r>
    </w:p>
    <w:p>
      <w:pPr>
        <w:spacing w:after="0" w:line="250" w:lineRule="exact"/>
        <w:rPr>
          <w:sz w:val="20"/>
          <w:szCs w:val="20"/>
          <w:color w:val="auto"/>
        </w:rPr>
      </w:pPr>
    </w:p>
    <w:p>
      <w:pPr>
        <w:ind w:right="3159" w:firstLine="447"/>
        <w:spacing w:after="0" w:line="331" w:lineRule="auto"/>
        <w:rPr>
          <w:sz w:val="20"/>
          <w:szCs w:val="20"/>
          <w:color w:val="auto"/>
        </w:rPr>
      </w:pPr>
      <w:r>
        <w:rPr>
          <w:rFonts w:ascii="Courier New" w:cs="Courier New" w:eastAsia="Courier New" w:hAnsi="Courier New"/>
          <w:sz w:val="14"/>
          <w:szCs w:val="14"/>
          <w:color w:val="auto"/>
        </w:rPr>
        <w:t>During fiscal 1998, we granted options to six executive officers and directors to purchase a total of 448,000 ordinary shares at an average exercise price of $8.20 per share, with vesting over three to eight-year terms.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OPTIONS</w:t>
      </w:r>
    </w:p>
    <w:p>
      <w:pPr>
        <w:spacing w:after="0" w:line="346"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From January, 1998 through March 31, 1999 we granted options to purchase approximately 4,190,000 ordinary shares to our officers and employees, and options to purchase 41,000 ordinary shares to our non-employee directors and consultants, pursuant to a stock option and incentive plan adopted in January 1999, or the Amdocs Plan. The weighted average exercise price of those options is $6.03. The options vest over a period of three to eight years commencing from the date of grant. There are currently 6,600,000 ordinary shares reserved for issuance under the Amdocs Plan. The purpose of the Amdocs Plan is to enable us to attract and retain qualified personnel and to motivate such persons by providing them with an equity participation in Amdocs. The Amdocs Plan is administered by a committee appointed by the Board and expires ten years after the date of its adoption.</w:t>
      </w:r>
    </w:p>
    <w:p>
      <w:pPr>
        <w:spacing w:after="0" w:line="259" w:lineRule="exact"/>
        <w:rPr>
          <w:sz w:val="20"/>
          <w:szCs w:val="20"/>
          <w:color w:val="auto"/>
        </w:rPr>
      </w:pPr>
    </w:p>
    <w:p>
      <w:pPr>
        <w:ind w:right="3079" w:firstLine="447"/>
        <w:spacing w:after="0" w:line="295" w:lineRule="auto"/>
        <w:rPr>
          <w:sz w:val="20"/>
          <w:szCs w:val="20"/>
          <w:color w:val="auto"/>
        </w:rPr>
      </w:pPr>
      <w:r>
        <w:rPr>
          <w:rFonts w:ascii="Courier New" w:cs="Courier New" w:eastAsia="Courier New" w:hAnsi="Courier New"/>
          <w:sz w:val="14"/>
          <w:szCs w:val="14"/>
          <w:color w:val="auto"/>
        </w:rPr>
        <w:t>The ordinary shares acquired upon exercise of an option and the restricted shares that may be granted under the Amdocs Plan will be subject to certain restrictions on transfer, sale or hypothecation. Options will be exercisable and restrictions on disposition of shares will lapse pursuant to the terms of the individual agreements under which such options were granted or shares issued.</w:t>
      </w: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TRUST AGREEMENT</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49" w:lineRule="auto"/>
        <w:rPr>
          <w:sz w:val="20"/>
          <w:szCs w:val="20"/>
          <w:color w:val="auto"/>
        </w:rPr>
      </w:pPr>
      <w:r>
        <w:rPr>
          <w:rFonts w:ascii="Courier New" w:cs="Courier New" w:eastAsia="Courier New" w:hAnsi="Courier New"/>
          <w:sz w:val="15"/>
          <w:szCs w:val="15"/>
          <w:color w:val="auto"/>
        </w:rPr>
        <w:t>In September 1997, we contributed $25.8 million to an irrevocable secular trust, or the Trust, the beneficiaries of which are primarily software and information technology specialists who have played an important role in our success. The Trust will distribute on specified dates within the next five years cash amounts to those beneficiaries employed by us on those dates. The amounts to be distributed to the beneficiaries employed by us on the relevant dates will include any appreciation in the value of the Trust's assets and are dependent upon certain conditions, such as the amount of cash available and the Trust's ability to realize the value of the assets it holds. Termination of a beneficiary's employment with Amdocs will not affect entitlement to a beneficiary's minimum interest in the Trust which was fixed at the time of our contribution to the Trust, and any terminated employee will receive such interest in September 2007. In September 1997, the Trust used the contribution from Amdocs and other resources to purchase 5,720,000 ordinary shares from us for an aggregate consideration of approximately $31.6 million. The Trust is required to liquidate any investments held in respect of any beneficiary and distribute only a cash payment. The Trust is one of the selling shareholders in the offering. See "Principal and Selling Shareholders".</w:t>
      </w:r>
    </w:p>
    <w:p>
      <w:pPr>
        <w:spacing w:after="0" w:line="26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63"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CERTAIN TRANSACTIONS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AGREEMENTS. In September 1997, Amdocs and the WCAS Investors</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Share Subscription Agreement under which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from us on September 22, 1997, $3.27 million principal amount of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junior promissory notes and shares representing 8.7% of our then outstanding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for $61.2 million. On that date, Amdocs and the WCAS Investors also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Conditional Investment Agreement, under which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subject to the satisfaction of specific revenue and cash flow targets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November 30, 1997, to acquire additional shares of Amdocs which, when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added to the shares acquired under the Share Subscription Agreement, would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constitute 35.0% of our outstanding equity as of September 22,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Concurrently with the signing of the Conditional Investment Agreement,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of Amdocs, ESM, entered into a Note Purchase Agreement with WCAS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Partners III, L.P., an investment partnership affiliated with WCAS,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several other investors, providing for the issuance of up to $125.0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 of 10% subordinated notes of ESM, subject to the satisfaction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same financial targets set forth in the Conditional Investment Agreement.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January 1998, with the financial targets having been met, ESM sold $123.5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principal amount of subordinated notes under the Note Purchase Agreement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 purchase price equal to their principal amount. On March 30, 1998,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completed the transactions contemplated by the Conditional Investment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issuing and selling to the WCAS Investors 51,507,716 ordinary shares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$95.83 million in cash and the surrender of the $3.27 million principal 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junior promissory notes issued by us in September 1997.</w:t>
      </w:r>
    </w:p>
    <w:p>
      <w:pPr>
        <w:spacing w:after="0" w:line="146"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Some entities in which several of our directors and executive officers and our subsidiaries have a beneficial interest participated in the investments made pursuant to the Share Subscription Agreement and the Conditional Investment Agreement and acquired beneficial ownership of 2,078,336 ordinary shares for a total investment of $4.0 million.</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proceeds of the equity and subordinated debt investments made under the</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Subscription Agreement, the Conditional Investment Agreement and the Note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Agreement were used, together with the proceeds of a senior bank debt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and internally generated funds, (1) to acquire for $40.0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intellectual property rights from operating subsidiaries of SBC and (2)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fund an internal corporate reorganization. Following the reorganization,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$478.7 million in dividends were paid to our shareholders, including a total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$39.9 million to the WCAS Investors.</w:t>
      </w:r>
    </w:p>
    <w:p>
      <w:pPr>
        <w:spacing w:after="0" w:line="318" w:lineRule="exact"/>
        <w:rPr>
          <w:sz w:val="20"/>
          <w:szCs w:val="20"/>
          <w:color w:val="auto"/>
        </w:rPr>
      </w:pPr>
    </w:p>
    <w:p>
      <w:pPr>
        <w:ind w:right="3079" w:firstLine="447"/>
        <w:spacing w:after="0" w:line="250" w:lineRule="auto"/>
        <w:rPr>
          <w:sz w:val="20"/>
          <w:szCs w:val="20"/>
          <w:color w:val="auto"/>
        </w:rPr>
      </w:pPr>
      <w:r>
        <w:rPr>
          <w:rFonts w:ascii="Courier New" w:cs="Courier New" w:eastAsia="Courier New" w:hAnsi="Courier New"/>
          <w:sz w:val="15"/>
          <w:szCs w:val="15"/>
          <w:color w:val="auto"/>
        </w:rPr>
        <w:t>In September 1997, the WCAS Investors (investment partnerships affiliated with WCAS and some other investors, including certain entities in which some directors and executive officers of our subsidiaries have a beneficial interest) also granted a call option on some of the ordinary shares acquired under the Share Subscription Agreement and the Conditional Investment Agreement to our then existing shareholders, AIL, SBCI, several entities in some of which some of our executive officers have a beneficial interest and the Trust. The call option may be exercised, without the payment of any consideration to the WCAS Investors, if specific revenue and cash flow targets are met in fiscal 1998 and fiscal 1999. The targets in fiscal year 1998 have been satisfied in full. If fully exercised, the call option would decrease the ownership of the WCAS Investors from 62,580,024 to 47,381,984 and increase the relative ownership of AIL, SBCI and the other investors with no change in the aggregate number of ordinary shares outstanding. If the conditions of the call option agreement are satisfied in full, AIL and SBCI each have the right to acquire 6,154,138 ordinary shares and the other investors have the right to acquire 2,889,764 ordinary shares.</w:t>
      </w:r>
    </w:p>
    <w:p>
      <w:pPr>
        <w:spacing w:after="0" w:line="200" w:lineRule="exact"/>
        <w:rPr>
          <w:sz w:val="20"/>
          <w:szCs w:val="20"/>
          <w:color w:val="auto"/>
        </w:rPr>
      </w:pPr>
    </w:p>
    <w:p>
      <w:pPr>
        <w:spacing w:after="0" w:line="231"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SHAREHOLDERS AGREEMENT. In connection with the Share Subscription Agreement and Conditional Investment Agreement, SBCI, WCAS (on behalf of the WCAS Investors), AIL and Amdocs, entered into a shareholders agreement, under which these shareholders have certain rights to have their shares registered for sale to the public under the Securities Act of 1933.</w:t>
      </w:r>
    </w:p>
    <w:p>
      <w:pPr>
        <w:spacing w:after="0" w:line="24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63"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51</w:t>
      </w:r>
    </w:p>
    <w:p>
      <w:pPr>
        <w:spacing w:after="0" w:line="34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RELATIONSHIP WITH SBC. Until September 1997, SBC and some of its operating subsidiaries had specified ownership and marketing rights with respect to some of our software products that were developed and owned jointly by us and such SBC subsidiaries. In September 1997, we entered into a series of agreements with these SBC subsidiaries pursuant to which we purchased certain rights from them and terminated related future royalty payment obligations for a total consideration of $40.0 million.</w:t>
      </w:r>
    </w:p>
    <w:p>
      <w:pPr>
        <w:spacing w:after="0" w:line="200" w:lineRule="exact"/>
        <w:rPr>
          <w:sz w:val="20"/>
          <w:szCs w:val="20"/>
          <w:color w:val="auto"/>
        </w:rPr>
      </w:pPr>
    </w:p>
    <w:p>
      <w:pPr>
        <w:spacing w:after="0" w:line="222"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In March 1999, we entered into an agreement with a subsidiary of SBC, under which SBC has agreed that the level of support and development services that we will provide to SBC and its subsidiaries over the next three years will be at least equal to a substantial portion of the services we currently provide to SBC.</w:t>
      </w:r>
    </w:p>
    <w:p>
      <w:pPr>
        <w:spacing w:after="0" w:line="200" w:lineRule="exact"/>
        <w:rPr>
          <w:sz w:val="20"/>
          <w:szCs w:val="20"/>
          <w:color w:val="auto"/>
        </w:rPr>
      </w:pPr>
    </w:p>
    <w:p>
      <w:pPr>
        <w:spacing w:after="0" w:line="213"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SBC and some of its operating subsidiaries are also significant customers of ours. During the first six months of fiscal 1999 and fiscal 1998, 1997 and 1996, SBC and those subsidiaries accounted for approximately 16.6%, 20.8%, 34.5% and 38.0%, respectively, of our revenue.</w:t>
      </w:r>
    </w:p>
    <w:p>
      <w:pPr>
        <w:spacing w:after="0" w:line="200" w:lineRule="exact"/>
        <w:rPr>
          <w:sz w:val="20"/>
          <w:szCs w:val="20"/>
          <w:color w:val="auto"/>
        </w:rPr>
      </w:pPr>
    </w:p>
    <w:p>
      <w:pPr>
        <w:spacing w:after="0" w:line="208" w:lineRule="exact"/>
        <w:rPr>
          <w:sz w:val="20"/>
          <w:szCs w:val="20"/>
          <w:color w:val="auto"/>
        </w:rPr>
      </w:pPr>
    </w:p>
    <w:p>
      <w:pPr>
        <w:ind w:right="3079" w:firstLine="447"/>
        <w:spacing w:after="0" w:line="250" w:lineRule="auto"/>
        <w:rPr>
          <w:sz w:val="20"/>
          <w:szCs w:val="20"/>
          <w:color w:val="auto"/>
        </w:rPr>
      </w:pPr>
      <w:r>
        <w:rPr>
          <w:rFonts w:ascii="Courier New" w:cs="Courier New" w:eastAsia="Courier New" w:hAnsi="Courier New"/>
          <w:sz w:val="15"/>
          <w:szCs w:val="15"/>
          <w:color w:val="auto"/>
        </w:rPr>
        <w:t>THE 1995 REORGANIZATION. Prior to 1995, Amdocs and our operating subsidiaries were operated as a group of companies owned by common shareholders. In 1995, the companies underwent a reorganization, or the 1995 Reorganization, as a result of which Amdocs Limited became the holding company for all the affiliated companies. Subsequent to the reorganization, we issued shares for a total of $16.6 million to several entities in some of which some of our officers, including one of our directors, have a beneficial interest. In connection with the 1995 Reorganization, these entities entered into shareholders agreements with SBCI and AIL, or the 1995 Shareholders Agreements, in March and September of 1995. Pursuant to the 1995 Shareholders Agreements, the parties thereto have, subject to the occurrence of specified events, call and put rights with respect to the shares issued in connection with the 1995 Reorganization, which may be exercised at a price less than the original purchase price. These rights expire ratably over time and fully expire in 1999, in the case of one such entity, and 2002, in all other cases. The exercise of such rights will not affect the number of outstanding ordinary shares.</w:t>
      </w:r>
    </w:p>
    <w:p>
      <w:pPr>
        <w:spacing w:after="0" w:line="200" w:lineRule="exact"/>
        <w:rPr>
          <w:sz w:val="20"/>
          <w:szCs w:val="20"/>
          <w:color w:val="auto"/>
        </w:rPr>
      </w:pPr>
    </w:p>
    <w:p>
      <w:pPr>
        <w:spacing w:after="0" w:line="236" w:lineRule="exact"/>
        <w:rPr>
          <w:sz w:val="20"/>
          <w:szCs w:val="20"/>
          <w:color w:val="auto"/>
        </w:rPr>
      </w:pPr>
    </w:p>
    <w:p>
      <w:pPr>
        <w:ind w:right="3159" w:firstLine="447"/>
        <w:spacing w:after="0" w:line="281" w:lineRule="auto"/>
        <w:rPr>
          <w:sz w:val="20"/>
          <w:szCs w:val="20"/>
          <w:color w:val="auto"/>
        </w:rPr>
      </w:pPr>
      <w:r>
        <w:rPr>
          <w:rFonts w:ascii="Courier New" w:cs="Courier New" w:eastAsia="Courier New" w:hAnsi="Courier New"/>
          <w:sz w:val="15"/>
          <w:szCs w:val="15"/>
          <w:color w:val="auto"/>
        </w:rPr>
        <w:t>OTHER RELATIONSHIPS. Since fiscal 1997, we have provided a CC&amp;B System and related customization and implementation services to GoldenLines Limited, a provider of international telephone service for calls to and from Israel. SBC and Morris S. Kahan have a significant beneficial interest in GoldenLines.</w:t>
      </w:r>
    </w:p>
    <w:p>
      <w:pPr>
        <w:spacing w:after="0" w:line="200" w:lineRule="exact"/>
        <w:rPr>
          <w:sz w:val="20"/>
          <w:szCs w:val="20"/>
          <w:color w:val="auto"/>
        </w:rPr>
      </w:pPr>
    </w:p>
    <w:p>
      <w:pPr>
        <w:spacing w:after="0" w:line="208" w:lineRule="exact"/>
        <w:rPr>
          <w:sz w:val="20"/>
          <w:szCs w:val="20"/>
          <w:color w:val="auto"/>
        </w:rPr>
      </w:pPr>
    </w:p>
    <w:p>
      <w:pPr>
        <w:ind w:right="3259" w:firstLine="447"/>
        <w:spacing w:after="0" w:line="301" w:lineRule="auto"/>
        <w:rPr>
          <w:sz w:val="20"/>
          <w:szCs w:val="20"/>
          <w:color w:val="auto"/>
        </w:rPr>
      </w:pPr>
      <w:r>
        <w:rPr>
          <w:rFonts w:ascii="Courier New" w:cs="Courier New" w:eastAsia="Courier New" w:hAnsi="Courier New"/>
          <w:sz w:val="15"/>
          <w:szCs w:val="15"/>
          <w:color w:val="auto"/>
        </w:rPr>
        <w:t>SBC and Mr. Kahan also are the beneficial owners of a company that leases office facilities and provide certain miscellaneous support services to us in Israel.</w:t>
      </w:r>
    </w:p>
    <w:p>
      <w:pPr>
        <w:spacing w:after="0" w:line="22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63" w:right="1440" w:bottom="1440" w:gutter="0" w:footer="0" w:header="0"/>
        </w:sectPr>
      </w:pPr>
    </w:p>
    <w:bookmarkStart w:id="57" w:name="page58"/>
    <w:bookmarkEnd w:id="57"/>
    <w:p>
      <w:pPr>
        <w:ind w:left="268"/>
        <w:spacing w:after="0"/>
        <w:rPr>
          <w:sz w:val="20"/>
          <w:szCs w:val="20"/>
          <w:color w:val="auto"/>
        </w:rPr>
      </w:pPr>
      <w:r>
        <w:rPr>
          <w:rFonts w:ascii="Courier New" w:cs="Courier New" w:eastAsia="Courier New" w:hAnsi="Courier New"/>
          <w:sz w:val="15"/>
          <w:szCs w:val="15"/>
          <w:color w:val="auto"/>
        </w:rPr>
        <w:t>52</w:t>
      </w:r>
    </w:p>
    <w:p>
      <w:pPr>
        <w:spacing w:after="0" w:line="346"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PRINCIPAL AND SELLING SHAREHOLDERS</w:t>
      </w:r>
    </w:p>
    <w:p>
      <w:pPr>
        <w:spacing w:after="0" w:line="200" w:lineRule="exact"/>
        <w:rPr>
          <w:sz w:val="20"/>
          <w:szCs w:val="20"/>
          <w:color w:val="auto"/>
        </w:rPr>
      </w:pPr>
    </w:p>
    <w:p>
      <w:pPr>
        <w:spacing w:after="0" w:line="318" w:lineRule="exact"/>
        <w:rPr>
          <w:sz w:val="20"/>
          <w:szCs w:val="20"/>
          <w:color w:val="auto"/>
        </w:rPr>
      </w:pPr>
    </w:p>
    <w:p>
      <w:pPr>
        <w:ind w:left="8" w:right="3079" w:firstLine="447"/>
        <w:spacing w:after="0" w:line="266" w:lineRule="auto"/>
        <w:rPr>
          <w:sz w:val="20"/>
          <w:szCs w:val="20"/>
          <w:color w:val="auto"/>
        </w:rPr>
      </w:pPr>
      <w:r>
        <w:rPr>
          <w:rFonts w:ascii="Courier New" w:cs="Courier New" w:eastAsia="Courier New" w:hAnsi="Courier New"/>
          <w:sz w:val="15"/>
          <w:szCs w:val="15"/>
          <w:color w:val="auto"/>
        </w:rPr>
        <w:t>The following table sets forth specified information with respect to the beneficial ownership (before and after giving effect to the issuance and sale of ordinary shares pursuant to this prospectus) as of April 30, 1999 of (i) any person known by us to be the beneficial owner of more than 10% of the outstanding ordinary shares, (ii) all of our directors and executive officers as a group and (iii) the selling shareholders.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400" w:type="dxa"/>
            <w:vAlign w:val="bottom"/>
          </w:tcPr>
          <w:p>
            <w:pPr>
              <w:spacing w:after="0"/>
              <w:rPr>
                <w:sz w:val="14"/>
                <w:szCs w:val="14"/>
                <w:color w:val="auto"/>
              </w:rPr>
            </w:pPr>
          </w:p>
        </w:tc>
        <w:tc>
          <w:tcPr>
            <w:tcW w:w="26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SHARES BENEFICIALLY OWNED</w:t>
            </w:r>
          </w:p>
        </w:tc>
        <w:tc>
          <w:tcPr>
            <w:tcW w:w="1180" w:type="dxa"/>
            <w:vAlign w:val="bottom"/>
            <w:vMerge w:val="restart"/>
          </w:tcPr>
          <w:p>
            <w:pPr>
              <w:ind w:left="240"/>
              <w:spacing w:after="0"/>
              <w:rPr>
                <w:sz w:val="20"/>
                <w:szCs w:val="20"/>
                <w:color w:val="auto"/>
              </w:rPr>
            </w:pPr>
            <w:r>
              <w:rPr>
                <w:rFonts w:ascii="Courier New" w:cs="Courier New" w:eastAsia="Courier New" w:hAnsi="Courier New"/>
                <w:sz w:val="15"/>
                <w:szCs w:val="15"/>
                <w:color w:val="auto"/>
              </w:rPr>
              <w:t>SHARES</w:t>
            </w:r>
          </w:p>
        </w:tc>
        <w:tc>
          <w:tcPr>
            <w:tcW w:w="24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SHARED BENEFICIALLY</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14"/>
                <w:szCs w:val="14"/>
                <w:color w:val="auto"/>
              </w:rPr>
            </w:pPr>
          </w:p>
        </w:tc>
        <w:tc>
          <w:tcPr>
            <w:tcW w:w="2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PRIOR TO THE OFFERING</w:t>
            </w:r>
          </w:p>
        </w:tc>
        <w:tc>
          <w:tcPr>
            <w:tcW w:w="1180" w:type="dxa"/>
            <w:vAlign w:val="bottom"/>
            <w:vMerge w:val="continue"/>
          </w:tcPr>
          <w:p>
            <w:pPr>
              <w:spacing w:after="0"/>
              <w:rPr>
                <w:sz w:val="14"/>
                <w:szCs w:val="14"/>
                <w:color w:val="auto"/>
              </w:rPr>
            </w:pPr>
          </w:p>
        </w:tc>
        <w:tc>
          <w:tcPr>
            <w:tcW w:w="2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OWNED AFTER THE OFFERING</w:t>
            </w:r>
          </w:p>
        </w:tc>
        <w:tc>
          <w:tcPr>
            <w:tcW w:w="0" w:type="dxa"/>
            <w:vAlign w:val="bottom"/>
          </w:tcPr>
          <w:p>
            <w:pPr>
              <w:spacing w:after="0"/>
              <w:rPr>
                <w:sz w:val="1"/>
                <w:szCs w:val="1"/>
                <w:color w:val="auto"/>
              </w:rPr>
            </w:pPr>
          </w:p>
        </w:tc>
      </w:tr>
      <w:tr>
        <w:trPr>
          <w:trHeight w:val="172"/>
        </w:trPr>
        <w:tc>
          <w:tcPr>
            <w:tcW w:w="340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ADDRESS</w:t>
            </w:r>
          </w:p>
        </w:tc>
        <w:tc>
          <w:tcPr>
            <w:tcW w:w="142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4"/>
              </w:rPr>
              <w:t>--------------------------</w:t>
            </w:r>
            <w:r>
              <w:rPr>
                <w:rFonts w:ascii="Courier New" w:cs="Courier New" w:eastAsia="Courier New" w:hAnsi="Courier New"/>
                <w:sz w:val="13"/>
                <w:szCs w:val="13"/>
                <w:color w:val="auto"/>
                <w:w w:val="74"/>
                <w:vertAlign w:val="subscript"/>
              </w:rPr>
              <w:t>NUMBER(1)</w:t>
            </w:r>
          </w:p>
        </w:tc>
        <w:tc>
          <w:tcPr>
            <w:tcW w:w="120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w w:val="97"/>
              </w:rPr>
              <w:t>PERCENT(2)</w:t>
            </w:r>
          </w:p>
        </w:tc>
        <w:tc>
          <w:tcPr>
            <w:tcW w:w="1180" w:type="dxa"/>
            <w:vAlign w:val="bottom"/>
          </w:tcPr>
          <w:p>
            <w:pPr>
              <w:ind w:left="240"/>
              <w:spacing w:after="0"/>
              <w:rPr>
                <w:sz w:val="20"/>
                <w:szCs w:val="20"/>
                <w:color w:val="auto"/>
              </w:rPr>
            </w:pPr>
            <w:r>
              <w:rPr>
                <w:rFonts w:ascii="Courier New" w:cs="Courier New" w:eastAsia="Courier New" w:hAnsi="Courier New"/>
                <w:sz w:val="15"/>
                <w:szCs w:val="15"/>
                <w:color w:val="auto"/>
              </w:rPr>
              <w:t>BEING</w:t>
            </w:r>
          </w:p>
        </w:tc>
        <w:tc>
          <w:tcPr>
            <w:tcW w:w="1280" w:type="dxa"/>
            <w:vAlign w:val="bottom"/>
            <w:vMerge w:val="restart"/>
          </w:tcPr>
          <w:p>
            <w:pPr>
              <w:ind w:left="40"/>
              <w:spacing w:after="0"/>
              <w:rPr>
                <w:sz w:val="20"/>
                <w:szCs w:val="20"/>
                <w:color w:val="auto"/>
              </w:rPr>
            </w:pPr>
            <w:r>
              <w:rPr>
                <w:rFonts w:ascii="Courier New" w:cs="Courier New" w:eastAsia="Courier New" w:hAnsi="Courier New"/>
                <w:sz w:val="8"/>
                <w:szCs w:val="8"/>
                <w:color w:val="auto"/>
                <w:w w:val="76"/>
              </w:rPr>
              <w:t>-------------------------</w:t>
            </w:r>
            <w:r>
              <w:rPr>
                <w:rFonts w:ascii="Courier New" w:cs="Courier New" w:eastAsia="Courier New" w:hAnsi="Courier New"/>
                <w:sz w:val="11"/>
                <w:szCs w:val="11"/>
                <w:color w:val="auto"/>
                <w:w w:val="76"/>
                <w:vertAlign w:val="subscript"/>
              </w:rPr>
              <w:t>NUMBER(1)</w:t>
            </w:r>
          </w:p>
        </w:tc>
        <w:tc>
          <w:tcPr>
            <w:tcW w:w="118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w w:val="97"/>
              </w:rPr>
              <w:t>PERCENT(3)</w:t>
            </w:r>
          </w:p>
        </w:tc>
        <w:tc>
          <w:tcPr>
            <w:tcW w:w="0" w:type="dxa"/>
            <w:vAlign w:val="bottom"/>
          </w:tcPr>
          <w:p>
            <w:pPr>
              <w:spacing w:after="0"/>
              <w:rPr>
                <w:sz w:val="1"/>
                <w:szCs w:val="1"/>
                <w:color w:val="auto"/>
              </w:rPr>
            </w:pPr>
          </w:p>
        </w:tc>
      </w:tr>
      <w:tr>
        <w:trPr>
          <w:trHeight w:val="172"/>
        </w:trPr>
        <w:tc>
          <w:tcPr>
            <w:tcW w:w="34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OFFERED</w:t>
            </w:r>
          </w:p>
        </w:tc>
        <w:tc>
          <w:tcPr>
            <w:tcW w:w="12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400" w:type="dxa"/>
            <w:vAlign w:val="bottom"/>
          </w:tcPr>
          <w:p>
            <w:pPr>
              <w:spacing w:after="0"/>
              <w:rPr>
                <w:sz w:val="20"/>
                <w:szCs w:val="20"/>
                <w:color w:val="auto"/>
              </w:rPr>
            </w:pPr>
            <w:r>
              <w:rPr>
                <w:rFonts w:ascii="Courier New" w:cs="Courier New" w:eastAsia="Courier New" w:hAnsi="Courier New"/>
                <w:sz w:val="15"/>
                <w:szCs w:val="15"/>
                <w:color w:val="auto"/>
              </w:rPr>
              <w:t>Welsh, Carson, Anderson &amp;</w:t>
            </w:r>
          </w:p>
        </w:tc>
        <w:tc>
          <w:tcPr>
            <w:tcW w:w="142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57,372,796</w:t>
            </w:r>
          </w:p>
        </w:tc>
        <w:tc>
          <w:tcPr>
            <w:tcW w:w="120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29.15%</w:t>
            </w: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Stowe(4)(6)........................</w:t>
            </w:r>
          </w:p>
        </w:tc>
        <w:tc>
          <w:tcPr>
            <w:tcW w:w="14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320 Park Avenue, Suite 2500</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New York, New York 10022</w:t>
            </w:r>
          </w:p>
        </w:tc>
        <w:tc>
          <w:tcPr>
            <w:tcW w:w="142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44,734,700</w:t>
            </w:r>
          </w:p>
        </w:tc>
        <w:tc>
          <w:tcPr>
            <w:tcW w:w="120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22.73%</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SBC International Inc.(5)............</w:t>
            </w:r>
          </w:p>
        </w:tc>
        <w:tc>
          <w:tcPr>
            <w:tcW w:w="14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175 E. Houston Street</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San Antonio, Texas 78205-2233</w:t>
            </w:r>
          </w:p>
        </w:tc>
        <w:tc>
          <w:tcPr>
            <w:tcW w:w="142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45,963,500</w:t>
            </w:r>
          </w:p>
        </w:tc>
        <w:tc>
          <w:tcPr>
            <w:tcW w:w="120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23.36%</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Amdocs International Limited(6)(7)...</w:t>
            </w:r>
          </w:p>
        </w:tc>
        <w:tc>
          <w:tcPr>
            <w:tcW w:w="14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Suite 5, Tower Hill House</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Le Bordage, St. Peter Port</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Guernsey GY1 3QT</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The Channel Islands</w:t>
            </w:r>
          </w:p>
        </w:tc>
        <w:tc>
          <w:tcPr>
            <w:tcW w:w="142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5,720,000</w:t>
            </w:r>
          </w:p>
        </w:tc>
        <w:tc>
          <w:tcPr>
            <w:tcW w:w="120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2.91%</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Toes Corporation Limited(8)..........</w:t>
            </w:r>
          </w:p>
        </w:tc>
        <w:tc>
          <w:tcPr>
            <w:tcW w:w="14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Lord Coutanche House</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66-68 Esplanade, St. Helier</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Jersey JE4 5PS</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The Channel Islands</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142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165,847,508</w:t>
            </w:r>
          </w:p>
        </w:tc>
        <w:tc>
          <w:tcPr>
            <w:tcW w:w="1200" w:type="dxa"/>
            <w:vAlign w:val="bottom"/>
            <w:vMerge w:val="restart"/>
          </w:tcPr>
          <w:p>
            <w:pPr>
              <w:jc w:val="right"/>
              <w:ind w:right="405"/>
              <w:spacing w:after="0"/>
              <w:rPr>
                <w:sz w:val="20"/>
                <w:szCs w:val="20"/>
                <w:color w:val="auto"/>
              </w:rPr>
            </w:pPr>
            <w:r>
              <w:rPr>
                <w:rFonts w:ascii="Courier New" w:cs="Courier New" w:eastAsia="Courier New" w:hAnsi="Courier New"/>
                <w:sz w:val="15"/>
                <w:szCs w:val="15"/>
                <w:color w:val="auto"/>
              </w:rPr>
              <w:t>84.27%</w:t>
            </w:r>
          </w:p>
        </w:tc>
        <w:tc>
          <w:tcPr>
            <w:tcW w:w="118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18,000,000</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as a group (17 persons)(4)(5)(9)...</w:t>
            </w:r>
          </w:p>
        </w:tc>
        <w:tc>
          <w:tcPr>
            <w:tcW w:w="14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348" w:right="3159" w:hanging="348"/>
        <w:spacing w:after="0" w:line="262" w:lineRule="auto"/>
        <w:tabs>
          <w:tab w:leader="none" w:pos="34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the entities and individuals identified in this table have sole voting and investment power with respect to all ordinary shares and sole investment power with respect to all ordinary nonvoting shares shown as beneficially owned by them, subject to community property laws, where applicable.</w:t>
      </w:r>
    </w:p>
    <w:p>
      <w:pPr>
        <w:spacing w:after="0" w:line="248" w:lineRule="exact"/>
        <w:rPr>
          <w:rFonts w:ascii="Courier New" w:cs="Courier New" w:eastAsia="Courier New" w:hAnsi="Courier New"/>
          <w:sz w:val="15"/>
          <w:szCs w:val="15"/>
          <w:color w:val="auto"/>
        </w:rPr>
      </w:pPr>
    </w:p>
    <w:p>
      <w:pPr>
        <w:ind w:left="348" w:right="3339" w:hanging="348"/>
        <w:spacing w:after="0" w:line="359" w:lineRule="auto"/>
        <w:tabs>
          <w:tab w:leader="none" w:pos="34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percentages shown are based on 166,565,324 ordinary voting shares and 30,234,700 ordinary nonvoting shares outstanding on April 30, 1999.</w:t>
      </w:r>
    </w:p>
    <w:p>
      <w:pPr>
        <w:spacing w:after="0" w:line="351" w:lineRule="exact"/>
        <w:rPr>
          <w:rFonts w:ascii="Courier New" w:cs="Courier New" w:eastAsia="Courier New" w:hAnsi="Courier New"/>
          <w:sz w:val="15"/>
          <w:szCs w:val="15"/>
          <w:color w:val="auto"/>
        </w:rPr>
      </w:pPr>
    </w:p>
    <w:p>
      <w:pPr>
        <w:ind w:left="348" w:right="3079" w:hanging="348"/>
        <w:spacing w:after="0" w:line="301" w:lineRule="auto"/>
        <w:tabs>
          <w:tab w:leader="none" w:pos="34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percentages shown are based on 166,565,324 ordinary voting shares and 30,234,700 ordinary nonvoting shares outstanding on April 30, 1999, plus the 2,000,000 ordinary shares offered by us hereunder.</w:t>
      </w:r>
    </w:p>
    <w:p>
      <w:pPr>
        <w:spacing w:after="0" w:line="392" w:lineRule="exact"/>
        <w:rPr>
          <w:rFonts w:ascii="Courier New" w:cs="Courier New" w:eastAsia="Courier New" w:hAnsi="Courier New"/>
          <w:sz w:val="15"/>
          <w:szCs w:val="15"/>
          <w:color w:val="auto"/>
        </w:rPr>
      </w:pPr>
    </w:p>
    <w:p>
      <w:pPr>
        <w:ind w:left="348" w:right="3079" w:hanging="348"/>
        <w:spacing w:after="0" w:line="254" w:lineRule="auto"/>
        <w:tabs>
          <w:tab w:leader="none" w:pos="34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36,761,712 ordinary voting shares held by Welsh, Carson, Anderson &amp; Stowe VII, L.P., 10,542,844 ordinary voting shares held by Welsh, Carson, Anderson &amp; Stowe VI, L.P., 7,354,932 ordinary voting shares held by WCAS Capital Partners III, L.P., 226,512 ordinary voting shares held by WCAS Information Partners, L.P. and 2,486,796 ordinary voting shares held by partners and others affiliated with WCAS. Those partners are also partners of the sole general partner of each of the foregoing limited partnerships. The partners of WCAS who are also directors of Amdocs are Bruce K. Anderson (Chairman of the Board and Chief Executive Officer of Amdocs) and Robert A. Minicucci (Chief Financial Officer of Amdocs), and each may be deemed to be a beneficial owner of the ordinary voting shares held by WCAS.</w:t>
      </w:r>
    </w:p>
    <w:p>
      <w:pPr>
        <w:spacing w:after="0" w:line="200" w:lineRule="exact"/>
        <w:rPr>
          <w:rFonts w:ascii="Courier New" w:cs="Courier New" w:eastAsia="Courier New" w:hAnsi="Courier New"/>
          <w:sz w:val="15"/>
          <w:szCs w:val="15"/>
          <w:color w:val="auto"/>
        </w:rPr>
      </w:pPr>
    </w:p>
    <w:p>
      <w:pPr>
        <w:spacing w:after="0" w:line="230" w:lineRule="exact"/>
        <w:rPr>
          <w:rFonts w:ascii="Courier New" w:cs="Courier New" w:eastAsia="Courier New" w:hAnsi="Courier New"/>
          <w:sz w:val="15"/>
          <w:szCs w:val="15"/>
          <w:color w:val="auto"/>
        </w:rPr>
      </w:pPr>
    </w:p>
    <w:p>
      <w:pPr>
        <w:ind w:left="348" w:right="3079" w:hanging="348"/>
        <w:spacing w:after="0" w:line="272" w:lineRule="auto"/>
        <w:tabs>
          <w:tab w:leader="none" w:pos="34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SBCI is a wholly-owned subsidiary of SBC, a company whose shares are publicly traded on the NYSE. The number of shares shown as beneficially owned by SBCI is comprised of 14,500,000 ordinary voting shares and 30,234,700 ordinary nonvoting shares. SBCI is the only shareholder of Amdocs that holds ordinary nonvoting shares.</w:t>
      </w:r>
    </w:p>
    <w:p>
      <w:pPr>
        <w:sectPr>
          <w:pgSz w:w="11900" w:h="16838" w:orient="portrait"/>
          <w:cols w:equalWidth="0" w:num="1">
            <w:col w:w="10227"/>
          </w:cols>
          <w:pgMar w:left="232" w:top="263" w:right="1440" w:bottom="1048" w:gutter="0" w:footer="0" w:header="0"/>
        </w:sectPr>
      </w:pPr>
    </w:p>
    <w:p>
      <w:pPr>
        <w:spacing w:after="0" w:line="24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7"/>
          </w:cols>
          <w:pgMar w:left="232" w:top="263" w:right="1440" w:bottom="1048" w:gutter="0" w:footer="0" w:header="0"/>
          <w:type w:val="continuous"/>
        </w:sectPr>
      </w:pPr>
    </w:p>
    <w:bookmarkStart w:id="58" w:name="page59"/>
    <w:bookmarkEnd w:id="58"/>
    <w:p>
      <w:pPr>
        <w:ind w:left="268"/>
        <w:spacing w:after="0"/>
        <w:rPr>
          <w:sz w:val="20"/>
          <w:szCs w:val="20"/>
          <w:color w:val="auto"/>
        </w:rPr>
      </w:pPr>
      <w:r>
        <w:rPr>
          <w:rFonts w:ascii="Courier New" w:cs="Courier New" w:eastAsia="Courier New" w:hAnsi="Courier New"/>
          <w:sz w:val="15"/>
          <w:szCs w:val="15"/>
          <w:color w:val="auto"/>
        </w:rPr>
        <w:t>53</w:t>
      </w:r>
    </w:p>
    <w:p>
      <w:pPr>
        <w:spacing w:after="0" w:line="346" w:lineRule="exact"/>
        <w:rPr>
          <w:sz w:val="20"/>
          <w:szCs w:val="20"/>
          <w:color w:val="auto"/>
        </w:rPr>
      </w:pPr>
    </w:p>
    <w:p>
      <w:pPr>
        <w:ind w:left="348" w:right="3079" w:hanging="348"/>
        <w:spacing w:after="0" w:line="274" w:lineRule="auto"/>
        <w:tabs>
          <w:tab w:leader="none" w:pos="348"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our recapitalization effected as of May 20, 1998, in advance of our initial public offering in June 1998, investment partnerships affiliated with WCAS and several entities in which some members of</w:t>
      </w:r>
    </w:p>
    <w:p>
      <w:pPr>
        <w:spacing w:after="0" w:line="1" w:lineRule="exact"/>
        <w:rPr>
          <w:sz w:val="20"/>
          <w:szCs w:val="20"/>
          <w:color w:val="auto"/>
        </w:rPr>
      </w:pPr>
    </w:p>
    <w:p>
      <w:pPr>
        <w:ind w:left="348" w:right="3079"/>
        <w:spacing w:after="0" w:line="249" w:lineRule="auto"/>
        <w:rPr>
          <w:sz w:val="20"/>
          <w:szCs w:val="20"/>
          <w:color w:val="auto"/>
        </w:rPr>
      </w:pPr>
      <w:r>
        <w:rPr>
          <w:rFonts w:ascii="Courier New" w:cs="Courier New" w:eastAsia="Courier New" w:hAnsi="Courier New"/>
          <w:sz w:val="15"/>
          <w:szCs w:val="15"/>
          <w:color w:val="auto"/>
        </w:rPr>
        <w:t>management have a beneficial interest granted irrevocable proxies with respect to a total of 23,521,899 and 6,459,024 ordinary voting shares, respectively, to a company which is the principal shareholder of AIL and which is beneficially owned by Morris S. Kahn. The proxies granted by the WCAS partnerships expire in ten years, or sooner if at any time the WCAS entities collectively own less than 10.0% of our outstanding capital shares. The proxies granted by several entities in which some members of management have a beneficial interest expire ratably over the next one or two years. After giving effect to those proxies and the issuance and sale of ordinary shares in this offering, AIL and its principal shareholder will together have the right to vote % of our ordinary voting shares and WCAS will have the right to vote % of such shares.</w:t>
      </w:r>
    </w:p>
    <w:p>
      <w:pPr>
        <w:spacing w:after="0" w:line="200" w:lineRule="exact"/>
        <w:rPr>
          <w:sz w:val="20"/>
          <w:szCs w:val="20"/>
          <w:color w:val="auto"/>
        </w:rPr>
      </w:pPr>
    </w:p>
    <w:p>
      <w:pPr>
        <w:spacing w:after="0" w:line="237" w:lineRule="exact"/>
        <w:rPr>
          <w:sz w:val="20"/>
          <w:szCs w:val="20"/>
          <w:color w:val="auto"/>
        </w:rPr>
      </w:pPr>
    </w:p>
    <w:p>
      <w:pPr>
        <w:ind w:left="348" w:right="3339" w:hanging="348"/>
        <w:spacing w:after="0" w:line="267" w:lineRule="auto"/>
        <w:tabs>
          <w:tab w:leader="none" w:pos="348"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aggregate 18.7% non-voting interest in AIL is held by an entity whose beneficial interests are held by executive officers of our operating subsidiaries (including a former executive officer) and a director. These officers and director will receive a distribution of the proceeds of the sales made by AIL. After giving effect to the offering, the executive officers of our operating subsidiaries (including a former executive</w:t>
      </w:r>
    </w:p>
    <w:p>
      <w:pPr>
        <w:spacing w:after="0" w:line="1" w:lineRule="exact"/>
        <w:rPr>
          <w:sz w:val="20"/>
          <w:szCs w:val="20"/>
          <w:color w:val="auto"/>
        </w:rPr>
      </w:pPr>
    </w:p>
    <w:p>
      <w:pPr>
        <w:ind w:left="348" w:right="3259"/>
        <w:spacing w:after="0" w:line="319" w:lineRule="auto"/>
        <w:rPr>
          <w:sz w:val="20"/>
          <w:szCs w:val="20"/>
          <w:color w:val="auto"/>
        </w:rPr>
      </w:pPr>
      <w:r>
        <w:rPr>
          <w:rFonts w:ascii="Courier New" w:cs="Courier New" w:eastAsia="Courier New" w:hAnsi="Courier New"/>
          <w:sz w:val="15"/>
          <w:szCs w:val="15"/>
          <w:color w:val="auto"/>
        </w:rPr>
        <w:t>officer) will continue to hold, directly and indirectly, approximately % of our outstanding ordinary shares.</w:t>
      </w:r>
    </w:p>
    <w:p>
      <w:pPr>
        <w:spacing w:after="0" w:line="380" w:lineRule="exact"/>
        <w:rPr>
          <w:sz w:val="20"/>
          <w:szCs w:val="20"/>
          <w:color w:val="auto"/>
        </w:rPr>
      </w:pPr>
    </w:p>
    <w:p>
      <w:pPr>
        <w:ind w:left="348" w:right="3079" w:hanging="348"/>
        <w:spacing w:after="0" w:line="247" w:lineRule="auto"/>
        <w:tabs>
          <w:tab w:leader="none" w:pos="3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Toes Corporation Limited is owned by an irrevocable secular trust established in September 1997 for the benefit of a group of our employees, primarily software and information technology specialists. Walbrook Trustees (Jersey) Limited is the trustee for the Trust and has sole voting and dispositive power with respect to the ordinary shares of Amdocs owned by Toes Corporation Limited. Walbrook Trustees (Jersey) Limited disclaims beneficial ownership of these shares. The beneficiaries include three executive officers of our operating subsidiaries. See</w:t>
      </w:r>
    </w:p>
    <w:p>
      <w:pPr>
        <w:spacing w:after="0" w:line="5"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 Employee Trust Agreement."</w:t>
      </w:r>
    </w:p>
    <w:p>
      <w:pPr>
        <w:spacing w:after="0" w:line="200" w:lineRule="exact"/>
        <w:rPr>
          <w:rFonts w:ascii="Courier New" w:cs="Courier New" w:eastAsia="Courier New" w:hAnsi="Courier New"/>
          <w:sz w:val="15"/>
          <w:szCs w:val="15"/>
          <w:color w:val="auto"/>
        </w:rPr>
      </w:pPr>
    </w:p>
    <w:p>
      <w:pPr>
        <w:spacing w:after="0" w:line="290" w:lineRule="exact"/>
        <w:rPr>
          <w:rFonts w:ascii="Courier New" w:cs="Courier New" w:eastAsia="Courier New" w:hAnsi="Courier New"/>
          <w:sz w:val="15"/>
          <w:szCs w:val="15"/>
          <w:color w:val="auto"/>
        </w:rPr>
      </w:pPr>
    </w:p>
    <w:p>
      <w:pPr>
        <w:ind w:left="348" w:right="3259" w:hanging="348"/>
        <w:spacing w:after="0" w:line="301" w:lineRule="auto"/>
        <w:tabs>
          <w:tab w:leader="none" w:pos="3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of WCAS, SBCI and AIL serve on our board of directors and, accordingly, those affiliates may be deemed to be the beneficial owners of the shares held by such entities.</w:t>
      </w:r>
    </w:p>
    <w:p>
      <w:pPr>
        <w:spacing w:after="0" w:line="22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7"/>
          </w:cols>
          <w:pgMar w:left="232" w:top="263" w:right="1440" w:bottom="1440" w:gutter="0" w:footer="0" w:header="0"/>
        </w:sectPr>
      </w:pPr>
    </w:p>
    <w:bookmarkStart w:id="59" w:name="page60"/>
    <w:bookmarkEnd w:id="59"/>
    <w:p>
      <w:pPr>
        <w:ind w:left="268"/>
        <w:spacing w:after="0"/>
        <w:rPr>
          <w:sz w:val="20"/>
          <w:szCs w:val="20"/>
          <w:color w:val="auto"/>
        </w:rPr>
      </w:pPr>
      <w:r>
        <w:rPr>
          <w:rFonts w:ascii="Courier New" w:cs="Courier New" w:eastAsia="Courier New" w:hAnsi="Courier New"/>
          <w:sz w:val="15"/>
          <w:szCs w:val="15"/>
          <w:color w:val="auto"/>
        </w:rPr>
        <w:t>54</w:t>
      </w:r>
    </w:p>
    <w:p>
      <w:pPr>
        <w:spacing w:after="0" w:line="346"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TRACES SHAREHOLDERS</w:t>
      </w:r>
    </w:p>
    <w:p>
      <w:pPr>
        <w:spacing w:after="0" w:line="200" w:lineRule="exact"/>
        <w:rPr>
          <w:sz w:val="20"/>
          <w:szCs w:val="20"/>
          <w:color w:val="auto"/>
        </w:rPr>
      </w:pPr>
    </w:p>
    <w:p>
      <w:pPr>
        <w:spacing w:after="0" w:line="318" w:lineRule="exact"/>
        <w:rPr>
          <w:sz w:val="20"/>
          <w:szCs w:val="20"/>
          <w:color w:val="auto"/>
        </w:rPr>
      </w:pPr>
    </w:p>
    <w:p>
      <w:pPr>
        <w:ind w:left="8" w:right="3079" w:firstLine="447"/>
        <w:spacing w:after="0" w:line="251" w:lineRule="auto"/>
        <w:rPr>
          <w:sz w:val="20"/>
          <w:szCs w:val="20"/>
          <w:color w:val="auto"/>
        </w:rPr>
      </w:pPr>
      <w:r>
        <w:rPr>
          <w:rFonts w:ascii="Courier New" w:cs="Courier New" w:eastAsia="Courier New" w:hAnsi="Courier New"/>
          <w:sz w:val="15"/>
          <w:szCs w:val="15"/>
          <w:color w:val="auto"/>
        </w:rPr>
        <w:t>Pursuant to a forward purchase contract, or the Purchase Contract, between the TRACES Trust and the shareholder listed below, or the TRACES Shareholder, a specified number of ordinary shares may be required to be delivered to the TRACES Trust by the TRACES Shareholder upon the exchange of Automatic Common Exchange Securities. The following table sets forth certain information for the TRACES Shareholder with respect to (1) the TRACES Shareholder's beneficial ownership of ordinary shares as of April 30, 1999 and the percentage of total voting power represented thereby and (2) the maximum number of ordinary shares of the TRACES Shareholder that may be delivered to the TRACES Trust pursuant to the Purchase Contract (without taking into account the underwriters' over-allotment option in respect of the Automatic Common Exchange Securities). The TRACES Shareholder's beneficial ownership of ordinary shares will not change as a result of the offering of the Automatic Common Exchange Securities unless, until and to the extent that the TRACES Shareholder delivers ordinary shares to the TRACES Trust pursuant to the Purchase Contract.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MAXIMUM NUMBER</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40" w:type="dxa"/>
            <w:vAlign w:val="bottom"/>
            <w:vMerge w:val="restart"/>
          </w:tcPr>
          <w:p>
            <w:pPr>
              <w:jc w:val="center"/>
              <w:ind w:right="105"/>
              <w:spacing w:after="0"/>
              <w:rPr>
                <w:sz w:val="20"/>
                <w:szCs w:val="20"/>
                <w:color w:val="auto"/>
              </w:rPr>
            </w:pPr>
            <w:r>
              <w:rPr>
                <w:rFonts w:ascii="Courier New" w:cs="Courier New" w:eastAsia="Courier New" w:hAnsi="Courier New"/>
                <w:sz w:val="15"/>
                <w:szCs w:val="15"/>
                <w:color w:val="auto"/>
                <w:w w:val="97"/>
              </w:rPr>
              <w:t>PERCENTAGE</w:t>
            </w:r>
          </w:p>
        </w:tc>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OF ORDINARY SHARES</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1920" w:type="dxa"/>
            <w:vAlign w:val="bottom"/>
            <w:vMerge w:val="restart"/>
          </w:tcPr>
          <w:p>
            <w:pPr>
              <w:jc w:val="center"/>
              <w:ind w:right="65"/>
              <w:spacing w:after="0"/>
              <w:rPr>
                <w:sz w:val="20"/>
                <w:szCs w:val="20"/>
                <w:color w:val="auto"/>
              </w:rPr>
            </w:pPr>
            <w:r>
              <w:rPr>
                <w:rFonts w:ascii="Courier New" w:cs="Courier New" w:eastAsia="Courier New" w:hAnsi="Courier New"/>
                <w:sz w:val="15"/>
                <w:szCs w:val="15"/>
                <w:color w:val="auto"/>
                <w:w w:val="99"/>
              </w:rPr>
              <w:t>SHARES</w:t>
            </w:r>
          </w:p>
        </w:tc>
        <w:tc>
          <w:tcPr>
            <w:tcW w:w="1340" w:type="dxa"/>
            <w:vAlign w:val="bottom"/>
            <w:vMerge w:val="continue"/>
          </w:tcPr>
          <w:p>
            <w:pPr>
              <w:spacing w:after="0"/>
              <w:rPr>
                <w:sz w:val="14"/>
                <w:szCs w:val="14"/>
                <w:color w:val="auto"/>
              </w:rPr>
            </w:pPr>
          </w:p>
        </w:tc>
        <w:tc>
          <w:tcPr>
            <w:tcW w:w="2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DELIVERABLE TO TRACES</w:t>
            </w:r>
          </w:p>
        </w:tc>
        <w:tc>
          <w:tcPr>
            <w:tcW w:w="0" w:type="dxa"/>
            <w:vAlign w:val="bottom"/>
          </w:tcPr>
          <w:p>
            <w:pPr>
              <w:spacing w:after="0"/>
              <w:rPr>
                <w:sz w:val="1"/>
                <w:szCs w:val="1"/>
                <w:color w:val="auto"/>
              </w:rPr>
            </w:pPr>
          </w:p>
        </w:tc>
      </w:tr>
      <w:tr>
        <w:trPr>
          <w:trHeight w:val="172"/>
        </w:trPr>
        <w:tc>
          <w:tcPr>
            <w:tcW w:w="3840" w:type="dxa"/>
            <w:vAlign w:val="bottom"/>
            <w:vMerge w:val="restart"/>
          </w:tcPr>
          <w:p>
            <w:pPr>
              <w:spacing w:after="0"/>
              <w:rPr>
                <w:sz w:val="20"/>
                <w:szCs w:val="20"/>
                <w:color w:val="auto"/>
              </w:rPr>
            </w:pPr>
            <w:r>
              <w:rPr>
                <w:rFonts w:ascii="Courier New" w:cs="Courier New" w:eastAsia="Courier New" w:hAnsi="Courier New"/>
                <w:sz w:val="15"/>
                <w:szCs w:val="15"/>
                <w:color w:val="auto"/>
              </w:rPr>
              <w:t>DELIVERING SHAREHOLDER</w:t>
            </w:r>
          </w:p>
        </w:tc>
        <w:tc>
          <w:tcPr>
            <w:tcW w:w="1920" w:type="dxa"/>
            <w:vAlign w:val="bottom"/>
            <w:vMerge w:val="continue"/>
          </w:tcPr>
          <w:p>
            <w:pPr>
              <w:spacing w:after="0"/>
              <w:rPr>
                <w:sz w:val="14"/>
                <w:szCs w:val="14"/>
                <w:color w:val="auto"/>
              </w:rPr>
            </w:pPr>
          </w:p>
        </w:tc>
        <w:tc>
          <w:tcPr>
            <w:tcW w:w="13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OF TOTAL</w:t>
            </w:r>
          </w:p>
        </w:tc>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TRUST PURSUANT</w:t>
            </w:r>
          </w:p>
        </w:tc>
        <w:tc>
          <w:tcPr>
            <w:tcW w:w="0" w:type="dxa"/>
            <w:vAlign w:val="bottom"/>
          </w:tcPr>
          <w:p>
            <w:pPr>
              <w:spacing w:after="0"/>
              <w:rPr>
                <w:sz w:val="1"/>
                <w:szCs w:val="1"/>
                <w:color w:val="auto"/>
              </w:rPr>
            </w:pPr>
          </w:p>
        </w:tc>
      </w:tr>
      <w:tr>
        <w:trPr>
          <w:trHeight w:val="172"/>
        </w:trPr>
        <w:tc>
          <w:tcPr>
            <w:tcW w:w="3840" w:type="dxa"/>
            <w:vAlign w:val="bottom"/>
            <w:vMerge w:val="continue"/>
          </w:tcPr>
          <w:p>
            <w:pPr>
              <w:spacing w:after="0"/>
              <w:rPr>
                <w:sz w:val="14"/>
                <w:szCs w:val="14"/>
                <w:color w:val="auto"/>
              </w:rPr>
            </w:pPr>
          </w:p>
        </w:tc>
        <w:tc>
          <w:tcPr>
            <w:tcW w:w="19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BENEFICIALLY OWNED</w:t>
            </w:r>
          </w:p>
        </w:tc>
        <w:tc>
          <w:tcPr>
            <w:tcW w:w="13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VOTING POWER</w:t>
            </w:r>
          </w:p>
        </w:tc>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TO PURCHASE CONTRACT</w:t>
            </w:r>
          </w:p>
        </w:tc>
        <w:tc>
          <w:tcPr>
            <w:tcW w:w="0" w:type="dxa"/>
            <w:vAlign w:val="bottom"/>
          </w:tcPr>
          <w:p>
            <w:pPr>
              <w:spacing w:after="0"/>
              <w:rPr>
                <w:sz w:val="1"/>
                <w:szCs w:val="1"/>
                <w:color w:val="auto"/>
              </w:rPr>
            </w:pPr>
          </w:p>
        </w:tc>
      </w:tr>
      <w:tr>
        <w:trPr>
          <w:trHeight w:val="252"/>
        </w:trPr>
        <w:tc>
          <w:tcPr>
            <w:tcW w:w="3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3840" w:type="dxa"/>
            <w:vAlign w:val="bottom"/>
          </w:tcPr>
          <w:p>
            <w:pPr>
              <w:spacing w:after="0"/>
              <w:rPr>
                <w:sz w:val="20"/>
                <w:szCs w:val="20"/>
                <w:color w:val="auto"/>
              </w:rPr>
            </w:pPr>
            <w:r>
              <w:rPr>
                <w:rFonts w:ascii="Courier New" w:cs="Courier New" w:eastAsia="Courier New" w:hAnsi="Courier New"/>
                <w:sz w:val="15"/>
                <w:szCs w:val="15"/>
                <w:color w:val="auto"/>
              </w:rPr>
              <w:t>Amdocs International Limited(1)...........</w:t>
            </w:r>
          </w:p>
        </w:tc>
        <w:tc>
          <w:tcPr>
            <w:tcW w:w="19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45,963,500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7"/>
              </w:rPr>
              <w:t>10,000,000</w:t>
            </w:r>
          </w:p>
        </w:tc>
        <w:tc>
          <w:tcPr>
            <w:tcW w:w="0" w:type="dxa"/>
            <w:vAlign w:val="bottom"/>
          </w:tcPr>
          <w:p>
            <w:pPr>
              <w:spacing w:after="0"/>
              <w:rPr>
                <w:sz w:val="1"/>
                <w:szCs w:val="1"/>
                <w:color w:val="auto"/>
              </w:rPr>
            </w:pPr>
          </w:p>
        </w:tc>
      </w:tr>
      <w:tr>
        <w:trPr>
          <w:trHeight w:val="688"/>
        </w:trPr>
        <w:tc>
          <w:tcPr>
            <w:tcW w:w="3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8" w:right="3079" w:hanging="348"/>
        <w:spacing w:after="0" w:line="265" w:lineRule="auto"/>
        <w:tabs>
          <w:tab w:leader="none" w:pos="348"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AIL may be required to deliver an additional 1,500,000 ordinary shares if the underwriters' over-allotment option is exercised in respect of the Automatic Common Exchange Securities. Pursuant to the Purchase Contract, the ordinary shares deliverable thereunder will be delivered to the TRACES Trust on the Exchange Date under the Purchase Contract. Pursuant to the Purchase Contract, the ordinary shares of AIL are not mandatorily deliverable to the TRACES Trust. After delivery of the ordinary shares to the TRACES Trust (assuming the delivery of the maximum number of shares that may be delivered</w:t>
      </w:r>
    </w:p>
    <w:p>
      <w:pPr>
        <w:spacing w:after="0" w:line="3" w:lineRule="exact"/>
        <w:rPr>
          <w:sz w:val="20"/>
          <w:szCs w:val="20"/>
          <w:color w:val="auto"/>
        </w:rPr>
      </w:pPr>
    </w:p>
    <w:p>
      <w:pPr>
        <w:ind w:left="348" w:right="3079"/>
        <w:spacing w:after="0" w:line="242" w:lineRule="auto"/>
        <w:rPr>
          <w:sz w:val="20"/>
          <w:szCs w:val="20"/>
          <w:color w:val="auto"/>
        </w:rPr>
      </w:pPr>
      <w:r>
        <w:rPr>
          <w:rFonts w:ascii="Courier New" w:cs="Courier New" w:eastAsia="Courier New" w:hAnsi="Courier New"/>
          <w:sz w:val="15"/>
          <w:szCs w:val="15"/>
          <w:color w:val="auto"/>
        </w:rPr>
        <w:t>by AIL pursuant to the Purchase Contract and without taking into account the underwriters' over-allotment option in respect of the Automatic Common</w:t>
      </w:r>
    </w:p>
    <w:tbl>
      <w:tblPr>
        <w:tblLayout w:type="fixed"/>
        <w:tblInd w:w="348" w:type="dxa"/>
        <w:tblCellMar>
          <w:top w:w="0" w:type="dxa"/>
          <w:left w:w="0" w:type="dxa"/>
          <w:bottom w:w="0" w:type="dxa"/>
          <w:right w:w="0" w:type="dxa"/>
        </w:tblCellMar>
      </w:tblPr>
      <w:tr>
        <w:trPr>
          <w:trHeight w:val="145"/>
        </w:trPr>
        <w:tc>
          <w:tcPr>
            <w:tcW w:w="3180" w:type="dxa"/>
            <w:vAlign w:val="bottom"/>
          </w:tcPr>
          <w:p>
            <w:pPr>
              <w:spacing w:after="0" w:line="146" w:lineRule="exact"/>
              <w:rPr>
                <w:sz w:val="20"/>
                <w:szCs w:val="20"/>
                <w:color w:val="auto"/>
              </w:rPr>
            </w:pPr>
            <w:r>
              <w:rPr>
                <w:rFonts w:ascii="Courier New" w:cs="Courier New" w:eastAsia="Courier New" w:hAnsi="Courier New"/>
                <w:sz w:val="15"/>
                <w:szCs w:val="15"/>
                <w:color w:val="auto"/>
              </w:rPr>
              <w:t>Exchange Securities and the sale of</w:t>
            </w:r>
          </w:p>
        </w:tc>
        <w:tc>
          <w:tcPr>
            <w:tcW w:w="1800" w:type="dxa"/>
            <w:vAlign w:val="bottom"/>
          </w:tcPr>
          <w:p>
            <w:pPr>
              <w:ind w:left="40"/>
              <w:spacing w:after="0" w:line="146" w:lineRule="exact"/>
              <w:rPr>
                <w:sz w:val="20"/>
                <w:szCs w:val="20"/>
                <w:color w:val="auto"/>
              </w:rPr>
            </w:pPr>
            <w:r>
              <w:rPr>
                <w:rFonts w:ascii="Courier New" w:cs="Courier New" w:eastAsia="Courier New" w:hAnsi="Courier New"/>
                <w:sz w:val="15"/>
                <w:szCs w:val="15"/>
                <w:color w:val="auto"/>
              </w:rPr>
              <w:t>the ordinary shares</w:t>
            </w:r>
          </w:p>
        </w:tc>
        <w:tc>
          <w:tcPr>
            <w:tcW w:w="1200" w:type="dxa"/>
            <w:vAlign w:val="bottom"/>
          </w:tcPr>
          <w:p>
            <w:pPr>
              <w:ind w:left="40"/>
              <w:spacing w:after="0" w:line="146" w:lineRule="exact"/>
              <w:rPr>
                <w:sz w:val="20"/>
                <w:szCs w:val="20"/>
                <w:color w:val="auto"/>
              </w:rPr>
            </w:pPr>
            <w:r>
              <w:rPr>
                <w:rFonts w:ascii="Courier New" w:cs="Courier New" w:eastAsia="Courier New" w:hAnsi="Courier New"/>
                <w:sz w:val="15"/>
                <w:szCs w:val="15"/>
                <w:color w:val="auto"/>
                <w:w w:val="97"/>
              </w:rPr>
              <w:t>by AIL in the</w:t>
            </w:r>
          </w:p>
        </w:tc>
        <w:tc>
          <w:tcPr>
            <w:tcW w:w="540" w:type="dxa"/>
            <w:vAlign w:val="bottom"/>
            <w:vMerge w:val="restart"/>
          </w:tcPr>
          <w:p>
            <w:pPr>
              <w:spacing w:after="0"/>
              <w:rPr>
                <w:sz w:val="20"/>
                <w:szCs w:val="20"/>
                <w:color w:val="auto"/>
              </w:rPr>
            </w:pPr>
            <w:r>
              <w:rPr>
                <w:rFonts w:ascii="Courier New" w:cs="Courier New" w:eastAsia="Courier New" w:hAnsi="Courier New"/>
                <w:sz w:val="15"/>
                <w:szCs w:val="15"/>
                <w:color w:val="auto"/>
              </w:rPr>
              <w:t>% of</w:t>
            </w:r>
          </w:p>
        </w:tc>
        <w:tc>
          <w:tcPr>
            <w:tcW w:w="0" w:type="dxa"/>
            <w:vAlign w:val="bottom"/>
          </w:tcPr>
          <w:p>
            <w:pPr>
              <w:spacing w:after="0"/>
              <w:rPr>
                <w:sz w:val="1"/>
                <w:szCs w:val="1"/>
                <w:color w:val="auto"/>
              </w:rPr>
            </w:pPr>
          </w:p>
        </w:tc>
      </w:tr>
      <w:tr>
        <w:trPr>
          <w:trHeight w:val="172"/>
        </w:trPr>
        <w:tc>
          <w:tcPr>
            <w:tcW w:w="3180" w:type="dxa"/>
            <w:vAlign w:val="bottom"/>
          </w:tcPr>
          <w:p>
            <w:pPr>
              <w:spacing w:after="0"/>
              <w:rPr>
                <w:sz w:val="20"/>
                <w:szCs w:val="20"/>
                <w:color w:val="auto"/>
              </w:rPr>
            </w:pPr>
            <w:r>
              <w:rPr>
                <w:rFonts w:ascii="Courier New" w:cs="Courier New" w:eastAsia="Courier New" w:hAnsi="Courier New"/>
                <w:sz w:val="15"/>
                <w:szCs w:val="15"/>
                <w:color w:val="auto"/>
              </w:rPr>
              <w:t>offering, AIL will beneficially own</w:t>
            </w:r>
          </w:p>
        </w:tc>
        <w:tc>
          <w:tcPr>
            <w:tcW w:w="30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ordinary shares representing</w:t>
            </w: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80" w:type="dxa"/>
            <w:vAlign w:val="bottom"/>
          </w:tcPr>
          <w:p>
            <w:pPr>
              <w:spacing w:after="0"/>
              <w:rPr>
                <w:sz w:val="20"/>
                <w:szCs w:val="20"/>
                <w:color w:val="auto"/>
              </w:rPr>
            </w:pPr>
            <w:r>
              <w:rPr>
                <w:rFonts w:ascii="Courier New" w:cs="Courier New" w:eastAsia="Courier New" w:hAnsi="Courier New"/>
                <w:sz w:val="15"/>
                <w:szCs w:val="15"/>
                <w:color w:val="auto"/>
              </w:rPr>
              <w:t>the outstanding voting power of the</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ordinary shares. In</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connection with our</w:t>
            </w:r>
          </w:p>
        </w:tc>
        <w:tc>
          <w:tcPr>
            <w:tcW w:w="0" w:type="dxa"/>
            <w:vAlign w:val="bottom"/>
          </w:tcPr>
          <w:p>
            <w:pPr>
              <w:spacing w:after="0"/>
              <w:rPr>
                <w:sz w:val="1"/>
                <w:szCs w:val="1"/>
                <w:color w:val="auto"/>
              </w:rPr>
            </w:pPr>
          </w:p>
        </w:tc>
      </w:tr>
      <w:tr>
        <w:trPr>
          <w:trHeight w:val="200"/>
        </w:trPr>
        <w:tc>
          <w:tcPr>
            <w:tcW w:w="3180" w:type="dxa"/>
            <w:vAlign w:val="bottom"/>
          </w:tcPr>
          <w:p>
            <w:pPr>
              <w:spacing w:after="0"/>
              <w:rPr>
                <w:sz w:val="20"/>
                <w:szCs w:val="20"/>
                <w:color w:val="auto"/>
              </w:rPr>
            </w:pPr>
            <w:r>
              <w:rPr>
                <w:rFonts w:ascii="Courier New" w:cs="Courier New" w:eastAsia="Courier New" w:hAnsi="Courier New"/>
                <w:sz w:val="15"/>
                <w:szCs w:val="15"/>
                <w:color w:val="auto"/>
              </w:rPr>
              <w:t>recapitalization effected as of May</w:t>
            </w:r>
          </w:p>
        </w:tc>
        <w:tc>
          <w:tcPr>
            <w:tcW w:w="35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20, 1998, in advance of our initial</w:t>
            </w:r>
          </w:p>
        </w:tc>
        <w:tc>
          <w:tcPr>
            <w:tcW w:w="0" w:type="dxa"/>
            <w:vAlign w:val="bottom"/>
          </w:tcPr>
          <w:p>
            <w:pPr>
              <w:spacing w:after="0"/>
              <w:rPr>
                <w:sz w:val="1"/>
                <w:szCs w:val="1"/>
                <w:color w:val="auto"/>
              </w:rPr>
            </w:pPr>
          </w:p>
        </w:tc>
      </w:tr>
    </w:tbl>
    <w:p>
      <w:pPr>
        <w:ind w:left="348" w:right="3079"/>
        <w:spacing w:after="0" w:line="331" w:lineRule="auto"/>
        <w:rPr>
          <w:sz w:val="20"/>
          <w:szCs w:val="20"/>
          <w:color w:val="auto"/>
        </w:rPr>
      </w:pPr>
      <w:r>
        <w:rPr>
          <w:rFonts w:ascii="Courier New" w:cs="Courier New" w:eastAsia="Courier New" w:hAnsi="Courier New"/>
          <w:sz w:val="14"/>
          <w:szCs w:val="14"/>
          <w:color w:val="auto"/>
        </w:rPr>
        <w:t>public offering in June 1998, investment partnerships affiliated with WCAS and several entities in which some members of management have a beneficial interest granted irrevocable proxies with respect to a total of 23,521,899 and 6,459,024 ordinary voting shares, respectively, to a company which is the principal shareholder of AIL and which is beneficially owned by Morris S. Kahn. The proxies granted by the WCAS partnerships expire in ten years, or sooner if at any time the WCAS entities collectively own less than 10.0% of our outstanding capital shares. The proxies granted by several entities in which some members of management have a beneficial interest expire ratably over the next one or two years. After giving effect to those proxies and the issuance and sale of ordinary shares in this offering, AIL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8" w:right="3519"/>
        <w:spacing w:after="0" w:line="301" w:lineRule="auto"/>
        <w:rPr>
          <w:sz w:val="20"/>
          <w:szCs w:val="20"/>
          <w:color w:val="auto"/>
        </w:rPr>
      </w:pPr>
      <w:r>
        <w:rPr>
          <w:rFonts w:ascii="Courier New" w:cs="Courier New" w:eastAsia="Courier New" w:hAnsi="Courier New"/>
          <w:sz w:val="15"/>
          <w:szCs w:val="15"/>
          <w:color w:val="auto"/>
        </w:rPr>
        <w:t>principal shareholder will together have the right to vote % of our ordinary voting shares and WCAS will have the right to vote % of such shares.</w:t>
      </w:r>
    </w:p>
    <w:p>
      <w:pPr>
        <w:spacing w:after="0" w:line="22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7"/>
          </w:cols>
          <w:pgMar w:left="232" w:top="263"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55</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DESCRIPTION OF SHARE CAPITAL</w:t>
      </w:r>
    </w:p>
    <w:p>
      <w:pPr>
        <w:spacing w:after="0" w:line="346" w:lineRule="exact"/>
        <w:rPr>
          <w:sz w:val="20"/>
          <w:szCs w:val="20"/>
          <w:color w:val="auto"/>
        </w:rPr>
      </w:pPr>
    </w:p>
    <w:p>
      <w:pPr>
        <w:ind w:right="3339" w:firstLine="447"/>
        <w:spacing w:after="0" w:line="301" w:lineRule="auto"/>
        <w:rPr>
          <w:sz w:val="20"/>
          <w:szCs w:val="20"/>
          <w:color w:val="auto"/>
        </w:rPr>
      </w:pPr>
      <w:r>
        <w:rPr>
          <w:rFonts w:ascii="Courier New" w:cs="Courier New" w:eastAsia="Courier New" w:hAnsi="Courier New"/>
          <w:sz w:val="15"/>
          <w:szCs w:val="15"/>
          <w:color w:val="auto"/>
        </w:rPr>
        <w:t>Our authorized capital stock consists of 500,000,000 ordinary shares, 50,000,000 ordinary nonvoting shares and 25,000,000 preferred shares, in each case, par value L 0.01.</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ORDINARY SHARES</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All of our issued and outstanding ordinary shares and ordinary nonvoting shares are, and the ordinary shares being offered by us hereunder when issued and paid for will be, validly issued, fully paid and non-assessable. Neither the ordinary shares nor the ordinary nonvoting shares have pre-emptive, subscription or redemption rights. Neither our Memorandum of Association or Articles of Association nor the laws of Guernsey restrict in any way the ownership or voting of ordinary shares held by non-residents of Guernsey.</w:t>
      </w:r>
    </w:p>
    <w:p>
      <w:pPr>
        <w:spacing w:after="0" w:line="250" w:lineRule="exact"/>
        <w:rPr>
          <w:sz w:val="20"/>
          <w:szCs w:val="20"/>
          <w:color w:val="auto"/>
        </w:rPr>
      </w:pPr>
    </w:p>
    <w:p>
      <w:pPr>
        <w:ind w:right="3339" w:firstLine="447"/>
        <w:spacing w:after="0" w:line="301" w:lineRule="auto"/>
        <w:rPr>
          <w:sz w:val="20"/>
          <w:szCs w:val="20"/>
          <w:color w:val="auto"/>
        </w:rPr>
      </w:pPr>
      <w:r>
        <w:rPr>
          <w:rFonts w:ascii="Courier New" w:cs="Courier New" w:eastAsia="Courier New" w:hAnsi="Courier New"/>
          <w:sz w:val="15"/>
          <w:szCs w:val="15"/>
          <w:color w:val="auto"/>
        </w:rPr>
        <w:t>Except as to voting rights, the rights of the holders of ordinary shares and ordinary nonvoting shares are identical and such securities rank on a parity.</w:t>
      </w:r>
    </w:p>
    <w:p>
      <w:pPr>
        <w:spacing w:after="0" w:line="49" w:lineRule="exact"/>
        <w:rPr>
          <w:sz w:val="20"/>
          <w:szCs w:val="20"/>
          <w:color w:val="auto"/>
        </w:rPr>
      </w:pPr>
    </w:p>
    <w:p>
      <w:pPr>
        <w:ind w:right="3079" w:firstLine="447"/>
        <w:spacing w:after="0" w:line="252" w:lineRule="auto"/>
        <w:rPr>
          <w:sz w:val="20"/>
          <w:szCs w:val="20"/>
          <w:color w:val="auto"/>
        </w:rPr>
      </w:pPr>
      <w:r>
        <w:rPr>
          <w:rFonts w:ascii="Courier New" w:cs="Courier New" w:eastAsia="Courier New" w:hAnsi="Courier New"/>
          <w:sz w:val="15"/>
          <w:szCs w:val="15"/>
          <w:color w:val="auto"/>
        </w:rPr>
        <w:t>Dividend and Liquidation Rights. Holders of ordinary shares and ordinary nonvoting shares are entitled to receive equally, share for share, any dividends that may be declared by the board of directors out of funds legally available therefor. If, in the future, we declare cash dividends, such dividends will be payable in U.S. dollars. In the event of our liquidation, after satisfaction of liabilities to creditors, holders of ordinary shares and ordinary nonvoting shares are entitled to share pro rata in the net assets of Amdocs. Such rights may be affected by the grant of preferential dividend or distribution rights to the holders of a class or series of preferred shares that may be authorized in the future. Declaration of a final dividend (not exceeding the amounts proposed by our board of directors) requires shareholder approval by adoption of an ordinary resolution. Failure to obtain such shareholder approval does not affect previously paid interim dividends.</w:t>
      </w:r>
    </w:p>
    <w:p>
      <w:pPr>
        <w:spacing w:after="0" w:line="89" w:lineRule="exact"/>
        <w:rPr>
          <w:sz w:val="20"/>
          <w:szCs w:val="20"/>
          <w:color w:val="auto"/>
        </w:rPr>
      </w:pPr>
    </w:p>
    <w:p>
      <w:pPr>
        <w:ind w:right="3079" w:firstLine="447"/>
        <w:spacing w:after="0" w:line="276" w:lineRule="auto"/>
        <w:rPr>
          <w:sz w:val="20"/>
          <w:szCs w:val="20"/>
          <w:color w:val="auto"/>
        </w:rPr>
      </w:pPr>
      <w:r>
        <w:rPr>
          <w:rFonts w:ascii="Courier New" w:cs="Courier New" w:eastAsia="Courier New" w:hAnsi="Courier New"/>
          <w:sz w:val="14"/>
          <w:szCs w:val="14"/>
          <w:color w:val="auto"/>
        </w:rPr>
        <w:t>Voting, Shareholder Meetings and Resolutions. Holders of ordinary shares have one vote for each ordinary share held on all matters submitted to a vote of shareholders. These voting rights may be affected by the grant of any special voting rights to the holders of a class or series of preferred shares that may be authorized in the future. An annual general meeting shall be held once every calendar year at the time (within a period of not more than 15 months after the last preceding annual general meeting) and at the place as may be determined by the board of directors. The quorum required for an ordinary meeting of shareholders consists of shareholders present in person or by attorney who hold or represent between them a majority of the outstanding ordinary shares.</w:t>
      </w:r>
    </w:p>
    <w:p>
      <w:pPr>
        <w:spacing w:after="0" w:line="68" w:lineRule="exact"/>
        <w:rPr>
          <w:sz w:val="20"/>
          <w:szCs w:val="20"/>
          <w:color w:val="auto"/>
        </w:rPr>
      </w:pPr>
    </w:p>
    <w:p>
      <w:pPr>
        <w:ind w:right="3079" w:firstLine="447"/>
        <w:spacing w:after="0" w:line="254" w:lineRule="auto"/>
        <w:rPr>
          <w:sz w:val="20"/>
          <w:szCs w:val="20"/>
          <w:color w:val="auto"/>
        </w:rPr>
      </w:pPr>
      <w:r>
        <w:rPr>
          <w:rFonts w:ascii="Courier New" w:cs="Courier New" w:eastAsia="Courier New" w:hAnsi="Courier New"/>
          <w:sz w:val="15"/>
          <w:szCs w:val="15"/>
          <w:color w:val="auto"/>
        </w:rPr>
        <w:t>An ordinary resolution (such as a resolution for the approval of the financial reports or the declaration of dividends) requires approval by the holders of a majority of the voting rights represented at a meeting, in person or by proxy, and voting thereon. A special or extraordinary resolution (such as, for example, a resolution amending our Memorandum of Association or Articles of Association or approving any change in capitalization, or a liquidation or winding-up) requires approval of the holders of 75% of the voting rights represented at the meeting, in person or by proxy, and voting thereon. A special or extraordinary resolution can only be considered if shareholders receive at least fourteen days' prior notice of the meeting at which such resolution will be considered.</w:t>
      </w:r>
    </w:p>
    <w:p>
      <w:pPr>
        <w:spacing w:after="0" w:line="258" w:lineRule="exact"/>
        <w:rPr>
          <w:sz w:val="20"/>
          <w:szCs w:val="20"/>
          <w:color w:val="auto"/>
        </w:rPr>
      </w:pPr>
    </w:p>
    <w:p>
      <w:pPr>
        <w:ind w:right="3339" w:firstLine="447"/>
        <w:spacing w:after="0" w:line="266" w:lineRule="auto"/>
        <w:rPr>
          <w:sz w:val="20"/>
          <w:szCs w:val="20"/>
          <w:color w:val="auto"/>
        </w:rPr>
      </w:pPr>
      <w:r>
        <w:rPr>
          <w:rFonts w:ascii="Courier New" w:cs="Courier New" w:eastAsia="Courier New" w:hAnsi="Courier New"/>
          <w:sz w:val="15"/>
          <w:szCs w:val="15"/>
          <w:color w:val="auto"/>
        </w:rPr>
        <w:t>Except as described below, the ordinary nonvoting shares do not have any voting rights. Each nonvoting ordinary share will be converted automatically into one ordinary share at any time that it is transferred by SBCI, the sole holder of the ordinary nonvoting shares. Accordingly, the ordinary nonvoting shares being sold by SBCI in this offering will automatically convert into ordinary shares.</w:t>
      </w:r>
    </w:p>
    <w:p>
      <w:pPr>
        <w:spacing w:after="0" w:line="246" w:lineRule="exact"/>
        <w:rPr>
          <w:sz w:val="20"/>
          <w:szCs w:val="20"/>
          <w:color w:val="auto"/>
        </w:rPr>
      </w:pPr>
    </w:p>
    <w:p>
      <w:pPr>
        <w:jc w:val="both"/>
        <w:ind w:right="3439" w:firstLine="447"/>
        <w:spacing w:after="0" w:line="256" w:lineRule="auto"/>
        <w:rPr>
          <w:sz w:val="20"/>
          <w:szCs w:val="20"/>
          <w:color w:val="auto"/>
        </w:rPr>
      </w:pPr>
      <w:r>
        <w:rPr>
          <w:rFonts w:ascii="Courier New" w:cs="Courier New" w:eastAsia="Courier New" w:hAnsi="Courier New"/>
          <w:sz w:val="15"/>
          <w:szCs w:val="15"/>
          <w:color w:val="auto"/>
        </w:rPr>
        <w:t>Transfer of Shares and Notices. Fully paid ordinary shares and ordinary nonvoting shares are issued in registered form and may be freely transferred pursuant to the Articles of Association</w:t>
      </w:r>
    </w:p>
    <w:p>
      <w:pPr>
        <w:sectPr>
          <w:pgSz w:w="11900" w:h="16838" w:orient="portrait"/>
          <w:cols w:equalWidth="0" w:num="1">
            <w:col w:w="10219"/>
          </w:cols>
          <w:pgMar w:left="240" w:top="263" w:right="1440" w:bottom="1440" w:gutter="0" w:footer="0" w:header="0"/>
        </w:sect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63" w:right="1440" w:bottom="1440" w:gutter="0" w:footer="0" w:header="0"/>
          <w:type w:val="continuous"/>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5"/>
          <w:szCs w:val="15"/>
          <w:color w:val="auto"/>
        </w:rPr>
        <w:t>unless the transfer is restricted or prohibited by another instrument. Each shareholder of record is entitled to receive at least fourteen days' prior notice of an ordinary shareholders' meeting and at least twenty-one days' prior notice of any shareholders' meeting at which a special resolution is to be adopted. For the purposes of determining the shareholders entitled to notice and to vote at the meeting, the board of directors may fix a record date not more than 60 or less than ten days prior to the date of the meeting.</w:t>
      </w:r>
    </w:p>
    <w:p>
      <w:pPr>
        <w:spacing w:after="0" w:line="78"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Modification of Class Rights. The rights attached to any class (unless otherwise provided by the terms of issue of that class), such as voting, dividends and the like, may be varied with the consent in writing of the holders of 75% of the outstanding shares of such class, or with the adoption of an extraordinary resolution passed at a separate general meeting of the holders of the shares of that class.</w:t>
      </w:r>
    </w:p>
    <w:p>
      <w:pPr>
        <w:spacing w:after="0" w:line="246"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Election of Directors. The ordinary shares do not have cumulative voting rights in the election of directors. As a result, the holders of ordinary shares that represent more than 50% of the voting power have the power to elect all of Amdocs' directors. See "Principal and Selling Shareholders."</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PREFERRED SHARES</w:t>
      </w:r>
    </w:p>
    <w:p>
      <w:pPr>
        <w:spacing w:after="0" w:line="174"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Amdocs has 25,000,000 authorized preferred shares. The board of directors has the authority to issue the preferred shares in one or more series and to fix the rights, preferences, privileges and restrictions of such shares, including dividend rights, dividend rates, conversion rights, voting rights, terms of redemption, redemption prices, liquidation preferences and the number of shares constituting any series, without further vote or action by the shareholders. We currently do not have any plans to issue any preferred shares other than the voting share described below.</w:t>
      </w:r>
    </w:p>
    <w:p>
      <w:pPr>
        <w:spacing w:after="0" w:line="253" w:lineRule="exact"/>
        <w:rPr>
          <w:sz w:val="20"/>
          <w:szCs w:val="20"/>
          <w:color w:val="auto"/>
        </w:rPr>
      </w:pPr>
    </w:p>
    <w:p>
      <w:pPr>
        <w:ind w:right="3079" w:firstLine="447"/>
        <w:spacing w:after="0" w:line="283" w:lineRule="auto"/>
        <w:rPr>
          <w:sz w:val="20"/>
          <w:szCs w:val="20"/>
          <w:color w:val="auto"/>
        </w:rPr>
      </w:pPr>
      <w:r>
        <w:rPr>
          <w:rFonts w:ascii="Courier New" w:cs="Courier New" w:eastAsia="Courier New" w:hAnsi="Courier New"/>
          <w:sz w:val="14"/>
          <w:szCs w:val="14"/>
          <w:color w:val="auto"/>
        </w:rPr>
        <w:t>The purpose of authorizing the board of directors to issue preferred shares and to determine their rights and preferences is to eliminate delays associated with a shareholder vote on specific issuances. The issuance of preferred shares, while providing desirable flexibility in connection with possible equity financings, acquisitions and other corporate purposes, could have the effect of making it more difficult for a third party to acquire, or of discouraging a third party from acquiring, a majority of our outstanding voting shares.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50" w:lineRule="auto"/>
        <w:rPr>
          <w:sz w:val="20"/>
          <w:szCs w:val="20"/>
          <w:color w:val="auto"/>
        </w:rPr>
      </w:pPr>
      <w:r>
        <w:rPr>
          <w:rFonts w:ascii="Courier New" w:cs="Courier New" w:eastAsia="Courier New" w:hAnsi="Courier New"/>
          <w:sz w:val="15"/>
          <w:szCs w:val="15"/>
          <w:color w:val="auto"/>
        </w:rPr>
        <w:t>AIL, SBCI and WCAS have demand and piggyback registration rights with respect to their ordinary shares under the Securities Act. The ordinary shares being offered in the offering have been registered upon the exercise of one of these demand registration rights. Following the offering described in this prospectus, these holders will have the right, on one more occasion, to require us to register the shares held by them for sale to the public in an underwritten public offering. In addition, if we propose to register any of our ordinary shares under the Securities Act, these holders may require us to include all or a portion of their shares in the registration, although the managing underwriter of any offering has certain rights to limit the number of shares in that registration. All expenses incurred in connection with these registrations (other than underwriters' discounts and commissions and fees of counsel retained by any selling shareholder) will be borne by us. These shareholders have agreed that they will not exercise any right with respect to any of these registrations for a period ending 180 days after the effective date of the registration statement for the offering, without the prior written consent of the underwriters.</w:t>
      </w:r>
    </w:p>
    <w:p>
      <w:pPr>
        <w:spacing w:after="0" w:line="2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63" w:right="1440" w:bottom="1440" w:gutter="0" w:footer="0" w:header="0"/>
        </w:sectPr>
      </w:pPr>
    </w:p>
    <w:bookmarkStart w:id="62" w:name="page63"/>
    <w:bookmarkEnd w:id="62"/>
    <w:p>
      <w:pPr>
        <w:ind w:left="268"/>
        <w:spacing w:after="0"/>
        <w:rPr>
          <w:sz w:val="20"/>
          <w:szCs w:val="20"/>
          <w:color w:val="auto"/>
        </w:rPr>
      </w:pPr>
      <w:r>
        <w:rPr>
          <w:rFonts w:ascii="Courier New" w:cs="Courier New" w:eastAsia="Courier New" w:hAnsi="Courier New"/>
          <w:sz w:val="15"/>
          <w:szCs w:val="15"/>
          <w:color w:val="auto"/>
        </w:rPr>
        <w:t>57</w:t>
      </w:r>
    </w:p>
    <w:p>
      <w:pPr>
        <w:spacing w:after="0" w:line="346"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COMPARISON OF UNITED STATES AND GUERNSEY CORPORATE LAW</w:t>
      </w:r>
    </w:p>
    <w:p>
      <w:pPr>
        <w:spacing w:after="0" w:line="200" w:lineRule="exact"/>
        <w:rPr>
          <w:sz w:val="20"/>
          <w:szCs w:val="20"/>
          <w:color w:val="auto"/>
        </w:rPr>
      </w:pPr>
    </w:p>
    <w:p>
      <w:pPr>
        <w:spacing w:after="0" w:line="318" w:lineRule="exact"/>
        <w:rPr>
          <w:sz w:val="20"/>
          <w:szCs w:val="20"/>
          <w:color w:val="auto"/>
        </w:rPr>
      </w:pPr>
    </w:p>
    <w:p>
      <w:pPr>
        <w:ind w:left="8" w:right="3079" w:firstLine="447"/>
        <w:spacing w:after="0" w:line="274" w:lineRule="auto"/>
        <w:rPr>
          <w:sz w:val="20"/>
          <w:szCs w:val="20"/>
          <w:color w:val="auto"/>
        </w:rPr>
      </w:pPr>
      <w:r>
        <w:rPr>
          <w:rFonts w:ascii="Courier New" w:cs="Courier New" w:eastAsia="Courier New" w:hAnsi="Courier New"/>
          <w:sz w:val="14"/>
          <w:szCs w:val="14"/>
          <w:color w:val="auto"/>
        </w:rPr>
        <w:t>The following discussion is a summary of the material differences between United States and Guernsey corporate law relevant to an investment in the ordinary shares and is based on the advice of Reboul, MacMurray, Hewitt, Maynard</w:t>
      </w:r>
    </w:p>
    <w:p>
      <w:pPr>
        <w:spacing w:after="0" w:line="1" w:lineRule="exact"/>
        <w:rPr>
          <w:sz w:val="20"/>
          <w:szCs w:val="20"/>
          <w:color w:val="auto"/>
        </w:rPr>
      </w:pPr>
    </w:p>
    <w:p>
      <w:pPr>
        <w:ind w:left="8" w:right="3159" w:hanging="8"/>
        <w:spacing w:after="0" w:line="268" w:lineRule="auto"/>
        <w:tabs>
          <w:tab w:leader="none" w:pos="18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Kristol, with respect to the corporate law of the United States, and Carey Langlois, with respect to the corporate law of Guernsey. The following discussion is based upon laws and relevant interpretations thereof in effect as of the date of this prospectus, all of which are subject to change.</w:t>
      </w:r>
    </w:p>
    <w:p>
      <w:pPr>
        <w:spacing w:after="0" w:line="200" w:lineRule="exact"/>
        <w:rPr>
          <w:sz w:val="20"/>
          <w:szCs w:val="20"/>
          <w:color w:val="auto"/>
        </w:rPr>
      </w:pPr>
    </w:p>
    <w:p>
      <w:pPr>
        <w:spacing w:after="0" w:line="217"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5"/>
          <w:szCs w:val="15"/>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200" w:lineRule="exact"/>
        <w:rPr>
          <w:sz w:val="20"/>
          <w:szCs w:val="20"/>
          <w:color w:val="auto"/>
        </w:rPr>
      </w:pPr>
    </w:p>
    <w:p>
      <w:pPr>
        <w:spacing w:after="0" w:line="222" w:lineRule="exact"/>
        <w:rPr>
          <w:sz w:val="20"/>
          <w:szCs w:val="20"/>
          <w:color w:val="auto"/>
        </w:rPr>
      </w:pPr>
    </w:p>
    <w:p>
      <w:pPr>
        <w:ind w:left="8" w:right="3079" w:firstLine="447"/>
        <w:spacing w:after="0" w:line="248" w:lineRule="auto"/>
        <w:rPr>
          <w:sz w:val="20"/>
          <w:szCs w:val="20"/>
          <w:color w:val="auto"/>
        </w:rPr>
      </w:pPr>
      <w:r>
        <w:rPr>
          <w:rFonts w:ascii="Courier New" w:cs="Courier New" w:eastAsia="Courier New" w:hAnsi="Courier New"/>
          <w:sz w:val="15"/>
          <w:szCs w:val="15"/>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200" w:lineRule="exact"/>
        <w:rPr>
          <w:sz w:val="20"/>
          <w:szCs w:val="20"/>
          <w:color w:val="auto"/>
        </w:rPr>
      </w:pPr>
    </w:p>
    <w:p>
      <w:pPr>
        <w:spacing w:after="0" w:line="238" w:lineRule="exact"/>
        <w:rPr>
          <w:sz w:val="20"/>
          <w:szCs w:val="20"/>
          <w:color w:val="auto"/>
        </w:rPr>
      </w:pPr>
    </w:p>
    <w:p>
      <w:pPr>
        <w:ind w:left="8" w:right="3079" w:firstLine="447"/>
        <w:spacing w:after="0" w:line="255" w:lineRule="auto"/>
        <w:rPr>
          <w:sz w:val="20"/>
          <w:szCs w:val="20"/>
          <w:color w:val="auto"/>
        </w:rPr>
      </w:pPr>
      <w:r>
        <w:rPr>
          <w:rFonts w:ascii="Courier New" w:cs="Courier New" w:eastAsia="Courier New" w:hAnsi="Courier New"/>
          <w:sz w:val="15"/>
          <w:szCs w:val="15"/>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200" w:lineRule="exact"/>
        <w:rPr>
          <w:sz w:val="20"/>
          <w:szCs w:val="20"/>
          <w:color w:val="auto"/>
        </w:rPr>
      </w:pPr>
    </w:p>
    <w:p>
      <w:pPr>
        <w:spacing w:after="0" w:line="231" w:lineRule="exact"/>
        <w:rPr>
          <w:sz w:val="20"/>
          <w:szCs w:val="20"/>
          <w:color w:val="auto"/>
        </w:rPr>
      </w:pPr>
    </w:p>
    <w:p>
      <w:pPr>
        <w:ind w:left="8" w:right="3079" w:firstLine="447"/>
        <w:spacing w:after="0" w:line="252" w:lineRule="auto"/>
        <w:rPr>
          <w:sz w:val="20"/>
          <w:szCs w:val="20"/>
          <w:color w:val="auto"/>
        </w:rPr>
      </w:pPr>
      <w:r>
        <w:rPr>
          <w:rFonts w:ascii="Courier New" w:cs="Courier New" w:eastAsia="Courier New" w:hAnsi="Courier New"/>
          <w:sz w:val="15"/>
          <w:szCs w:val="15"/>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Many United States jurisdictions have enacted various statutory provisions that permit the monetary liability of directors to be eliminated or limited. Guernsey law protecting the interests of shareholders may not be as protective in all circumstances as the law protecting shareholders in United States</w:t>
      </w:r>
    </w:p>
    <w:p>
      <w:pPr>
        <w:sectPr>
          <w:pgSz w:w="11900" w:h="16838" w:orient="portrait"/>
          <w:cols w:equalWidth="0" w:num="1">
            <w:col w:w="10227"/>
          </w:cols>
          <w:pgMar w:left="232" w:top="263" w:right="1440" w:bottom="1440" w:gutter="0" w:footer="0" w:header="0"/>
        </w:sectPr>
      </w:pPr>
    </w:p>
    <w:p>
      <w:pPr>
        <w:spacing w:after="0" w:line="26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7"/>
          </w:cols>
          <w:pgMar w:left="232" w:top="263" w:right="1440" w:bottom="1440" w:gutter="0" w:footer="0" w:header="0"/>
          <w:type w:val="continuous"/>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58</w:t>
      </w:r>
    </w:p>
    <w:p>
      <w:pPr>
        <w:spacing w:after="0" w:line="346" w:lineRule="exact"/>
        <w:rPr>
          <w:sz w:val="20"/>
          <w:szCs w:val="20"/>
          <w:color w:val="auto"/>
        </w:rPr>
      </w:pPr>
    </w:p>
    <w:p>
      <w:pPr>
        <w:ind w:right="3079"/>
        <w:spacing w:after="0" w:line="283" w:lineRule="auto"/>
        <w:rPr>
          <w:sz w:val="20"/>
          <w:szCs w:val="20"/>
          <w:color w:val="auto"/>
        </w:rPr>
      </w:pPr>
      <w:r>
        <w:rPr>
          <w:rFonts w:ascii="Courier New" w:cs="Courier New" w:eastAsia="Courier New" w:hAnsi="Courier New"/>
          <w:sz w:val="14"/>
          <w:szCs w:val="14"/>
          <w:color w:val="auto"/>
        </w:rPr>
        <w:t>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of default. See "Risk Factors -- The rights of shareholders of Guernsey corporations differ in some respects from those of shareholders of United States corporations".</w:t>
      </w:r>
    </w:p>
    <w:p>
      <w:pPr>
        <w:spacing w:after="0" w:line="23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63"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59</w:t>
      </w:r>
    </w:p>
    <w:p>
      <w:pPr>
        <w:spacing w:after="0" w:line="346"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SHARES ELIGIBLE FOR FUTURE SALE</w:t>
      </w:r>
    </w:p>
    <w:p>
      <w:pPr>
        <w:spacing w:after="0" w:line="200" w:lineRule="exact"/>
        <w:rPr>
          <w:sz w:val="20"/>
          <w:szCs w:val="20"/>
          <w:color w:val="auto"/>
        </w:rPr>
      </w:pPr>
    </w:p>
    <w:p>
      <w:pPr>
        <w:spacing w:after="0" w:line="318" w:lineRule="exact"/>
        <w:rPr>
          <w:sz w:val="20"/>
          <w:szCs w:val="20"/>
          <w:color w:val="auto"/>
        </w:rPr>
      </w:pPr>
    </w:p>
    <w:p>
      <w:pPr>
        <w:ind w:left="440"/>
        <w:spacing w:after="0"/>
        <w:tabs>
          <w:tab w:leader="none" w:pos="4980" w:val="left"/>
        </w:tabs>
        <w:rPr>
          <w:sz w:val="20"/>
          <w:szCs w:val="20"/>
          <w:color w:val="auto"/>
        </w:rPr>
      </w:pPr>
      <w:r>
        <w:rPr>
          <w:rFonts w:ascii="Courier New" w:cs="Courier New" w:eastAsia="Courier New" w:hAnsi="Courier New"/>
          <w:sz w:val="15"/>
          <w:szCs w:val="15"/>
          <w:color w:val="auto"/>
        </w:rPr>
        <w:t>Upon completion of this offering, we will have</w:t>
      </w:r>
      <w:r>
        <w:rPr>
          <w:sz w:val="20"/>
          <w:szCs w:val="20"/>
          <w:color w:val="auto"/>
        </w:rPr>
        <w:tab/>
      </w:r>
      <w:r>
        <w:rPr>
          <w:rFonts w:ascii="Courier New" w:cs="Courier New" w:eastAsia="Courier New" w:hAnsi="Courier New"/>
          <w:sz w:val="14"/>
          <w:szCs w:val="14"/>
          <w:color w:val="auto"/>
        </w:rPr>
        <w:t>ordinary shares and</w:t>
      </w:r>
    </w:p>
    <w:p>
      <w:pPr>
        <w:spacing w:after="0" w:line="30" w:lineRule="exact"/>
        <w:rPr>
          <w:sz w:val="20"/>
          <w:szCs w:val="20"/>
          <w:color w:val="auto"/>
        </w:rPr>
      </w:pPr>
    </w:p>
    <w:p>
      <w:pPr>
        <w:ind w:right="3519"/>
        <w:spacing w:after="0" w:line="260" w:lineRule="auto"/>
        <w:rPr>
          <w:sz w:val="20"/>
          <w:szCs w:val="20"/>
          <w:color w:val="auto"/>
        </w:rPr>
      </w:pPr>
      <w:r>
        <w:rPr>
          <w:rFonts w:ascii="Courier New" w:cs="Courier New" w:eastAsia="Courier New" w:hAnsi="Courier New"/>
          <w:sz w:val="14"/>
          <w:szCs w:val="14"/>
          <w:color w:val="auto"/>
        </w:rPr>
        <w:t>non-voting ordinary shares issued and outstanding. Of these shares, the 20,000,000 ordinary shares sold in the offering plus any shares issued upon</w:t>
      </w:r>
    </w:p>
    <w:p>
      <w:pPr>
        <w:ind w:right="3159"/>
        <w:spacing w:after="0" w:line="260" w:lineRule="auto"/>
        <w:rPr>
          <w:sz w:val="20"/>
          <w:szCs w:val="20"/>
          <w:color w:val="auto"/>
        </w:rPr>
      </w:pPr>
      <w:r>
        <w:rPr>
          <w:rFonts w:ascii="Courier New" w:cs="Courier New" w:eastAsia="Courier New" w:hAnsi="Courier New"/>
          <w:sz w:val="14"/>
          <w:szCs w:val="14"/>
          <w:color w:val="auto"/>
        </w:rPr>
        <w:t>exercise of the underwriters' overallotment options will be freely tradeable without restriction. We, our principal shareholders and our officers and directors have agreed not to offer, sell, contract to sell or otherwise dispose of any ordinary shares or non-voting ordinary shares without the consent of the representatives of the underwriters for a period of days after the date of this prospectus, except for the ordinary shares offered hereby and ordinary shares issuable upon the exercise of options granted or to be granted under the Amdocs Plan. Such shareholders will, upon the consummation of the offering, own</w:t>
      </w:r>
    </w:p>
    <w:p>
      <w:pPr>
        <w:spacing w:after="0" w:line="2" w:lineRule="exact"/>
        <w:rPr>
          <w:sz w:val="20"/>
          <w:szCs w:val="20"/>
          <w:color w:val="auto"/>
        </w:rPr>
      </w:pPr>
    </w:p>
    <w:p>
      <w:pPr>
        <w:ind w:right="3159"/>
        <w:spacing w:after="0" w:line="252" w:lineRule="auto"/>
        <w:rPr>
          <w:sz w:val="20"/>
          <w:szCs w:val="20"/>
          <w:color w:val="auto"/>
        </w:rPr>
      </w:pPr>
      <w:r>
        <w:rPr>
          <w:rFonts w:ascii="Courier New" w:cs="Courier New" w:eastAsia="Courier New" w:hAnsi="Courier New"/>
          <w:sz w:val="15"/>
          <w:szCs w:val="15"/>
          <w:color w:val="auto"/>
        </w:rPr>
        <w:t>an aggregate shares or % of the then outstanding ordinary shares and non-voting ordinary shares. After such -day period, all our ordinary shares will be eligible for sale in the public market pursuant to Rule 144, subject to compliance with the volume and manner of sale limitations of Rule 144, or pursuant to another exemption from the registration requirements of the Securities Act. Our principal shareholders also have the right in certain circumstances to require us to register their shares under the Securities Act for resale to the public. See "Description of Share Capital -- Registration Rights".</w:t>
      </w:r>
    </w:p>
    <w:p>
      <w:pPr>
        <w:spacing w:after="0" w:line="200" w:lineRule="exact"/>
        <w:rPr>
          <w:sz w:val="20"/>
          <w:szCs w:val="20"/>
          <w:color w:val="auto"/>
        </w:rPr>
      </w:pPr>
    </w:p>
    <w:p>
      <w:pPr>
        <w:spacing w:after="0" w:line="230" w:lineRule="exact"/>
        <w:rPr>
          <w:sz w:val="20"/>
          <w:szCs w:val="20"/>
          <w:color w:val="auto"/>
        </w:rPr>
      </w:pPr>
    </w:p>
    <w:p>
      <w:pPr>
        <w:ind w:right="3079" w:firstLine="447"/>
        <w:spacing w:after="0" w:line="267" w:lineRule="auto"/>
        <w:rPr>
          <w:sz w:val="20"/>
          <w:szCs w:val="20"/>
          <w:color w:val="auto"/>
        </w:rPr>
      </w:pPr>
      <w:r>
        <w:rPr>
          <w:rFonts w:ascii="Courier New" w:cs="Courier New" w:eastAsia="Courier New" w:hAnsi="Courier New"/>
          <w:sz w:val="14"/>
          <w:szCs w:val="14"/>
          <w:color w:val="auto"/>
        </w:rPr>
        <w:t>In general, under Rule 144, as currently in effect, if one year has elapsed since the date of acquisition of shares that are "restricted securities" (as defined in Rule 144) from us or any "affiliate" (as defined below) of ours, the acquiror or subsequent holder of the shares (including an affiliate) is entitled to sell, within any three-month period, that number of shares that does not exceed the greater of 1% of the then outstanding ordinary shares and the average weekly trading volume of the ordinary shares on all exchanges and/or reported through the automated quotation system of a registered securities association during the four calendar weeks preceding the date on which notice of the sale is filed with the Securities and Exchange Commission. Sales under Rule 144 are also subject to certain restrictions relating to manner of sale, notice requirements and the availability of current public information about us. If two years have elapsed since the later of the date of acquisition of restricted shares from us or from any affiliate of ours, and the acquiror or subsequent holder thereof is deemed not to have been an affiliate of ours at any time during the 90 days preceding a sale, such person would be entitled to sell such shares in the public market under Rule 144(k) without regard to volume limitations, manner of sale provisions, public information requirements or notice requirements. As defined in Rule 144, an "affiliate" of an issuer is a person that directly, or indirectly through the use of one or more intermediaries, controls, or is controlled by, or is under common control with, such issuer.</w:t>
      </w:r>
    </w:p>
    <w:p>
      <w:pPr>
        <w:spacing w:after="0" w:line="200" w:lineRule="exact"/>
        <w:rPr>
          <w:sz w:val="20"/>
          <w:szCs w:val="20"/>
          <w:color w:val="auto"/>
        </w:rPr>
      </w:pPr>
    </w:p>
    <w:p>
      <w:pPr>
        <w:spacing w:after="0" w:line="399"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We intend to register the 6,600,000 ordinary shares reserved for issuance pursuant to the Amdocs Plan following the date of this prospectus, pursuant to a Form S-8 registration statement under the Securities Act. This registration statement would become effective immediately upon filing. Shares issued upon the exercise of stock options after the effective date of the Form S-8 registration statement would be eligible for resale in the public market without restriction, subject to Rule 144 limitations applicable to affiliates. The right to exercise options outstanding under the Amdocs Plan is subject to certain vesting requirements. See "Management -- Employee Stock Options".</w:t>
      </w:r>
    </w:p>
    <w:p>
      <w:pPr>
        <w:spacing w:after="0" w:line="200" w:lineRule="exact"/>
        <w:rPr>
          <w:sz w:val="20"/>
          <w:szCs w:val="20"/>
          <w:color w:val="auto"/>
        </w:rPr>
      </w:pPr>
    </w:p>
    <w:p>
      <w:pPr>
        <w:spacing w:after="0" w:line="227"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One of the selling shareholders has also entered into the Purchase Contract with the TRACES Trust under which it may deliver up to 11,500,000 ordinary shares on or before the Exchange Date. The TRACES Trust will deliver these ordinary shares to the holders of its Automatic Common Exchange Securities. These ordinary shares will be freely tradeable upon their delivery to the TRACES Trust's security holders.</w:t>
      </w:r>
    </w:p>
    <w:p>
      <w:pPr>
        <w:spacing w:after="0" w:line="200" w:lineRule="exact"/>
        <w:rPr>
          <w:sz w:val="20"/>
          <w:szCs w:val="20"/>
          <w:color w:val="auto"/>
        </w:rPr>
      </w:pPr>
    </w:p>
    <w:p>
      <w:pPr>
        <w:spacing w:after="0" w:line="218"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We can make no prediction as to the effect, if any, that future sales of shares or the availability of shares for sale will have on the market price of the ordinary shares prevailing, from time to time. Nevertheless, sales of substantial amounts of the ordinary shares in the public</w:t>
      </w:r>
    </w:p>
    <w:p>
      <w:pPr>
        <w:sectPr>
          <w:pgSz w:w="11900" w:h="16838" w:orient="portrait"/>
          <w:cols w:equalWidth="0" w:num="1">
            <w:col w:w="10219"/>
          </w:cols>
          <w:pgMar w:left="240" w:top="263" w:right="1440" w:bottom="1440" w:gutter="0" w:footer="0" w:header="0"/>
        </w:sectPr>
      </w:pPr>
    </w:p>
    <w:p>
      <w:pPr>
        <w:spacing w:after="0" w:line="23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63" w:right="1440" w:bottom="1440" w:gutter="0" w:footer="0" w:header="0"/>
          <w:type w:val="continuous"/>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60</w:t>
      </w:r>
    </w:p>
    <w:p>
      <w:pPr>
        <w:spacing w:after="0" w:line="346" w:lineRule="exact"/>
        <w:rPr>
          <w:sz w:val="20"/>
          <w:szCs w:val="20"/>
          <w:color w:val="auto"/>
        </w:rPr>
      </w:pPr>
    </w:p>
    <w:p>
      <w:pPr>
        <w:ind w:right="3079"/>
        <w:spacing w:after="0" w:line="301" w:lineRule="auto"/>
        <w:rPr>
          <w:sz w:val="20"/>
          <w:szCs w:val="20"/>
          <w:color w:val="auto"/>
        </w:rPr>
      </w:pPr>
      <w:r>
        <w:rPr>
          <w:rFonts w:ascii="Courier New" w:cs="Courier New" w:eastAsia="Courier New" w:hAnsi="Courier New"/>
          <w:sz w:val="15"/>
          <w:szCs w:val="15"/>
          <w:color w:val="auto"/>
        </w:rPr>
        <w:t>market could adversely affect the prevailing market price of the ordinary shares and could impair our ability to raise capital through the sale of equity securities.</w:t>
      </w:r>
    </w:p>
    <w:p>
      <w:pPr>
        <w:spacing w:after="0" w:line="393"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TAXATION OF THE COMPANY</w:t>
      </w:r>
    </w:p>
    <w:p>
      <w:pPr>
        <w:spacing w:after="0" w:line="200" w:lineRule="exact"/>
        <w:rPr>
          <w:sz w:val="20"/>
          <w:szCs w:val="20"/>
          <w:color w:val="auto"/>
        </w:rPr>
      </w:pPr>
    </w:p>
    <w:p>
      <w:pPr>
        <w:spacing w:after="0" w:line="318" w:lineRule="exact"/>
        <w:rPr>
          <w:sz w:val="20"/>
          <w:szCs w:val="20"/>
          <w:color w:val="auto"/>
        </w:rPr>
      </w:pPr>
    </w:p>
    <w:p>
      <w:pPr>
        <w:ind w:right="3159" w:firstLine="447"/>
        <w:spacing w:after="0" w:line="283" w:lineRule="auto"/>
        <w:rPr>
          <w:sz w:val="20"/>
          <w:szCs w:val="20"/>
          <w:color w:val="auto"/>
        </w:rPr>
      </w:pPr>
      <w:r>
        <w:rPr>
          <w:rFonts w:ascii="Courier New" w:cs="Courier New" w:eastAsia="Courier New" w:hAnsi="Courier New"/>
          <w:sz w:val="14"/>
          <w:szCs w:val="14"/>
          <w:color w:val="auto"/>
        </w:rPr>
        <w:t>The following is a summary of certain material tax considerations relating to us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4"/>
          <w:szCs w:val="14"/>
          <w:color w:val="auto"/>
        </w:rPr>
        <w:t>Our overall effective tax rate has historically been approximately 30% due to the various corporate income tax rates of the countries in which we operate and the magnitude of our activities in those countries. Our effective tax rate for fiscal 1998 was 50% due to the incurrence of significant interest expense in tax-exempt or low tax jurisdictions. There can be no assurance that our effective tax rate will not change over time as a result of a change in corporate income tax rates or other changes in the tax laws of the various countries in which we operate. Moreover, our effective tax rate in future years may be adversely affected in the event that a tax authority challenged the manner in which items of income and expense are allocated among us and our subsidiaries. In addition, we and certain of our subsidiaries have been granted certain special tax benefits, discussed below, in Cyprus and Israel. The loss of any such tax benefits could have an adverse effect on our effective tax rate.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We qualify as an exempt company (i.e. our shareholders are not Guernsey residents and we do not carry on business in Guernsey) so we generally are not subject to taxation in Guernsey. We will retain such exempt status following the offering.</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CYPRUS TAX CONSIDERATIONS</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Our Cyprus subsidiary, Amdocs Development Ltd., operates a development center. Corporations resident in Cyprus currently are subject to a maximum 25% income tax rate. The Government of Cyprus has issued a permit to our Cyprus subsidiary pursuant to which the activities to be conducted by it will be deemed to be offshore activities for the purpose of Cyprus taxation. As a result, our Cyprus subsidiary is subject to an effective tax rate in Cyprus of 4.25%. In order for our subsidiary to remain entitled to this reduced rate of taxation pursuant to the permit, it must continue to satisfy certain requirements concerning its operations in Cyprus and it must undertake certain information reporting obligations to the Government of Cyprus.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UNITED KINGDOM TAX CONSIDERATIONS</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Our United Kingdom subsidiary, Amdocs (UK) Limited, performs global development, contracting and marketing functions for our business, and acts as a holding company for certain of our subsidiaries, including our principal United States operating subsidiary.</w:t>
      </w:r>
    </w:p>
    <w:p>
      <w:pPr>
        <w:spacing w:after="0" w:line="200" w:lineRule="exact"/>
        <w:rPr>
          <w:sz w:val="20"/>
          <w:szCs w:val="20"/>
          <w:color w:val="auto"/>
        </w:rPr>
      </w:pPr>
    </w:p>
    <w:p>
      <w:pPr>
        <w:spacing w:after="0" w:line="20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CORPORATE TAXATION IN THE UNITED KINGDOM</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4"/>
          <w:szCs w:val="14"/>
          <w:color w:val="auto"/>
        </w:rPr>
        <w:t>Until March 31, 1999, the statutory United Kingdom corporation tax rate was 31%. Commencing on April 1, 1999, the statutory corporate tax rate decreased to</w:t>
      </w:r>
    </w:p>
    <w:p>
      <w:pPr>
        <w:spacing w:after="0" w:line="1"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30%. Our United Kingdom subsidiary pays UK corporation tax on its worldwide income, with a credit in certain cases for non-UK income taxes paid. Our United Kingdom subsidiary pays tax on dividends</w:t>
      </w:r>
    </w:p>
    <w:p>
      <w:pPr>
        <w:sectPr>
          <w:pgSz w:w="11900" w:h="16838" w:orient="portrait"/>
          <w:cols w:equalWidth="0" w:num="1">
            <w:col w:w="10219"/>
          </w:cols>
          <w:pgMar w:left="240" w:top="263" w:right="1440" w:bottom="0" w:gutter="0" w:footer="0" w:header="0"/>
        </w:sectPr>
      </w:pPr>
    </w:p>
    <w:p>
      <w:pPr>
        <w:spacing w:after="0" w:line="23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63" w:right="1440" w:bottom="0" w:gutter="0" w:footer="0" w:header="0"/>
          <w:type w:val="continuous"/>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61</w:t>
      </w:r>
    </w:p>
    <w:p>
      <w:pPr>
        <w:spacing w:after="0" w:line="346" w:lineRule="exact"/>
        <w:rPr>
          <w:sz w:val="20"/>
          <w:szCs w:val="20"/>
          <w:color w:val="auto"/>
        </w:rPr>
      </w:pPr>
    </w:p>
    <w:p>
      <w:pPr>
        <w:ind w:right="3259"/>
        <w:spacing w:after="0" w:line="359" w:lineRule="auto"/>
        <w:rPr>
          <w:sz w:val="20"/>
          <w:szCs w:val="20"/>
          <w:color w:val="auto"/>
        </w:rPr>
      </w:pPr>
      <w:r>
        <w:rPr>
          <w:rFonts w:ascii="Courier New" w:cs="Courier New" w:eastAsia="Courier New" w:hAnsi="Courier New"/>
          <w:sz w:val="15"/>
          <w:szCs w:val="15"/>
          <w:color w:val="auto"/>
        </w:rPr>
        <w:t>received from its subsidiaries, with a credit for underlying non-UK taxes paid by such subsidiaries and withholding taxes paid on such dividends.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ISRAELI TAX CONSIDERATIONS</w:t>
      </w:r>
    </w:p>
    <w:p>
      <w:pPr>
        <w:spacing w:after="0" w:line="200" w:lineRule="exact"/>
        <w:rPr>
          <w:sz w:val="20"/>
          <w:szCs w:val="20"/>
          <w:color w:val="auto"/>
        </w:rPr>
      </w:pPr>
    </w:p>
    <w:p>
      <w:pPr>
        <w:spacing w:after="0" w:line="318" w:lineRule="exact"/>
        <w:rPr>
          <w:sz w:val="20"/>
          <w:szCs w:val="20"/>
          <w:color w:val="auto"/>
        </w:rPr>
      </w:pPr>
    </w:p>
    <w:p>
      <w:pPr>
        <w:jc w:val="both"/>
        <w:ind w:right="3599" w:firstLine="447"/>
        <w:spacing w:after="0" w:line="301" w:lineRule="auto"/>
        <w:rPr>
          <w:sz w:val="20"/>
          <w:szCs w:val="20"/>
          <w:color w:val="auto"/>
        </w:rPr>
      </w:pPr>
      <w:r>
        <w:rPr>
          <w:rFonts w:ascii="Courier New" w:cs="Courier New" w:eastAsia="Courier New" w:hAnsi="Courier New"/>
          <w:sz w:val="15"/>
          <w:szCs w:val="15"/>
          <w:color w:val="auto"/>
        </w:rPr>
        <w:t>Our Israeli subsidiary, Amdocs (Israel) Limited, operates our largest development center. Discussed below are certain Israeli tax considerations relating to our Israeli subsidiary:</w:t>
      </w:r>
    </w:p>
    <w:p>
      <w:pPr>
        <w:spacing w:after="0" w:line="39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CORPORATE TAXATION IN ISRAEL</w:t>
      </w:r>
    </w:p>
    <w:p>
      <w:pPr>
        <w:spacing w:after="0" w:line="200" w:lineRule="exact"/>
        <w:rPr>
          <w:sz w:val="20"/>
          <w:szCs w:val="20"/>
          <w:color w:val="auto"/>
        </w:rPr>
      </w:pPr>
    </w:p>
    <w:p>
      <w:pPr>
        <w:spacing w:after="0" w:line="318" w:lineRule="exact"/>
        <w:rPr>
          <w:sz w:val="20"/>
          <w:szCs w:val="20"/>
          <w:color w:val="auto"/>
        </w:rPr>
      </w:pPr>
    </w:p>
    <w:p>
      <w:pPr>
        <w:ind w:right="3159" w:firstLine="447"/>
        <w:spacing w:after="0" w:line="281" w:lineRule="auto"/>
        <w:rPr>
          <w:sz w:val="20"/>
          <w:szCs w:val="20"/>
          <w:color w:val="auto"/>
        </w:rPr>
      </w:pPr>
      <w:r>
        <w:rPr>
          <w:rFonts w:ascii="Courier New" w:cs="Courier New" w:eastAsia="Courier New" w:hAnsi="Courier New"/>
          <w:sz w:val="15"/>
          <w:szCs w:val="15"/>
          <w:color w:val="auto"/>
        </w:rPr>
        <w:t>Effective January 1, 1996, and thereafter, in general, Israeli companies are subject to "Company Tax" at the rate of 36% of taxable income. However, the effective tax rate payable by an Israeli company that derives income from an Approved Enterprise (as further discussed below) may be considerably less.</w:t>
      </w:r>
    </w:p>
    <w:p>
      <w:pPr>
        <w:spacing w:after="0" w:line="200" w:lineRule="exact"/>
        <w:rPr>
          <w:sz w:val="20"/>
          <w:szCs w:val="20"/>
          <w:color w:val="auto"/>
        </w:rPr>
      </w:pPr>
    </w:p>
    <w:p>
      <w:pPr>
        <w:spacing w:after="0" w:line="20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LAW FOR THE ENCOURAGEMENT OF CAPITAL INVESTMENTS, 1959</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GENERAL. Certain production and development facilities of our Israeli subsidiary have been granted "Approved Enterprise" status pursuant to the Law for the Encouragement of Capital Investments, 1959, or the Investment Law, which provides certain tax and financial benefits to investment programs that have been granted such status.</w:t>
      </w:r>
    </w:p>
    <w:p>
      <w:pPr>
        <w:spacing w:after="0" w:line="200" w:lineRule="exact"/>
        <w:rPr>
          <w:sz w:val="20"/>
          <w:szCs w:val="20"/>
          <w:color w:val="auto"/>
        </w:rPr>
      </w:pPr>
    </w:p>
    <w:p>
      <w:pPr>
        <w:spacing w:after="0" w:line="213" w:lineRule="exact"/>
        <w:rPr>
          <w:sz w:val="20"/>
          <w:szCs w:val="20"/>
          <w:color w:val="auto"/>
        </w:rPr>
      </w:pPr>
    </w:p>
    <w:p>
      <w:pPr>
        <w:ind w:right="3159" w:firstLine="447"/>
        <w:spacing w:after="0" w:line="278" w:lineRule="auto"/>
        <w:rPr>
          <w:sz w:val="20"/>
          <w:szCs w:val="20"/>
          <w:color w:val="auto"/>
        </w:rPr>
      </w:pPr>
      <w:r>
        <w:rPr>
          <w:rFonts w:ascii="Courier New" w:cs="Courier New" w:eastAsia="Courier New" w:hAnsi="Courier New"/>
          <w:sz w:val="14"/>
          <w:szCs w:val="14"/>
          <w:color w:val="auto"/>
        </w:rPr>
        <w:t>The Investment Law provides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200" w:lineRule="exact"/>
        <w:rPr>
          <w:sz w:val="20"/>
          <w:szCs w:val="20"/>
          <w:color w:val="auto"/>
        </w:rPr>
      </w:pPr>
    </w:p>
    <w:p>
      <w:pPr>
        <w:spacing w:after="0" w:line="211" w:lineRule="exact"/>
        <w:rPr>
          <w:sz w:val="20"/>
          <w:szCs w:val="20"/>
          <w:color w:val="auto"/>
        </w:rPr>
      </w:pPr>
    </w:p>
    <w:p>
      <w:pPr>
        <w:ind w:right="3699" w:firstLine="447"/>
        <w:spacing w:after="0" w:line="359" w:lineRule="auto"/>
        <w:rPr>
          <w:sz w:val="20"/>
          <w:szCs w:val="20"/>
          <w:color w:val="auto"/>
        </w:rPr>
      </w:pPr>
      <w:r>
        <w:rPr>
          <w:rFonts w:ascii="Courier New" w:cs="Courier New" w:eastAsia="Courier New" w:hAnsi="Courier New"/>
          <w:sz w:val="15"/>
          <w:szCs w:val="15"/>
          <w:color w:val="auto"/>
        </w:rPr>
        <w:t>TAX BENEFITS. Taxable income derived from an Approved Enterprise is subject to a reduced corporate tax rate of 25% until the earlier of</w:t>
      </w:r>
    </w:p>
    <w:p>
      <w:pPr>
        <w:spacing w:after="0" w:line="352" w:lineRule="exact"/>
        <w:rPr>
          <w:sz w:val="20"/>
          <w:szCs w:val="20"/>
          <w:color w:val="auto"/>
        </w:rPr>
      </w:pPr>
    </w:p>
    <w:p>
      <w:pPr>
        <w:ind w:left="620" w:right="3079" w:hanging="181"/>
        <w:spacing w:after="0" w:line="301" w:lineRule="auto"/>
        <w:tabs>
          <w:tab w:leader="none" w:pos="6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seven consecutive years (or ten in the case of an FIC (as defined below)) commencing in the year in which the Approved Enterprise first generates taxable income,</w:t>
      </w:r>
    </w:p>
    <w:p>
      <w:pPr>
        <w:spacing w:after="0" w:line="392"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twelve years from the year of commencement of production or</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right="3259" w:hanging="181"/>
        <w:spacing w:after="0" w:line="359" w:lineRule="auto"/>
        <w:tabs>
          <w:tab w:leader="none" w:pos="6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fourteen years from the year of the approval of the Approved Enterprise status.</w:t>
      </w:r>
    </w:p>
    <w:p>
      <w:pPr>
        <w:spacing w:after="0" w:line="352" w:lineRule="exact"/>
        <w:rPr>
          <w:sz w:val="20"/>
          <w:szCs w:val="20"/>
          <w:color w:val="auto"/>
        </w:rPr>
      </w:pPr>
    </w:p>
    <w:p>
      <w:pPr>
        <w:ind w:right="3079" w:firstLine="447"/>
        <w:spacing w:after="0" w:line="249" w:lineRule="auto"/>
        <w:rPr>
          <w:sz w:val="20"/>
          <w:szCs w:val="20"/>
          <w:color w:val="auto"/>
        </w:rPr>
      </w:pPr>
      <w:r>
        <w:rPr>
          <w:rFonts w:ascii="Courier New" w:cs="Courier New" w:eastAsia="Courier New" w:hAnsi="Courier New"/>
          <w:sz w:val="15"/>
          <w:szCs w:val="15"/>
          <w:color w:val="auto"/>
        </w:rPr>
        <w:t>Such income is eligible for further reductions in tax rates if the company qualifies as a Foreign Investors' Company, or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w:t>
      </w:r>
    </w:p>
    <w:p>
      <w:pPr>
        <w:sectPr>
          <w:pgSz w:w="11900" w:h="16838" w:orient="portrait"/>
          <w:cols w:equalWidth="0" w:num="1">
            <w:col w:w="10219"/>
          </w:cols>
          <w:pgMar w:left="240" w:top="263" w:right="1440" w:bottom="0" w:gutter="0" w:footer="0" w:header="0"/>
        </w:sectPr>
      </w:pPr>
    </w:p>
    <w:bookmarkStart w:id="67" w:name="page68"/>
    <w:bookmarkEnd w:id="67"/>
    <w:p>
      <w:pPr>
        <w:ind w:left="228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9019"/>
          </w:cols>
          <w:pgMar w:left="1440" w:top="286"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62</w:t>
      </w:r>
    </w:p>
    <w:p>
      <w:pPr>
        <w:spacing w:after="0" w:line="346" w:lineRule="exact"/>
        <w:rPr>
          <w:sz w:val="20"/>
          <w:szCs w:val="20"/>
          <w:color w:val="auto"/>
        </w:rPr>
      </w:pPr>
    </w:p>
    <w:p>
      <w:pPr>
        <w:ind w:right="3599"/>
        <w:spacing w:after="0" w:line="301" w:lineRule="auto"/>
        <w:rPr>
          <w:sz w:val="20"/>
          <w:szCs w:val="20"/>
          <w:color w:val="auto"/>
        </w:rPr>
      </w:pPr>
      <w:r>
        <w:rPr>
          <w:rFonts w:ascii="Courier New" w:cs="Courier New" w:eastAsia="Courier New" w:hAnsi="Courier New"/>
          <w:sz w:val="15"/>
          <w:szCs w:val="15"/>
          <w:color w:val="auto"/>
        </w:rPr>
        <w:t>eligible for a beneficial tax rate (25% or lower in the case of an FIC, as described above) for the remainder of the otherwise applicable period of benefits.</w:t>
      </w:r>
    </w:p>
    <w:p>
      <w:pPr>
        <w:spacing w:after="0" w:line="393" w:lineRule="exact"/>
        <w:rPr>
          <w:sz w:val="20"/>
          <w:szCs w:val="20"/>
          <w:color w:val="auto"/>
        </w:rPr>
      </w:pPr>
    </w:p>
    <w:p>
      <w:pPr>
        <w:ind w:right="3079" w:firstLine="447"/>
        <w:spacing w:after="0" w:line="247" w:lineRule="auto"/>
        <w:rPr>
          <w:sz w:val="20"/>
          <w:szCs w:val="20"/>
          <w:color w:val="auto"/>
        </w:rPr>
      </w:pPr>
      <w:r>
        <w:rPr>
          <w:rFonts w:ascii="Courier New" w:cs="Courier New" w:eastAsia="Courier New" w:hAnsi="Courier New"/>
          <w:sz w:val="15"/>
          <w:szCs w:val="15"/>
          <w:color w:val="auto"/>
        </w:rPr>
        <w:t>Our Israeli subsidiary has elected the alternative benefits with respect to its current Approved Enterprise and its enlargements, pursuant to which the Israeli subsidiary enjoys, in relation to its Approved Enterprise operations, certain tax holidays for a period of two years (and in some cases for a period of four years) and reduced tax rates for an additional period of up to eight years. In case our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 new instrument of approval issued recently and relating to the current investment program of our Israeli subsidiary and to the income derived therefrom, our Israeli subsidiary is entitled to a reduced tax rate period of thirteen years (instead of the eight 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200" w:lineRule="exact"/>
        <w:rPr>
          <w:sz w:val="20"/>
          <w:szCs w:val="20"/>
          <w:color w:val="auto"/>
        </w:rPr>
      </w:pPr>
    </w:p>
    <w:p>
      <w:pPr>
        <w:spacing w:after="0" w:line="236"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From time to time, the Government of Israel has discussed reducing the benefits available to companies under the Investment Law. The termination or substantial reduction of any of the benefits available under the Investment Law could have a material adverse effect on future investments by us in Israel (although such termination or reduction would not affect our Israeli subsidiary's existing Approved Enterprise or the related benefits).</w:t>
      </w: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Dividends</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twelve years thereafter.</w:t>
      </w:r>
    </w:p>
    <w:p>
      <w:pPr>
        <w:spacing w:after="0" w:line="200" w:lineRule="exact"/>
        <w:rPr>
          <w:sz w:val="20"/>
          <w:szCs w:val="20"/>
          <w:color w:val="auto"/>
        </w:rPr>
      </w:pPr>
    </w:p>
    <w:p>
      <w:pPr>
        <w:spacing w:after="0" w:line="218"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TAXATION OF HOLDERS OF ORDINARY SHARES</w:t>
      </w:r>
    </w:p>
    <w:p>
      <w:pPr>
        <w:spacing w:after="0" w:line="200" w:lineRule="exact"/>
        <w:rPr>
          <w:sz w:val="20"/>
          <w:szCs w:val="20"/>
          <w:color w:val="auto"/>
        </w:rPr>
      </w:pPr>
    </w:p>
    <w:p>
      <w:pPr>
        <w:spacing w:after="0" w:line="318" w:lineRule="exact"/>
        <w:rPr>
          <w:sz w:val="20"/>
          <w:szCs w:val="20"/>
          <w:color w:val="auto"/>
        </w:rPr>
      </w:pPr>
    </w:p>
    <w:p>
      <w:pPr>
        <w:ind w:right="3519" w:firstLine="447"/>
        <w:spacing w:after="0" w:line="301" w:lineRule="auto"/>
        <w:rPr>
          <w:sz w:val="20"/>
          <w:szCs w:val="20"/>
          <w:color w:val="auto"/>
        </w:rPr>
      </w:pPr>
      <w:r>
        <w:rPr>
          <w:rFonts w:ascii="Courier New" w:cs="Courier New" w:eastAsia="Courier New" w:hAnsi="Courier New"/>
          <w:sz w:val="15"/>
          <w:szCs w:val="15"/>
          <w:color w:val="auto"/>
        </w:rPr>
        <w:t>The following discussion is a summary of certain United States federal income tax considerations and Guernsey tax considerations relating to an investment in the ordinary shares.</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UNITED STATES FEDERAL INCOME TAX CONSIDERATIONS</w:t>
      </w:r>
    </w:p>
    <w:p>
      <w:pPr>
        <w:spacing w:after="0" w:line="200" w:lineRule="exact"/>
        <w:rPr>
          <w:sz w:val="20"/>
          <w:szCs w:val="20"/>
          <w:color w:val="auto"/>
        </w:rPr>
      </w:pPr>
    </w:p>
    <w:p>
      <w:pPr>
        <w:spacing w:after="0" w:line="318" w:lineRule="exact"/>
        <w:rPr>
          <w:sz w:val="20"/>
          <w:szCs w:val="20"/>
          <w:color w:val="auto"/>
        </w:rPr>
      </w:pPr>
    </w:p>
    <w:p>
      <w:pPr>
        <w:ind w:right="3599" w:firstLine="447"/>
        <w:spacing w:after="0" w:line="359" w:lineRule="auto"/>
        <w:rPr>
          <w:sz w:val="20"/>
          <w:szCs w:val="20"/>
          <w:color w:val="auto"/>
        </w:rPr>
      </w:pPr>
      <w:r>
        <w:rPr>
          <w:rFonts w:ascii="Courier New" w:cs="Courier New" w:eastAsia="Courier New" w:hAnsi="Courier New"/>
          <w:sz w:val="15"/>
          <w:szCs w:val="15"/>
          <w:color w:val="auto"/>
        </w:rPr>
        <w:t>The following discussion describes the material United States federal income tax consequences to a holder of ordinary shares that is</w:t>
      </w:r>
    </w:p>
    <w:p>
      <w:pPr>
        <w:spacing w:after="0" w:line="352" w:lineRule="exact"/>
        <w:rPr>
          <w:sz w:val="20"/>
          <w:szCs w:val="20"/>
          <w:color w:val="auto"/>
        </w:rPr>
      </w:pPr>
    </w:p>
    <w:p>
      <w:pPr>
        <w:ind w:left="440" w:hanging="359"/>
        <w:spacing w:after="0"/>
        <w:tabs>
          <w:tab w:leader="none" w:pos="4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United States,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520" w:right="3339" w:hanging="439"/>
        <w:spacing w:after="0" w:line="359" w:lineRule="auto"/>
        <w:tabs>
          <w:tab w:leader="none" w:pos="5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created or organized in, or under the laws of, the United States or of any state thereof,</w:t>
      </w:r>
    </w:p>
    <w:p>
      <w:pPr>
        <w:sectPr>
          <w:pgSz w:w="11900" w:h="16838" w:orient="portrait"/>
          <w:cols w:equalWidth="0" w:num="1">
            <w:col w:w="10219"/>
          </w:cols>
          <w:pgMar w:left="240" w:top="263" w:right="1440" w:bottom="532" w:gutter="0" w:footer="0" w:header="0"/>
        </w:sectPr>
      </w:pP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63" w:right="1440" w:bottom="532" w:gutter="0" w:footer="0" w:header="0"/>
          <w:type w:val="continuous"/>
        </w:sectPr>
      </w:pPr>
    </w:p>
    <w:bookmarkStart w:id="69" w:name="page70"/>
    <w:bookmarkEnd w:id="69"/>
    <w:p>
      <w:pPr>
        <w:ind w:left="268"/>
        <w:spacing w:after="0"/>
        <w:rPr>
          <w:sz w:val="20"/>
          <w:szCs w:val="20"/>
          <w:color w:val="auto"/>
        </w:rPr>
      </w:pPr>
      <w:r>
        <w:rPr>
          <w:rFonts w:ascii="Courier New" w:cs="Courier New" w:eastAsia="Courier New" w:hAnsi="Courier New"/>
          <w:sz w:val="15"/>
          <w:szCs w:val="15"/>
          <w:color w:val="auto"/>
        </w:rPr>
        <w:t>63</w:t>
      </w:r>
    </w:p>
    <w:p>
      <w:pPr>
        <w:spacing w:after="0" w:line="346" w:lineRule="exact"/>
        <w:rPr>
          <w:sz w:val="20"/>
          <w:szCs w:val="20"/>
          <w:color w:val="auto"/>
        </w:rPr>
      </w:pPr>
    </w:p>
    <w:p>
      <w:pPr>
        <w:ind w:left="528" w:right="3339" w:hanging="528"/>
        <w:spacing w:after="0" w:line="359" w:lineRule="auto"/>
        <w:tabs>
          <w:tab w:leader="none" w:pos="52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income of which is includable in gross income for United States federal income tax purposes regardless of its source, or</w:t>
      </w:r>
    </w:p>
    <w:p>
      <w:pPr>
        <w:spacing w:after="0" w:line="351" w:lineRule="exact"/>
        <w:rPr>
          <w:rFonts w:ascii="Courier New" w:cs="Courier New" w:eastAsia="Courier New" w:hAnsi="Courier New"/>
          <w:sz w:val="15"/>
          <w:szCs w:val="15"/>
          <w:color w:val="auto"/>
        </w:rPr>
      </w:pPr>
    </w:p>
    <w:p>
      <w:pPr>
        <w:ind w:left="448" w:right="3339" w:hanging="448"/>
        <w:spacing w:after="0" w:line="281" w:lineRule="auto"/>
        <w:tabs>
          <w:tab w:leader="none" w:pos="4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if a court within the United States is able to exercise primary supervision over the administration of the trust and one or more U.S. trustees has the authority to control all substantial decisions of the trust.</w:t>
      </w:r>
    </w:p>
    <w:p>
      <w:pPr>
        <w:spacing w:after="0" w:line="200" w:lineRule="exact"/>
        <w:rPr>
          <w:sz w:val="20"/>
          <w:szCs w:val="20"/>
          <w:color w:val="auto"/>
        </w:rPr>
      </w:pPr>
    </w:p>
    <w:p>
      <w:pPr>
        <w:spacing w:after="0" w:line="208" w:lineRule="exact"/>
        <w:rPr>
          <w:sz w:val="20"/>
          <w:szCs w:val="20"/>
          <w:color w:val="auto"/>
        </w:rPr>
      </w:pPr>
    </w:p>
    <w:p>
      <w:pPr>
        <w:ind w:left="8" w:right="3259" w:firstLine="447"/>
        <w:spacing w:after="0" w:line="281" w:lineRule="auto"/>
        <w:rPr>
          <w:sz w:val="20"/>
          <w:szCs w:val="20"/>
          <w:color w:val="auto"/>
        </w:rPr>
      </w:pPr>
      <w:r>
        <w:rPr>
          <w:rFonts w:ascii="Courier New" w:cs="Courier New" w:eastAsia="Courier New" w:hAnsi="Courier New"/>
          <w:sz w:val="15"/>
          <w:szCs w:val="15"/>
          <w:color w:val="auto"/>
        </w:rPr>
        <w:t>This summary generally considers only U.S. holders that will own ordinary shares as capital assets. This summary does not discuss the United States federal income tax consequences to a holder of ordinary shares that is not a U.S. holder.</w:t>
      </w:r>
    </w:p>
    <w:p>
      <w:pPr>
        <w:spacing w:after="0" w:line="200" w:lineRule="exact"/>
        <w:rPr>
          <w:sz w:val="20"/>
          <w:szCs w:val="20"/>
          <w:color w:val="auto"/>
        </w:rPr>
      </w:pPr>
    </w:p>
    <w:p>
      <w:pPr>
        <w:spacing w:after="0" w:line="208" w:lineRule="exact"/>
        <w:rPr>
          <w:sz w:val="20"/>
          <w:szCs w:val="20"/>
          <w:color w:val="auto"/>
        </w:rPr>
      </w:pPr>
    </w:p>
    <w:p>
      <w:pPr>
        <w:ind w:left="8" w:right="3079" w:firstLine="447"/>
        <w:spacing w:after="0" w:line="250" w:lineRule="auto"/>
        <w:rPr>
          <w:sz w:val="20"/>
          <w:szCs w:val="20"/>
          <w:color w:val="auto"/>
        </w:rPr>
      </w:pPr>
      <w:r>
        <w:rPr>
          <w:rFonts w:ascii="Courier New" w:cs="Courier New" w:eastAsia="Courier New" w:hAnsi="Courier New"/>
          <w:sz w:val="15"/>
          <w:szCs w:val="15"/>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 holder of ordinary shares based on such holder's particular circumstances (including potential application of the alternative minimum tax), United States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non-United States tax laws. Additionally, the discussion does not consider the tax treatment of persons who hold ordinary shares through a partnership or other pass-through entity or the possible application of United States federal gift or estate taxes.</w:t>
      </w:r>
    </w:p>
    <w:p>
      <w:pPr>
        <w:spacing w:after="0" w:line="200" w:lineRule="exact"/>
        <w:rPr>
          <w:sz w:val="20"/>
          <w:szCs w:val="20"/>
          <w:color w:val="auto"/>
        </w:rPr>
      </w:pPr>
    </w:p>
    <w:p>
      <w:pPr>
        <w:spacing w:after="0" w:line="231" w:lineRule="exact"/>
        <w:rPr>
          <w:sz w:val="20"/>
          <w:szCs w:val="20"/>
          <w:color w:val="auto"/>
        </w:rPr>
      </w:pPr>
    </w:p>
    <w:p>
      <w:pPr>
        <w:ind w:left="8" w:right="3159" w:firstLine="447"/>
        <w:spacing w:after="0" w:line="281" w:lineRule="auto"/>
        <w:rPr>
          <w:sz w:val="20"/>
          <w:szCs w:val="20"/>
          <w:color w:val="auto"/>
        </w:rPr>
      </w:pPr>
      <w:r>
        <w:rPr>
          <w:rFonts w:ascii="Courier New" w:cs="Courier New" w:eastAsia="Courier New" w:hAnsi="Courier New"/>
          <w:sz w:val="15"/>
          <w:szCs w:val="15"/>
          <w:color w:val="auto"/>
        </w:rPr>
        <w:t>EACH PROSPECTIVE INVESTOR SHOULD CONSULT ITS OWN TAX ADVISOR WITH RESPECT TO THE PARTICULAR UNITED STATES FEDERAL, STATE, LOCAL AND FOREIGN TAX CONSEQUENCES TO SUCH PERSON OF PURCHASING, HOLDING OR DISPOSING OF THE ORDINARY SHARES.</w:t>
      </w:r>
    </w:p>
    <w:p>
      <w:pPr>
        <w:spacing w:after="0" w:line="200" w:lineRule="exact"/>
        <w:rPr>
          <w:sz w:val="20"/>
          <w:szCs w:val="20"/>
          <w:color w:val="auto"/>
        </w:rPr>
      </w:pPr>
    </w:p>
    <w:p>
      <w:pPr>
        <w:spacing w:after="0" w:line="208"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DIVIDENDS</w:t>
      </w:r>
    </w:p>
    <w:p>
      <w:pPr>
        <w:spacing w:after="0" w:line="200" w:lineRule="exact"/>
        <w:rPr>
          <w:sz w:val="20"/>
          <w:szCs w:val="20"/>
          <w:color w:val="auto"/>
        </w:rPr>
      </w:pPr>
    </w:p>
    <w:p>
      <w:pPr>
        <w:spacing w:after="0" w:line="318" w:lineRule="exact"/>
        <w:rPr>
          <w:sz w:val="20"/>
          <w:szCs w:val="20"/>
          <w:color w:val="auto"/>
        </w:rPr>
      </w:pPr>
    </w:p>
    <w:p>
      <w:pPr>
        <w:ind w:left="8" w:right="3079" w:firstLine="447"/>
        <w:spacing w:after="0" w:line="253" w:lineRule="auto"/>
        <w:rPr>
          <w:sz w:val="20"/>
          <w:szCs w:val="20"/>
          <w:color w:val="auto"/>
        </w:rPr>
      </w:pPr>
      <w:r>
        <w:rPr>
          <w:rFonts w:ascii="Courier New" w:cs="Courier New" w:eastAsia="Courier New" w:hAnsi="Courier New"/>
          <w:sz w:val="15"/>
          <w:szCs w:val="15"/>
          <w:color w:val="auto"/>
        </w:rPr>
        <w:t>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United States federal income tax principles. Any distributions in excess of such earnings and profits will first be treated, for United States federal income tax purposes, as a nontaxable return of capital to the extent of the U.S. holder's tax basis in the ordinary shares, and then, to the extent in excess of such tax basis, as gain from the sale or exchange of a capital asset. See "Disposition of Ordinary Shares" below. United States corporate shareholders will not be entitled to any deduction for distributions received as dividends on the ordinary shares.</w:t>
      </w:r>
    </w:p>
    <w:p>
      <w:pPr>
        <w:spacing w:after="0" w:line="200" w:lineRule="exact"/>
        <w:rPr>
          <w:sz w:val="20"/>
          <w:szCs w:val="20"/>
          <w:color w:val="auto"/>
        </w:rPr>
      </w:pPr>
    </w:p>
    <w:p>
      <w:pPr>
        <w:spacing w:after="0" w:line="231" w:lineRule="exact"/>
        <w:rPr>
          <w:sz w:val="20"/>
          <w:szCs w:val="20"/>
          <w:color w:val="auto"/>
        </w:rPr>
      </w:pPr>
    </w:p>
    <w:p>
      <w:pPr>
        <w:ind w:left="8" w:right="3079" w:firstLine="447"/>
        <w:spacing w:after="0" w:line="257" w:lineRule="auto"/>
        <w:rPr>
          <w:sz w:val="20"/>
          <w:szCs w:val="20"/>
          <w:color w:val="auto"/>
        </w:rPr>
      </w:pPr>
      <w:r>
        <w:rPr>
          <w:rFonts w:ascii="Courier New" w:cs="Courier New" w:eastAsia="Courier New" w:hAnsi="Courier New"/>
          <w:sz w:val="15"/>
          <w:szCs w:val="15"/>
          <w:color w:val="auto"/>
        </w:rPr>
        <w:t>The amount of foreign income taxes that may be claimed as a credit against United States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United States federal income taxes otherwise payable with respect to each such class of income. Dividends paid by us generally will be foreign source "passive income" for United States foreign tax credit purposes.</w:t>
      </w:r>
    </w:p>
    <w:p>
      <w:pPr>
        <w:spacing w:after="0" w:line="200" w:lineRule="exact"/>
        <w:rPr>
          <w:sz w:val="20"/>
          <w:szCs w:val="20"/>
          <w:color w:val="auto"/>
        </w:rPr>
      </w:pPr>
    </w:p>
    <w:p>
      <w:pPr>
        <w:spacing w:after="0" w:line="227"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DISPOSITION OF ORDINARY SHARES</w:t>
      </w:r>
    </w:p>
    <w:p>
      <w:pPr>
        <w:spacing w:after="0" w:line="200" w:lineRule="exact"/>
        <w:rPr>
          <w:sz w:val="20"/>
          <w:szCs w:val="20"/>
          <w:color w:val="auto"/>
        </w:rPr>
      </w:pPr>
    </w:p>
    <w:p>
      <w:pPr>
        <w:spacing w:after="0" w:line="318" w:lineRule="exact"/>
        <w:rPr>
          <w:sz w:val="20"/>
          <w:szCs w:val="20"/>
          <w:color w:val="auto"/>
        </w:rPr>
      </w:pPr>
    </w:p>
    <w:p>
      <w:pPr>
        <w:ind w:left="8" w:right="3259" w:firstLine="447"/>
        <w:spacing w:after="0" w:line="281" w:lineRule="auto"/>
        <w:rPr>
          <w:sz w:val="20"/>
          <w:szCs w:val="20"/>
          <w:color w:val="auto"/>
        </w:rPr>
      </w:pPr>
      <w:r>
        <w:rPr>
          <w:rFonts w:ascii="Courier New" w:cs="Courier New" w:eastAsia="Courier New" w:hAnsi="Courier New"/>
          <w:sz w:val="15"/>
          <w:szCs w:val="15"/>
          <w:color w:val="auto"/>
        </w:rPr>
        <w:t>Upon the sale, exchange or other disposition of ordinary shares, a U.S. holder generally will recognize capital gain or loss in an amount equal to the difference between the amount realized on the disposition by such U.S. holder and its tax basis in the ordinary shares. Such capital gain</w:t>
      </w:r>
    </w:p>
    <w:p>
      <w:pPr>
        <w:sectPr>
          <w:pgSz w:w="11900" w:h="16838" w:orient="portrait"/>
          <w:cols w:equalWidth="0" w:num="1">
            <w:col w:w="10227"/>
          </w:cols>
          <w:pgMar w:left="232" w:top="263" w:right="1440" w:bottom="360" w:gutter="0" w:footer="0" w:header="0"/>
        </w:sectPr>
      </w:pPr>
    </w:p>
    <w:p>
      <w:pPr>
        <w:spacing w:after="0" w:line="23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27"/>
          </w:cols>
          <w:pgMar w:left="232" w:top="263" w:right="1440" w:bottom="360" w:gutter="0" w:footer="0" w:header="0"/>
          <w:type w:val="continuous"/>
        </w:sectPr>
      </w:pPr>
    </w:p>
    <w:bookmarkStart w:id="70" w:name="page71"/>
    <w:bookmarkEnd w:id="70"/>
    <w:p>
      <w:pPr>
        <w:ind w:left="268"/>
        <w:spacing w:after="0"/>
        <w:rPr>
          <w:sz w:val="20"/>
          <w:szCs w:val="20"/>
          <w:color w:val="auto"/>
        </w:rPr>
      </w:pPr>
      <w:r>
        <w:rPr>
          <w:rFonts w:ascii="Courier New" w:cs="Courier New" w:eastAsia="Courier New" w:hAnsi="Courier New"/>
          <w:sz w:val="15"/>
          <w:szCs w:val="15"/>
          <w:color w:val="auto"/>
        </w:rPr>
        <w:t>64</w:t>
      </w:r>
    </w:p>
    <w:p>
      <w:pPr>
        <w:spacing w:after="0" w:line="346" w:lineRule="exact"/>
        <w:rPr>
          <w:sz w:val="20"/>
          <w:szCs w:val="20"/>
          <w:color w:val="auto"/>
        </w:rPr>
      </w:pPr>
    </w:p>
    <w:p>
      <w:pPr>
        <w:ind w:left="8" w:right="3079"/>
        <w:spacing w:after="0" w:line="283" w:lineRule="auto"/>
        <w:rPr>
          <w:sz w:val="20"/>
          <w:szCs w:val="20"/>
          <w:color w:val="auto"/>
        </w:rPr>
      </w:pPr>
      <w:r>
        <w:rPr>
          <w:rFonts w:ascii="Courier New" w:cs="Courier New" w:eastAsia="Courier New" w:hAnsi="Courier New"/>
          <w:sz w:val="14"/>
          <w:szCs w:val="14"/>
          <w:color w:val="auto"/>
        </w:rPr>
        <w:t>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maximum tax rate of 20%. Gains realized by a U.S. holder on a sale, exchange or other disposition of ordinary shares generally will be treated as United States source income for United States foreign tax credit purposes.</w:t>
      </w:r>
    </w:p>
    <w:p>
      <w:pPr>
        <w:spacing w:after="0" w:line="200" w:lineRule="exact"/>
        <w:rPr>
          <w:sz w:val="20"/>
          <w:szCs w:val="20"/>
          <w:color w:val="auto"/>
        </w:rPr>
      </w:pPr>
    </w:p>
    <w:p>
      <w:pPr>
        <w:spacing w:after="0" w:line="211"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INFORMATION REPORTING AND BACKUP WITHHOLDING</w:t>
      </w:r>
    </w:p>
    <w:p>
      <w:pPr>
        <w:spacing w:after="0" w:line="200" w:lineRule="exact"/>
        <w:rPr>
          <w:sz w:val="20"/>
          <w:szCs w:val="20"/>
          <w:color w:val="auto"/>
        </w:rPr>
      </w:pPr>
    </w:p>
    <w:p>
      <w:pPr>
        <w:spacing w:after="0" w:line="318" w:lineRule="exact"/>
        <w:rPr>
          <w:sz w:val="20"/>
          <w:szCs w:val="20"/>
          <w:color w:val="auto"/>
        </w:rPr>
      </w:pPr>
    </w:p>
    <w:p>
      <w:pPr>
        <w:ind w:left="8" w:right="3079" w:firstLine="447"/>
        <w:spacing w:after="0" w:line="259" w:lineRule="auto"/>
        <w:rPr>
          <w:sz w:val="20"/>
          <w:szCs w:val="20"/>
          <w:color w:val="auto"/>
        </w:rPr>
      </w:pPr>
      <w:r>
        <w:rPr>
          <w:rFonts w:ascii="Courier New" w:cs="Courier New" w:eastAsia="Courier New" w:hAnsi="Courier New"/>
          <w:sz w:val="15"/>
          <w:szCs w:val="15"/>
          <w:color w:val="auto"/>
        </w:rPr>
        <w:t>Dividend payments with respect to the ordinary shares and proceeds from the sale, exchange or redemption of ordinary shares may be subject to information reporting to the Internal Revenue Service and possible U.S. backup withholding at a 31% rate.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200" w:lineRule="exact"/>
        <w:rPr>
          <w:sz w:val="20"/>
          <w:szCs w:val="20"/>
          <w:color w:val="auto"/>
        </w:rPr>
      </w:pPr>
    </w:p>
    <w:p>
      <w:pPr>
        <w:spacing w:after="0" w:line="225" w:lineRule="exact"/>
        <w:rPr>
          <w:sz w:val="20"/>
          <w:szCs w:val="20"/>
          <w:color w:val="auto"/>
        </w:rPr>
      </w:pPr>
    </w:p>
    <w:p>
      <w:pPr>
        <w:ind w:left="8" w:right="3079" w:firstLine="447"/>
        <w:spacing w:after="0" w:line="281" w:lineRule="auto"/>
        <w:rPr>
          <w:sz w:val="20"/>
          <w:szCs w:val="20"/>
          <w:color w:val="auto"/>
        </w:rPr>
      </w:pPr>
      <w:r>
        <w:rPr>
          <w:rFonts w:ascii="Courier New" w:cs="Courier New" w:eastAsia="Courier New" w:hAnsi="Courier New"/>
          <w:sz w:val="15"/>
          <w:szCs w:val="15"/>
          <w:color w:val="auto"/>
        </w:rPr>
        <w:t>Amounts withheld under the backup withholding rules may be credited against a U.S. holder's tax liability, and a U.S. holder may obtain a refund of any excess amounts withheld under the backup withholding rules by filing the appropriate claim for a refund with the Internal Revenue Service.</w:t>
      </w:r>
    </w:p>
    <w:p>
      <w:pPr>
        <w:spacing w:after="0" w:line="200" w:lineRule="exact"/>
        <w:rPr>
          <w:sz w:val="20"/>
          <w:szCs w:val="20"/>
          <w:color w:val="auto"/>
        </w:rPr>
      </w:pPr>
    </w:p>
    <w:p>
      <w:pPr>
        <w:spacing w:after="0" w:line="20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200" w:lineRule="exact"/>
        <w:rPr>
          <w:sz w:val="20"/>
          <w:szCs w:val="20"/>
          <w:color w:val="auto"/>
        </w:rPr>
      </w:pPr>
    </w:p>
    <w:p>
      <w:pPr>
        <w:spacing w:after="0" w:line="318" w:lineRule="exact"/>
        <w:rPr>
          <w:sz w:val="20"/>
          <w:szCs w:val="20"/>
          <w:color w:val="auto"/>
        </w:rPr>
      </w:pPr>
    </w:p>
    <w:p>
      <w:pPr>
        <w:ind w:left="8" w:right="3259" w:firstLine="447"/>
        <w:spacing w:after="0" w:line="270" w:lineRule="auto"/>
        <w:rPr>
          <w:sz w:val="20"/>
          <w:szCs w:val="20"/>
          <w:color w:val="auto"/>
        </w:rPr>
      </w:pPr>
      <w:r>
        <w:rPr>
          <w:rFonts w:ascii="Courier New" w:cs="Courier New" w:eastAsia="Courier New" w:hAnsi="Courier New"/>
          <w:sz w:val="14"/>
          <w:szCs w:val="14"/>
          <w:color w:val="auto"/>
        </w:rPr>
        <w:t>Under the laws of Guernsey as currently in effect, a holder of ordinary shares who is not a resident of Guernsey and who does not carry on business in Guernsey through a permanent establishment situated there is (1) exempt from Guernsey income tax on dividends paid with respect to the ordinary shares and</w:t>
      </w:r>
    </w:p>
    <w:p>
      <w:pPr>
        <w:spacing w:after="0" w:line="2" w:lineRule="exact"/>
        <w:rPr>
          <w:sz w:val="20"/>
          <w:szCs w:val="20"/>
          <w:color w:val="auto"/>
        </w:rPr>
      </w:pPr>
    </w:p>
    <w:p>
      <w:pPr>
        <w:ind w:left="8" w:right="3079" w:hanging="8"/>
        <w:spacing w:after="0" w:line="281" w:lineRule="auto"/>
        <w:tabs>
          <w:tab w:leader="none" w:pos="36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liable for Guernsey income tax on gains realized on sale or disposition of such ordinary shares. In addition, Guernsey does not impose a withholding tax on dividends paid by us to holders of ordinary shares.</w:t>
      </w:r>
    </w:p>
    <w:p>
      <w:pPr>
        <w:spacing w:after="0" w:line="200" w:lineRule="exact"/>
        <w:rPr>
          <w:sz w:val="20"/>
          <w:szCs w:val="20"/>
          <w:color w:val="auto"/>
        </w:rPr>
      </w:pPr>
    </w:p>
    <w:p>
      <w:pPr>
        <w:spacing w:after="0" w:line="207" w:lineRule="exact"/>
        <w:rPr>
          <w:sz w:val="20"/>
          <w:szCs w:val="20"/>
          <w:color w:val="auto"/>
        </w:rPr>
      </w:pPr>
    </w:p>
    <w:p>
      <w:pPr>
        <w:jc w:val="both"/>
        <w:ind w:left="8" w:right="3259" w:firstLine="447"/>
        <w:spacing w:after="0" w:line="301" w:lineRule="auto"/>
        <w:rPr>
          <w:sz w:val="20"/>
          <w:szCs w:val="20"/>
          <w:color w:val="auto"/>
        </w:rPr>
      </w:pPr>
      <w:r>
        <w:rPr>
          <w:rFonts w:ascii="Courier New" w:cs="Courier New" w:eastAsia="Courier New" w:hAnsi="Courier New"/>
          <w:sz w:val="15"/>
          <w:szCs w:val="15"/>
          <w:color w:val="auto"/>
        </w:rPr>
        <w:t>There are no capital gains, gift or inheritance taxes levied by Guernsey, and the ordinary shares generally are not subject to any transfer taxes, stamp duties or similar charges on issuance or transfer.</w:t>
      </w:r>
    </w:p>
    <w:p>
      <w:pPr>
        <w:spacing w:after="0" w:line="393" w:lineRule="exact"/>
        <w:rPr>
          <w:sz w:val="20"/>
          <w:szCs w:val="20"/>
          <w:color w:val="auto"/>
        </w:rPr>
      </w:pPr>
    </w:p>
    <w:p>
      <w:pPr>
        <w:ind w:left="8" w:right="3259" w:firstLine="447"/>
        <w:spacing w:after="0" w:line="272" w:lineRule="auto"/>
        <w:rPr>
          <w:sz w:val="20"/>
          <w:szCs w:val="20"/>
          <w:color w:val="auto"/>
        </w:rPr>
      </w:pPr>
      <w:r>
        <w:rPr>
          <w:rFonts w:ascii="Courier New" w:cs="Courier New" w:eastAsia="Courier New" w:hAnsi="Courier New"/>
          <w:sz w:val="15"/>
          <w:szCs w:val="15"/>
          <w:color w:val="auto"/>
        </w:rPr>
        <w:t>THE FOREGOING DISCUSSION DOES NOT ATTEMPT TO ADDRESS ALL OF THE POTENTIAL TAX CONSEQUENCES RELATING TO THE ORDINARY SHARES. EACH PROSPECTIVE INVESTOR SHOULD CONSULT ITS OWN TAX ADVISOR WITH RESPECT TO THE PARTICULAR TAX CONSEQUENCES OF PURCHASING, HOLDING OR DISPOSING OF THE ORDINARY SHARES UNDER THE LAWS OF ITS COUNTRY OF CITIZENSHIP, DOMICILE OR RESIDENCE.</w:t>
      </w:r>
    </w:p>
    <w:p>
      <w:pPr>
        <w:spacing w:after="0" w:line="24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7"/>
          </w:cols>
          <w:pgMar w:left="232" w:top="263"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65</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LEGAL MATTERS</w:t>
      </w:r>
    </w:p>
    <w:p>
      <w:pPr>
        <w:spacing w:after="0" w:line="346" w:lineRule="exact"/>
        <w:rPr>
          <w:sz w:val="20"/>
          <w:szCs w:val="20"/>
          <w:color w:val="auto"/>
        </w:rPr>
      </w:pPr>
    </w:p>
    <w:p>
      <w:pPr>
        <w:ind w:right="3159" w:firstLine="447"/>
        <w:spacing w:after="0" w:line="307" w:lineRule="auto"/>
        <w:rPr>
          <w:sz w:val="20"/>
          <w:szCs w:val="20"/>
          <w:color w:val="auto"/>
        </w:rPr>
      </w:pPr>
      <w:r>
        <w:rPr>
          <w:rFonts w:ascii="Courier New" w:cs="Courier New" w:eastAsia="Courier New" w:hAnsi="Courier New"/>
          <w:sz w:val="14"/>
          <w:szCs w:val="14"/>
          <w:color w:val="auto"/>
        </w:rPr>
        <w:t>The validity of the ordinary shares offered hereby will be passed upon for us by Carey Langlois, Guernsey. Certain legal matters in connection with the offering will be passed upon for us by Reboul, MacMurray, Hewitt, Maynard &amp; Kristol and for the underwriters by Skadden, Arps, Slate, Meagher &amp; Flom LLP.</w:t>
      </w:r>
    </w:p>
    <w:p>
      <w:pPr>
        <w:spacing w:after="0" w:line="22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EXPERTS</w:t>
      </w:r>
    </w:p>
    <w:p>
      <w:pPr>
        <w:spacing w:after="0" w:line="346"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The financial statements of Amdocs Limited as of September 30, 1998 and 1997 and for the three year period ended September 30, 1998 audited by Ernst &amp; Young LLP have been included in reliance on their report given on their authority as experts in accounting and auditing.</w:t>
      </w:r>
    </w:p>
    <w:p>
      <w:pPr>
        <w:spacing w:after="0" w:line="236"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346"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We file annual reports, quarterly reports and current reports and other information with the Securities and Exchange Commission. You may read and copy any of our SEC filings at the SEC's Public Reference Room at 450 Fifth Street, N.W., Washington, D.C. 20549. You may call the SEC at 1-800-SEC-0330 for further information about the Public Reference Room. Our SEC filings are also available to the public on the SEC's website at http://www.sec.gov.</w:t>
      </w:r>
    </w:p>
    <w:p>
      <w:pPr>
        <w:spacing w:after="0" w:line="246" w:lineRule="exact"/>
        <w:rPr>
          <w:sz w:val="20"/>
          <w:szCs w:val="20"/>
          <w:color w:val="auto"/>
        </w:rPr>
      </w:pPr>
    </w:p>
    <w:p>
      <w:pPr>
        <w:ind w:right="3779" w:firstLine="447"/>
        <w:spacing w:after="0" w:line="359" w:lineRule="auto"/>
        <w:rPr>
          <w:sz w:val="20"/>
          <w:szCs w:val="20"/>
          <w:color w:val="auto"/>
        </w:rPr>
      </w:pPr>
      <w:r>
        <w:rPr>
          <w:rFonts w:ascii="Courier New" w:cs="Courier New" w:eastAsia="Courier New" w:hAnsi="Courier New"/>
          <w:sz w:val="15"/>
          <w:szCs w:val="15"/>
          <w:color w:val="auto"/>
        </w:rPr>
        <w:t>You may request copies of the filings, at no cost, by writing to or telephoning us as follows:</w:t>
      </w:r>
    </w:p>
    <w:p>
      <w:pPr>
        <w:spacing w:after="0" w:line="180"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Amdocs, Inc.</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1610 Des Peres Road</w:t>
      </w:r>
    </w:p>
    <w:p>
      <w:pPr>
        <w:spacing w:after="0" w:line="30"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St. Louis, Missouri 63131</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Telephone: (314) 821-3242</w:t>
      </w:r>
    </w:p>
    <w:p>
      <w:pPr>
        <w:spacing w:after="0" w:line="318" w:lineRule="exact"/>
        <w:rPr>
          <w:sz w:val="20"/>
          <w:szCs w:val="20"/>
          <w:color w:val="auto"/>
        </w:rPr>
      </w:pPr>
    </w:p>
    <w:p>
      <w:pPr>
        <w:ind w:right="3259" w:firstLine="447"/>
        <w:spacing w:after="0" w:line="295" w:lineRule="auto"/>
        <w:rPr>
          <w:sz w:val="20"/>
          <w:szCs w:val="20"/>
          <w:color w:val="auto"/>
        </w:rPr>
      </w:pPr>
      <w:r>
        <w:rPr>
          <w:rFonts w:ascii="Courier New" w:cs="Courier New" w:eastAsia="Courier New" w:hAnsi="Courier New"/>
          <w:sz w:val="14"/>
          <w:szCs w:val="14"/>
          <w:color w:val="auto"/>
        </w:rPr>
        <w:t>This prospectus is part of a registration statement on Form F-1 that we filed with the SEC under the Securities Act. This prospectus does not contain all the information contained in the registration statement. For further information about us and our ordinary shares, you should read the registration statement and the exhibits filed with the registration statement.</w:t>
      </w:r>
    </w:p>
    <w:p>
      <w:pPr>
        <w:spacing w:after="0" w:line="229"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FORWARD-LOOKING STATEMENTS</w:t>
      </w:r>
    </w:p>
    <w:p>
      <w:pPr>
        <w:spacing w:after="0" w:line="346" w:lineRule="exact"/>
        <w:rPr>
          <w:sz w:val="20"/>
          <w:szCs w:val="20"/>
          <w:color w:val="auto"/>
        </w:rPr>
      </w:pPr>
    </w:p>
    <w:p>
      <w:pPr>
        <w:ind w:right="3079" w:firstLine="447"/>
        <w:spacing w:after="0" w:line="249" w:lineRule="auto"/>
        <w:rPr>
          <w:sz w:val="20"/>
          <w:szCs w:val="20"/>
          <w:color w:val="auto"/>
        </w:rPr>
      </w:pPr>
      <w:r>
        <w:rPr>
          <w:rFonts w:ascii="Courier New" w:cs="Courier New" w:eastAsia="Courier New" w:hAnsi="Courier New"/>
          <w:sz w:val="15"/>
          <w:szCs w:val="15"/>
          <w:color w:val="auto"/>
        </w:rPr>
        <w:t>Some of the information in this prospectus contains forward-looking statements that involve substantial risks and uncertainties. You can identify these statements by forward-looking words such as "expect," "anticipate," "plan," "believe," "seek," "estimate" and similar words. Statements that we make in this prospectus that are not statements of historical fact may also be forward-looking statements. In particular, statements that we make in "Management's Discussion and Analysis of Financial Condition and Results of Operations" may be forward-looking statements. Forward-looking statements are not guarantees of our future performance, and involve risks, uncertainties and assumptions that may cause our actual results to differ materially from the expectations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Before you invest in our ordinary shares, you should be aware that the factors we discuss in "Risk Factors" and elsewhere in this prospectus could cause our actual results to differ from any forward-looking statements.</w:t>
      </w:r>
    </w:p>
    <w:p>
      <w:pPr>
        <w:spacing w:after="0" w:line="26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63"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52"/>
        </w:trPr>
        <w:tc>
          <w:tcPr>
            <w:tcW w:w="5440" w:type="dxa"/>
            <w:vAlign w:val="bottom"/>
          </w:tcPr>
          <w:p>
            <w:pPr>
              <w:ind w:left="260"/>
              <w:spacing w:after="0"/>
              <w:rPr>
                <w:sz w:val="20"/>
                <w:szCs w:val="20"/>
                <w:color w:val="auto"/>
              </w:rPr>
            </w:pPr>
            <w:r>
              <w:rPr>
                <w:rFonts w:ascii="Courier New" w:cs="Courier New" w:eastAsia="Courier New" w:hAnsi="Courier New"/>
                <w:sz w:val="15"/>
                <w:szCs w:val="15"/>
                <w:color w:val="auto"/>
              </w:rPr>
              <w:t>66</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0"/>
        </w:trPr>
        <w:tc>
          <w:tcPr>
            <w:tcW w:w="5440" w:type="dxa"/>
            <w:vAlign w:val="bottom"/>
          </w:tcPr>
          <w:p>
            <w:pPr>
              <w:ind w:left="2320"/>
              <w:spacing w:after="0"/>
              <w:rPr>
                <w:sz w:val="20"/>
                <w:szCs w:val="20"/>
                <w:color w:val="auto"/>
              </w:rPr>
            </w:pPr>
            <w:r>
              <w:rPr>
                <w:rFonts w:ascii="Courier New" w:cs="Courier New" w:eastAsia="Courier New" w:hAnsi="Courier New"/>
                <w:sz w:val="15"/>
                <w:szCs w:val="15"/>
                <w:color w:val="auto"/>
              </w:rPr>
              <w:t>AMDOCS LIMITED</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600"/>
              <w:spacing w:after="0"/>
              <w:rPr>
                <w:sz w:val="20"/>
                <w:szCs w:val="20"/>
                <w:color w:val="auto"/>
              </w:rPr>
            </w:pPr>
            <w:r>
              <w:rPr>
                <w:rFonts w:ascii="Courier New" w:cs="Courier New" w:eastAsia="Courier New" w:hAnsi="Courier New"/>
                <w:sz w:val="15"/>
                <w:szCs w:val="15"/>
                <w:color w:val="auto"/>
              </w:rPr>
              <w:t>INDEX TO FINANCIAL STATEMENTS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tcPr>
          <w:p>
            <w:pPr>
              <w:ind w:left="1060"/>
              <w:spacing w:after="0"/>
              <w:rPr>
                <w:sz w:val="20"/>
                <w:szCs w:val="20"/>
                <w:color w:val="auto"/>
              </w:rPr>
            </w:pPr>
            <w:r>
              <w:rPr>
                <w:rFonts w:ascii="Courier New" w:cs="Courier New" w:eastAsia="Courier New" w:hAnsi="Courier New"/>
                <w:sz w:val="15"/>
                <w:szCs w:val="15"/>
                <w:color w:val="auto"/>
              </w:rPr>
              <w:t>(in U.S. dollars, unless otherwise stated)</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F-2</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as of September 30, 1998 and</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F-3</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F-4</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Shareholders' Equity</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(Deficit) for the years ended September 30, 1998, 1997,</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F-5</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and 1996..................................................</w:t>
            </w: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F-6</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F-24</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Balance Sheet as of March 31, 1999.............</w:t>
            </w: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six months</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F-25</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ended March 31, 1999 and 1998.............................</w:t>
            </w: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 of Changes in Shareholder's Equity</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F-26</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(Deficit) for the six months ended March 31, 1999.........</w:t>
            </w: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six months</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F-27</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ended March 31, 1999 and 1998.............................</w:t>
            </w: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Unaudited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c>
          <w:tcPr>
            <w:tcW w:w="0" w:type="dxa"/>
            <w:vAlign w:val="bottom"/>
          </w:tcPr>
          <w:p>
            <w:pPr>
              <w:spacing w:after="0"/>
              <w:rPr>
                <w:sz w:val="1"/>
                <w:szCs w:val="1"/>
                <w:color w:val="auto"/>
              </w:rPr>
            </w:pPr>
          </w:p>
        </w:tc>
      </w:tr>
      <w:tr>
        <w:trPr>
          <w:trHeight w:val="688"/>
        </w:trPr>
        <w:tc>
          <w:tcPr>
            <w:tcW w:w="5440" w:type="dxa"/>
            <w:vAlign w:val="bottom"/>
          </w:tcPr>
          <w:p>
            <w:pPr>
              <w:ind w:left="3480"/>
              <w:spacing w:after="0"/>
              <w:rPr>
                <w:sz w:val="20"/>
                <w:szCs w:val="20"/>
                <w:color w:val="auto"/>
              </w:rPr>
            </w:pPr>
            <w:r>
              <w:rPr>
                <w:rFonts w:ascii="Courier New" w:cs="Courier New" w:eastAsia="Courier New" w:hAnsi="Courier New"/>
                <w:sz w:val="15"/>
                <w:szCs w:val="15"/>
                <w:color w:val="auto"/>
              </w:rPr>
              <w:t>F-1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67</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We have audited the accompanying consolidated balance sheets of Amdocs Limited as of September 30, 1998 and 1997, and the related statements of operations, changes in shareholders' equity (deficit) and cash flows for each of the three years in the period ended September 30, 1998. These financial statements are the responsibility of the Company's management. Our responsibility is to express an opinion on these financial statements based on our audits.</w:t>
      </w:r>
    </w:p>
    <w:p>
      <w:pPr>
        <w:spacing w:after="0" w:line="78"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3"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Amdocs Limited at September 30, 1998 and 1997, and the consolidated results of its operations and its cash flows for each of the three years in the period ended September 30, 1998, in conformity with accounting principles generally accepted in the United States.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Louis, Missouri</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8, 1998</w:t>
      </w: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63"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52"/>
        </w:trPr>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68</w:t>
            </w:r>
          </w:p>
        </w:tc>
        <w:tc>
          <w:tcPr>
            <w:tcW w:w="2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6"/>
        </w:trPr>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tcPr>
          <w:p>
            <w:pPr>
              <w:jc w:val="right"/>
              <w:ind w:right="1165"/>
              <w:spacing w:after="0"/>
              <w:rPr>
                <w:sz w:val="20"/>
                <w:szCs w:val="20"/>
                <w:color w:val="auto"/>
              </w:rPr>
            </w:pPr>
            <w:r>
              <w:rPr>
                <w:rFonts w:ascii="Courier New" w:cs="Courier New" w:eastAsia="Courier New" w:hAnsi="Courier New"/>
                <w:sz w:val="15"/>
                <w:szCs w:val="15"/>
                <w:color w:val="auto"/>
              </w:rPr>
              <w:t>AMDOCS LIMITED</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CONSOLIDATED BALANCE SHEETS</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 OF SEPTEMBER 30,</w:t>
            </w:r>
          </w:p>
        </w:tc>
        <w:tc>
          <w:tcPr>
            <w:tcW w:w="0" w:type="dxa"/>
            <w:vAlign w:val="bottom"/>
          </w:tcPr>
          <w:p>
            <w:pPr>
              <w:spacing w:after="0"/>
              <w:rPr>
                <w:sz w:val="1"/>
                <w:szCs w:val="1"/>
                <w:color w:val="auto"/>
              </w:rPr>
            </w:pP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1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1600" w:type="dxa"/>
            <w:vAlign w:val="bottom"/>
            <w:vMerge w:val="restart"/>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24"/>
                <w:szCs w:val="24"/>
                <w:color w:val="auto"/>
              </w:rPr>
            </w:pPr>
          </w:p>
        </w:tc>
        <w:tc>
          <w:tcPr>
            <w:tcW w:w="356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ASSETS</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16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$ 25,389</w:t>
            </w:r>
          </w:p>
        </w:tc>
        <w:tc>
          <w:tcPr>
            <w:tcW w:w="9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$ 53,732</w:t>
            </w:r>
          </w:p>
        </w:tc>
        <w:tc>
          <w:tcPr>
            <w:tcW w:w="0" w:type="dxa"/>
            <w:vAlign w:val="bottom"/>
          </w:tcPr>
          <w:p>
            <w:pPr>
              <w:spacing w:after="0"/>
              <w:rPr>
                <w:sz w:val="1"/>
                <w:szCs w:val="1"/>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Accounts receivable, including unbilled of $10,331 in 1998</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79,723</w:t>
            </w:r>
          </w:p>
        </w:tc>
        <w:tc>
          <w:tcPr>
            <w:tcW w:w="9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48,565</w:t>
            </w: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and $2,031 in 1997.....................................</w:t>
            </w:r>
          </w:p>
        </w:tc>
        <w:tc>
          <w:tcPr>
            <w:tcW w:w="10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Accounts receivable from related parties, including</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10,235</w:t>
            </w:r>
          </w:p>
        </w:tc>
        <w:tc>
          <w:tcPr>
            <w:tcW w:w="9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15,393</w:t>
            </w: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unbilled of $537 in 1998 and $0 in 1997................</w:t>
            </w:r>
          </w:p>
        </w:tc>
        <w:tc>
          <w:tcPr>
            <w:tcW w:w="10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14,534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12,532</w:t>
            </w: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11,991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6,161</w:t>
            </w:r>
          </w:p>
        </w:tc>
        <w:tc>
          <w:tcPr>
            <w:tcW w:w="0" w:type="dxa"/>
            <w:vAlign w:val="bottom"/>
          </w:tcPr>
          <w:p>
            <w:pPr>
              <w:spacing w:after="0"/>
              <w:rPr>
                <w:sz w:val="1"/>
                <w:szCs w:val="1"/>
                <w:color w:val="auto"/>
              </w:rPr>
            </w:pPr>
          </w:p>
        </w:tc>
      </w:tr>
      <w:tr>
        <w:trPr>
          <w:trHeight w:val="172"/>
        </w:trPr>
        <w:tc>
          <w:tcPr>
            <w:tcW w:w="5440" w:type="dxa"/>
            <w:vAlign w:val="bottom"/>
            <w:gridSpan w:val="3"/>
            <w:vMerge w:val="restart"/>
          </w:tcPr>
          <w:p>
            <w:pPr>
              <w:ind w:left="880"/>
              <w:spacing w:after="0"/>
              <w:rPr>
                <w:sz w:val="20"/>
                <w:szCs w:val="20"/>
                <w:color w:val="auto"/>
              </w:rPr>
            </w:pPr>
            <w:r>
              <w:rPr>
                <w:rFonts w:ascii="Courier New" w:cs="Courier New" w:eastAsia="Courier New" w:hAnsi="Courier New"/>
                <w:sz w:val="15"/>
                <w:szCs w:val="15"/>
                <w:color w:val="auto"/>
              </w:rPr>
              <w:t>Total current assets</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141,872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3"/>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040" w:type="dxa"/>
            <w:vAlign w:val="bottom"/>
            <w:vMerge w:val="continue"/>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136,383</w:t>
            </w: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Equipment, vehicles and leasehold improvements, net.........</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46,404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28,287</w:t>
            </w:r>
          </w:p>
        </w:tc>
        <w:tc>
          <w:tcPr>
            <w:tcW w:w="0" w:type="dxa"/>
            <w:vAlign w:val="bottom"/>
          </w:tcPr>
          <w:p>
            <w:pPr>
              <w:spacing w:after="0"/>
              <w:rPr>
                <w:sz w:val="1"/>
                <w:szCs w:val="1"/>
                <w:color w:val="auto"/>
              </w:rPr>
            </w:pPr>
          </w:p>
        </w:tc>
      </w:tr>
      <w:tr>
        <w:trPr>
          <w:trHeight w:val="172"/>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w w:val="98"/>
              </w:rPr>
              <w:t>Deferred income taxes</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7,773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4,587</w:t>
            </w: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Intellectual property rights................................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23,362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25,982</w:t>
            </w: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Other noncurrent assets.....................................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20,555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25,343</w:t>
            </w:r>
          </w:p>
        </w:tc>
        <w:tc>
          <w:tcPr>
            <w:tcW w:w="0" w:type="dxa"/>
            <w:vAlign w:val="bottom"/>
          </w:tcPr>
          <w:p>
            <w:pPr>
              <w:spacing w:after="0"/>
              <w:rPr>
                <w:sz w:val="1"/>
                <w:szCs w:val="1"/>
                <w:color w:val="auto"/>
              </w:rPr>
            </w:pP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239,966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$220,582</w:t>
            </w:r>
          </w:p>
        </w:tc>
        <w:tc>
          <w:tcPr>
            <w:tcW w:w="0" w:type="dxa"/>
            <w:vAlign w:val="bottom"/>
          </w:tcPr>
          <w:p>
            <w:pPr>
              <w:spacing w:after="0"/>
              <w:rPr>
                <w:sz w:val="1"/>
                <w:szCs w:val="1"/>
                <w:color w:val="auto"/>
              </w:rPr>
            </w:pP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600" w:type="dxa"/>
            <w:vAlign w:val="bottom"/>
          </w:tcPr>
          <w:p>
            <w:pPr>
              <w:spacing w:after="0"/>
              <w:rPr>
                <w:sz w:val="14"/>
                <w:szCs w:val="14"/>
                <w:color w:val="auto"/>
              </w:rPr>
            </w:pPr>
          </w:p>
        </w:tc>
        <w:tc>
          <w:tcPr>
            <w:tcW w:w="4880" w:type="dxa"/>
            <w:vAlign w:val="bottom"/>
            <w:gridSpan w:val="3"/>
          </w:tcPr>
          <w:p>
            <w:pPr>
              <w:jc w:val="right"/>
              <w:ind w:right="688"/>
              <w:spacing w:after="0"/>
              <w:rPr>
                <w:sz w:val="20"/>
                <w:szCs w:val="20"/>
                <w:color w:val="auto"/>
              </w:rPr>
            </w:pPr>
            <w:r>
              <w:rPr>
                <w:rFonts w:ascii="Courier New" w:cs="Courier New" w:eastAsia="Courier New" w:hAnsi="Courier New"/>
                <w:sz w:val="15"/>
                <w:szCs w:val="15"/>
                <w:color w:val="auto"/>
                <w:w w:val="99"/>
              </w:rPr>
              <w:t>LIABILITIES AND SHAREHOLDERS' EQUITY (DEFICIT)</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3560" w:type="dxa"/>
            <w:vAlign w:val="bottom"/>
          </w:tcPr>
          <w:p>
            <w:pPr>
              <w:spacing w:after="0"/>
              <w:rPr>
                <w:sz w:val="14"/>
                <w:szCs w:val="14"/>
                <w:color w:val="auto"/>
              </w:rPr>
            </w:pP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$ 47,599</w:t>
            </w:r>
          </w:p>
        </w:tc>
        <w:tc>
          <w:tcPr>
            <w:tcW w:w="9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$ 30,543</w:t>
            </w: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0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Accrued personnel costs...................................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29,948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23,098</w:t>
            </w: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Short-term financing arrangements.........................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91,565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72"/>
        </w:trPr>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w w:val="97"/>
              </w:rPr>
              <w:t>Unearned revenue</w:t>
            </w:r>
          </w:p>
        </w:tc>
        <w:tc>
          <w:tcPr>
            <w:tcW w:w="3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29,241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17,440</w:t>
            </w: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Notes payable to related parties..........................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3,268</w:t>
            </w: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2,952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1,954</w:t>
            </w: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2,926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21,919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20,151</w:t>
            </w:r>
          </w:p>
        </w:tc>
        <w:tc>
          <w:tcPr>
            <w:tcW w:w="0" w:type="dxa"/>
            <w:vAlign w:val="bottom"/>
          </w:tcPr>
          <w:p>
            <w:pPr>
              <w:spacing w:after="0"/>
              <w:rPr>
                <w:sz w:val="1"/>
                <w:szCs w:val="1"/>
                <w:color w:val="auto"/>
              </w:rPr>
            </w:pPr>
          </w:p>
        </w:tc>
      </w:tr>
      <w:tr>
        <w:trPr>
          <w:trHeight w:val="172"/>
        </w:trPr>
        <w:tc>
          <w:tcPr>
            <w:tcW w:w="5440" w:type="dxa"/>
            <w:vAlign w:val="bottom"/>
            <w:gridSpan w:val="3"/>
            <w:vMerge w:val="restart"/>
          </w:tcPr>
          <w:p>
            <w:pPr>
              <w:ind w:left="880"/>
              <w:spacing w:after="0"/>
              <w:rPr>
                <w:sz w:val="20"/>
                <w:szCs w:val="20"/>
                <w:color w:val="auto"/>
              </w:rPr>
            </w:pPr>
            <w:r>
              <w:rPr>
                <w:rFonts w:ascii="Courier New" w:cs="Courier New" w:eastAsia="Courier New" w:hAnsi="Courier New"/>
                <w:sz w:val="15"/>
                <w:szCs w:val="15"/>
                <w:color w:val="auto"/>
              </w:rPr>
              <w:t>Total current liabilities</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226,150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3"/>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040" w:type="dxa"/>
            <w:vAlign w:val="bottom"/>
            <w:vMerge w:val="continue"/>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98,452</w:t>
            </w: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Long-term forward exchange contracts........................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2,222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Long-term portion of capital lease obligations..............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9,215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7,370</w:t>
            </w: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24,268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20,507</w:t>
            </w:r>
          </w:p>
        </w:tc>
        <w:tc>
          <w:tcPr>
            <w:tcW w:w="0" w:type="dxa"/>
            <w:vAlign w:val="bottom"/>
          </w:tcPr>
          <w:p>
            <w:pPr>
              <w:spacing w:after="0"/>
              <w:rPr>
                <w:sz w:val="1"/>
                <w:szCs w:val="1"/>
                <w:color w:val="auto"/>
              </w:rPr>
            </w:pPr>
          </w:p>
        </w:tc>
      </w:tr>
      <w:tr>
        <w:trPr>
          <w:trHeight w:val="172"/>
        </w:trPr>
        <w:tc>
          <w:tcPr>
            <w:tcW w:w="5440" w:type="dxa"/>
            <w:vAlign w:val="bottom"/>
            <w:gridSpan w:val="3"/>
          </w:tcPr>
          <w:p>
            <w:pPr>
              <w:spacing w:after="0"/>
              <w:rPr>
                <w:sz w:val="20"/>
                <w:szCs w:val="20"/>
                <w:color w:val="auto"/>
              </w:rPr>
            </w:pPr>
            <w:r>
              <w:rPr>
                <w:rFonts w:ascii="Courier New" w:cs="Courier New" w:eastAsia="Courier New" w:hAnsi="Courier New"/>
                <w:sz w:val="15"/>
                <w:szCs w:val="15"/>
                <w:color w:val="auto"/>
              </w:rPr>
              <w:t>Shareholders' equity (deficit):</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w w:val="97"/>
              </w:rPr>
              <w:t>Preferred Shares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5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Authorized 25,000 shares; pound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sterling 0.01 par value; 0 shares issued and</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600" w:type="dxa"/>
            <w:vAlign w:val="bottom"/>
          </w:tcPr>
          <w:p>
            <w:pPr>
              <w:ind w:left="440"/>
              <w:spacing w:after="0"/>
              <w:rPr>
                <w:sz w:val="20"/>
                <w:szCs w:val="20"/>
                <w:color w:val="auto"/>
              </w:rPr>
            </w:pPr>
            <w:r>
              <w:rPr>
                <w:rFonts w:ascii="Courier New" w:cs="Courier New" w:eastAsia="Courier New" w:hAnsi="Courier New"/>
                <w:sz w:val="4"/>
                <w:szCs w:val="4"/>
                <w:color w:val="auto"/>
                <w:w w:val="86"/>
              </w:rPr>
              <w:t>outstanding............................................</w:t>
            </w:r>
          </w:p>
        </w:tc>
        <w:tc>
          <w:tcPr>
            <w:tcW w:w="3840" w:type="dxa"/>
            <w:vAlign w:val="bottom"/>
            <w:gridSpan w:val="2"/>
            <w:vMerge w:val="restart"/>
          </w:tcPr>
          <w:p>
            <w:pPr>
              <w:jc w:val="right"/>
              <w:ind w:right="5"/>
              <w:spacing w:after="0"/>
              <w:rPr>
                <w:sz w:val="20"/>
                <w:szCs w:val="20"/>
                <w:color w:val="auto"/>
              </w:rPr>
            </w:pPr>
            <w:r>
              <w:rPr>
                <w:rFonts w:ascii="Courier New" w:cs="Courier New" w:eastAsia="Courier New" w:hAnsi="Courier New"/>
                <w:sz w:val="15"/>
                <w:szCs w:val="15"/>
                <w:color w:val="auto"/>
              </w:rPr>
              <w:t>Authorized 550,000 shares; pound sterling</w:t>
            </w:r>
          </w:p>
        </w:tc>
        <w:tc>
          <w:tcPr>
            <w:tcW w:w="10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0" w:type="dxa"/>
            <w:vAlign w:val="bottom"/>
          </w:tcPr>
          <w:p>
            <w:pPr>
              <w:spacing w:after="0"/>
              <w:rPr>
                <w:sz w:val="20"/>
                <w:szCs w:val="20"/>
                <w:color w:val="auto"/>
              </w:rPr>
            </w:pPr>
            <w:r>
              <w:rPr>
                <w:rFonts w:ascii="Courier New" w:cs="Courier New" w:eastAsia="Courier New" w:hAnsi="Courier New"/>
                <w:sz w:val="15"/>
                <w:szCs w:val="15"/>
                <w:color w:val="auto"/>
                <w:w w:val="97"/>
              </w:rPr>
              <w:t>Ordinary Shares --</w:t>
            </w:r>
          </w:p>
        </w:tc>
        <w:tc>
          <w:tcPr>
            <w:tcW w:w="384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0.01 par value; 196,800 and 124,708 outstanding,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respectively (1998</w:t>
            </w: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-- 30,235 Non Voting Ordinary Shares</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5"/>
                <w:szCs w:val="15"/>
                <w:color w:val="auto"/>
              </w:rPr>
              <w:t>3,149</w:t>
            </w:r>
          </w:p>
        </w:tc>
        <w:tc>
          <w:tcPr>
            <w:tcW w:w="9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and 166,565 Voting Ordinary Shares).......................</w:t>
            </w:r>
          </w:p>
        </w:tc>
        <w:tc>
          <w:tcPr>
            <w:tcW w:w="10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Additional paid-in capital..................................</w:t>
            </w: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447,503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105,779</w:t>
            </w: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Unrealized loss on derivative instruments...................</w:t>
            </w:r>
          </w:p>
        </w:tc>
        <w:tc>
          <w:tcPr>
            <w:tcW w:w="10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(1,495)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w w:val="98"/>
              </w:rPr>
              <w:t>Unearned compensation</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(8,947)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Accumulated deficit.........................................</w:t>
            </w:r>
          </w:p>
        </w:tc>
        <w:tc>
          <w:tcPr>
            <w:tcW w:w="10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(462,099)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(13,522)</w:t>
            </w:r>
          </w:p>
        </w:tc>
        <w:tc>
          <w:tcPr>
            <w:tcW w:w="0" w:type="dxa"/>
            <w:vAlign w:val="bottom"/>
          </w:tcPr>
          <w:p>
            <w:pPr>
              <w:spacing w:after="0"/>
              <w:rPr>
                <w:sz w:val="1"/>
                <w:szCs w:val="1"/>
                <w:color w:val="auto"/>
              </w:rPr>
            </w:pPr>
          </w:p>
        </w:tc>
      </w:tr>
      <w:tr>
        <w:trPr>
          <w:trHeight w:val="172"/>
        </w:trPr>
        <w:tc>
          <w:tcPr>
            <w:tcW w:w="5440" w:type="dxa"/>
            <w:vAlign w:val="bottom"/>
            <w:gridSpan w:val="3"/>
            <w:vMerge w:val="restart"/>
          </w:tcPr>
          <w:p>
            <w:pPr>
              <w:ind w:left="880"/>
              <w:spacing w:after="0"/>
              <w:rPr>
                <w:sz w:val="20"/>
                <w:szCs w:val="20"/>
                <w:color w:val="auto"/>
              </w:rPr>
            </w:pPr>
            <w:r>
              <w:rPr>
                <w:rFonts w:ascii="Courier New" w:cs="Courier New" w:eastAsia="Courier New" w:hAnsi="Courier New"/>
                <w:sz w:val="15"/>
                <w:szCs w:val="15"/>
                <w:color w:val="auto"/>
              </w:rPr>
              <w:t>Total shareholders' equity (deficit)</w:t>
            </w:r>
          </w:p>
        </w:tc>
        <w:tc>
          <w:tcPr>
            <w:tcW w:w="1040" w:type="dxa"/>
            <w:vAlign w:val="bottom"/>
            <w:vMerge w:val="restart"/>
          </w:tcPr>
          <w:p>
            <w:pPr>
              <w:ind w:left="100"/>
              <w:spacing w:after="0"/>
              <w:rPr>
                <w:sz w:val="20"/>
                <w:szCs w:val="20"/>
                <w:color w:val="auto"/>
              </w:rPr>
            </w:pPr>
            <w:r>
              <w:rPr>
                <w:rFonts w:ascii="Courier New" w:cs="Courier New" w:eastAsia="Courier New" w:hAnsi="Courier New"/>
                <w:sz w:val="22"/>
                <w:szCs w:val="22"/>
                <w:color w:val="auto"/>
                <w:w w:val="71"/>
                <w:vertAlign w:val="superscript"/>
              </w:rPr>
              <w:t>--------</w:t>
            </w:r>
            <w:r>
              <w:rPr>
                <w:rFonts w:ascii="Courier New" w:cs="Courier New" w:eastAsia="Courier New" w:hAnsi="Courier New"/>
                <w:sz w:val="12"/>
                <w:szCs w:val="12"/>
                <w:color w:val="auto"/>
                <w:w w:val="71"/>
              </w:rPr>
              <w:t>(21,889)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3"/>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040" w:type="dxa"/>
            <w:vAlign w:val="bottom"/>
            <w:vMerge w:val="continue"/>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94,253</w:t>
            </w:r>
          </w:p>
        </w:tc>
        <w:tc>
          <w:tcPr>
            <w:tcW w:w="0" w:type="dxa"/>
            <w:vAlign w:val="bottom"/>
          </w:tcPr>
          <w:p>
            <w:pPr>
              <w:spacing w:after="0"/>
              <w:rPr>
                <w:sz w:val="1"/>
                <w:szCs w:val="1"/>
                <w:color w:val="auto"/>
              </w:rPr>
            </w:pP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239,966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$220,582</w:t>
            </w:r>
          </w:p>
        </w:tc>
        <w:tc>
          <w:tcPr>
            <w:tcW w:w="0" w:type="dxa"/>
            <w:vAlign w:val="bottom"/>
          </w:tcPr>
          <w:p>
            <w:pPr>
              <w:spacing w:after="0"/>
              <w:rPr>
                <w:sz w:val="1"/>
                <w:szCs w:val="1"/>
                <w:color w:val="auto"/>
              </w:rPr>
            </w:pPr>
          </w:p>
        </w:tc>
      </w:tr>
      <w:tr>
        <w:trPr>
          <w:trHeight w:val="252"/>
        </w:trPr>
        <w:tc>
          <w:tcPr>
            <w:tcW w:w="1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3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63" w:right="1440" w:bottom="1440" w:gutter="0" w:footer="0" w:header="0"/>
        </w:sectPr>
      </w:pPr>
    </w:p>
    <w:bookmarkStart w:id="75" w:name="page76"/>
    <w:bookmarkEnd w:id="75"/>
    <w:p>
      <w:pPr>
        <w:ind w:left="268"/>
        <w:spacing w:after="0"/>
        <w:rPr>
          <w:sz w:val="20"/>
          <w:szCs w:val="20"/>
          <w:color w:val="auto"/>
        </w:rPr>
      </w:pPr>
      <w:r>
        <w:rPr>
          <w:rFonts w:ascii="Courier New" w:cs="Courier New" w:eastAsia="Courier New" w:hAnsi="Courier New"/>
          <w:sz w:val="15"/>
          <w:szCs w:val="15"/>
          <w:color w:val="auto"/>
        </w:rPr>
        <w:t>69</w:t>
      </w:r>
    </w:p>
    <w:p>
      <w:pPr>
        <w:spacing w:after="0" w:line="346"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346"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30"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29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5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1"/>
                <w:szCs w:val="21"/>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8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$ 42,891</w:t>
            </w:r>
          </w:p>
        </w:tc>
        <w:tc>
          <w:tcPr>
            <w:tcW w:w="106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$ 25,995</w:t>
            </w:r>
          </w:p>
        </w:tc>
        <w:tc>
          <w:tcPr>
            <w:tcW w:w="9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$ 16,298</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License(*)............................................</w:t>
            </w:r>
          </w:p>
        </w:tc>
        <w:tc>
          <w:tcPr>
            <w:tcW w:w="9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360,876</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264,107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195,422</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403,767</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290,102</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211,720</w:t>
            </w:r>
          </w:p>
        </w:tc>
        <w:tc>
          <w:tcPr>
            <w:tcW w:w="0" w:type="dxa"/>
            <w:vAlign w:val="bottom"/>
          </w:tcPr>
          <w:p>
            <w:pPr>
              <w:spacing w:after="0"/>
              <w:rPr>
                <w:sz w:val="1"/>
                <w:szCs w:val="1"/>
                <w:color w:val="auto"/>
              </w:rPr>
            </w:pPr>
          </w:p>
        </w:tc>
      </w:tr>
      <w:tr>
        <w:trPr>
          <w:trHeight w:val="252"/>
        </w:trPr>
        <w:tc>
          <w:tcPr>
            <w:tcW w:w="510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expenses:</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1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10,732</w:t>
            </w:r>
          </w:p>
        </w:tc>
        <w:tc>
          <w:tcPr>
            <w:tcW w:w="260" w:type="dxa"/>
            <w:vAlign w:val="bottom"/>
          </w:tcPr>
          <w:p>
            <w:pPr>
              <w:spacing w:after="0"/>
              <w:rPr>
                <w:sz w:val="7"/>
                <w:szCs w:val="7"/>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3,711</w:t>
            </w:r>
          </w:p>
        </w:tc>
        <w:tc>
          <w:tcPr>
            <w:tcW w:w="28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4,011</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license(*)....................................</w:t>
            </w: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service(*)....................................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231,360</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173,704</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129,177</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25,612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17,386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14,695</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51,168</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28,347</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 charges (*)..............................</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27,563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318,872</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263,133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176,230</w:t>
            </w:r>
          </w:p>
        </w:tc>
        <w:tc>
          <w:tcPr>
            <w:tcW w:w="0" w:type="dxa"/>
            <w:vAlign w:val="bottom"/>
          </w:tcPr>
          <w:p>
            <w:pPr>
              <w:spacing w:after="0"/>
              <w:rPr>
                <w:sz w:val="1"/>
                <w:szCs w:val="1"/>
                <w:color w:val="auto"/>
              </w:rPr>
            </w:pPr>
          </w:p>
        </w:tc>
      </w:tr>
      <w:tr>
        <w:trPr>
          <w:trHeight w:val="172"/>
        </w:trPr>
        <w:tc>
          <w:tcPr>
            <w:tcW w:w="51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1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84,895</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35,490</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expense, net(*)...................................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24,126</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c>
          <w:tcPr>
            <w:tcW w:w="0" w:type="dxa"/>
            <w:vAlign w:val="bottom"/>
          </w:tcPr>
          <w:p>
            <w:pPr>
              <w:spacing w:after="0"/>
              <w:rPr>
                <w:sz w:val="1"/>
                <w:szCs w:val="1"/>
                <w:color w:val="auto"/>
              </w:rPr>
            </w:pPr>
          </w:p>
        </w:tc>
      </w:tr>
      <w:tr>
        <w:trPr>
          <w:trHeight w:val="172"/>
        </w:trPr>
        <w:tc>
          <w:tcPr>
            <w:tcW w:w="51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 and cumulative effect........</w:t>
            </w:r>
          </w:p>
        </w:tc>
        <w:tc>
          <w:tcPr>
            <w:tcW w:w="1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60,769</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23,703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35,014</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taxes............................................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30,385</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17,827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c>
          <w:tcPr>
            <w:tcW w:w="0" w:type="dxa"/>
            <w:vAlign w:val="bottom"/>
          </w:tcPr>
          <w:p>
            <w:pPr>
              <w:spacing w:after="0"/>
              <w:rPr>
                <w:sz w:val="1"/>
                <w:szCs w:val="1"/>
                <w:color w:val="auto"/>
              </w:rPr>
            </w:pPr>
          </w:p>
        </w:tc>
      </w:tr>
      <w:tr>
        <w:trPr>
          <w:trHeight w:val="172"/>
        </w:trPr>
        <w:tc>
          <w:tcPr>
            <w:tcW w:w="51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Income before cumulative effect.........................</w:t>
            </w:r>
          </w:p>
        </w:tc>
        <w:tc>
          <w:tcPr>
            <w:tcW w:w="160" w:type="dxa"/>
            <w:vAlign w:val="bottom"/>
          </w:tcPr>
          <w:p>
            <w:pPr>
              <w:jc w:val="right"/>
              <w:spacing w:after="0"/>
              <w:rPr>
                <w:sz w:val="20"/>
                <w:szCs w:val="20"/>
                <w:color w:val="auto"/>
              </w:rPr>
            </w:pPr>
            <w:r>
              <w:rPr>
                <w:rFonts w:ascii="Courier New" w:cs="Courier New" w:eastAsia="Courier New" w:hAnsi="Courier New"/>
                <w:sz w:val="4"/>
                <w:szCs w:val="4"/>
                <w:color w:val="auto"/>
                <w:w w:val="72"/>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30,384</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24,508</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Cumulative effect of change in accounting principle, net</w:t>
            </w:r>
          </w:p>
        </w:tc>
        <w:tc>
          <w:tcPr>
            <w:tcW w:w="160" w:type="dxa"/>
            <w:vAlign w:val="bottom"/>
          </w:tcPr>
          <w:p>
            <w:pPr>
              <w:spacing w:after="0"/>
              <w:rPr>
                <w:sz w:val="14"/>
                <w:szCs w:val="14"/>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277</w:t>
            </w:r>
          </w:p>
        </w:tc>
        <w:tc>
          <w:tcPr>
            <w:tcW w:w="260" w:type="dxa"/>
            <w:vAlign w:val="bottom"/>
          </w:tcPr>
          <w:p>
            <w:pPr>
              <w:spacing w:after="0"/>
              <w:rPr>
                <w:sz w:val="14"/>
                <w:szCs w:val="14"/>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$277 tax...........................................</w:t>
            </w: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980" w:type="dxa"/>
            <w:vAlign w:val="bottom"/>
            <w:gridSpan w:val="2"/>
            <w:vMerge w:val="restart"/>
          </w:tcPr>
          <w:p>
            <w:pPr>
              <w:jc w:val="right"/>
              <w:ind w:right="105"/>
              <w:spacing w:after="0"/>
              <w:rPr>
                <w:sz w:val="20"/>
                <w:szCs w:val="20"/>
                <w:color w:val="auto"/>
              </w:rPr>
            </w:pPr>
            <w:r>
              <w:rPr>
                <w:rFonts w:ascii="Courier New" w:cs="Courier New" w:eastAsia="Courier New" w:hAnsi="Courier New"/>
                <w:sz w:val="19"/>
                <w:szCs w:val="19"/>
                <w:color w:val="auto"/>
                <w:w w:val="73"/>
                <w:vertAlign w:val="subscript"/>
              </w:rPr>
              <w:t>$</w:t>
            </w: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bscript"/>
              </w:rPr>
              <w:t>30,107</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$ 24,508</w:t>
            </w:r>
          </w:p>
        </w:tc>
        <w:tc>
          <w:tcPr>
            <w:tcW w:w="0" w:type="dxa"/>
            <w:vAlign w:val="bottom"/>
          </w:tcPr>
          <w:p>
            <w:pPr>
              <w:spacing w:after="0"/>
              <w:rPr>
                <w:sz w:val="1"/>
                <w:szCs w:val="1"/>
                <w:color w:val="auto"/>
              </w:rPr>
            </w:pPr>
          </w:p>
        </w:tc>
      </w:tr>
      <w:tr>
        <w:trPr>
          <w:trHeight w:val="252"/>
        </w:trPr>
        <w:tc>
          <w:tcPr>
            <w:tcW w:w="510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per share</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100" w:type="dxa"/>
            <w:vAlign w:val="bottom"/>
            <w:vMerge w:val="continue"/>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0.23</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before cumulative effect.......................</w:t>
            </w: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60" w:type="dxa"/>
            <w:vAlign w:val="bottom"/>
          </w:tcPr>
          <w:p>
            <w:pPr>
              <w:spacing w:after="0"/>
              <w:rPr>
                <w:sz w:val="14"/>
                <w:szCs w:val="14"/>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than $0.01)..................................</w:t>
            </w: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3"/>
                <w:vertAlign w:val="subscript"/>
              </w:rPr>
              <w:t>$</w:t>
            </w:r>
            <w:r>
              <w:rPr>
                <w:rFonts w:ascii="Courier New" w:cs="Courier New" w:eastAsia="Courier New" w:hAnsi="Courier New"/>
                <w:sz w:val="3"/>
                <w:szCs w:val="3"/>
                <w:color w:val="auto"/>
                <w:w w:val="83"/>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c>
          <w:tcPr>
            <w:tcW w:w="0" w:type="dxa"/>
            <w:vAlign w:val="bottom"/>
          </w:tcPr>
          <w:p>
            <w:pPr>
              <w:spacing w:after="0"/>
              <w:rPr>
                <w:sz w:val="1"/>
                <w:szCs w:val="1"/>
                <w:color w:val="auto"/>
              </w:rPr>
            </w:pPr>
          </w:p>
        </w:tc>
      </w:tr>
      <w:tr>
        <w:trPr>
          <w:trHeight w:val="252"/>
        </w:trPr>
        <w:tc>
          <w:tcPr>
            <w:tcW w:w="510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share Income before</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100" w:type="dxa"/>
            <w:vAlign w:val="bottom"/>
            <w:vMerge w:val="continue"/>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0.22</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cumulative effect.....................................</w:t>
            </w: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60" w:type="dxa"/>
            <w:vAlign w:val="bottom"/>
          </w:tcPr>
          <w:p>
            <w:pPr>
              <w:spacing w:after="0"/>
              <w:rPr>
                <w:sz w:val="14"/>
                <w:szCs w:val="14"/>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than $0.01)..................................</w:t>
            </w: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3"/>
                <w:vertAlign w:val="subscript"/>
              </w:rPr>
              <w:t>$</w:t>
            </w:r>
            <w:r>
              <w:rPr>
                <w:rFonts w:ascii="Courier New" w:cs="Courier New" w:eastAsia="Courier New" w:hAnsi="Courier New"/>
                <w:sz w:val="3"/>
                <w:szCs w:val="3"/>
                <w:color w:val="auto"/>
                <w:w w:val="83"/>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1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c>
          <w:tcPr>
            <w:tcW w:w="0" w:type="dxa"/>
            <w:vAlign w:val="bottom"/>
          </w:tcPr>
          <w:p>
            <w:pPr>
              <w:spacing w:after="0"/>
              <w:rPr>
                <w:sz w:val="1"/>
                <w:szCs w:val="1"/>
                <w:color w:val="auto"/>
              </w:rPr>
            </w:pPr>
          </w:p>
        </w:tc>
      </w:tr>
      <w:tr>
        <w:trPr>
          <w:trHeight w:val="252"/>
        </w:trPr>
        <w:tc>
          <w:tcPr>
            <w:tcW w:w="5100" w:type="dxa"/>
            <w:vAlign w:val="bottom"/>
          </w:tcPr>
          <w:p>
            <w:pPr>
              <w:spacing w:after="0"/>
              <w:rPr>
                <w:sz w:val="21"/>
                <w:szCs w:val="21"/>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348" w:right="3439" w:hanging="348"/>
        <w:spacing w:after="0" w:line="260" w:lineRule="auto"/>
        <w:tabs>
          <w:tab w:leader="none" w:pos="348"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following income (expense) resulting from transactions with related parties for the year ended September 30, 1998, 1997 and 1996,</w:t>
      </w:r>
    </w:p>
    <w:p>
      <w:pPr>
        <w:ind w:left="348"/>
        <w:spacing w:after="0"/>
        <w:rPr>
          <w:sz w:val="20"/>
          <w:szCs w:val="20"/>
          <w:color w:val="auto"/>
        </w:rPr>
      </w:pPr>
      <w:r>
        <w:rPr>
          <w:rFonts w:ascii="Courier New" w:cs="Courier New" w:eastAsia="Courier New" w:hAnsi="Courier New"/>
          <w:sz w:val="15"/>
          <w:szCs w:val="15"/>
          <w:color w:val="auto"/>
        </w:rPr>
        <w:t>respectively: License revenue -- $2,300, $0, and $2,000; service</w:t>
      </w:r>
    </w:p>
    <w:p>
      <w:pPr>
        <w:spacing w:after="0" w:line="2" w:lineRule="exact"/>
        <w:rPr>
          <w:sz w:val="20"/>
          <w:szCs w:val="20"/>
          <w:color w:val="auto"/>
        </w:rPr>
      </w:pPr>
    </w:p>
    <w:p>
      <w:pPr>
        <w:ind w:left="348" w:right="3259"/>
        <w:spacing w:after="0" w:line="262" w:lineRule="auto"/>
        <w:rPr>
          <w:sz w:val="20"/>
          <w:szCs w:val="20"/>
          <w:color w:val="auto"/>
        </w:rPr>
      </w:pPr>
      <w:r>
        <w:rPr>
          <w:rFonts w:ascii="Courier New" w:cs="Courier New" w:eastAsia="Courier New" w:hAnsi="Courier New"/>
          <w:sz w:val="15"/>
          <w:szCs w:val="15"/>
          <w:color w:val="auto"/>
        </w:rPr>
        <w:t>revenue -- $82,100, $100,500 and $76,500; cost of license -- $0, $(3,382) and $(4,011); cost of service -- $(2,325), $(2,523) and $(1,966); selling, general and administrative -- $(510), $(377) and $(294); other expense, net -- $(6,268), $0 and $0 (Note 3); nonrecurring charges -- $0, $(1,800) and $0 (Note 3).</w:t>
      </w:r>
    </w:p>
    <w:p>
      <w:pPr>
        <w:spacing w:after="0" w:line="77"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See accompanying notes</w:t>
      </w:r>
    </w:p>
    <w:p>
      <w:pPr>
        <w:spacing w:after="0" w:line="3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27"/>
          </w:cols>
          <w:pgMar w:left="232" w:top="263"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70</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346"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CONSOLIDATED STATEMENTS OF CHANGES IN SHAREHOLDERS' EQUITY (DEFICIT)</w:t>
      </w:r>
    </w:p>
    <w:p>
      <w:pPr>
        <w:spacing w:after="0" w:line="30"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80" w:type="dxa"/>
            <w:vAlign w:val="bottom"/>
          </w:tcPr>
          <w:p>
            <w:pPr>
              <w:spacing w:after="0"/>
              <w:rPr>
                <w:sz w:val="14"/>
                <w:szCs w:val="14"/>
                <w:color w:val="auto"/>
              </w:rPr>
            </w:pPr>
          </w:p>
        </w:tc>
        <w:tc>
          <w:tcPr>
            <w:tcW w:w="166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ORDINARY SHARES</w:t>
            </w:r>
          </w:p>
        </w:tc>
        <w:tc>
          <w:tcPr>
            <w:tcW w:w="11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UNREALIZED</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RETAINED</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LOSS ON</w:t>
            </w:r>
          </w:p>
        </w:tc>
        <w:tc>
          <w:tcPr>
            <w:tcW w:w="1340" w:type="dxa"/>
            <w:vAlign w:val="bottom"/>
            <w:gridSpan w:val="2"/>
            <w:vMerge w:val="restart"/>
          </w:tcPr>
          <w:p>
            <w:pPr>
              <w:ind w:left="300"/>
              <w:spacing w:after="0"/>
              <w:rPr>
                <w:sz w:val="20"/>
                <w:szCs w:val="20"/>
                <w:color w:val="auto"/>
              </w:rPr>
            </w:pPr>
            <w:r>
              <w:rPr>
                <w:rFonts w:ascii="Courier New" w:cs="Courier New" w:eastAsia="Courier New" w:hAnsi="Courier New"/>
                <w:sz w:val="15"/>
                <w:szCs w:val="15"/>
                <w:color w:val="auto"/>
              </w:rPr>
              <w:t>UNEARNED</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EARNINGS</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SHAREHOLDERS'</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Courier New" w:cs="Courier New" w:eastAsia="Courier New" w:hAnsi="Courier New"/>
                <w:sz w:val="13"/>
                <w:szCs w:val="13"/>
                <w:color w:val="auto"/>
                <w:w w:val="74"/>
                <w:vertAlign w:val="subscript"/>
              </w:rPr>
              <w:t>SHARES</w:t>
            </w:r>
            <w:r>
              <w:rPr>
                <w:rFonts w:ascii="Courier New" w:cs="Courier New" w:eastAsia="Courier New" w:hAnsi="Courier New"/>
                <w:sz w:val="9"/>
                <w:szCs w:val="9"/>
                <w:color w:val="auto"/>
                <w:w w:val="74"/>
              </w:rPr>
              <w:t>----------------</w:t>
            </w:r>
          </w:p>
        </w:tc>
        <w:tc>
          <w:tcPr>
            <w:tcW w:w="6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6"/>
              </w:rPr>
              <w:t>AMOUNT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PAID-IN</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DERIVATIVE</w:t>
            </w:r>
          </w:p>
        </w:tc>
        <w:tc>
          <w:tcPr>
            <w:tcW w:w="1340" w:type="dxa"/>
            <w:vAlign w:val="bottom"/>
            <w:gridSpan w:val="2"/>
            <w:vMerge w:val="continue"/>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(ACCUMULATED</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EQUITY</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CAPITAL</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INSTRUMENTS</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COMPENSATION</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DEFICIT)</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(DEFICIT)</w:t>
            </w:r>
          </w:p>
        </w:tc>
        <w:tc>
          <w:tcPr>
            <w:tcW w:w="0" w:type="dxa"/>
            <w:vAlign w:val="bottom"/>
          </w:tcPr>
          <w:p>
            <w:pPr>
              <w:spacing w:after="0"/>
              <w:rPr>
                <w:sz w:val="1"/>
                <w:szCs w:val="1"/>
                <w:color w:val="auto"/>
              </w:rPr>
            </w:pPr>
          </w:p>
        </w:tc>
      </w:tr>
      <w:tr>
        <w:trPr>
          <w:trHeight w:val="252"/>
        </w:trPr>
        <w:tc>
          <w:tcPr>
            <w:tcW w:w="34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1995.........</w:t>
            </w:r>
          </w:p>
        </w:tc>
        <w:tc>
          <w:tcPr>
            <w:tcW w:w="9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107,934</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$1,727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$ 14,348</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13,354</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29,429</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Conversion to Voting Shares...........</w:t>
            </w:r>
          </w:p>
        </w:tc>
        <w:tc>
          <w:tcPr>
            <w:tcW w:w="9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24,508</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24,508</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$0.35 per share...</w:t>
            </w:r>
          </w:p>
        </w:tc>
        <w:tc>
          <w:tcPr>
            <w:tcW w:w="9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(37,949)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(37,949)</w:t>
            </w:r>
          </w:p>
        </w:tc>
        <w:tc>
          <w:tcPr>
            <w:tcW w:w="0" w:type="dxa"/>
            <w:vAlign w:val="bottom"/>
          </w:tcPr>
          <w:p>
            <w:pPr>
              <w:spacing w:after="0"/>
              <w:rPr>
                <w:sz w:val="1"/>
                <w:szCs w:val="1"/>
                <w:color w:val="auto"/>
              </w:rPr>
            </w:pPr>
          </w:p>
        </w:tc>
      </w:tr>
      <w:tr>
        <w:trPr>
          <w:trHeight w:val="172"/>
        </w:trPr>
        <w:tc>
          <w:tcPr>
            <w:tcW w:w="348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September 30, 1996.........</w:t>
            </w:r>
          </w:p>
        </w:tc>
        <w:tc>
          <w:tcPr>
            <w:tcW w:w="980" w:type="dxa"/>
            <w:vAlign w:val="bottom"/>
            <w:vMerge w:val="restart"/>
          </w:tcPr>
          <w:p>
            <w:pPr>
              <w:jc w:val="right"/>
              <w:ind w:right="189"/>
              <w:spacing w:after="0"/>
              <w:rPr>
                <w:sz w:val="20"/>
                <w:szCs w:val="20"/>
                <w:color w:val="auto"/>
              </w:rPr>
            </w:pPr>
            <w:r>
              <w:rPr>
                <w:rFonts w:ascii="Courier New" w:cs="Courier New" w:eastAsia="Courier New" w:hAnsi="Courier New"/>
                <w:sz w:val="11"/>
                <w:szCs w:val="11"/>
                <w:color w:val="auto"/>
                <w:w w:val="70"/>
              </w:rPr>
              <w:t>107,916</w:t>
            </w:r>
            <w:r>
              <w:rPr>
                <w:rFonts w:ascii="Courier New" w:cs="Courier New" w:eastAsia="Courier New" w:hAnsi="Courier New"/>
                <w:sz w:val="19"/>
                <w:szCs w:val="19"/>
                <w:color w:val="auto"/>
                <w:w w:val="70"/>
                <w:vertAlign w:val="superscript"/>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1,727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14,348</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15,988</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5,876</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5,876</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$0.18 per share...</w:t>
            </w:r>
          </w:p>
        </w:tc>
        <w:tc>
          <w:tcPr>
            <w:tcW w:w="9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(19,311)</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(19,311)</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9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16,792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91,431</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91,700</w:t>
            </w:r>
          </w:p>
        </w:tc>
        <w:tc>
          <w:tcPr>
            <w:tcW w:w="0" w:type="dxa"/>
            <w:vAlign w:val="bottom"/>
          </w:tcPr>
          <w:p>
            <w:pPr>
              <w:spacing w:after="0"/>
              <w:rPr>
                <w:sz w:val="1"/>
                <w:szCs w:val="1"/>
                <w:color w:val="auto"/>
              </w:rPr>
            </w:pPr>
          </w:p>
        </w:tc>
      </w:tr>
      <w:tr>
        <w:trPr>
          <w:trHeight w:val="172"/>
        </w:trPr>
        <w:tc>
          <w:tcPr>
            <w:tcW w:w="348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September 30, 1997.........</w:t>
            </w:r>
          </w:p>
        </w:tc>
        <w:tc>
          <w:tcPr>
            <w:tcW w:w="980" w:type="dxa"/>
            <w:vAlign w:val="bottom"/>
            <w:vMerge w:val="restart"/>
          </w:tcPr>
          <w:p>
            <w:pPr>
              <w:jc w:val="right"/>
              <w:ind w:right="189"/>
              <w:spacing w:after="0"/>
              <w:rPr>
                <w:sz w:val="20"/>
                <w:szCs w:val="20"/>
                <w:color w:val="auto"/>
              </w:rPr>
            </w:pPr>
            <w:r>
              <w:rPr>
                <w:rFonts w:ascii="Courier New" w:cs="Courier New" w:eastAsia="Courier New" w:hAnsi="Courier New"/>
                <w:sz w:val="11"/>
                <w:szCs w:val="11"/>
                <w:color w:val="auto"/>
                <w:w w:val="70"/>
              </w:rPr>
              <w:t>124,708</w:t>
            </w:r>
            <w:r>
              <w:rPr>
                <w:rFonts w:ascii="Courier New" w:cs="Courier New" w:eastAsia="Courier New" w:hAnsi="Courier New"/>
                <w:sz w:val="19"/>
                <w:szCs w:val="19"/>
                <w:color w:val="auto"/>
                <w:w w:val="70"/>
                <w:vertAlign w:val="superscript"/>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1,996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105,779</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(13,522)</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94,253</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30,107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30,107</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Unrealized loss on derivative</w:t>
            </w:r>
          </w:p>
        </w:tc>
        <w:tc>
          <w:tcPr>
            <w:tcW w:w="980" w:type="dxa"/>
            <w:vAlign w:val="bottom"/>
            <w:vMerge w:val="restart"/>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w w:val="95"/>
              </w:rPr>
              <w:t>(1,495)</w:t>
            </w:r>
          </w:p>
        </w:tc>
        <w:tc>
          <w:tcPr>
            <w:tcW w:w="400" w:type="dxa"/>
            <w:vAlign w:val="bottom"/>
          </w:tcPr>
          <w:p>
            <w:pPr>
              <w:spacing w:after="0"/>
              <w:rPr>
                <w:sz w:val="14"/>
                <w:szCs w:val="14"/>
                <w:color w:val="auto"/>
              </w:rPr>
            </w:pPr>
          </w:p>
        </w:tc>
        <w:tc>
          <w:tcPr>
            <w:tcW w:w="9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(1,495)</w:t>
            </w:r>
          </w:p>
        </w:tc>
        <w:tc>
          <w:tcPr>
            <w:tcW w:w="0" w:type="dxa"/>
            <w:vAlign w:val="bottom"/>
          </w:tcPr>
          <w:p>
            <w:pPr>
              <w:spacing w:after="0"/>
              <w:rPr>
                <w:sz w:val="1"/>
                <w:szCs w:val="1"/>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instruments, net of $640 tax........</w:t>
            </w:r>
          </w:p>
        </w:tc>
        <w:tc>
          <w:tcPr>
            <w:tcW w:w="9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$3.76 per share...</w:t>
            </w:r>
          </w:p>
        </w:tc>
        <w:tc>
          <w:tcPr>
            <w:tcW w:w="9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(478,684)</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(478,684)</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9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54,092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97,583</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98,448</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Initial public offering of Ordinary</w:t>
            </w:r>
          </w:p>
        </w:tc>
        <w:tc>
          <w:tcPr>
            <w:tcW w:w="980" w:type="dxa"/>
            <w:vAlign w:val="bottom"/>
            <w:vMerge w:val="restart"/>
          </w:tcPr>
          <w:p>
            <w:pPr>
              <w:jc w:val="right"/>
              <w:ind w:right="189"/>
              <w:spacing w:after="0"/>
              <w:rPr>
                <w:sz w:val="20"/>
                <w:szCs w:val="20"/>
                <w:color w:val="auto"/>
              </w:rPr>
            </w:pPr>
            <w:r>
              <w:rPr>
                <w:rFonts w:ascii="Courier New" w:cs="Courier New" w:eastAsia="Courier New" w:hAnsi="Courier New"/>
                <w:sz w:val="15"/>
                <w:szCs w:val="15"/>
                <w:color w:val="auto"/>
              </w:rPr>
              <w:t>18,000</w:t>
            </w:r>
          </w:p>
        </w:tc>
        <w:tc>
          <w:tcPr>
            <w:tcW w:w="6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288</w:t>
            </w:r>
          </w:p>
        </w:tc>
        <w:tc>
          <w:tcPr>
            <w:tcW w:w="11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233,902</w:t>
            </w:r>
          </w:p>
        </w:tc>
        <w:tc>
          <w:tcPr>
            <w:tcW w:w="400" w:type="dxa"/>
            <w:vAlign w:val="bottom"/>
          </w:tcPr>
          <w:p>
            <w:pPr>
              <w:spacing w:after="0"/>
              <w:rPr>
                <w:sz w:val="14"/>
                <w:szCs w:val="14"/>
                <w:color w:val="auto"/>
              </w:rPr>
            </w:pPr>
          </w:p>
        </w:tc>
        <w:tc>
          <w:tcPr>
            <w:tcW w:w="8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234,190</w:t>
            </w:r>
          </w:p>
        </w:tc>
        <w:tc>
          <w:tcPr>
            <w:tcW w:w="0" w:type="dxa"/>
            <w:vAlign w:val="bottom"/>
          </w:tcPr>
          <w:p>
            <w:pPr>
              <w:spacing w:after="0"/>
              <w:rPr>
                <w:sz w:val="1"/>
                <w:szCs w:val="1"/>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Shares, net.........................</w:t>
            </w:r>
          </w:p>
        </w:tc>
        <w:tc>
          <w:tcPr>
            <w:tcW w:w="9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Stock options granted to employees,</w:t>
            </w:r>
          </w:p>
        </w:tc>
        <w:tc>
          <w:tcPr>
            <w:tcW w:w="980" w:type="dxa"/>
            <w:vAlign w:val="bottom"/>
            <w:vMerge w:val="restart"/>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10,239</w:t>
            </w:r>
          </w:p>
        </w:tc>
        <w:tc>
          <w:tcPr>
            <w:tcW w:w="400" w:type="dxa"/>
            <w:vAlign w:val="bottom"/>
          </w:tcPr>
          <w:p>
            <w:pPr>
              <w:spacing w:after="0"/>
              <w:rPr>
                <w:sz w:val="14"/>
                <w:szCs w:val="14"/>
                <w:color w:val="auto"/>
              </w:rPr>
            </w:pPr>
          </w:p>
        </w:tc>
        <w:tc>
          <w:tcPr>
            <w:tcW w:w="8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w w:val="94"/>
              </w:rPr>
              <w:t>(10,239)</w:t>
            </w:r>
          </w:p>
        </w:tc>
        <w:tc>
          <w:tcPr>
            <w:tcW w:w="13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net of forfeitures..................</w:t>
            </w:r>
          </w:p>
        </w:tc>
        <w:tc>
          <w:tcPr>
            <w:tcW w:w="9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980" w:type="dxa"/>
            <w:vAlign w:val="bottom"/>
            <w:vMerge w:val="restart"/>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1,292</w:t>
            </w:r>
          </w:p>
        </w:tc>
        <w:tc>
          <w:tcPr>
            <w:tcW w:w="13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1,292</w:t>
            </w:r>
          </w:p>
        </w:tc>
        <w:tc>
          <w:tcPr>
            <w:tcW w:w="0" w:type="dxa"/>
            <w:vAlign w:val="bottom"/>
          </w:tcPr>
          <w:p>
            <w:pPr>
              <w:spacing w:after="0"/>
              <w:rPr>
                <w:sz w:val="1"/>
                <w:szCs w:val="1"/>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9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September 30, 1998.........</w:t>
            </w:r>
          </w:p>
        </w:tc>
        <w:tc>
          <w:tcPr>
            <w:tcW w:w="980" w:type="dxa"/>
            <w:vAlign w:val="bottom"/>
            <w:vMerge w:val="restart"/>
          </w:tcPr>
          <w:p>
            <w:pPr>
              <w:jc w:val="right"/>
              <w:ind w:right="189"/>
              <w:spacing w:after="0"/>
              <w:rPr>
                <w:sz w:val="20"/>
                <w:szCs w:val="20"/>
                <w:color w:val="auto"/>
              </w:rPr>
            </w:pPr>
            <w:r>
              <w:rPr>
                <w:rFonts w:ascii="Courier New" w:cs="Courier New" w:eastAsia="Courier New" w:hAnsi="Courier New"/>
                <w:sz w:val="11"/>
                <w:szCs w:val="11"/>
                <w:color w:val="auto"/>
                <w:w w:val="70"/>
              </w:rPr>
              <w:t>196,800</w:t>
            </w:r>
            <w:r>
              <w:rPr>
                <w:rFonts w:ascii="Courier New" w:cs="Courier New" w:eastAsia="Courier New" w:hAnsi="Courier New"/>
                <w:sz w:val="19"/>
                <w:szCs w:val="19"/>
                <w:color w:val="auto"/>
                <w:w w:val="70"/>
                <w:vertAlign w:val="superscript"/>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$(1,495)</w:t>
            </w:r>
          </w:p>
        </w:tc>
        <w:tc>
          <w:tcPr>
            <w:tcW w:w="13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(8,947)</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$(462,099)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(21,889)</w:t>
            </w:r>
          </w:p>
        </w:tc>
        <w:tc>
          <w:tcPr>
            <w:tcW w:w="0" w:type="dxa"/>
            <w:vAlign w:val="bottom"/>
          </w:tcPr>
          <w:p>
            <w:pPr>
              <w:spacing w:after="0"/>
              <w:rPr>
                <w:sz w:val="1"/>
                <w:szCs w:val="1"/>
                <w:color w:val="auto"/>
              </w:rPr>
            </w:pPr>
          </w:p>
        </w:tc>
      </w:tr>
      <w:tr>
        <w:trPr>
          <w:trHeight w:val="252"/>
        </w:trPr>
        <w:tc>
          <w:tcPr>
            <w:tcW w:w="3480" w:type="dxa"/>
            <w:vAlign w:val="bottom"/>
          </w:tcPr>
          <w:p>
            <w:pPr>
              <w:spacing w:after="0"/>
              <w:rPr>
                <w:sz w:val="21"/>
                <w:szCs w:val="21"/>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3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520"/>
          </w:cols>
          <w:pgMar w:left="240" w:top="262" w:right="139"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71</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5"/>
          </w:tcPr>
          <w:p>
            <w:pPr>
              <w:jc w:val="right"/>
              <w:ind w:right="565"/>
              <w:spacing w:after="0"/>
              <w:rPr>
                <w:sz w:val="20"/>
                <w:szCs w:val="20"/>
                <w:color w:val="auto"/>
              </w:rPr>
            </w:pPr>
            <w:r>
              <w:rPr>
                <w:rFonts w:ascii="Courier New" w:cs="Courier New" w:eastAsia="Courier New" w:hAnsi="Courier New"/>
                <w:sz w:val="15"/>
                <w:szCs w:val="15"/>
                <w:color w:val="auto"/>
              </w:rPr>
              <w:t>YEAR ENDED SEPTEMBER 30,</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332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4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30,107</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5,876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24,508</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tcPr>
          <w:p>
            <w:pPr>
              <w:jc w:val="right"/>
              <w:ind w:right="270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12,611</w:t>
            </w:r>
          </w:p>
        </w:tc>
        <w:tc>
          <w:tcPr>
            <w:tcW w:w="220" w:type="dxa"/>
            <w:vAlign w:val="bottom"/>
          </w:tcPr>
          <w:p>
            <w:pPr>
              <w:spacing w:after="0"/>
              <w:rPr>
                <w:sz w:val="14"/>
                <w:szCs w:val="14"/>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8,066</w:t>
            </w:r>
          </w:p>
        </w:tc>
        <w:tc>
          <w:tcPr>
            <w:tcW w:w="220" w:type="dxa"/>
            <w:vAlign w:val="bottom"/>
          </w:tcPr>
          <w:p>
            <w:pPr>
              <w:spacing w:after="0"/>
              <w:rPr>
                <w:sz w:val="14"/>
                <w:szCs w:val="14"/>
                <w:color w:val="auto"/>
              </w:rPr>
            </w:pP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5,223</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16,485</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equipment.......................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137</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(11,868)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4,861</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Write-off of purchased computer software........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80" w:type="dxa"/>
            <w:vAlign w:val="bottom"/>
          </w:tcPr>
          <w:p>
            <w:pPr>
              <w:spacing w:after="0"/>
              <w:rPr>
                <w:sz w:val="14"/>
                <w:szCs w:val="14"/>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(26,000)</w:t>
            </w:r>
          </w:p>
        </w:tc>
        <w:tc>
          <w:tcPr>
            <w:tcW w:w="220" w:type="dxa"/>
            <w:vAlign w:val="bottom"/>
          </w:tcPr>
          <w:p>
            <w:pPr>
              <w:spacing w:after="0"/>
              <w:rPr>
                <w:sz w:val="14"/>
                <w:szCs w:val="14"/>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(19,357)</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(8,211)</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(5,244)</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(681)</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assets.........................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(3,324)</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(3,181)</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23,906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20,971</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(1,896)</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5,148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Unearned revenue................................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11,800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6,730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5,697</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11,225</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3,979</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liabilities....................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4,843</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3,598</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(1,495)</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9,122</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21,712</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c>
          <w:tcPr>
            <w:tcW w:w="0" w:type="dxa"/>
            <w:vAlign w:val="bottom"/>
          </w:tcPr>
          <w:p>
            <w:pPr>
              <w:spacing w:after="0"/>
              <w:rPr>
                <w:sz w:val="1"/>
                <w:szCs w:val="1"/>
                <w:color w:val="auto"/>
              </w:rPr>
            </w:pPr>
          </w:p>
        </w:tc>
      </w:tr>
      <w:tr>
        <w:trPr>
          <w:trHeight w:val="172"/>
        </w:trPr>
        <w:tc>
          <w:tcPr>
            <w:tcW w:w="48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66,483</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26,051</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33,908</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w:t>
            </w:r>
          </w:p>
        </w:tc>
        <w:tc>
          <w:tcPr>
            <w:tcW w:w="180" w:type="dxa"/>
            <w:vAlign w:val="bottom"/>
          </w:tcPr>
          <w:p>
            <w:pPr>
              <w:spacing w:after="0"/>
              <w:rPr>
                <w:sz w:val="14"/>
                <w:szCs w:val="14"/>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889</w:t>
            </w:r>
          </w:p>
        </w:tc>
        <w:tc>
          <w:tcPr>
            <w:tcW w:w="220" w:type="dxa"/>
            <w:vAlign w:val="bottom"/>
          </w:tcPr>
          <w:p>
            <w:pPr>
              <w:spacing w:after="0"/>
              <w:rPr>
                <w:sz w:val="14"/>
                <w:szCs w:val="14"/>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959</w:t>
            </w:r>
          </w:p>
        </w:tc>
        <w:tc>
          <w:tcPr>
            <w:tcW w:w="220" w:type="dxa"/>
            <w:vAlign w:val="bottom"/>
          </w:tcPr>
          <w:p>
            <w:pPr>
              <w:spacing w:after="0"/>
              <w:rPr>
                <w:sz w:val="14"/>
                <w:szCs w:val="14"/>
                <w:color w:val="auto"/>
              </w:rPr>
            </w:pP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253</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w:t>
            </w:r>
          </w:p>
        </w:tc>
        <w:tc>
          <w:tcPr>
            <w:tcW w:w="180" w:type="dxa"/>
            <w:vAlign w:val="bottom"/>
          </w:tcPr>
          <w:p>
            <w:pPr>
              <w:spacing w:after="0"/>
              <w:rPr>
                <w:sz w:val="14"/>
                <w:szCs w:val="14"/>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(26,566)</w:t>
            </w:r>
          </w:p>
        </w:tc>
        <w:tc>
          <w:tcPr>
            <w:tcW w:w="220" w:type="dxa"/>
            <w:vAlign w:val="bottom"/>
          </w:tcPr>
          <w:p>
            <w:pPr>
              <w:spacing w:after="0"/>
              <w:rPr>
                <w:sz w:val="14"/>
                <w:szCs w:val="14"/>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(10,213)</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(5,526)</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Purchase of computer software and intellectual</w:t>
            </w:r>
          </w:p>
        </w:tc>
        <w:tc>
          <w:tcPr>
            <w:tcW w:w="180" w:type="dxa"/>
            <w:vAlign w:val="bottom"/>
          </w:tcPr>
          <w:p>
            <w:pPr>
              <w:spacing w:after="0"/>
              <w:rPr>
                <w:sz w:val="14"/>
                <w:szCs w:val="14"/>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(40,000)</w:t>
            </w:r>
          </w:p>
        </w:tc>
        <w:tc>
          <w:tcPr>
            <w:tcW w:w="220" w:type="dxa"/>
            <w:vAlign w:val="bottom"/>
          </w:tcPr>
          <w:p>
            <w:pPr>
              <w:spacing w:after="0"/>
              <w:rPr>
                <w:sz w:val="14"/>
                <w:szCs w:val="14"/>
                <w:color w:val="auto"/>
              </w:rPr>
            </w:pP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property rights....................................</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73"/>
              </w:rPr>
              <w:t>---------</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(25,677)</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(49,254)</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(5,273)</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80" w:type="dxa"/>
            <w:vAlign w:val="bottom"/>
          </w:tcPr>
          <w:p>
            <w:pPr>
              <w:spacing w:after="0"/>
              <w:rPr>
                <w:sz w:val="14"/>
                <w:szCs w:val="14"/>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6"/>
              </w:rPr>
              <w:t>(478,684)</w:t>
            </w:r>
          </w:p>
        </w:tc>
        <w:tc>
          <w:tcPr>
            <w:tcW w:w="220" w:type="dxa"/>
            <w:vAlign w:val="bottom"/>
          </w:tcPr>
          <w:p>
            <w:pPr>
              <w:spacing w:after="0"/>
              <w:rPr>
                <w:sz w:val="14"/>
                <w:szCs w:val="14"/>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(18,000)</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(40,013)</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Dividends paid.......................................</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Ordinary Shares........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330,638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91,700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short-term finance arrangements.......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(269,946)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(155,190)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(130,358)</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Borrowings under short-term finance arrangements.....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358,862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140,360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137,872</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long term debt.........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364,127</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on long term debt.................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(368,521)</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on capital lease obligations......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(2,357)</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(1,286)</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(267)</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Proceeds from (payments on) issuance of notes</w:t>
            </w:r>
          </w:p>
        </w:tc>
        <w:tc>
          <w:tcPr>
            <w:tcW w:w="180" w:type="dxa"/>
            <w:vAlign w:val="bottom"/>
          </w:tcPr>
          <w:p>
            <w:pPr>
              <w:spacing w:after="0"/>
              <w:rPr>
                <w:sz w:val="14"/>
                <w:szCs w:val="14"/>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(3,268)</w:t>
            </w:r>
          </w:p>
        </w:tc>
        <w:tc>
          <w:tcPr>
            <w:tcW w:w="220" w:type="dxa"/>
            <w:vAlign w:val="bottom"/>
          </w:tcPr>
          <w:p>
            <w:pPr>
              <w:spacing w:after="0"/>
              <w:rPr>
                <w:sz w:val="14"/>
                <w:szCs w:val="14"/>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3,268</w:t>
            </w:r>
          </w:p>
        </w:tc>
        <w:tc>
          <w:tcPr>
            <w:tcW w:w="220" w:type="dxa"/>
            <w:vAlign w:val="bottom"/>
          </w:tcPr>
          <w:p>
            <w:pPr>
              <w:spacing w:after="0"/>
              <w:rPr>
                <w:sz w:val="14"/>
                <w:szCs w:val="14"/>
                <w:color w:val="auto"/>
              </w:rPr>
            </w:pP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payable............................................</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820" w:type="dxa"/>
            <w:vAlign w:val="bottom"/>
            <w:vMerge w:val="restart"/>
          </w:tcPr>
          <w:p>
            <w:pPr>
              <w:spacing w:after="0"/>
              <w:rPr>
                <w:sz w:val="20"/>
                <w:szCs w:val="20"/>
                <w:color w:val="auto"/>
              </w:rPr>
            </w:pPr>
            <w:r>
              <w:rPr>
                <w:rFonts w:ascii="Courier New" w:cs="Courier New" w:eastAsia="Courier New" w:hAnsi="Courier New"/>
                <w:sz w:val="15"/>
                <w:szCs w:val="15"/>
                <w:color w:val="auto"/>
              </w:rPr>
              <w:t>Net cash provided by (used in) financing</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8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(69,149)</w:t>
            </w:r>
          </w:p>
        </w:tc>
        <w:tc>
          <w:tcPr>
            <w:tcW w:w="220" w:type="dxa"/>
            <w:vAlign w:val="bottom"/>
          </w:tcPr>
          <w:p>
            <w:pPr>
              <w:spacing w:after="0"/>
              <w:rPr>
                <w:sz w:val="7"/>
                <w:szCs w:val="7"/>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60,852</w:t>
            </w:r>
          </w:p>
        </w:tc>
        <w:tc>
          <w:tcPr>
            <w:tcW w:w="22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(32,766)</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820" w:type="dxa"/>
            <w:vAlign w:val="bottom"/>
            <w:vMerge w:val="restart"/>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8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(28,343)</w:t>
            </w:r>
          </w:p>
        </w:tc>
        <w:tc>
          <w:tcPr>
            <w:tcW w:w="220" w:type="dxa"/>
            <w:vAlign w:val="bottom"/>
          </w:tcPr>
          <w:p>
            <w:pPr>
              <w:spacing w:after="0"/>
              <w:rPr>
                <w:sz w:val="7"/>
                <w:szCs w:val="7"/>
                <w:color w:val="auto"/>
              </w:rPr>
            </w:pP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37,649</w:t>
            </w:r>
          </w:p>
        </w:tc>
        <w:tc>
          <w:tcPr>
            <w:tcW w:w="22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(4,131)</w:t>
            </w: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year.......</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53,732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16,083</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20,214</w:t>
            </w:r>
          </w:p>
        </w:tc>
        <w:tc>
          <w:tcPr>
            <w:tcW w:w="0" w:type="dxa"/>
            <w:vAlign w:val="bottom"/>
          </w:tcPr>
          <w:p>
            <w:pPr>
              <w:spacing w:after="0"/>
              <w:rPr>
                <w:sz w:val="1"/>
                <w:szCs w:val="1"/>
                <w:color w:val="auto"/>
              </w:rPr>
            </w:pPr>
          </w:p>
        </w:tc>
      </w:tr>
      <w:tr>
        <w:trPr>
          <w:trHeight w:val="172"/>
        </w:trPr>
        <w:tc>
          <w:tcPr>
            <w:tcW w:w="48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year.............</w:t>
            </w:r>
          </w:p>
        </w:tc>
        <w:tc>
          <w:tcPr>
            <w:tcW w:w="18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5"/>
                <w:vertAlign w:val="subscript"/>
              </w:rPr>
              <w:t>$</w:t>
            </w:r>
            <w:r>
              <w:rPr>
                <w:rFonts w:ascii="Courier New" w:cs="Courier New" w:eastAsia="Courier New" w:hAnsi="Courier New"/>
                <w:sz w:val="3"/>
                <w:szCs w:val="3"/>
                <w:color w:val="auto"/>
                <w:w w:val="85"/>
              </w:rPr>
              <w:t>---------</w:t>
            </w:r>
          </w:p>
        </w:tc>
        <w:tc>
          <w:tcPr>
            <w:tcW w:w="9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25,389</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8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16,083</w:t>
            </w:r>
          </w:p>
        </w:tc>
        <w:tc>
          <w:tcPr>
            <w:tcW w:w="0" w:type="dxa"/>
            <w:vAlign w:val="bottom"/>
          </w:tcPr>
          <w:p>
            <w:pPr>
              <w:spacing w:after="0"/>
              <w:rPr>
                <w:sz w:val="1"/>
                <w:szCs w:val="1"/>
                <w:color w:val="auto"/>
              </w:rPr>
            </w:pPr>
          </w:p>
        </w:tc>
      </w:tr>
      <w:tr>
        <w:trPr>
          <w:trHeight w:val="252"/>
        </w:trPr>
        <w:tc>
          <w:tcPr>
            <w:tcW w:w="4820" w:type="dxa"/>
            <w:vAlign w:val="bottom"/>
          </w:tcPr>
          <w:p>
            <w:pPr>
              <w:spacing w:after="0"/>
              <w:rPr>
                <w:sz w:val="21"/>
                <w:szCs w:val="21"/>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3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63"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52"/>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72</w:t>
            </w:r>
          </w:p>
        </w:tc>
        <w:tc>
          <w:tcPr>
            <w:tcW w:w="1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6"/>
        </w:trPr>
        <w:tc>
          <w:tcPr>
            <w:tcW w:w="4920" w:type="dxa"/>
            <w:vAlign w:val="bottom"/>
          </w:tcPr>
          <w:p>
            <w:pPr>
              <w:ind w:left="2940"/>
              <w:spacing w:after="0"/>
              <w:rPr>
                <w:sz w:val="20"/>
                <w:szCs w:val="20"/>
                <w:color w:val="auto"/>
              </w:rPr>
            </w:pPr>
            <w:r>
              <w:rPr>
                <w:rFonts w:ascii="Courier New" w:cs="Courier New" w:eastAsia="Courier New" w:hAnsi="Courier New"/>
                <w:sz w:val="15"/>
                <w:szCs w:val="15"/>
                <w:color w:val="auto"/>
              </w:rPr>
              <w:t>AMDOCS LIMITED</w:t>
            </w: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920" w:type="dxa"/>
            <w:vAlign w:val="bottom"/>
          </w:tcPr>
          <w:p>
            <w:pPr>
              <w:ind w:left="1240"/>
              <w:spacing w:after="0"/>
              <w:rPr>
                <w:sz w:val="20"/>
                <w:szCs w:val="20"/>
                <w:color w:val="auto"/>
              </w:rPr>
            </w:pPr>
            <w:r>
              <w:rPr>
                <w:rFonts w:ascii="Courier New" w:cs="Courier New" w:eastAsia="Courier New" w:hAnsi="Courier New"/>
                <w:sz w:val="15"/>
                <w:szCs w:val="15"/>
                <w:color w:val="auto"/>
              </w:rPr>
              <w:t>CONSOLIDATED STATEMENTS OF CASH FLOWS --</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(CONTINUED)</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920" w:type="dxa"/>
            <w:vAlign w:val="bottom"/>
          </w:tcPr>
          <w:p>
            <w:pPr>
              <w:ind w:left="2940"/>
              <w:spacing w:after="0"/>
              <w:rPr>
                <w:sz w:val="20"/>
                <w:szCs w:val="20"/>
                <w:color w:val="auto"/>
              </w:rPr>
            </w:pPr>
            <w:r>
              <w:rPr>
                <w:rFonts w:ascii="Courier New" w:cs="Courier New" w:eastAsia="Courier New" w:hAnsi="Courier New"/>
                <w:sz w:val="15"/>
                <w:szCs w:val="15"/>
                <w:color w:val="auto"/>
              </w:rPr>
              <w:t>(IN THOUSANDS)</w:t>
            </w:r>
          </w:p>
        </w:tc>
        <w:tc>
          <w:tcPr>
            <w:tcW w:w="1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4920" w:type="dxa"/>
            <w:vAlign w:val="bottom"/>
          </w:tcPr>
          <w:p>
            <w:pPr>
              <w:spacing w:after="0"/>
              <w:rPr>
                <w:sz w:val="24"/>
                <w:szCs w:val="24"/>
                <w:color w:val="auto"/>
              </w:rPr>
            </w:pPr>
          </w:p>
        </w:tc>
        <w:tc>
          <w:tcPr>
            <w:tcW w:w="31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SEPTEMBER 30,</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3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1420" w:type="dxa"/>
            <w:vAlign w:val="bottom"/>
          </w:tcPr>
          <w:p>
            <w:pPr>
              <w:ind w:left="70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4920" w:type="dxa"/>
            <w:vAlign w:val="bottom"/>
          </w:tcPr>
          <w:p>
            <w:pPr>
              <w:spacing w:after="0"/>
              <w:rPr>
                <w:sz w:val="21"/>
                <w:szCs w:val="21"/>
                <w:color w:val="auto"/>
              </w:rPr>
            </w:pPr>
          </w:p>
        </w:tc>
        <w:tc>
          <w:tcPr>
            <w:tcW w:w="142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1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Interest and Income Taxes Paid</w:t>
            </w: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20"/>
                <w:szCs w:val="20"/>
                <w:color w:val="auto"/>
                <w:w w:val="82"/>
                <w:vertAlign w:val="superscript"/>
              </w:rPr>
              <w:t>Cash paid for:</w:t>
            </w:r>
            <w:r>
              <w:rPr>
                <w:rFonts w:ascii="Courier New" w:cs="Courier New" w:eastAsia="Courier New" w:hAnsi="Courier New"/>
                <w:sz w:val="15"/>
                <w:szCs w:val="15"/>
                <w:color w:val="auto"/>
                <w:w w:val="82"/>
              </w:rPr>
              <w:t>..............................</w:t>
            </w:r>
          </w:p>
        </w:tc>
        <w:tc>
          <w:tcPr>
            <w:tcW w:w="142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$32,472</w:t>
            </w: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$18,352</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$1,475</w:t>
            </w:r>
          </w:p>
        </w:tc>
        <w:tc>
          <w:tcPr>
            <w:tcW w:w="0" w:type="dxa"/>
            <w:vAlign w:val="bottom"/>
          </w:tcPr>
          <w:p>
            <w:pPr>
              <w:spacing w:after="0"/>
              <w:rPr>
                <w:sz w:val="1"/>
                <w:szCs w:val="1"/>
                <w:color w:val="auto"/>
              </w:rPr>
            </w:pP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Income taxes, net of refunds</w:t>
            </w:r>
          </w:p>
        </w:tc>
        <w:tc>
          <w:tcPr>
            <w:tcW w:w="14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w w:val="90"/>
              </w:rPr>
              <w:t>Interest..................................................</w:t>
            </w:r>
          </w:p>
        </w:tc>
        <w:tc>
          <w:tcPr>
            <w:tcW w:w="1420" w:type="dxa"/>
            <w:vAlign w:val="bottom"/>
          </w:tcPr>
          <w:p>
            <w:pPr>
              <w:ind w:left="700"/>
              <w:spacing w:after="0"/>
              <w:rPr>
                <w:sz w:val="20"/>
                <w:szCs w:val="20"/>
                <w:color w:val="auto"/>
              </w:rPr>
            </w:pPr>
            <w:r>
              <w:rPr>
                <w:rFonts w:ascii="Courier New" w:cs="Courier New" w:eastAsia="Courier New" w:hAnsi="Courier New"/>
                <w:sz w:val="15"/>
                <w:szCs w:val="15"/>
                <w:color w:val="auto"/>
              </w:rPr>
              <w:t>25,150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1,199</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 CASH INVESTING AND FINANCING ACTIVITIES</w:t>
      </w:r>
    </w:p>
    <w:p>
      <w:pPr>
        <w:spacing w:after="0" w:line="174" w:lineRule="exact"/>
        <w:rPr>
          <w:sz w:val="20"/>
          <w:szCs w:val="20"/>
          <w:color w:val="auto"/>
        </w:rPr>
      </w:pPr>
    </w:p>
    <w:p>
      <w:pPr>
        <w:jc w:val="both"/>
        <w:ind w:right="3079" w:firstLine="447"/>
        <w:spacing w:after="0" w:line="301" w:lineRule="auto"/>
        <w:rPr>
          <w:sz w:val="20"/>
          <w:szCs w:val="20"/>
          <w:color w:val="auto"/>
        </w:rPr>
      </w:pPr>
      <w:r>
        <w:rPr>
          <w:rFonts w:ascii="Courier New" w:cs="Courier New" w:eastAsia="Courier New" w:hAnsi="Courier New"/>
          <w:sz w:val="15"/>
          <w:szCs w:val="15"/>
          <w:color w:val="auto"/>
        </w:rPr>
        <w:t>Capital lease obligations of $5,200, $8,516 and $2,361 were incurred during the years ended September 30, 1998, 1997 and 1996 respectively, when the Company entered into lease agreements for vehicles.</w:t>
      </w:r>
    </w:p>
    <w:p>
      <w:pPr>
        <w:spacing w:after="0" w:line="49"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The Company declared a dividend to its shareholders as of June 30, 1997 of certain assets, consisting principally of the net assets and liabilities of a dormant entity, totaling approximately $1,311. The estimated value of the net assets distributed, based on internally prepared estimates, approximates the net book value at the date of distribution. The dividend is aggregated in the Statement of Changes in Shareholders' Equity (Deficit) with cash dividends paid of $18,000.</w:t>
      </w:r>
    </w:p>
    <w:p>
      <w:pPr>
        <w:spacing w:after="0" w:line="7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3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63"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73</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0"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4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SEPTEMBER 30, 1998</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NATURE OF ENTITY</w:t>
      </w:r>
    </w:p>
    <w:p>
      <w:pPr>
        <w:spacing w:after="0" w:line="1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74" w:lineRule="exact"/>
        <w:rPr>
          <w:sz w:val="20"/>
          <w:szCs w:val="20"/>
          <w:color w:val="auto"/>
        </w:rPr>
      </w:pPr>
    </w:p>
    <w:p>
      <w:pPr>
        <w:ind w:right="3159" w:firstLine="447"/>
        <w:spacing w:after="0" w:line="259" w:lineRule="auto"/>
        <w:rPr>
          <w:sz w:val="20"/>
          <w:szCs w:val="20"/>
          <w:color w:val="auto"/>
        </w:rPr>
      </w:pPr>
      <w:r>
        <w:rPr>
          <w:rFonts w:ascii="Courier New" w:cs="Courier New" w:eastAsia="Courier New" w:hAnsi="Courier New"/>
          <w:sz w:val="15"/>
          <w:szCs w:val="15"/>
          <w:color w:val="auto"/>
        </w:rPr>
        <w:t>The Company is a Guernsey corporation, which holds directly or indirectly several wholly owned subsidiaries in the United States, Europe, Canada, Israel, Japan, Cyprus and Australia. The Company's customers are mainly in the North America, Europe, South America, Australia, and the Asia-Pacific region. The Company derives approximately 55 percent of its revenue from outside the United States. The majority of the Company's production facilities are located in the State of Israel. Additional development and support centers are located in the U.S., Brazil and Cyprus.</w:t>
      </w:r>
    </w:p>
    <w:p>
      <w:pPr>
        <w:spacing w:after="0" w:line="8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right="3159" w:firstLine="447"/>
        <w:spacing w:after="0" w:line="359" w:lineRule="auto"/>
        <w:rPr>
          <w:sz w:val="20"/>
          <w:szCs w:val="20"/>
          <w:color w:val="auto"/>
        </w:rPr>
      </w:pPr>
      <w:r>
        <w:rPr>
          <w:rFonts w:ascii="Courier New" w:cs="Courier New" w:eastAsia="Courier New" w:hAnsi="Courier New"/>
          <w:sz w:val="15"/>
          <w:szCs w:val="15"/>
          <w:color w:val="auto"/>
        </w:rPr>
        <w:t>The consolidated financial statements of the Company have been prepared in accordance with accounting principles generally accepted in the U.S.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w:t>
      </w:r>
    </w:p>
    <w:p>
      <w:pPr>
        <w:spacing w:after="0" w:line="174" w:lineRule="exact"/>
        <w:rPr>
          <w:sz w:val="20"/>
          <w:szCs w:val="20"/>
          <w:color w:val="auto"/>
        </w:rPr>
      </w:pPr>
    </w:p>
    <w:p>
      <w:pPr>
        <w:ind w:right="3159" w:firstLine="447"/>
        <w:spacing w:after="0" w:line="301" w:lineRule="auto"/>
        <w:rPr>
          <w:sz w:val="20"/>
          <w:szCs w:val="20"/>
          <w:color w:val="auto"/>
        </w:rPr>
      </w:pPr>
      <w:r>
        <w:rPr>
          <w:rFonts w:ascii="Courier New" w:cs="Courier New" w:eastAsia="Courier New" w:hAnsi="Courier New"/>
          <w:sz w:val="15"/>
          <w:szCs w:val="15"/>
          <w:color w:val="auto"/>
        </w:rPr>
        <w:t>The financial statements include the accounts of the Company and all its subsidiaries, which are wholly owned. All significant intercompany transactions and balances have been eliminated in consolidation.</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FUNCTIONAL CURRENCY</w:t>
      </w:r>
    </w:p>
    <w:p>
      <w:pPr>
        <w:spacing w:after="0" w:line="174" w:lineRule="exact"/>
        <w:rPr>
          <w:sz w:val="20"/>
          <w:szCs w:val="20"/>
          <w:color w:val="auto"/>
        </w:rPr>
      </w:pPr>
    </w:p>
    <w:p>
      <w:pPr>
        <w:ind w:right="3339" w:firstLine="447"/>
        <w:spacing w:after="0" w:line="301" w:lineRule="auto"/>
        <w:rPr>
          <w:sz w:val="20"/>
          <w:szCs w:val="20"/>
          <w:color w:val="auto"/>
        </w:rPr>
      </w:pPr>
      <w:r>
        <w:rPr>
          <w:rFonts w:ascii="Courier New" w:cs="Courier New" w:eastAsia="Courier New" w:hAnsi="Courier New"/>
          <w:sz w:val="15"/>
          <w:szCs w:val="15"/>
          <w:color w:val="auto"/>
        </w:rPr>
        <w:t>The U.S. dollar is the functional currency for the Company and its subsidiaries, as the U.S. dollar is the predominant currency of the Company's revenue.</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4" w:lineRule="exact"/>
        <w:rPr>
          <w:sz w:val="20"/>
          <w:szCs w:val="20"/>
          <w:color w:val="auto"/>
        </w:rPr>
      </w:pPr>
    </w:p>
    <w:p>
      <w:pPr>
        <w:ind w:right="3259" w:firstLine="447"/>
        <w:spacing w:after="0" w:line="390" w:lineRule="auto"/>
        <w:rPr>
          <w:sz w:val="20"/>
          <w:szCs w:val="20"/>
          <w:color w:val="auto"/>
        </w:rPr>
      </w:pPr>
      <w:r>
        <w:rPr>
          <w:rFonts w:ascii="Courier New" w:cs="Courier New" w:eastAsia="Courier New" w:hAnsi="Courier New"/>
          <w:sz w:val="14"/>
          <w:szCs w:val="14"/>
          <w:color w:val="auto"/>
        </w:rPr>
        <w:t>Cash and cash equivalents consist of cash and short-term investments with insignificant interest rate risk and original maturities of 90 days or less.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AND LEASEHOLD IMPROVEMENTS</w:t>
      </w:r>
    </w:p>
    <w:p>
      <w:pPr>
        <w:spacing w:after="0" w:line="174" w:lineRule="exact"/>
        <w:rPr>
          <w:sz w:val="20"/>
          <w:szCs w:val="20"/>
          <w:color w:val="auto"/>
        </w:rPr>
      </w:pPr>
    </w:p>
    <w:p>
      <w:pPr>
        <w:ind w:right="3079" w:firstLine="447"/>
        <w:spacing w:after="0" w:line="276" w:lineRule="auto"/>
        <w:rPr>
          <w:sz w:val="20"/>
          <w:szCs w:val="20"/>
          <w:color w:val="auto"/>
        </w:rPr>
      </w:pPr>
      <w:r>
        <w:rPr>
          <w:rFonts w:ascii="Courier New" w:cs="Courier New" w:eastAsia="Courier New" w:hAnsi="Courier New"/>
          <w:sz w:val="14"/>
          <w:szCs w:val="14"/>
          <w:color w:val="auto"/>
        </w:rPr>
        <w:t>Computers, office furniture and 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two to twelve years and includes the amortization of assets under capitalized leases. Leasehold improvements are amortized over the shorter of the estimated useful lives or the term of the lease. Management reviews property and equipment and other long-lived assets on a periodic basis to determine whether the events or changes in circumstances indicate that the carrying amount of such assets may not be recoverable.</w:t>
      </w:r>
    </w:p>
    <w:p>
      <w:pPr>
        <w:spacing w:after="0" w:line="6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63"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74</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AND COMPUTER SOFTWARE</w:t>
      </w:r>
    </w:p>
    <w:p>
      <w:pPr>
        <w:spacing w:after="0" w:line="174" w:lineRule="exact"/>
        <w:rPr>
          <w:sz w:val="20"/>
          <w:szCs w:val="20"/>
          <w:color w:val="auto"/>
        </w:rPr>
      </w:pPr>
    </w:p>
    <w:p>
      <w:pPr>
        <w:ind w:right="3159" w:firstLine="447"/>
        <w:spacing w:after="0" w:line="259" w:lineRule="auto"/>
        <w:rPr>
          <w:sz w:val="20"/>
          <w:szCs w:val="20"/>
          <w:color w:val="auto"/>
        </w:rPr>
      </w:pPr>
      <w:r>
        <w:rPr>
          <w:rFonts w:ascii="Courier New" w:cs="Courier New" w:eastAsia="Courier New" w:hAnsi="Courier New"/>
          <w:sz w:val="15"/>
          <w:szCs w:val="15"/>
          <w:color w:val="auto"/>
        </w:rPr>
        <w:t>Research and development expenditures consist of costs incurred during the development of new software modules and product offerings, usually in conjunction with a customer project. Such costs are charged to operations as incurred. Certain computer software costs are capitalized in accordance with Statement of Financial Accounting Standards (SFAS) No. 86, "Accounting for the Costs of Computer Software to be Sold, Leased or Otherwise Marketed," which requires capitalization of software development costs subsequent to the establishment of technological feasibility.</w:t>
      </w:r>
    </w:p>
    <w:p>
      <w:pPr>
        <w:spacing w:after="0" w:line="81" w:lineRule="exact"/>
        <w:rPr>
          <w:sz w:val="20"/>
          <w:szCs w:val="20"/>
          <w:color w:val="auto"/>
        </w:rPr>
      </w:pPr>
    </w:p>
    <w:p>
      <w:pPr>
        <w:ind w:right="3259" w:firstLine="447"/>
        <w:spacing w:after="0" w:line="272" w:lineRule="auto"/>
        <w:rPr>
          <w:sz w:val="20"/>
          <w:szCs w:val="20"/>
          <w:color w:val="auto"/>
        </w:rPr>
      </w:pPr>
      <w:r>
        <w:rPr>
          <w:rFonts w:ascii="Courier New" w:cs="Courier New" w:eastAsia="Courier New" w:hAnsi="Courier New"/>
          <w:sz w:val="15"/>
          <w:szCs w:val="15"/>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69"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Purchased computer software, which is reported at the lower of amortized cost or net realizable value, is amortized over its estimated useful life of three years based on the ratio of the current gross revenue for each product to the total current and anticipated future gross revenue for each product. This accounting policy results in amortization of purchased computer software on a basis faster than the straight-line method.</w:t>
      </w:r>
    </w:p>
    <w:p>
      <w:pPr>
        <w:spacing w:after="0" w:line="74" w:lineRule="exact"/>
        <w:rPr>
          <w:sz w:val="20"/>
          <w:szCs w:val="20"/>
          <w:color w:val="auto"/>
        </w:rPr>
      </w:pPr>
    </w:p>
    <w:p>
      <w:pPr>
        <w:ind w:right="3159" w:firstLine="447"/>
        <w:spacing w:after="0" w:line="301" w:lineRule="auto"/>
        <w:rPr>
          <w:sz w:val="20"/>
          <w:szCs w:val="20"/>
          <w:color w:val="auto"/>
        </w:rPr>
      </w:pPr>
      <w:r>
        <w:rPr>
          <w:rFonts w:ascii="Courier New" w:cs="Courier New" w:eastAsia="Courier New" w:hAnsi="Courier New"/>
          <w:sz w:val="15"/>
          <w:szCs w:val="15"/>
          <w:color w:val="auto"/>
        </w:rPr>
        <w:t>Periodically, the Company considers whether there are indicators of impairment that would require the evaluation of the net realizable value of the capitalized computer software in comparison to its carrying value.</w:t>
      </w:r>
    </w:p>
    <w:p>
      <w:pPr>
        <w:spacing w:after="0" w:line="49"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In September 1997 the Company acquired certain intellectual properties rights. These rights are amortized over their estimated useful life of 10 years, on a straight line basis.</w:t>
      </w:r>
    </w:p>
    <w:p>
      <w:pPr>
        <w:spacing w:after="0" w:line="49" w:lineRule="exact"/>
        <w:rPr>
          <w:sz w:val="20"/>
          <w:szCs w:val="20"/>
          <w:color w:val="auto"/>
        </w:rPr>
      </w:pPr>
    </w:p>
    <w:p>
      <w:pPr>
        <w:ind w:right="3439" w:firstLine="447"/>
        <w:spacing w:after="0" w:line="359" w:lineRule="auto"/>
        <w:rPr>
          <w:sz w:val="20"/>
          <w:szCs w:val="20"/>
          <w:color w:val="auto"/>
        </w:rPr>
      </w:pPr>
      <w:r>
        <w:rPr>
          <w:rFonts w:ascii="Courier New" w:cs="Courier New" w:eastAsia="Courier New" w:hAnsi="Courier New"/>
          <w:sz w:val="15"/>
          <w:szCs w:val="15"/>
          <w:color w:val="auto"/>
        </w:rPr>
        <w:t>Accumulated amortization of intellectual properties rights and computer software is $11,060 and $328 at September 30, 1998 and 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SPLIT</w:t>
      </w:r>
    </w:p>
    <w:p>
      <w:pPr>
        <w:spacing w:after="0" w:line="174"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In September 1997 and May 1998, the Board of Directors of the Company authorized stock splits effected as dividends of Ordinary Shares. All references in the consolidated financial statements referring to shares, per share amounts, and contingently issuable shares have been adjusted retroactively for the stock splits.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The Company records deferred income taxes to reflect the net tax effects of temporary differences between the carrying amounts of assets and liabilities for financial reporting purposes and for tax purposes. Deferred taxes are computed based on tax rates anticipated to be in effect (under applicable law at the time the financial statements are prepared) when the deferred taxes are expected to be paid or realized.</w:t>
      </w:r>
    </w:p>
    <w:p>
      <w:pPr>
        <w:spacing w:after="0" w:line="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their parents.</w:t>
      </w:r>
    </w:p>
    <w:p>
      <w:pPr>
        <w:spacing w:after="0" w:line="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62"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75</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right="3079" w:firstLine="447"/>
        <w:spacing w:after="0" w:line="250" w:lineRule="auto"/>
        <w:rPr>
          <w:sz w:val="20"/>
          <w:szCs w:val="20"/>
          <w:color w:val="auto"/>
        </w:rPr>
      </w:pPr>
      <w:r>
        <w:rPr>
          <w:rFonts w:ascii="Courier New" w:cs="Courier New" w:eastAsia="Courier New" w:hAnsi="Courier New"/>
          <w:sz w:val="15"/>
          <w:szCs w:val="15"/>
          <w:color w:val="auto"/>
        </w:rPr>
        <w:t>The Company's software products require significant customization and therefore the development projects are recognized as long term contracts in conformity with Accounting Research Bulletin (ARB) No. 45 "Long Term Construction Type Contracts" and Statement of Position (SOP) 81-1 "Accounting for Performance of Construction Type and Certain Production Type Contracts" and SOP 97-2 "Software Revenue Recognition". License revenue is recognized as work is performed, using percentage of completion accounting. Service revenue that involves significant ongoing obligations, including fees for customization, implementation and support services, is recognized as work is performed, under the percentage of completion method. Revenue related to ongoing support is recognized as work is performed. Revenue from third party hardware and software sales is recognized when products are delivered. Maintenance revenue is recognized ratably over the term of the maintenance agreement, which in most cases is one year or less. As a result of its percentage of completion accounting policies, the Company's annual and quarterly operating results may be significantly affected by the size and timing of customer projects and the Company's progress in completing such projects.</w:t>
      </w:r>
    </w:p>
    <w:p>
      <w:pPr>
        <w:spacing w:after="0" w:line="87"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Losses are recognized on contracts in the period in which the liability is identified. Unearned revenue represents advance billings to customers for services and third-party products and generally is recognized within one year of receipt.</w:t>
      </w:r>
    </w:p>
    <w:p>
      <w:pPr>
        <w:spacing w:after="0" w:line="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Included in service revenue are sales of third-party products totaling</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$27,016 in 1996. Revenue from sales of such products in 1998 and 1997 are less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10 percent of total revenue and are expected to continue to be below 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 in the future. Such products include third-party computer hardware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computer software products.</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LICENSE AND COST OF SERVICE</w:t>
      </w:r>
    </w:p>
    <w:p>
      <w:pPr>
        <w:spacing w:after="0" w:line="1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Cost of license and service consists of all costs associated with providing services to customers, including warranty expense. Estimated costs related to warranty obligations are initially provided at the time the product is delivered and are revised to reflect subsequent changes in circumstances and estimates. Cost of license includes amortization of purchased computer software and intellectual property rights and, in 1997 and 1996 royalty expense.</w:t>
      </w:r>
    </w:p>
    <w:p>
      <w:pPr>
        <w:spacing w:after="0" w:line="74"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Included in cost of service are costs of third-party products associated with reselling third-party computer hardware and computer software products to customers. In 1996, such costs totaled $22,124. Customers purchasing third-party products from the Company generally do so in conjunction with the purchase of services.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NONRECURRING CHARGES</w:t>
      </w:r>
    </w:p>
    <w:p>
      <w:pPr>
        <w:spacing w:after="0" w:line="174" w:lineRule="exact"/>
        <w:rPr>
          <w:sz w:val="20"/>
          <w:szCs w:val="20"/>
          <w:color w:val="auto"/>
        </w:rPr>
      </w:pPr>
    </w:p>
    <w:p>
      <w:pPr>
        <w:ind w:right="3079" w:firstLine="447"/>
        <w:spacing w:after="0" w:line="266" w:lineRule="auto"/>
        <w:rPr>
          <w:sz w:val="20"/>
          <w:szCs w:val="20"/>
          <w:color w:val="auto"/>
        </w:rPr>
      </w:pPr>
      <w:r>
        <w:rPr>
          <w:rFonts w:ascii="Courier New" w:cs="Courier New" w:eastAsia="Courier New" w:hAnsi="Courier New"/>
          <w:sz w:val="15"/>
          <w:szCs w:val="15"/>
          <w:color w:val="auto"/>
        </w:rPr>
        <w:t>Amounts reflected as nonrecurring charges in the consolidated statements of operations of the year ended September 30, 1997 represent two items: (a) the payment of a one-time special bonus of $25,763 paid to a trust for the benefit of certain officers and employees related to past services and (b) a write-off of $1,800 in connection with the acquisition of certain software rights related to in-process research and development.</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OF ACCOUNTING FOR INTELLECTUAL PROPERTY RIGHTS</w:t>
      </w:r>
    </w:p>
    <w:p>
      <w:pPr>
        <w:spacing w:after="0" w:line="174" w:lineRule="exact"/>
        <w:rPr>
          <w:sz w:val="20"/>
          <w:szCs w:val="20"/>
          <w:color w:val="auto"/>
        </w:rPr>
      </w:pPr>
    </w:p>
    <w:p>
      <w:pPr>
        <w:ind w:right="3159" w:firstLine="447"/>
        <w:spacing w:after="0" w:line="250" w:lineRule="auto"/>
        <w:rPr>
          <w:sz w:val="20"/>
          <w:szCs w:val="20"/>
          <w:color w:val="auto"/>
        </w:rPr>
      </w:pPr>
      <w:r>
        <w:rPr>
          <w:rFonts w:ascii="Courier New" w:cs="Courier New" w:eastAsia="Courier New" w:hAnsi="Courier New"/>
          <w:sz w:val="15"/>
          <w:szCs w:val="15"/>
          <w:color w:val="auto"/>
        </w:rPr>
        <w:t>In 1998, the Company revised its accounting for certain intellectual property rights acquired in 1997. The cost of such rights, $26,200, was previously reported as a nonrecurring charge in 1997. Effective September 30, 1997, the rights were capitalized and are amortized over their estimated useful life of 10 years.</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63"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76</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4" w:lineRule="exact"/>
        <w:rPr>
          <w:sz w:val="20"/>
          <w:szCs w:val="20"/>
          <w:color w:val="auto"/>
        </w:rPr>
      </w:pPr>
    </w:p>
    <w:p>
      <w:pPr>
        <w:ind w:right="3079" w:firstLine="447"/>
        <w:spacing w:after="0" w:line="255" w:lineRule="auto"/>
        <w:rPr>
          <w:sz w:val="20"/>
          <w:szCs w:val="20"/>
          <w:color w:val="auto"/>
        </w:rPr>
      </w:pPr>
      <w:r>
        <w:rPr>
          <w:rFonts w:ascii="Courier New" w:cs="Courier New" w:eastAsia="Courier New" w:hAnsi="Courier New"/>
          <w:sz w:val="15"/>
          <w:szCs w:val="15"/>
          <w:color w:val="auto"/>
        </w:rPr>
        <w:t>The Company accounts for stock-based compensation in accordance with Accounting Principles Board Opinion No. 25, "Accounting for Stock Issued to Employees."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See Note 14 for pro forma disclosures required in accordance with Statement No. 123, "Accounting for Stock-Based Compensation," ("SFAS 123") of the Financial Accounting Standards Board.</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4"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The financial instruments of the Company consist mainly of cash and cash equivalents, accounts receivable, short-term financing arrangements, forward exchange contracts, and lease obligations. In view of their nature, the fair value of the financial instruments included in the accounts of the Company does not significantly vary from their carrying amount.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74" w:lineRule="exact"/>
        <w:rPr>
          <w:sz w:val="20"/>
          <w:szCs w:val="20"/>
          <w:color w:val="auto"/>
        </w:rPr>
      </w:pPr>
    </w:p>
    <w:p>
      <w:pPr>
        <w:ind w:right="3079" w:firstLine="447"/>
        <w:spacing w:after="0" w:line="278"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trade receivables. The Company invests its excess cash primarily in highly liquid U.S. dollar-denominated deposits with major U.S. and U.K. banks. The Company does not expect any credit losses in respect of these items. The Company's revenue is generated primarily in North America, Europe, Australia, Brazil and the Asia-Pacific region, and most of its customers are among the largest telecommunications and directory publishing companies in the world (or owned by them). The Company performs ongoing analysis of its customer base and generally does not require collateral.</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4" w:lineRule="exact"/>
        <w:rPr>
          <w:sz w:val="20"/>
          <w:szCs w:val="20"/>
          <w:color w:val="auto"/>
        </w:rPr>
      </w:pPr>
    </w:p>
    <w:p>
      <w:pPr>
        <w:ind w:right="3699" w:firstLine="447"/>
        <w:spacing w:after="0" w:line="359" w:lineRule="auto"/>
        <w:rPr>
          <w:sz w:val="20"/>
          <w:szCs w:val="20"/>
          <w:color w:val="auto"/>
        </w:rPr>
      </w:pPr>
      <w:r>
        <w:rPr>
          <w:rFonts w:ascii="Courier New" w:cs="Courier New" w:eastAsia="Courier New" w:hAnsi="Courier New"/>
          <w:sz w:val="15"/>
          <w:szCs w:val="15"/>
          <w:color w:val="auto"/>
        </w:rPr>
        <w:t>Certain amounts in the 1997 and 1996 financial information have been reclassified to conform to the current year presentation.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STANDARDS</w:t>
      </w:r>
    </w:p>
    <w:p>
      <w:pPr>
        <w:spacing w:after="0" w:line="174"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In February 1997, the Financial Accounting Standards Board (FASB) issued SFAS No. 128, "Earnings per Share" which was adopted on December 31, 1997. SFAS No. 128 replaced previously reported primary and fully diluted earnings per share with basic and diluted earnings per share. Unlike primary earnings per share, basic earnings per share exclude the dilutive effects of options, warrants and convertible securities. Diluted earnings per share are very similar to previously reported fully diluted earnings per share. All earnings per share amounts for all periods have been presented, and where necessary restated to conform to the SFAS No. 128 requirements.</w:t>
      </w:r>
    </w:p>
    <w:p>
      <w:pPr>
        <w:spacing w:after="0" w:line="83"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5"/>
          <w:szCs w:val="15"/>
          <w:color w:val="auto"/>
        </w:rPr>
        <w:t>In June 1997, the FASB issued SFAS No. 130, "Reporting Comprehensive Income" which was adopted on October 1, 1997. This new Statement establishes standards for reporting and displaying comprehensive income exclusive of net income and its components in a company's financial statements. At the present time, the only component of comprehensive income which must be included in the Company's financial statements is unrealized gains and losses on derivative instruments designated as cash flow hedges.</w:t>
      </w:r>
    </w:p>
    <w:p>
      <w:pPr>
        <w:spacing w:after="0" w:line="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62"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77</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In June 1997, the FASB issued SFAS No. 131, "Disclosures about Segments of an Enterprise and Related Information" which was adopted on December 31, 1997. SFAS No. 131 requires companies to provide financial and descriptive information about their operating segments. All operating segment information for all periods has been presented.</w:t>
      </w:r>
    </w:p>
    <w:p>
      <w:pPr>
        <w:spacing w:after="0" w:line="69"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In October 1997, the AICPA issued SOP 97-2, "Software Revenue Recognition," which updates the requirements of revenue recognition effective for transactions that the Company has entered into beginning January 1, 1998. The adoption of SOP 97-2 did not have a material impact on the Company's financial position or results of operations.</w:t>
      </w:r>
    </w:p>
    <w:p>
      <w:pPr>
        <w:spacing w:after="0" w:line="69" w:lineRule="exact"/>
        <w:rPr>
          <w:sz w:val="20"/>
          <w:szCs w:val="20"/>
          <w:color w:val="auto"/>
        </w:rPr>
      </w:pPr>
    </w:p>
    <w:p>
      <w:pPr>
        <w:ind w:right="3079" w:firstLine="447"/>
        <w:spacing w:after="0" w:line="253"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is required to be adopted in years beginning after June 15, 1999. The Statement permits early adoption as of the beginning of any fiscal quarter after its issuance. The Company adopted the new Statement effective July 1, 1998. The Statement requires the Company to recognize all derivatives on the balance sheet at fair value. If the derivative meets the definition of a hedge and is so designated,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will be immediately recognized in earnings.</w:t>
      </w:r>
    </w:p>
    <w:p>
      <w:pPr>
        <w:spacing w:after="0" w:line="87"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In March 1998, the AICPA issued SOP 98-1, "Accounting For the Costs of Computer Software Developed For or Obtained For Internal-Use". The provisions of the SOP must be applied in financial statements for fiscal years beginning after December 15, 1998. The SOP will require the capitalization of certain costs incurred after the date of adoption in connection with developing or obtaining software for internal-use. The company currently expenses such costs as incurred. The Company has not yet assessed what the impact of the SOP will be on the Company's future earnings or financial position.</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The Company's most significant estimates are related to contract accounting estimates used to recognize revenue under percentage of completion contracts. Actual results could differ from those estimates.</w:t>
      </w:r>
    </w:p>
    <w:p>
      <w:pPr>
        <w:spacing w:after="0" w:line="8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RELATED-PARTY TRANSACTIONS</w:t>
      </w:r>
    </w:p>
    <w:p>
      <w:pPr>
        <w:spacing w:after="0" w:line="174"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The Company licenses software and provides computer systems integration and related services to several affiliates of a significant shareholder of the Company (the "affiliates"). Revenue from the affiliates totaled approximately $84,400, $100,500 and $78,500 in 1998, 1997 and 1996, respectively. Through September 1997 the Company also paid royalties to the affiliates for the licensing of computer software. Royalty expense totaled approximately $3,400 and $4,000 in 1997 and 1996, respectively. Amounts due to the affiliates related to these royalties were $0 and $436 at September 30, 1998 and 1997, respectively, and were included in accounts payable and accrued expenses.</w:t>
      </w:r>
    </w:p>
    <w:p>
      <w:pPr>
        <w:spacing w:after="0" w:line="83" w:lineRule="exact"/>
        <w:rPr>
          <w:sz w:val="20"/>
          <w:szCs w:val="20"/>
          <w:color w:val="auto"/>
        </w:rPr>
      </w:pPr>
    </w:p>
    <w:p>
      <w:pPr>
        <w:ind w:right="3159" w:firstLine="447"/>
        <w:spacing w:after="0" w:line="301" w:lineRule="auto"/>
        <w:rPr>
          <w:sz w:val="20"/>
          <w:szCs w:val="20"/>
          <w:color w:val="auto"/>
        </w:rPr>
      </w:pPr>
      <w:r>
        <w:rPr>
          <w:rFonts w:ascii="Courier New" w:cs="Courier New" w:eastAsia="Courier New" w:hAnsi="Courier New"/>
          <w:sz w:val="15"/>
          <w:szCs w:val="15"/>
          <w:color w:val="auto"/>
        </w:rPr>
        <w:t>On September 22, 1997, the Company purchased certain computer software and intellectual property rights from the affiliates for an aggregate amount of $40,000. As a result, the Company</w:t>
      </w:r>
    </w:p>
    <w:p>
      <w:pPr>
        <w:spacing w:after="0" w:line="4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63"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78</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5"/>
          <w:szCs w:val="15"/>
          <w:color w:val="auto"/>
        </w:rPr>
        <w:t>no longer pays royalties to the affiliates related to the purchased computer software. In process research and development, related to this transaction resulted in a nonrecurring charge of $1,800. The remainder has been capitalized as computer software and intellectual property rights.</w:t>
      </w:r>
    </w:p>
    <w:p>
      <w:pPr>
        <w:spacing w:after="0" w:line="64"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persons affiliated with the investors party to the Share Subscription Agreement referred to in Note 13. The notes bore an interest rate of 5.75 percent per annum and were originally due September 22, 1998. The notes were paid in March 1998.</w:t>
      </w:r>
    </w:p>
    <w:p>
      <w:pPr>
        <w:spacing w:after="0" w:line="69" w:lineRule="exact"/>
        <w:rPr>
          <w:sz w:val="20"/>
          <w:szCs w:val="20"/>
          <w:color w:val="auto"/>
        </w:rPr>
      </w:pPr>
    </w:p>
    <w:p>
      <w:pPr>
        <w:jc w:val="both"/>
        <w:ind w:right="3519" w:firstLine="447"/>
        <w:spacing w:after="0" w:line="281" w:lineRule="auto"/>
        <w:rPr>
          <w:sz w:val="20"/>
          <w:szCs w:val="20"/>
          <w:color w:val="auto"/>
        </w:rPr>
      </w:pPr>
      <w:r>
        <w:rPr>
          <w:rFonts w:ascii="Courier New" w:cs="Courier New" w:eastAsia="Courier New" w:hAnsi="Courier New"/>
          <w:sz w:val="15"/>
          <w:szCs w:val="15"/>
          <w:color w:val="auto"/>
        </w:rPr>
        <w:t>In January 1998, the Company issued $123,500 in principal amount of 10 percent subordinated notes to affiliates of certain shareholders which were party to the Conditional Investment Agreement referred to in Note 13. This amount was paid as described in Note 8.</w:t>
      </w:r>
    </w:p>
    <w:p>
      <w:pPr>
        <w:spacing w:after="0" w:line="64"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The Company leases office space in Israel on a month-to-month basis and purchases other miscellaneous support services from affiliates of certain shareholders. Amounts paid for rent and related maintenance and other miscellaneous support services were approximately $2,835, $2,900 and $2,260 for 1998, 1997 and 1996, respectively.</w:t>
      </w:r>
    </w:p>
    <w:p>
      <w:pPr>
        <w:spacing w:after="0" w:line="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COMPENSATING BALANCES</w:t>
      </w:r>
    </w:p>
    <w:p>
      <w:pPr>
        <w:spacing w:after="0" w:line="174" w:lineRule="exact"/>
        <w:rPr>
          <w:sz w:val="20"/>
          <w:szCs w:val="20"/>
          <w:color w:val="auto"/>
        </w:rPr>
      </w:pPr>
    </w:p>
    <w:p>
      <w:pPr>
        <w:ind w:right="3159" w:firstLine="447"/>
        <w:spacing w:after="0" w:line="359" w:lineRule="auto"/>
        <w:rPr>
          <w:sz w:val="20"/>
          <w:szCs w:val="20"/>
          <w:color w:val="auto"/>
        </w:rPr>
      </w:pPr>
      <w:r>
        <w:rPr>
          <w:rFonts w:ascii="Courier New" w:cs="Courier New" w:eastAsia="Courier New" w:hAnsi="Courier New"/>
          <w:sz w:val="15"/>
          <w:szCs w:val="15"/>
          <w:color w:val="auto"/>
        </w:rPr>
        <w:t>The Company was required to maintain compensating cash balances of $574 at September 30, 1998 and 1997, relating to foreign currency contracts.</w:t>
      </w:r>
    </w:p>
    <w:p>
      <w:pPr>
        <w:spacing w:after="0" w:line="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EQUIPMENT, VEHICLES AND LEASEHOLD IMPROVEMENTS</w:t>
      </w:r>
    </w:p>
    <w:p>
      <w:pPr>
        <w:spacing w:after="0" w:line="174" w:lineRule="exact"/>
        <w:rPr>
          <w:sz w:val="20"/>
          <w:szCs w:val="20"/>
          <w:color w:val="auto"/>
        </w:rPr>
      </w:pPr>
    </w:p>
    <w:p>
      <w:pPr>
        <w:ind w:right="3339" w:firstLine="447"/>
        <w:spacing w:after="0" w:line="359" w:lineRule="auto"/>
        <w:rPr>
          <w:sz w:val="20"/>
          <w:szCs w:val="20"/>
          <w:color w:val="auto"/>
        </w:rPr>
      </w:pPr>
      <w:r>
        <w:rPr>
          <w:rFonts w:ascii="Courier New" w:cs="Courier New" w:eastAsia="Courier New" w:hAnsi="Courier New"/>
          <w:sz w:val="15"/>
          <w:szCs w:val="15"/>
          <w:color w:val="auto"/>
        </w:rPr>
        <w:t>Components of equipment, vehicles and leasehold improvements, net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90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4280" w:type="dxa"/>
            <w:vAlign w:val="bottom"/>
          </w:tcPr>
          <w:p>
            <w:pPr>
              <w:spacing w:after="0"/>
              <w:rPr>
                <w:sz w:val="21"/>
                <w:szCs w:val="21"/>
                <w:color w:val="auto"/>
              </w:rPr>
            </w:pPr>
          </w:p>
        </w:tc>
        <w:tc>
          <w:tcPr>
            <w:tcW w:w="90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2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9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$ 6,852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$ 2,900</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9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37,534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24,688</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Vehicles furnished to employees................</w:t>
            </w:r>
          </w:p>
        </w:tc>
        <w:tc>
          <w:tcPr>
            <w:tcW w:w="9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20,500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16,708</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9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12,353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3,481</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900" w:type="dxa"/>
            <w:vAlign w:val="bottom"/>
            <w:vMerge w:val="restart"/>
          </w:tcPr>
          <w:p>
            <w:pPr>
              <w:jc w:val="right"/>
              <w:ind w:right="109"/>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77,239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vMerge w:val="restart"/>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90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47,777</w:t>
            </w:r>
          </w:p>
        </w:tc>
        <w:tc>
          <w:tcPr>
            <w:tcW w:w="0" w:type="dxa"/>
            <w:vAlign w:val="bottom"/>
          </w:tcPr>
          <w:p>
            <w:pPr>
              <w:spacing w:after="0"/>
              <w:rPr>
                <w:sz w:val="1"/>
                <w:szCs w:val="1"/>
                <w:color w:val="auto"/>
              </w:rPr>
            </w:pPr>
          </w:p>
        </w:tc>
      </w:tr>
      <w:tr>
        <w:trPr>
          <w:trHeight w:val="172"/>
        </w:trPr>
        <w:tc>
          <w:tcPr>
            <w:tcW w:w="4280" w:type="dxa"/>
            <w:vAlign w:val="bottom"/>
            <w:vMerge w:val="continue"/>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30,835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19,490</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900" w:type="dxa"/>
            <w:vAlign w:val="bottom"/>
            <w:vMerge w:val="restart"/>
          </w:tcPr>
          <w:p>
            <w:pPr>
              <w:jc w:val="right"/>
              <w:ind w:right="109"/>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46,404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$28,287</w:t>
            </w:r>
          </w:p>
        </w:tc>
        <w:tc>
          <w:tcPr>
            <w:tcW w:w="0" w:type="dxa"/>
            <w:vAlign w:val="bottom"/>
          </w:tcPr>
          <w:p>
            <w:pPr>
              <w:spacing w:after="0"/>
              <w:rPr>
                <w:sz w:val="1"/>
                <w:szCs w:val="1"/>
                <w:color w:val="auto"/>
              </w:rPr>
            </w:pPr>
          </w:p>
        </w:tc>
      </w:tr>
      <w:tr>
        <w:trPr>
          <w:trHeight w:val="252"/>
        </w:trPr>
        <w:tc>
          <w:tcPr>
            <w:tcW w:w="4280" w:type="dxa"/>
            <w:vAlign w:val="bottom"/>
          </w:tcPr>
          <w:p>
            <w:pPr>
              <w:spacing w:after="0"/>
              <w:rPr>
                <w:sz w:val="21"/>
                <w:szCs w:val="21"/>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A subsidiary of the Company has entered into various leasing arrangements with a commercial bank of vehicles for periods of five years, carrying interest rates of LIBOR plus a varying interest rate of 0.7 percent to 1 percent (6.5 percent at September 30, 1998). The Company has accounted for these as capital leases. Capital lease payments, excluding interest, due over the next five years are as follows: $2,952 in 1999, $3,148 in 2000, $3,005 in 2001, $2,200 in 2002 and $862 in 2003.</w:t>
      </w:r>
    </w:p>
    <w:p>
      <w:pPr>
        <w:spacing w:after="0" w:line="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63"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79</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OTHER NONCURRENT ASSETS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assets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9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4280" w:type="dxa"/>
            <w:vAlign w:val="bottom"/>
          </w:tcPr>
          <w:p>
            <w:pPr>
              <w:spacing w:after="0"/>
              <w:rPr>
                <w:sz w:val="21"/>
                <w:szCs w:val="21"/>
                <w:color w:val="auto"/>
              </w:rPr>
            </w:pPr>
          </w:p>
        </w:tc>
        <w:tc>
          <w:tcPr>
            <w:tcW w:w="9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4280" w:type="dxa"/>
            <w:vAlign w:val="bottom"/>
          </w:tcPr>
          <w:p>
            <w:pPr>
              <w:spacing w:after="0"/>
              <w:rPr>
                <w:sz w:val="20"/>
                <w:szCs w:val="20"/>
                <w:color w:val="auto"/>
              </w:rPr>
            </w:pPr>
            <w:r>
              <w:rPr>
                <w:rFonts w:ascii="Courier New" w:cs="Courier New" w:eastAsia="Courier New" w:hAnsi="Courier New"/>
                <w:sz w:val="15"/>
                <w:szCs w:val="15"/>
                <w:color w:val="auto"/>
              </w:rPr>
              <w:t>Funded personnel benefit costs.................</w:t>
            </w: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$13,622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$10,660</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Computer software, net of amortization of</w:t>
            </w:r>
          </w:p>
        </w:tc>
        <w:tc>
          <w:tcPr>
            <w:tcW w:w="90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3,778</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11,890</w:t>
            </w:r>
          </w:p>
        </w:tc>
        <w:tc>
          <w:tcPr>
            <w:tcW w:w="0" w:type="dxa"/>
            <w:vAlign w:val="bottom"/>
          </w:tcPr>
          <w:p>
            <w:pPr>
              <w:spacing w:after="0"/>
              <w:rPr>
                <w:sz w:val="1"/>
                <w:szCs w:val="1"/>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$8,222 in 1998, and $110 in 1997.............</w:t>
            </w:r>
          </w:p>
        </w:tc>
        <w:tc>
          <w:tcPr>
            <w:tcW w:w="9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3,155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2,793</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900" w:type="dxa"/>
            <w:vAlign w:val="bottom"/>
            <w:vMerge w:val="restart"/>
          </w:tcPr>
          <w:p>
            <w:pPr>
              <w:jc w:val="right"/>
              <w:ind w:right="10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20,555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$25,343</w:t>
            </w:r>
          </w:p>
        </w:tc>
        <w:tc>
          <w:tcPr>
            <w:tcW w:w="0" w:type="dxa"/>
            <w:vAlign w:val="bottom"/>
          </w:tcPr>
          <w:p>
            <w:pPr>
              <w:spacing w:after="0"/>
              <w:rPr>
                <w:sz w:val="1"/>
                <w:szCs w:val="1"/>
                <w:color w:val="auto"/>
              </w:rPr>
            </w:pPr>
          </w:p>
        </w:tc>
      </w:tr>
      <w:tr>
        <w:trPr>
          <w:trHeight w:val="252"/>
        </w:trPr>
        <w:tc>
          <w:tcPr>
            <w:tcW w:w="4280" w:type="dxa"/>
            <w:vAlign w:val="bottom"/>
          </w:tcPr>
          <w:p>
            <w:pPr>
              <w:spacing w:after="0"/>
              <w:rPr>
                <w:sz w:val="21"/>
                <w:szCs w:val="21"/>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INCOME TAXES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00" w:type="dxa"/>
            <w:vAlign w:val="bottom"/>
          </w:tcPr>
          <w:p>
            <w:pPr>
              <w:spacing w:after="0"/>
              <w:rPr>
                <w:sz w:val="14"/>
                <w:szCs w:val="14"/>
                <w:color w:val="auto"/>
              </w:rPr>
            </w:pPr>
          </w:p>
        </w:tc>
        <w:tc>
          <w:tcPr>
            <w:tcW w:w="276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YEAR ENDED SEPTEMBER 30,</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940" w:type="dxa"/>
            <w:vAlign w:val="bottom"/>
          </w:tcPr>
          <w:p>
            <w:pPr>
              <w:jc w:val="right"/>
              <w:ind w:right="328"/>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1"/>
                <w:szCs w:val="21"/>
                <w:color w:val="auto"/>
              </w:rPr>
            </w:pPr>
          </w:p>
        </w:tc>
        <w:tc>
          <w:tcPr>
            <w:tcW w:w="940" w:type="dxa"/>
            <w:vAlign w:val="bottom"/>
          </w:tcPr>
          <w:p>
            <w:pPr>
              <w:jc w:val="right"/>
              <w:ind w:right="328"/>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$32,376</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$ 29,695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$ 5,645</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(1,991)</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(11,868)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4,861</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940" w:type="dxa"/>
            <w:vAlign w:val="bottom"/>
            <w:vMerge w:val="restart"/>
          </w:tcPr>
          <w:p>
            <w:pPr>
              <w:jc w:val="right"/>
              <w:ind w:right="14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30,385</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$ 17,827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1"/>
                <w:szCs w:val="21"/>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159" w:firstLine="447"/>
        <w:spacing w:after="0" w:line="281" w:lineRule="auto"/>
        <w:rPr>
          <w:sz w:val="20"/>
          <w:szCs w:val="20"/>
          <w:color w:val="auto"/>
        </w:rPr>
      </w:pPr>
      <w:r>
        <w:rPr>
          <w:rFonts w:ascii="Courier New" w:cs="Courier New" w:eastAsia="Courier New" w:hAnsi="Courier New"/>
          <w:sz w:val="15"/>
          <w:szCs w:val="15"/>
          <w:color w:val="auto"/>
        </w:rPr>
        <w:t>All income taxes are from continuing operations reported by the Company in the applicable taxing jurisdiction. Income taxes also include anticipated withholding taxes due on subsidiaries' earnings when paid as dividends to their parent company.</w:t>
      </w:r>
    </w:p>
    <w:p>
      <w:pPr>
        <w:spacing w:after="0" w:line="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income taxes are comprised of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0" w:type="dxa"/>
            <w:vAlign w:val="bottom"/>
          </w:tcPr>
          <w:p>
            <w:pPr>
              <w:spacing w:after="0"/>
              <w:rPr>
                <w:sz w:val="14"/>
                <w:szCs w:val="14"/>
                <w:color w:val="auto"/>
              </w:rPr>
            </w:pPr>
          </w:p>
        </w:tc>
        <w:tc>
          <w:tcPr>
            <w:tcW w:w="94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940" w:type="dxa"/>
            <w:vAlign w:val="bottom"/>
          </w:tcPr>
          <w:p>
            <w:pPr>
              <w:jc w:val="right"/>
              <w:ind w:right="329"/>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DEFERRED ASSETS:</w:t>
            </w:r>
          </w:p>
        </w:tc>
        <w:tc>
          <w:tcPr>
            <w:tcW w:w="940" w:type="dxa"/>
            <w:vAlign w:val="bottom"/>
            <w:vMerge w:val="restart"/>
          </w:tcPr>
          <w:p>
            <w:pPr>
              <w:jc w:val="right"/>
              <w:ind w:right="149"/>
              <w:spacing w:after="0"/>
              <w:rPr>
                <w:sz w:val="20"/>
                <w:szCs w:val="20"/>
                <w:color w:val="auto"/>
              </w:rPr>
            </w:pPr>
            <w:r>
              <w:rPr>
                <w:rFonts w:ascii="Courier New" w:cs="Courier New" w:eastAsia="Courier New" w:hAnsi="Courier New"/>
                <w:sz w:val="15"/>
                <w:szCs w:val="15"/>
                <w:color w:val="auto"/>
              </w:rPr>
              <w:t>$ 5,849</w:t>
            </w:r>
          </w:p>
        </w:tc>
        <w:tc>
          <w:tcPr>
            <w:tcW w:w="8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$ 5,900</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Unearned revenue.......................................</w:t>
            </w: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Accrued personnel costs................................</w:t>
            </w:r>
          </w:p>
        </w:tc>
        <w:tc>
          <w:tcPr>
            <w:tcW w:w="9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7,027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6,621</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Computer software and intellectual property............</w:t>
            </w:r>
          </w:p>
        </w:tc>
        <w:tc>
          <w:tcPr>
            <w:tcW w:w="9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1,735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3,339</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Warranty and maintenance accruals......................</w:t>
            </w:r>
          </w:p>
        </w:tc>
        <w:tc>
          <w:tcPr>
            <w:tcW w:w="9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2,184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5,512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1,259</w:t>
            </w:r>
          </w:p>
        </w:tc>
        <w:tc>
          <w:tcPr>
            <w:tcW w:w="0" w:type="dxa"/>
            <w:vAlign w:val="bottom"/>
          </w:tcPr>
          <w:p>
            <w:pPr>
              <w:spacing w:after="0"/>
              <w:rPr>
                <w:sz w:val="1"/>
                <w:szCs w:val="1"/>
                <w:color w:val="auto"/>
              </w:rPr>
            </w:pPr>
          </w:p>
        </w:tc>
      </w:tr>
      <w:tr>
        <w:trPr>
          <w:trHeight w:val="172"/>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Total deferred assets..................................</w:t>
            </w:r>
          </w:p>
        </w:tc>
        <w:tc>
          <w:tcPr>
            <w:tcW w:w="940" w:type="dxa"/>
            <w:vAlign w:val="bottom"/>
            <w:vMerge w:val="restart"/>
          </w:tcPr>
          <w:p>
            <w:pPr>
              <w:jc w:val="right"/>
              <w:ind w:right="149"/>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22,307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17,119</w:t>
            </w:r>
          </w:p>
        </w:tc>
        <w:tc>
          <w:tcPr>
            <w:tcW w:w="0" w:type="dxa"/>
            <w:vAlign w:val="bottom"/>
          </w:tcPr>
          <w:p>
            <w:pPr>
              <w:spacing w:after="0"/>
              <w:rPr>
                <w:sz w:val="1"/>
                <w:szCs w:val="1"/>
                <w:color w:val="auto"/>
              </w:rPr>
            </w:pPr>
          </w:p>
        </w:tc>
      </w:tr>
      <w:tr>
        <w:trPr>
          <w:trHeight w:val="252"/>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DEFERRED LIABILITIES:</w:t>
            </w:r>
          </w:p>
        </w:tc>
        <w:tc>
          <w:tcPr>
            <w:tcW w:w="9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000" w:type="dxa"/>
            <w:vAlign w:val="bottom"/>
            <w:vMerge w:val="continue"/>
          </w:tcPr>
          <w:p>
            <w:pPr>
              <w:spacing w:after="0"/>
              <w:rPr>
                <w:sz w:val="7"/>
                <w:szCs w:val="7"/>
                <w:color w:val="auto"/>
              </w:rPr>
            </w:pPr>
          </w:p>
        </w:tc>
        <w:tc>
          <w:tcPr>
            <w:tcW w:w="940" w:type="dxa"/>
            <w:vAlign w:val="bottom"/>
            <w:vMerge w:val="restart"/>
          </w:tcPr>
          <w:p>
            <w:pPr>
              <w:jc w:val="right"/>
              <w:ind w:right="69"/>
              <w:spacing w:after="0"/>
              <w:rPr>
                <w:sz w:val="20"/>
                <w:szCs w:val="20"/>
                <w:color w:val="auto"/>
              </w:rPr>
            </w:pPr>
            <w:r>
              <w:rPr>
                <w:rFonts w:ascii="Courier New" w:cs="Courier New" w:eastAsia="Courier New" w:hAnsi="Courier New"/>
                <w:sz w:val="15"/>
                <w:szCs w:val="15"/>
                <w:color w:val="auto"/>
              </w:rPr>
              <w:t>(7,945)</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(4,748)</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Anticipated withholdings on subsidiaries' earnings.....</w:t>
            </w:r>
          </w:p>
        </w:tc>
        <w:tc>
          <w:tcPr>
            <w:tcW w:w="9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Total deferred liabilities.............................</w:t>
            </w:r>
          </w:p>
        </w:tc>
        <w:tc>
          <w:tcPr>
            <w:tcW w:w="940" w:type="dxa"/>
            <w:vAlign w:val="bottom"/>
            <w:vMerge w:val="restart"/>
          </w:tcPr>
          <w:p>
            <w:pPr>
              <w:jc w:val="right"/>
              <w:ind w:right="69"/>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(7,945)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(4,748)</w:t>
            </w:r>
          </w:p>
        </w:tc>
        <w:tc>
          <w:tcPr>
            <w:tcW w:w="0" w:type="dxa"/>
            <w:vAlign w:val="bottom"/>
          </w:tcPr>
          <w:p>
            <w:pPr>
              <w:spacing w:after="0"/>
              <w:rPr>
                <w:sz w:val="1"/>
                <w:szCs w:val="1"/>
                <w:color w:val="auto"/>
              </w:rPr>
            </w:pPr>
          </w:p>
        </w:tc>
      </w:tr>
      <w:tr>
        <w:trPr>
          <w:trHeight w:val="172"/>
        </w:trPr>
        <w:tc>
          <w:tcPr>
            <w:tcW w:w="5000" w:type="dxa"/>
            <w:vAlign w:val="bottom"/>
            <w:vMerge w:val="restart"/>
          </w:tcPr>
          <w:p>
            <w:pPr>
              <w:spacing w:after="0"/>
              <w:rPr>
                <w:sz w:val="20"/>
                <w:szCs w:val="20"/>
                <w:color w:val="auto"/>
              </w:rPr>
            </w:pPr>
            <w:r>
              <w:rPr>
                <w:rFonts w:ascii="Courier New" w:cs="Courier New" w:eastAsia="Courier New" w:hAnsi="Courier New"/>
                <w:sz w:val="15"/>
                <w:szCs w:val="15"/>
                <w:color w:val="auto"/>
              </w:rPr>
              <w:t>Net deferred assets....................................</w:t>
            </w:r>
          </w:p>
        </w:tc>
        <w:tc>
          <w:tcPr>
            <w:tcW w:w="940" w:type="dxa"/>
            <w:vAlign w:val="bottom"/>
            <w:vMerge w:val="restart"/>
          </w:tcPr>
          <w:p>
            <w:pPr>
              <w:jc w:val="right"/>
              <w:ind w:right="149"/>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14,362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$12,371</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6"/>
        </w:trPr>
        <w:tc>
          <w:tcPr>
            <w:tcW w:w="5000" w:type="dxa"/>
            <w:vAlign w:val="bottom"/>
          </w:tcPr>
          <w:p>
            <w:pPr>
              <w:ind w:left="3400"/>
              <w:spacing w:after="0"/>
              <w:rPr>
                <w:sz w:val="20"/>
                <w:szCs w:val="20"/>
                <w:color w:val="auto"/>
              </w:rPr>
            </w:pPr>
            <w:r>
              <w:rPr>
                <w:rFonts w:ascii="Courier New" w:cs="Courier New" w:eastAsia="Courier New" w:hAnsi="Courier New"/>
                <w:sz w:val="15"/>
                <w:szCs w:val="15"/>
                <w:color w:val="auto"/>
              </w:rPr>
              <w:t>F-14</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86" w:name="page87"/>
    <w:bookmarkEnd w:id="86"/>
    <w:p>
      <w:pPr>
        <w:ind w:left="268"/>
        <w:spacing w:after="0"/>
        <w:rPr>
          <w:sz w:val="20"/>
          <w:szCs w:val="20"/>
          <w:color w:val="auto"/>
        </w:rPr>
      </w:pPr>
      <w:r>
        <w:rPr>
          <w:rFonts w:ascii="Courier New" w:cs="Courier New" w:eastAsia="Courier New" w:hAnsi="Courier New"/>
          <w:sz w:val="15"/>
          <w:szCs w:val="15"/>
          <w:color w:val="auto"/>
        </w:rPr>
        <w:t>80</w:t>
      </w:r>
    </w:p>
    <w:p>
      <w:pPr>
        <w:spacing w:after="0" w:line="3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effective income tax rate varied from the statutory Guernsey tax rate</w:t>
      </w:r>
    </w:p>
    <w:p>
      <w:pPr>
        <w:spacing w:after="0" w:line="30" w:lineRule="exact"/>
        <w:rPr>
          <w:sz w:val="20"/>
          <w:szCs w:val="20"/>
          <w:color w:val="auto"/>
        </w:rPr>
      </w:pPr>
    </w:p>
    <w:tbl>
      <w:tblPr>
        <w:tblLayout w:type="fixed"/>
        <w:tblInd w:w="8" w:type="dxa"/>
        <w:tblCellMar>
          <w:top w:w="0" w:type="dxa"/>
          <w:left w:w="0" w:type="dxa"/>
          <w:bottom w:w="0" w:type="dxa"/>
          <w:right w:w="0" w:type="dxa"/>
        </w:tblCellMar>
      </w:tblPr>
      <w:tr>
        <w:trPr>
          <w:trHeight w:val="2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as follows:</w:t>
            </w: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0"/>
        </w:trPr>
        <w:tc>
          <w:tcPr>
            <w:tcW w:w="3560" w:type="dxa"/>
            <w:vAlign w:val="bottom"/>
          </w:tcPr>
          <w:p>
            <w:pPr>
              <w:spacing w:after="0"/>
              <w:rPr>
                <w:sz w:val="24"/>
                <w:szCs w:val="2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3560" w:type="dxa"/>
            <w:vAlign w:val="bottom"/>
          </w:tcPr>
          <w:p>
            <w:pPr>
              <w:spacing w:after="0"/>
              <w:rPr>
                <w:sz w:val="21"/>
                <w:szCs w:val="21"/>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2"/>
        </w:trPr>
        <w:tc>
          <w:tcPr>
            <w:tcW w:w="3560" w:type="dxa"/>
            <w:vAlign w:val="bottom"/>
            <w:vMerge w:val="restart"/>
          </w:tcPr>
          <w:p>
            <w:pPr>
              <w:spacing w:after="0"/>
              <w:rPr>
                <w:sz w:val="20"/>
                <w:szCs w:val="20"/>
                <w:color w:val="auto"/>
              </w:rPr>
            </w:pPr>
            <w:r>
              <w:rPr>
                <w:rFonts w:ascii="Courier New" w:cs="Courier New" w:eastAsia="Courier New" w:hAnsi="Courier New"/>
                <w:sz w:val="15"/>
                <w:szCs w:val="15"/>
                <w:color w:val="auto"/>
              </w:rPr>
              <w:t>Effective income tax rate..............</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560" w:type="dxa"/>
            <w:vAlign w:val="bottom"/>
            <w:vMerge w:val="continue"/>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252"/>
        </w:trPr>
        <w:tc>
          <w:tcPr>
            <w:tcW w:w="3560" w:type="dxa"/>
            <w:vAlign w:val="bottom"/>
          </w:tcPr>
          <w:p>
            <w:pPr>
              <w:spacing w:after="0"/>
              <w:rPr>
                <w:sz w:val="21"/>
                <w:szCs w:val="21"/>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188" w:right="3159" w:hanging="188"/>
        <w:spacing w:after="0" w:line="262" w:lineRule="auto"/>
        <w:tabs>
          <w:tab w:leader="none" w:pos="18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1998 and 1997 the Company incurred tax expense on the income of its operations in various countries and sustained a loss in a tax jurisdiction in which the Company is tax exempt, which resulted in no tax benefit to offset the expense incurred. As a result, the Company's effective income tax rate is significantly greater than the 1996 effective rate.</w:t>
      </w:r>
    </w:p>
    <w:p>
      <w:pPr>
        <w:spacing w:after="0" w:line="76" w:lineRule="exact"/>
        <w:rPr>
          <w:rFonts w:ascii="Courier New" w:cs="Courier New" w:eastAsia="Courier New" w:hAnsi="Courier New"/>
          <w:sz w:val="15"/>
          <w:szCs w:val="15"/>
          <w:color w:val="auto"/>
        </w:rPr>
      </w:pPr>
    </w:p>
    <w:p>
      <w:pPr>
        <w:ind w:left="188" w:right="3079"/>
        <w:spacing w:after="0" w:line="28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Israeli subsidiary, which accounts for approximately 31 percent of the Company's income before income taxes, enjoys tax benefits from Approved Enterprise status, as established under Israeli law. The benefits from this status begin phasing out in 1999.</w:t>
      </w:r>
    </w:p>
    <w:p>
      <w:pPr>
        <w:spacing w:after="0" w:line="64" w:lineRule="exact"/>
        <w:rPr>
          <w:rFonts w:ascii="Courier New" w:cs="Courier New" w:eastAsia="Courier New" w:hAnsi="Courier New"/>
          <w:sz w:val="15"/>
          <w:szCs w:val="15"/>
          <w:color w:val="auto"/>
        </w:rPr>
      </w:pPr>
    </w:p>
    <w:p>
      <w:pPr>
        <w:ind w:left="188" w:right="3339"/>
        <w:spacing w:after="0" w:line="2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1997, the Company settled claims from various taxing authorities resulting in an increase in taxes paid and deferred tax assets. Included in other income (expense), net for the year ended September 30, 1997 is approximately $3,000, representing interest on tax assessments relating to years prior to fiscal 1997.</w:t>
      </w:r>
    </w:p>
    <w:p>
      <w:pPr>
        <w:spacing w:after="0" w:line="69" w:lineRule="exact"/>
        <w:rPr>
          <w:sz w:val="20"/>
          <w:szCs w:val="20"/>
          <w:color w:val="auto"/>
        </w:rPr>
      </w:pPr>
    </w:p>
    <w:p>
      <w:pPr>
        <w:ind w:left="8" w:right="3339" w:firstLine="447"/>
        <w:spacing w:after="0" w:line="390" w:lineRule="auto"/>
        <w:rPr>
          <w:sz w:val="20"/>
          <w:szCs w:val="20"/>
          <w:color w:val="auto"/>
        </w:rPr>
      </w:pPr>
      <w:r>
        <w:rPr>
          <w:rFonts w:ascii="Courier New" w:cs="Courier New" w:eastAsia="Courier New" w:hAnsi="Courier New"/>
          <w:sz w:val="14"/>
          <w:szCs w:val="14"/>
          <w:color w:val="auto"/>
        </w:rPr>
        <w:t>The Company's assumption is that it is more likely than not that all the net deferred tax assets will be realized through future taxable earnings.</w:t>
      </w:r>
    </w:p>
    <w:p>
      <w:pPr>
        <w:spacing w:after="0" w:line="1"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SHORT-TERM FINANCING ARRANGEMENTS</w:t>
      </w:r>
    </w:p>
    <w:p>
      <w:pPr>
        <w:spacing w:after="0" w:line="174" w:lineRule="exact"/>
        <w:rPr>
          <w:sz w:val="20"/>
          <w:szCs w:val="20"/>
          <w:color w:val="auto"/>
        </w:rPr>
      </w:pPr>
    </w:p>
    <w:p>
      <w:pPr>
        <w:ind w:left="8" w:right="3079" w:firstLine="447"/>
        <w:spacing w:after="0" w:line="272" w:lineRule="auto"/>
        <w:rPr>
          <w:sz w:val="20"/>
          <w:szCs w:val="20"/>
          <w:color w:val="auto"/>
        </w:rPr>
      </w:pPr>
      <w:r>
        <w:rPr>
          <w:rFonts w:ascii="Courier New" w:cs="Courier New" w:eastAsia="Courier New" w:hAnsi="Courier New"/>
          <w:sz w:val="14"/>
          <w:szCs w:val="14"/>
          <w:color w:val="auto"/>
        </w:rPr>
        <w:t>Pursuant to a July 1998 agreement (which is an amendment to the December 1997 agreement discussed below) with a syndicate of banks, the Company may borrow up to $100,000 under a revolving line of credit. This agreement expires in June 2001. The Company borrowed $66,000 under the line of credit to refinance a facility from a commercial bank, and to repay $46,000 of the subordinated debt to affiliates of the shareholders as described below. The revolving line of credit bears a variable interest rate (6.5 percent at September 30, 1998). The credit agreement has various covenants which limit the Company's ability to make investments, incur debt, pay dividends and dispose of property. The Company is also required to maintain certain financial ratios as defined in the agreement. Except for vehicles, substantially all of the Company's assets have been pledged as security under the terms of the agreement. At September 30, 1998, the outstanding balance under this credit facility was $59,000.</w:t>
      </w:r>
    </w:p>
    <w:p>
      <w:pPr>
        <w:spacing w:after="0" w:line="71"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Under a credit agreement with the First International Bank of Israel, the</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subsidiary in the State of Israel may borrow up to $40,000 under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short term credit line. At September 30, 1998, the outstanding balance was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$32,565. The short term credit line bears a variable interest rate (6.7 percent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 September 30, 1998).</w:t>
      </w:r>
    </w:p>
    <w:p>
      <w:pPr>
        <w:spacing w:after="0" w:line="1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 addition, the Company has short term revolving credit line totaling</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$7,000 from the FIBI BANK (UK) plc. As of September 30, 1998, the Company used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approximately $4,500 of this revolving credit facility to support outstanding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letters of credit.</w:t>
      </w:r>
    </w:p>
    <w:p>
      <w:pPr>
        <w:spacing w:after="0" w:line="1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Company's financing transactions for the year are described below:</w:t>
      </w:r>
    </w:p>
    <w:p>
      <w:pPr>
        <w:spacing w:after="0" w:line="174" w:lineRule="exact"/>
        <w:rPr>
          <w:sz w:val="20"/>
          <w:szCs w:val="20"/>
          <w:color w:val="auto"/>
        </w:rPr>
      </w:pPr>
    </w:p>
    <w:p>
      <w:pPr>
        <w:ind w:left="8" w:right="3079" w:firstLine="447"/>
        <w:spacing w:after="0" w:line="301"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entities affiliated with the investors party to the Share</w:t>
      </w:r>
    </w:p>
    <w:p>
      <w:pPr>
        <w:spacing w:after="0" w:line="49"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7"/>
          </w:cols>
          <w:pgMar w:left="232" w:top="262"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81</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jc w:val="both"/>
        <w:ind w:right="3159"/>
        <w:spacing w:after="0" w:line="301" w:lineRule="auto"/>
        <w:rPr>
          <w:sz w:val="20"/>
          <w:szCs w:val="20"/>
          <w:color w:val="auto"/>
        </w:rPr>
      </w:pPr>
      <w:r>
        <w:rPr>
          <w:rFonts w:ascii="Courier New" w:cs="Courier New" w:eastAsia="Courier New" w:hAnsi="Courier New"/>
          <w:sz w:val="15"/>
          <w:szCs w:val="15"/>
          <w:color w:val="auto"/>
        </w:rPr>
        <w:t>Subscription Agreement referred to in Note 13. The notes bore an interest rate of 5.75 percent per annum, and were due September 22, 1998. The notes were paid in March 1998.</w:t>
      </w:r>
    </w:p>
    <w:p>
      <w:pPr>
        <w:spacing w:after="0" w:line="49" w:lineRule="exact"/>
        <w:rPr>
          <w:sz w:val="20"/>
          <w:szCs w:val="20"/>
          <w:color w:val="auto"/>
        </w:rPr>
      </w:pPr>
    </w:p>
    <w:p>
      <w:pPr>
        <w:ind w:right="3159" w:firstLine="447"/>
        <w:spacing w:after="0" w:line="253" w:lineRule="auto"/>
        <w:rPr>
          <w:sz w:val="20"/>
          <w:szCs w:val="20"/>
          <w:color w:val="auto"/>
        </w:rPr>
      </w:pPr>
      <w:r>
        <w:rPr>
          <w:rFonts w:ascii="Courier New" w:cs="Courier New" w:eastAsia="Courier New" w:hAnsi="Courier New"/>
          <w:sz w:val="15"/>
          <w:szCs w:val="15"/>
          <w:color w:val="auto"/>
        </w:rPr>
        <w:t>In December 1997, certain direct and indirect subsidiaries entered into a credit agreement (the 1997 Credit Agreement) with several commercial banks, which provided for three separate term loans and a revolving credit facility. Term loans of $125,000 and $100,000 with variable interest rates and quarterly principal payments due through December 2002 and June 2004, respectively, and a $90,000 term loan with a variable interest rate and principal due in May 1998. In December 1997, the Company borrowed $315,000 under the term loans and placed such proceeds in a cash collateral account maintained by one of the commercial banks subject to the 1997 Credit Agreement. The release of the cash held in the cash collateral account was subject to the occurrence of certain events, as defined. The events were met in January 1998, and the cash held in the cash collateral account was released to the Company.</w:t>
      </w:r>
    </w:p>
    <w:p>
      <w:pPr>
        <w:spacing w:after="0" w:line="87"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In March 1998, the Company received the proceeds of the additional equity investment discussed in Note 13 totaling approximately $99,000 and used the proceeds to repay the term loan maturing in May 1998 and the short-term notes payable to related parties.</w:t>
      </w:r>
    </w:p>
    <w:p>
      <w:pPr>
        <w:spacing w:after="0" w:line="64" w:lineRule="exact"/>
        <w:rPr>
          <w:sz w:val="20"/>
          <w:szCs w:val="20"/>
          <w:color w:val="auto"/>
        </w:rPr>
      </w:pPr>
    </w:p>
    <w:p>
      <w:pPr>
        <w:ind w:right="3079" w:firstLine="447"/>
        <w:spacing w:after="0" w:line="295" w:lineRule="auto"/>
        <w:rPr>
          <w:sz w:val="20"/>
          <w:szCs w:val="20"/>
          <w:color w:val="auto"/>
        </w:rPr>
      </w:pPr>
      <w:r>
        <w:rPr>
          <w:rFonts w:ascii="Courier New" w:cs="Courier New" w:eastAsia="Courier New" w:hAnsi="Courier New"/>
          <w:sz w:val="14"/>
          <w:szCs w:val="14"/>
          <w:color w:val="auto"/>
        </w:rPr>
        <w:t>In January 1998, the Company borrowed $20,000 under the revolving credit portion of the 1997 Credit Agreement and used the proceeds to prepay certain of the term loans. Amounts borrowed under the revolving credit facility bore a variable interest rate and were due December 5, 2002. This amount was repaid in July 1998 with the proceeds of the Company's $100,000 revolving credit facility.</w:t>
      </w:r>
    </w:p>
    <w:p>
      <w:pPr>
        <w:spacing w:after="0" w:line="57" w:lineRule="exact"/>
        <w:rPr>
          <w:sz w:val="20"/>
          <w:szCs w:val="20"/>
          <w:color w:val="auto"/>
        </w:rPr>
      </w:pPr>
    </w:p>
    <w:p>
      <w:pPr>
        <w:ind w:right="3159" w:firstLine="447"/>
        <w:spacing w:after="0" w:line="278" w:lineRule="auto"/>
        <w:rPr>
          <w:sz w:val="20"/>
          <w:szCs w:val="20"/>
          <w:color w:val="auto"/>
        </w:rPr>
      </w:pPr>
      <w:r>
        <w:rPr>
          <w:rFonts w:ascii="Courier New" w:cs="Courier New" w:eastAsia="Courier New" w:hAnsi="Courier New"/>
          <w:sz w:val="14"/>
          <w:szCs w:val="14"/>
          <w:color w:val="auto"/>
        </w:rPr>
        <w:t>The occurrence of certain qualifying events, as defined in the Conditional Investment Agreement as discussed in Note 13, also resulted in the issuance of unsecured long-term notes to affiliates of certain shareholders of the Company totaling $123,500, and a requirement for affiliates of certain shareholders to make an equity investment in the Company of approximately $99,000, subject to possible adjustment, as provided in the Conditional Investment Agreement. The long-term subordinated notes to affiliates carried an interest rate of 10 percent, payable quarterly with principal due September 2004. The proceeds of the long-term subordinated notes to affiliates were received in January 1998.</w:t>
      </w:r>
    </w:p>
    <w:p>
      <w:pPr>
        <w:spacing w:after="0" w:line="67" w:lineRule="exact"/>
        <w:rPr>
          <w:sz w:val="20"/>
          <w:szCs w:val="20"/>
          <w:color w:val="auto"/>
        </w:rPr>
      </w:pPr>
    </w:p>
    <w:p>
      <w:pPr>
        <w:ind w:right="3339" w:firstLine="447"/>
        <w:spacing w:after="0" w:line="281" w:lineRule="auto"/>
        <w:rPr>
          <w:sz w:val="20"/>
          <w:szCs w:val="20"/>
          <w:color w:val="auto"/>
        </w:rPr>
      </w:pPr>
      <w:r>
        <w:rPr>
          <w:rFonts w:ascii="Courier New" w:cs="Courier New" w:eastAsia="Courier New" w:hAnsi="Courier New"/>
          <w:sz w:val="15"/>
          <w:szCs w:val="15"/>
          <w:color w:val="auto"/>
        </w:rPr>
        <w:t>On June 24, 1998 the Company used the proceeds from the initial public offering that was conducted on June 19, 1998 to repay $183,750 in outstanding term loans made in December 1997 and $49,000 out of the $123,500, 10 percent subordinated debt issued in January 1998.</w:t>
      </w:r>
    </w:p>
    <w:p>
      <w:pPr>
        <w:spacing w:after="0" w:line="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Subordinated debt to affiliates of the shareholders in the amount of</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$46,000 was repaid in July 1998 from the proceeds of the Company's revolving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facility.</w:t>
      </w:r>
    </w:p>
    <w:p>
      <w:pPr>
        <w:spacing w:after="0" w:line="146" w:lineRule="exact"/>
        <w:rPr>
          <w:sz w:val="20"/>
          <w:szCs w:val="20"/>
          <w:color w:val="auto"/>
        </w:rPr>
      </w:pPr>
    </w:p>
    <w:p>
      <w:pPr>
        <w:ind w:right="3439" w:firstLine="447"/>
        <w:spacing w:after="0" w:line="359" w:lineRule="auto"/>
        <w:rPr>
          <w:sz w:val="20"/>
          <w:szCs w:val="20"/>
          <w:color w:val="auto"/>
        </w:rPr>
      </w:pPr>
      <w:r>
        <w:rPr>
          <w:rFonts w:ascii="Courier New" w:cs="Courier New" w:eastAsia="Courier New" w:hAnsi="Courier New"/>
          <w:sz w:val="15"/>
          <w:szCs w:val="15"/>
          <w:color w:val="auto"/>
        </w:rPr>
        <w:t>Effective July 31, 1998, the Company extinguished the subordinated debt with cash flows from operations.</w:t>
      </w:r>
    </w:p>
    <w:p>
      <w:pPr>
        <w:spacing w:after="0" w:line="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OTHER NONCURRENT LIABILITIES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liabilities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3400" w:type="dxa"/>
            <w:vAlign w:val="bottom"/>
          </w:tcPr>
          <w:p>
            <w:pPr>
              <w:spacing w:after="0"/>
              <w:rPr>
                <w:sz w:val="21"/>
                <w:szCs w:val="21"/>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400" w:type="dxa"/>
            <w:vAlign w:val="bottom"/>
          </w:tcPr>
          <w:p>
            <w:pPr>
              <w:spacing w:after="0"/>
              <w:rPr>
                <w:sz w:val="20"/>
                <w:szCs w:val="20"/>
                <w:color w:val="auto"/>
              </w:rPr>
            </w:pPr>
            <w:r>
              <w:rPr>
                <w:rFonts w:ascii="Courier New" w:cs="Courier New" w:eastAsia="Courier New" w:hAnsi="Courier New"/>
                <w:sz w:val="15"/>
                <w:szCs w:val="15"/>
                <w:color w:val="auto"/>
                <w:w w:val="96"/>
              </w:rPr>
              <w:t>Accrued personnel costs................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$24,268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$18,507</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96"/>
              </w:rPr>
              <w:t>Ordinary Shares subscription deposit...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14"/>
                <w:szCs w:val="14"/>
                <w:color w:val="auto"/>
              </w:rPr>
            </w:pPr>
          </w:p>
        </w:tc>
        <w:tc>
          <w:tcPr>
            <w:tcW w:w="1060" w:type="dxa"/>
            <w:vAlign w:val="bottom"/>
            <w:vMerge w:val="restart"/>
          </w:tcPr>
          <w:p>
            <w:pPr>
              <w:jc w:val="right"/>
              <w:ind w:right="107"/>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perscript"/>
              </w:rPr>
              <w:t>-------</w:t>
            </w:r>
            <w:r>
              <w:rPr>
                <w:rFonts w:ascii="Courier New" w:cs="Courier New" w:eastAsia="Courier New" w:hAnsi="Courier New"/>
                <w:sz w:val="13"/>
                <w:szCs w:val="13"/>
                <w:color w:val="auto"/>
                <w:w w:val="70"/>
              </w:rPr>
              <w:t>24,268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$20,507</w:t>
            </w:r>
          </w:p>
        </w:tc>
        <w:tc>
          <w:tcPr>
            <w:tcW w:w="0" w:type="dxa"/>
            <w:vAlign w:val="bottom"/>
          </w:tcPr>
          <w:p>
            <w:pPr>
              <w:spacing w:after="0"/>
              <w:rPr>
                <w:sz w:val="1"/>
                <w:szCs w:val="1"/>
                <w:color w:val="auto"/>
              </w:rPr>
            </w:pPr>
          </w:p>
        </w:tc>
      </w:tr>
      <w:tr>
        <w:trPr>
          <w:trHeight w:val="252"/>
        </w:trPr>
        <w:tc>
          <w:tcPr>
            <w:tcW w:w="3400" w:type="dxa"/>
            <w:vAlign w:val="bottom"/>
          </w:tcPr>
          <w:p>
            <w:pPr>
              <w:spacing w:after="0"/>
              <w:rPr>
                <w:sz w:val="21"/>
                <w:szCs w:val="21"/>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6"/>
        </w:trPr>
        <w:tc>
          <w:tcPr>
            <w:tcW w:w="3400" w:type="dxa"/>
            <w:vAlign w:val="bottom"/>
          </w:tcPr>
          <w:p>
            <w:pPr>
              <w:spacing w:after="0"/>
              <w:rPr>
                <w:sz w:val="24"/>
                <w:szCs w:val="24"/>
                <w:color w:val="auto"/>
              </w:rPr>
            </w:pPr>
          </w:p>
        </w:tc>
        <w:tc>
          <w:tcPr>
            <w:tcW w:w="1060" w:type="dxa"/>
            <w:vAlign w:val="bottom"/>
          </w:tcPr>
          <w:p>
            <w:pPr>
              <w:jc w:val="right"/>
              <w:ind w:right="647"/>
              <w:spacing w:after="0"/>
              <w:rPr>
                <w:sz w:val="20"/>
                <w:szCs w:val="20"/>
                <w:color w:val="auto"/>
              </w:rPr>
            </w:pPr>
            <w:r>
              <w:rPr>
                <w:rFonts w:ascii="Courier New" w:cs="Courier New" w:eastAsia="Courier New" w:hAnsi="Courier New"/>
                <w:sz w:val="15"/>
                <w:szCs w:val="15"/>
                <w:color w:val="auto"/>
                <w:w w:val="88"/>
              </w:rPr>
              <w:t>F-16</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82</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OTHER EXPENSE, NET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expense, net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286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1997</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1996</w:t>
            </w:r>
          </w:p>
        </w:tc>
        <w:tc>
          <w:tcPr>
            <w:tcW w:w="0" w:type="dxa"/>
            <w:vAlign w:val="bottom"/>
          </w:tcPr>
          <w:p>
            <w:pPr>
              <w:spacing w:after="0"/>
              <w:rPr>
                <w:sz w:val="1"/>
                <w:szCs w:val="1"/>
                <w:color w:val="auto"/>
              </w:rPr>
            </w:pPr>
          </w:p>
        </w:tc>
      </w:tr>
      <w:tr>
        <w:trPr>
          <w:trHeight w:val="252"/>
        </w:trPr>
        <w:tc>
          <w:tcPr>
            <w:tcW w:w="3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1"/>
                <w:szCs w:val="21"/>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21"/>
                <w:szCs w:val="21"/>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64"/>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3,445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964</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(24,947)</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(981)</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(1,291)</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expense related to</w:t>
            </w:r>
          </w:p>
        </w:tc>
        <w:tc>
          <w:tcPr>
            <w:tcW w:w="180" w:type="dxa"/>
            <w:vAlign w:val="bottom"/>
          </w:tcPr>
          <w:p>
            <w:pPr>
              <w:spacing w:after="0"/>
              <w:rPr>
                <w:sz w:val="14"/>
                <w:szCs w:val="14"/>
                <w:color w:val="auto"/>
              </w:rPr>
            </w:pPr>
          </w:p>
        </w:tc>
        <w:tc>
          <w:tcPr>
            <w:tcW w:w="84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w w:val="98"/>
              </w:rPr>
              <w:t>(3,000)</w:t>
            </w:r>
          </w:p>
        </w:tc>
        <w:tc>
          <w:tcPr>
            <w:tcW w:w="220" w:type="dxa"/>
            <w:vAlign w:val="bottom"/>
          </w:tcPr>
          <w:p>
            <w:pPr>
              <w:spacing w:after="0"/>
              <w:rPr>
                <w:sz w:val="14"/>
                <w:szCs w:val="14"/>
                <w:color w:val="auto"/>
              </w:rPr>
            </w:pPr>
          </w:p>
        </w:tc>
        <w:tc>
          <w:tcPr>
            <w:tcW w:w="64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settlement of tax claims.........</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(2,624)</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180" w:type="dxa"/>
            <w:vAlign w:val="bottom"/>
            <w:vMerge w:val="restart"/>
          </w:tcPr>
          <w:p>
            <w:pPr>
              <w:ind w:left="80"/>
              <w:spacing w:after="0"/>
              <w:rPr>
                <w:sz w:val="20"/>
                <w:szCs w:val="20"/>
                <w:color w:val="auto"/>
              </w:rPr>
            </w:pPr>
            <w:r>
              <w:rPr>
                <w:rFonts w:ascii="Courier New" w:cs="Courier New" w:eastAsia="Courier New" w:hAnsi="Courier New"/>
                <w:sz w:val="4"/>
                <w:szCs w:val="4"/>
                <w:color w:val="auto"/>
                <w:w w:val="70"/>
                <w:vertAlign w:val="subscript"/>
              </w:rPr>
              <w:t>$</w:t>
            </w:r>
            <w:r>
              <w:rPr>
                <w:rFonts w:ascii="Courier New" w:cs="Courier New" w:eastAsia="Courier New" w:hAnsi="Courier New"/>
                <w:sz w:val="2"/>
                <w:szCs w:val="2"/>
                <w:color w:val="auto"/>
                <w:w w:val="70"/>
              </w:rPr>
              <w:t>--------</w:t>
            </w:r>
          </w:p>
        </w:tc>
        <w:tc>
          <w:tcPr>
            <w:tcW w:w="8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4"/>
              </w:rPr>
              <w:t>(24,126)</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$(3,266)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c>
          <w:tcPr>
            <w:tcW w:w="0" w:type="dxa"/>
            <w:vAlign w:val="bottom"/>
          </w:tcPr>
          <w:p>
            <w:pPr>
              <w:spacing w:after="0"/>
              <w:rPr>
                <w:sz w:val="1"/>
                <w:szCs w:val="1"/>
                <w:color w:val="auto"/>
              </w:rPr>
            </w:pPr>
          </w:p>
        </w:tc>
      </w:tr>
      <w:tr>
        <w:trPr>
          <w:trHeight w:val="252"/>
        </w:trPr>
        <w:tc>
          <w:tcPr>
            <w:tcW w:w="3220" w:type="dxa"/>
            <w:vAlign w:val="bottom"/>
          </w:tcPr>
          <w:p>
            <w:pPr>
              <w:spacing w:after="0"/>
              <w:rPr>
                <w:sz w:val="21"/>
                <w:szCs w:val="21"/>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COMMITMENTS</w:t>
      </w:r>
    </w:p>
    <w:p>
      <w:pPr>
        <w:spacing w:after="0" w:line="174" w:lineRule="exact"/>
        <w:rPr>
          <w:sz w:val="20"/>
          <w:szCs w:val="20"/>
          <w:color w:val="auto"/>
        </w:rPr>
      </w:pPr>
    </w:p>
    <w:p>
      <w:pPr>
        <w:ind w:right="3339" w:firstLine="447"/>
        <w:spacing w:after="0" w:line="331" w:lineRule="auto"/>
        <w:rPr>
          <w:sz w:val="20"/>
          <w:szCs w:val="20"/>
          <w:color w:val="auto"/>
        </w:rPr>
      </w:pPr>
      <w:r>
        <w:rPr>
          <w:rFonts w:ascii="Courier New" w:cs="Courier New" w:eastAsia="Courier New" w:hAnsi="Courier New"/>
          <w:sz w:val="14"/>
          <w:szCs w:val="14"/>
          <w:color w:val="auto"/>
        </w:rPr>
        <w:t>The Company leases office space in various countries in which it does business under non-cancelable operating leases. Future minimum lease payments required for the five-year period beginning October 1, 1998 are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 w:type="dxa"/>
            <w:vAlign w:val="bottom"/>
          </w:tcPr>
          <w:p>
            <w:pPr>
              <w:spacing w:after="0"/>
              <w:rPr>
                <w:sz w:val="14"/>
                <w:szCs w:val="14"/>
                <w:color w:val="auto"/>
              </w:rPr>
            </w:pPr>
          </w:p>
        </w:tc>
        <w:tc>
          <w:tcPr>
            <w:tcW w:w="4920" w:type="dxa"/>
            <w:vAlign w:val="bottom"/>
          </w:tcPr>
          <w:p>
            <w:pPr>
              <w:jc w:val="right"/>
              <w:ind w:right="1536"/>
              <w:spacing w:after="0"/>
              <w:rPr>
                <w:sz w:val="20"/>
                <w:szCs w:val="20"/>
                <w:color w:val="auto"/>
              </w:rPr>
            </w:pPr>
            <w:r>
              <w:rPr>
                <w:rFonts w:ascii="Courier New" w:cs="Courier New" w:eastAsia="Courier New" w:hAnsi="Courier New"/>
                <w:sz w:val="15"/>
                <w:szCs w:val="15"/>
                <w:color w:val="auto"/>
              </w:rPr>
              <w:t>FOR THE YEAR ENDED SEPTEMBER 30,</w:t>
            </w:r>
          </w:p>
        </w:tc>
      </w:tr>
      <w:tr>
        <w:trPr>
          <w:trHeight w:val="252"/>
        </w:trPr>
        <w:tc>
          <w:tcPr>
            <w:tcW w:w="340" w:type="dxa"/>
            <w:vAlign w:val="bottom"/>
          </w:tcPr>
          <w:p>
            <w:pPr>
              <w:spacing w:after="0"/>
              <w:rPr>
                <w:sz w:val="21"/>
                <w:szCs w:val="21"/>
                <w:color w:val="auto"/>
              </w:rPr>
            </w:pPr>
          </w:p>
        </w:tc>
        <w:tc>
          <w:tcPr>
            <w:tcW w:w="4920" w:type="dxa"/>
            <w:vAlign w:val="bottom"/>
          </w:tcPr>
          <w:p>
            <w:pPr>
              <w:jc w:val="right"/>
              <w:ind w:right="1536"/>
              <w:spacing w:after="0"/>
              <w:rPr>
                <w:sz w:val="20"/>
                <w:szCs w:val="20"/>
                <w:color w:val="auto"/>
              </w:rPr>
            </w:pPr>
            <w:r>
              <w:rPr>
                <w:rFonts w:ascii="Courier New" w:cs="Courier New" w:eastAsia="Courier New" w:hAnsi="Courier New"/>
                <w:sz w:val="15"/>
                <w:szCs w:val="15"/>
                <w:color w:val="auto"/>
              </w:rPr>
              <w:t>--------------------------------</w:t>
            </w:r>
          </w:p>
        </w:tc>
      </w:tr>
      <w:tr>
        <w:trPr>
          <w:trHeight w:val="264"/>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1999</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$ 9,700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2000</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10,600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2001</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10,300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2002</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..............................................8,400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2003</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..............................................7,400</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$46,400</w:t>
            </w:r>
          </w:p>
        </w:tc>
      </w:tr>
      <w:tr>
        <w:trPr>
          <w:trHeight w:val="252"/>
        </w:trPr>
        <w:tc>
          <w:tcPr>
            <w:tcW w:w="34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64"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Rent expense was approximately $8,000, $5,400 and $4,900 for 1998, 1997 and 1996, respectively. The lease agreement related to the Company's principal facilities in Israel, for which the Company has provided a $2,000 guarantee, includes a purchase option.</w:t>
      </w:r>
    </w:p>
    <w:p>
      <w:pPr>
        <w:spacing w:after="0" w:line="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EMPLOYEE BENEFITS</w:t>
      </w:r>
    </w:p>
    <w:p>
      <w:pPr>
        <w:spacing w:after="0" w:line="174" w:lineRule="exact"/>
        <w:rPr>
          <w:sz w:val="20"/>
          <w:szCs w:val="20"/>
          <w:color w:val="auto"/>
        </w:rPr>
      </w:pPr>
    </w:p>
    <w:p>
      <w:pPr>
        <w:ind w:right="3079" w:firstLine="447"/>
        <w:spacing w:after="0" w:line="257" w:lineRule="auto"/>
        <w:rPr>
          <w:sz w:val="20"/>
          <w:szCs w:val="20"/>
          <w:color w:val="auto"/>
        </w:rPr>
      </w:pPr>
      <w:r>
        <w:rPr>
          <w:rFonts w:ascii="Courier New" w:cs="Courier New" w:eastAsia="Courier New" w:hAnsi="Courier New"/>
          <w:sz w:val="15"/>
          <w:szCs w:val="15"/>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subsidiary. The severance pay liability, which is included in other noncurrent liabilities, is partially funded by amounts on deposit with insurance companies, which are included in other noncurrent assets. Most of the deposits were funded by the Israeli subsidiary. Severance pay expenses were approximately $7,100, $5,500 and $4,200 for 1998, 1997 and 1996, respectively.</w:t>
      </w:r>
    </w:p>
    <w:p>
      <w:pPr>
        <w:spacing w:after="0" w:line="83"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The Company sponsors a defined contribution benefit plan covering substantially all employees in the U.S., U.K., and Canada. The plan provides for Company matching contributions based upon a percentage of the employees' voluntary contributions. The Company's 1998, 1997 and 1996 plan contributions were not significant.</w:t>
      </w:r>
    </w:p>
    <w:p>
      <w:pPr>
        <w:spacing w:after="0" w:line="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CAPITAL TRANSACTIONS</w:t>
      </w:r>
    </w:p>
    <w:p>
      <w:pPr>
        <w:spacing w:after="0" w:line="174" w:lineRule="exact"/>
        <w:rPr>
          <w:sz w:val="20"/>
          <w:szCs w:val="20"/>
          <w:color w:val="auto"/>
        </w:rPr>
      </w:pPr>
    </w:p>
    <w:p>
      <w:pPr>
        <w:ind w:right="3439" w:firstLine="447"/>
        <w:spacing w:after="0" w:line="281" w:lineRule="auto"/>
        <w:rPr>
          <w:sz w:val="20"/>
          <w:szCs w:val="20"/>
          <w:color w:val="auto"/>
        </w:rPr>
      </w:pPr>
      <w:r>
        <w:rPr>
          <w:rFonts w:ascii="Courier New" w:cs="Courier New" w:eastAsia="Courier New" w:hAnsi="Courier New"/>
          <w:sz w:val="15"/>
          <w:szCs w:val="15"/>
          <w:color w:val="auto"/>
        </w:rPr>
        <w:t>On June 19, 1998, the Company commenced an initial public offering of 18,000 Ordinary Shares at an offering price of $14 per share. Total net proceeds, after deduction of offering expenses and underwriting commissions, amounted to $234,190. The Company used these funds</w:t>
      </w:r>
    </w:p>
    <w:p>
      <w:pPr>
        <w:spacing w:after="0" w:line="6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62"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83</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079"/>
        <w:spacing w:after="0" w:line="301" w:lineRule="auto"/>
        <w:rPr>
          <w:sz w:val="20"/>
          <w:szCs w:val="20"/>
          <w:color w:val="auto"/>
        </w:rPr>
      </w:pPr>
      <w:r>
        <w:rPr>
          <w:rFonts w:ascii="Courier New" w:cs="Courier New" w:eastAsia="Courier New" w:hAnsi="Courier New"/>
          <w:sz w:val="15"/>
          <w:szCs w:val="15"/>
          <w:color w:val="auto"/>
        </w:rPr>
        <w:t>to repay interest and principal relating to $183,750 outstanding term loans made in December 1997 and $49,000 out of the $123,500 10 percent subordinated debt issued in January 1998.</w:t>
      </w:r>
    </w:p>
    <w:p>
      <w:pPr>
        <w:spacing w:after="0" w:line="49"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On July 17, 1998, pursuant to an over-allotment option granted by an existing shareholder of the Company to the underwriters involved with the Company's initial public offering, the underwriters elected to exercise their over-allotment option with respect to 1,344 nonvoting Ordinary Shares held by this shareholder. In accordance with the Company's Articles of Association, such nonvoting Ordinary Shares converted automatically into voting Ordinary Shares, upon their transfer.</w:t>
      </w:r>
    </w:p>
    <w:p>
      <w:pPr>
        <w:spacing w:after="0" w:line="78" w:lineRule="exact"/>
        <w:rPr>
          <w:sz w:val="20"/>
          <w:szCs w:val="20"/>
          <w:color w:val="auto"/>
        </w:rPr>
      </w:pPr>
    </w:p>
    <w:p>
      <w:pPr>
        <w:ind w:right="3079" w:firstLine="447"/>
        <w:spacing w:after="0" w:line="274" w:lineRule="auto"/>
        <w:rPr>
          <w:sz w:val="20"/>
          <w:szCs w:val="20"/>
          <w:color w:val="auto"/>
        </w:rPr>
      </w:pPr>
      <w:r>
        <w:rPr>
          <w:rFonts w:ascii="Courier New" w:cs="Courier New" w:eastAsia="Courier New" w:hAnsi="Courier New"/>
          <w:sz w:val="14"/>
          <w:szCs w:val="14"/>
          <w:color w:val="auto"/>
        </w:rPr>
        <w:t>In May 1998, in contemplation of the Company's initial public offering, the Board of Directors took the following actions: (i) redeemed the outstanding Voting Shares at the par value thereof, (ii) amended the terms of the Ordinary Shares to create two classes: voting and non-voting; (iii) authorized 25,000 Preferred Shares, 500,000 Ordinary Shares and 50,000 non-voting Ordinary Shares; and (iv) declared a stock split of 52-for-1 for each Ordinary Share outstanding. The rights of the two classes of Ordinary Shares are identical except as to voting rights and all of the outstanding non-voting Ordinary Shares are held by a principal shareholder of the Company. All references to the number of shares and earnings per share have been restated to reflect the stock split and the redemption of Voting Shares has been given retroactive effect.</w:t>
      </w:r>
    </w:p>
    <w:p>
      <w:pPr>
        <w:spacing w:after="0" w:line="72" w:lineRule="exact"/>
        <w:rPr>
          <w:sz w:val="20"/>
          <w:szCs w:val="20"/>
          <w:color w:val="auto"/>
        </w:rPr>
      </w:pPr>
    </w:p>
    <w:p>
      <w:pPr>
        <w:jc w:val="both"/>
        <w:ind w:right="3159" w:firstLine="447"/>
        <w:spacing w:after="0" w:line="301" w:lineRule="auto"/>
        <w:rPr>
          <w:sz w:val="20"/>
          <w:szCs w:val="20"/>
          <w:color w:val="auto"/>
        </w:rPr>
      </w:pPr>
      <w:r>
        <w:rPr>
          <w:rFonts w:ascii="Courier New" w:cs="Courier New" w:eastAsia="Courier New" w:hAnsi="Courier New"/>
          <w:sz w:val="15"/>
          <w:szCs w:val="15"/>
          <w:color w:val="auto"/>
        </w:rPr>
        <w:t>In March 1998, the Company issued 51,508 Ordinary Shares according to the September 1997 Conditional Investment Agreement discussed below. Total proceeds (net of $2,600 fees) amounted to approximately $96,448.</w:t>
      </w:r>
    </w:p>
    <w:p>
      <w:pPr>
        <w:spacing w:after="0" w:line="49" w:lineRule="exact"/>
        <w:rPr>
          <w:sz w:val="20"/>
          <w:szCs w:val="20"/>
          <w:color w:val="auto"/>
        </w:rPr>
      </w:pPr>
    </w:p>
    <w:p>
      <w:pPr>
        <w:ind w:right="3439" w:firstLine="447"/>
        <w:spacing w:after="0" w:line="281" w:lineRule="auto"/>
        <w:rPr>
          <w:sz w:val="20"/>
          <w:szCs w:val="20"/>
          <w:color w:val="auto"/>
        </w:rPr>
      </w:pPr>
      <w:r>
        <w:rPr>
          <w:rFonts w:ascii="Courier New" w:cs="Courier New" w:eastAsia="Courier New" w:hAnsi="Courier New"/>
          <w:sz w:val="15"/>
          <w:szCs w:val="15"/>
          <w:color w:val="auto"/>
        </w:rPr>
        <w:t>In January 1998, the Company's Board of Directors declared dividends of $478,684 which were paid at that time. The dividends were financed by the proceeds of the long term loans, long term notes of affiliates of certain shareholders, and surplus working capital.</w:t>
      </w:r>
    </w:p>
    <w:p>
      <w:pPr>
        <w:spacing w:after="0" w:line="64" w:lineRule="exact"/>
        <w:rPr>
          <w:sz w:val="20"/>
          <w:szCs w:val="20"/>
          <w:color w:val="auto"/>
        </w:rPr>
      </w:pPr>
    </w:p>
    <w:p>
      <w:pPr>
        <w:ind w:right="3339" w:firstLine="447"/>
        <w:spacing w:after="0" w:line="281" w:lineRule="auto"/>
        <w:rPr>
          <w:sz w:val="20"/>
          <w:szCs w:val="20"/>
          <w:color w:val="auto"/>
        </w:rPr>
      </w:pPr>
      <w:r>
        <w:rPr>
          <w:rFonts w:ascii="Courier New" w:cs="Courier New" w:eastAsia="Courier New" w:hAnsi="Courier New"/>
          <w:sz w:val="15"/>
          <w:szCs w:val="15"/>
          <w:color w:val="auto"/>
        </w:rPr>
        <w:t>In January 1998, the Company issued 36 additional Voting Shares at par value which were redeemed in May 1998 as discussed above and issued the contingently issuable 2,584 Ordinary Shares which were paid in advance in the amount of $2,000 in the 1995 Stock Subscription Agreements.</w:t>
      </w:r>
    </w:p>
    <w:p>
      <w:pPr>
        <w:spacing w:after="0" w:line="64" w:lineRule="exact"/>
        <w:rPr>
          <w:sz w:val="20"/>
          <w:szCs w:val="20"/>
          <w:color w:val="auto"/>
        </w:rPr>
      </w:pPr>
    </w:p>
    <w:p>
      <w:pPr>
        <w:ind w:right="3079" w:firstLine="447"/>
        <w:spacing w:after="0" w:line="252" w:lineRule="auto"/>
        <w:rPr>
          <w:sz w:val="20"/>
          <w:szCs w:val="20"/>
          <w:color w:val="auto"/>
        </w:rPr>
      </w:pPr>
      <w:r>
        <w:rPr>
          <w:rFonts w:ascii="Courier New" w:cs="Courier New" w:eastAsia="Courier New" w:hAnsi="Courier New"/>
          <w:sz w:val="15"/>
          <w:szCs w:val="15"/>
          <w:color w:val="auto"/>
        </w:rPr>
        <w:t>On September 22, 1997, the Company entered into a Share Subscription Agreement, under which 11,072 Ordinary Shares and 990 Voting Shares and $3,268 principal amount of junior promissory notes were issued to certain investors. Also, on September 22, 1997, the Company entered into a Conditional Investment Agreement whereby such investors were obligated to purchase 51,508 Ordinary Shares of the Company in the second quarter 1998 for approximately $99,000, if the Company achieved certain financial performance targets. In addition, the Company entered into a note purchase agreement with certain affiliates of the investors to issue, at its election, up to $125,000 of long-term notes, with interest at 10 percent and payable in 2004 subject to the same financial targets in the Conditional Investment Agreement. In addition, the ownership percentages between shareholders will change if the Company attains certain financial performance targets through September 30, 1999.</w:t>
      </w:r>
    </w:p>
    <w:p>
      <w:pPr>
        <w:spacing w:after="0" w:line="8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STOCK OPTION AND INCENTIVE PLAN</w:t>
      </w:r>
    </w:p>
    <w:p>
      <w:pPr>
        <w:spacing w:after="0" w:line="174" w:lineRule="exact"/>
        <w:rPr>
          <w:sz w:val="20"/>
          <w:szCs w:val="20"/>
          <w:color w:val="auto"/>
        </w:rPr>
      </w:pPr>
    </w:p>
    <w:p>
      <w:pPr>
        <w:ind w:right="3079" w:firstLine="447"/>
        <w:spacing w:after="0" w:line="248" w:lineRule="auto"/>
        <w:rPr>
          <w:sz w:val="20"/>
          <w:szCs w:val="20"/>
          <w:color w:val="auto"/>
        </w:rPr>
      </w:pPr>
      <w:r>
        <w:rPr>
          <w:rFonts w:ascii="Courier New" w:cs="Courier New" w:eastAsia="Courier New" w:hAnsi="Courier New"/>
          <w:sz w:val="15"/>
          <w:szCs w:val="15"/>
          <w:color w:val="auto"/>
        </w:rPr>
        <w:t>In January 1998, the Company adopted the Amdocs Limited 1998 Stock Option and Incentive Plan ("the Plan"). Under the provisions of the Plan, 4,100 Ordinary Shares are available to be granted to officers, directors, employees and consultants. Subsequent to year end, the Company increased the number of Ordinary Shares available to be granted to 6,600 Ordinary Shares. Under the Plan, in January 1998, 1,651 options were granted to purchase Ordinary Shares at an</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63"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84</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079"/>
        <w:spacing w:after="0" w:line="281" w:lineRule="auto"/>
        <w:rPr>
          <w:sz w:val="20"/>
          <w:szCs w:val="20"/>
          <w:color w:val="auto"/>
        </w:rPr>
      </w:pPr>
      <w:r>
        <w:rPr>
          <w:rFonts w:ascii="Courier New" w:cs="Courier New" w:eastAsia="Courier New" w:hAnsi="Courier New"/>
          <w:sz w:val="15"/>
          <w:szCs w:val="15"/>
          <w:color w:val="auto"/>
        </w:rPr>
        <w:t>exercise price of $1.92 per share, with vesting over four years and a term of 10 years. No compensation expense is recorded for these stock options as they were granted at an exercise price equal to the fair market value of the Ordinary Shares at the time of the grant.</w:t>
      </w:r>
    </w:p>
    <w:p>
      <w:pPr>
        <w:spacing w:after="0" w:line="64"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On June 19, 1998, under the plan, the Company granted an additional 855.4 options with the same exercise price, expiration date and vesting dates as the options granted in January 1998. The Company recorded unearned compensation expense totaling $10,333 as a separate component of shareholders' equity for the difference between the fair market value per share at the date of grant and the exercise price of $1.92. Additional Paid in Capital was increased by the same amount. The unearned compensation expense will be amortized ratably over the vesting period of 3.5 years.</w:t>
      </w:r>
    </w:p>
    <w:p>
      <w:pPr>
        <w:spacing w:after="0" w:line="81" w:lineRule="exact"/>
        <w:rPr>
          <w:sz w:val="20"/>
          <w:szCs w:val="20"/>
          <w:color w:val="auto"/>
        </w:rPr>
      </w:pPr>
    </w:p>
    <w:p>
      <w:pPr>
        <w:ind w:right="3159" w:firstLine="447"/>
        <w:spacing w:after="0" w:line="331" w:lineRule="auto"/>
        <w:rPr>
          <w:sz w:val="20"/>
          <w:szCs w:val="20"/>
          <w:color w:val="auto"/>
        </w:rPr>
      </w:pPr>
      <w:r>
        <w:rPr>
          <w:rFonts w:ascii="Courier New" w:cs="Courier New" w:eastAsia="Courier New" w:hAnsi="Courier New"/>
          <w:sz w:val="14"/>
          <w:szCs w:val="14"/>
          <w:color w:val="auto"/>
        </w:rPr>
        <w:t>On June 19, 1998, options for 21 shares were granted to two non-employee directors at an exercise price equal to the market price of the Ordinary Shares on the grant date, with vesting over three years and a term of 10 years.</w:t>
      </w:r>
    </w:p>
    <w:p>
      <w:pPr>
        <w:spacing w:after="0" w:line="32" w:lineRule="exact"/>
        <w:rPr>
          <w:sz w:val="20"/>
          <w:szCs w:val="20"/>
          <w:color w:val="auto"/>
        </w:rPr>
      </w:pPr>
    </w:p>
    <w:p>
      <w:pPr>
        <w:ind w:right="3159" w:firstLine="447"/>
        <w:spacing w:after="0" w:line="281" w:lineRule="auto"/>
        <w:rPr>
          <w:sz w:val="20"/>
          <w:szCs w:val="20"/>
          <w:color w:val="auto"/>
        </w:rPr>
      </w:pPr>
      <w:r>
        <w:rPr>
          <w:rFonts w:ascii="Courier New" w:cs="Courier New" w:eastAsia="Courier New" w:hAnsi="Courier New"/>
          <w:sz w:val="15"/>
          <w:szCs w:val="15"/>
          <w:color w:val="auto"/>
        </w:rPr>
        <w:t>On September 14, 1998, options for 1,000 shares were granted to employees at an exercise price of $8.75 which was equal to the market price of the Ordinary Shares on the grant date, with vesting over four and eight years and a term of 10 years.</w:t>
      </w:r>
    </w:p>
    <w:p>
      <w:pPr>
        <w:spacing w:after="0" w:line="64" w:lineRule="exact"/>
        <w:rPr>
          <w:sz w:val="20"/>
          <w:szCs w:val="20"/>
          <w:color w:val="auto"/>
        </w:rPr>
      </w:pPr>
    </w:p>
    <w:p>
      <w:pPr>
        <w:ind w:right="3259" w:firstLine="447"/>
        <w:spacing w:after="0" w:line="359" w:lineRule="auto"/>
        <w:rPr>
          <w:sz w:val="20"/>
          <w:szCs w:val="20"/>
          <w:color w:val="auto"/>
        </w:rPr>
      </w:pPr>
      <w:r>
        <w:rPr>
          <w:rFonts w:ascii="Courier New" w:cs="Courier New" w:eastAsia="Courier New" w:hAnsi="Courier New"/>
          <w:sz w:val="15"/>
          <w:szCs w:val="15"/>
          <w:color w:val="auto"/>
        </w:rPr>
        <w:t>A summary of the Plan as of September 30, 1998, as well as changes during the year then ended, is presented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0" w:type="dxa"/>
            <w:vAlign w:val="bottom"/>
          </w:tcPr>
          <w:p>
            <w:pPr>
              <w:spacing w:after="0"/>
              <w:rPr>
                <w:sz w:val="14"/>
                <w:szCs w:val="14"/>
                <w:color w:val="auto"/>
              </w:rPr>
            </w:pPr>
          </w:p>
        </w:tc>
        <w:tc>
          <w:tcPr>
            <w:tcW w:w="1060" w:type="dxa"/>
            <w:vAlign w:val="bottom"/>
            <w:vMerge w:val="restart"/>
          </w:tcPr>
          <w:p>
            <w:pPr>
              <w:jc w:val="center"/>
              <w:ind w:right="7"/>
              <w:spacing w:after="0"/>
              <w:rPr>
                <w:sz w:val="20"/>
                <w:szCs w:val="20"/>
                <w:color w:val="auto"/>
              </w:rPr>
            </w:pPr>
            <w:r>
              <w:rPr>
                <w:rFonts w:ascii="Courier New" w:cs="Courier New" w:eastAsia="Courier New" w:hAnsi="Courier New"/>
                <w:sz w:val="15"/>
                <w:szCs w:val="15"/>
                <w:color w:val="auto"/>
              </w:rPr>
              <w:t>NUMBER OF</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WEIGHTED</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rPr>
              <w:t>SHARE</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EXERCISE</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OPTIONS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52"/>
        </w:trPr>
        <w:tc>
          <w:tcPr>
            <w:tcW w:w="4200" w:type="dxa"/>
            <w:vAlign w:val="bottom"/>
          </w:tcPr>
          <w:p>
            <w:pPr>
              <w:spacing w:after="0"/>
              <w:rPr>
                <w:sz w:val="21"/>
                <w:szCs w:val="21"/>
                <w:color w:val="auto"/>
              </w:rPr>
            </w:pP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as of beginning of year...........</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3,527.4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w:t>
            </w:r>
          </w:p>
        </w:tc>
        <w:tc>
          <w:tcPr>
            <w:tcW w:w="0" w:type="dxa"/>
            <w:vAlign w:val="bottom"/>
          </w:tcPr>
          <w:p>
            <w:pPr>
              <w:spacing w:after="0"/>
              <w:rPr>
                <w:sz w:val="1"/>
                <w:szCs w:val="1"/>
                <w:color w:val="auto"/>
              </w:rPr>
            </w:pPr>
          </w:p>
        </w:tc>
      </w:tr>
      <w:tr>
        <w:trPr>
          <w:trHeight w:val="172"/>
        </w:trPr>
        <w:tc>
          <w:tcPr>
            <w:tcW w:w="420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as of end of year.................</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2"/>
                <w:szCs w:val="12"/>
                <w:color w:val="auto"/>
                <w:w w:val="71"/>
              </w:rPr>
              <w:t>3,519.</w:t>
            </w:r>
            <w:r>
              <w:rPr>
                <w:rFonts w:ascii="Courier New" w:cs="Courier New" w:eastAsia="Courier New" w:hAnsi="Courier New"/>
                <w:sz w:val="21"/>
                <w:szCs w:val="21"/>
                <w:color w:val="auto"/>
                <w:w w:val="71"/>
                <w:vertAlign w:val="superscript"/>
              </w:rPr>
              <w:t>-------</w:t>
            </w:r>
            <w:r>
              <w:rPr>
                <w:rFonts w:ascii="Courier New" w:cs="Courier New" w:eastAsia="Courier New" w:hAnsi="Courier New"/>
                <w:sz w:val="12"/>
                <w:szCs w:val="12"/>
                <w:color w:val="auto"/>
                <w:w w:val="71"/>
              </w:rPr>
              <w:t>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c>
          <w:tcPr>
            <w:tcW w:w="0" w:type="dxa"/>
            <w:vAlign w:val="bottom"/>
          </w:tcPr>
          <w:p>
            <w:pPr>
              <w:spacing w:after="0"/>
              <w:rPr>
                <w:sz w:val="1"/>
                <w:szCs w:val="1"/>
                <w:color w:val="auto"/>
              </w:rPr>
            </w:pPr>
          </w:p>
        </w:tc>
      </w:tr>
      <w:tr>
        <w:trPr>
          <w:trHeight w:val="252"/>
        </w:trPr>
        <w:tc>
          <w:tcPr>
            <w:tcW w:w="4200" w:type="dxa"/>
            <w:vAlign w:val="bottom"/>
          </w:tcPr>
          <w:p>
            <w:pPr>
              <w:spacing w:after="0"/>
              <w:rPr>
                <w:sz w:val="21"/>
                <w:szCs w:val="21"/>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159" w:firstLine="447"/>
        <w:spacing w:after="0" w:line="359" w:lineRule="auto"/>
        <w:rPr>
          <w:sz w:val="20"/>
          <w:szCs w:val="20"/>
          <w:color w:val="auto"/>
        </w:rPr>
      </w:pPr>
      <w:r>
        <w:rPr>
          <w:rFonts w:ascii="Courier New" w:cs="Courier New" w:eastAsia="Courier New" w:hAnsi="Courier New"/>
          <w:sz w:val="15"/>
          <w:szCs w:val="15"/>
          <w:color w:val="auto"/>
        </w:rPr>
        <w:t>The following table summarizes information about share options outstanding as of September 30, 1998: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20" w:type="dxa"/>
            <w:vAlign w:val="bottom"/>
            <w:gridSpan w:val="4"/>
            <w:vMerge w:val="restart"/>
          </w:tcPr>
          <w:p>
            <w:pPr>
              <w:jc w:val="right"/>
              <w:ind w:right="585"/>
              <w:spacing w:after="0"/>
              <w:rPr>
                <w:sz w:val="20"/>
                <w:szCs w:val="20"/>
                <w:color w:val="auto"/>
              </w:rPr>
            </w:pPr>
            <w:r>
              <w:rPr>
                <w:rFonts w:ascii="Courier New" w:cs="Courier New" w:eastAsia="Courier New" w:hAnsi="Courier New"/>
                <w:sz w:val="15"/>
                <w:szCs w:val="15"/>
                <w:color w:val="auto"/>
              </w:rPr>
              <w:t>OUTSTANDING AS OF SEPTEMBER 30, 1998</w:t>
            </w:r>
          </w:p>
        </w:tc>
        <w:tc>
          <w:tcPr>
            <w:tcW w:w="246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EXERCISABLE AS OF</w:t>
            </w:r>
          </w:p>
        </w:tc>
        <w:tc>
          <w:tcPr>
            <w:tcW w:w="0" w:type="dxa"/>
            <w:vAlign w:val="bottom"/>
          </w:tcPr>
          <w:p>
            <w:pPr>
              <w:spacing w:after="0"/>
              <w:rPr>
                <w:sz w:val="1"/>
                <w:szCs w:val="1"/>
                <w:color w:val="auto"/>
              </w:rPr>
            </w:pPr>
          </w:p>
        </w:tc>
      </w:tr>
      <w:tr>
        <w:trPr>
          <w:trHeight w:val="172"/>
        </w:trPr>
        <w:tc>
          <w:tcPr>
            <w:tcW w:w="4320" w:type="dxa"/>
            <w:vAlign w:val="bottom"/>
            <w:gridSpan w:val="4"/>
            <w:vMerge w:val="continue"/>
          </w:tcPr>
          <w:p>
            <w:pPr>
              <w:spacing w:after="0"/>
              <w:rPr>
                <w:sz w:val="14"/>
                <w:szCs w:val="14"/>
                <w:color w:val="auto"/>
              </w:rPr>
            </w:pPr>
          </w:p>
        </w:tc>
        <w:tc>
          <w:tcPr>
            <w:tcW w:w="246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SEPTEMBER 30, 1998</w:t>
            </w:r>
          </w:p>
        </w:tc>
        <w:tc>
          <w:tcPr>
            <w:tcW w:w="0" w:type="dxa"/>
            <w:vAlign w:val="bottom"/>
          </w:tcPr>
          <w:p>
            <w:pPr>
              <w:spacing w:after="0"/>
              <w:rPr>
                <w:sz w:val="1"/>
                <w:szCs w:val="1"/>
                <w:color w:val="auto"/>
              </w:rPr>
            </w:pPr>
          </w:p>
        </w:tc>
      </w:tr>
      <w:tr>
        <w:trPr>
          <w:trHeight w:val="252"/>
        </w:trPr>
        <w:tc>
          <w:tcPr>
            <w:tcW w:w="2100" w:type="dxa"/>
            <w:vAlign w:val="bottom"/>
            <w:gridSpan w:val="2"/>
          </w:tcPr>
          <w:p>
            <w:pPr>
              <w:spacing w:after="0"/>
              <w:rPr>
                <w:sz w:val="20"/>
                <w:szCs w:val="20"/>
                <w:color w:val="auto"/>
              </w:rPr>
            </w:pPr>
            <w:r>
              <w:rPr>
                <w:rFonts w:ascii="Courier New" w:cs="Courier New" w:eastAsia="Courier New" w:hAnsi="Courier New"/>
                <w:sz w:val="10"/>
                <w:szCs w:val="10"/>
                <w:color w:val="auto"/>
                <w:w w:val="72"/>
              </w:rPr>
              <w:t>- ----------------------------------------------</w:t>
            </w:r>
          </w:p>
        </w:tc>
        <w:tc>
          <w:tcPr>
            <w:tcW w:w="12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WEIGHTED</w:t>
            </w:r>
          </w:p>
        </w:tc>
        <w:tc>
          <w:tcPr>
            <w:tcW w:w="980" w:type="dxa"/>
            <w:vAlign w:val="bottom"/>
          </w:tcPr>
          <w:p>
            <w:pPr>
              <w:spacing w:after="0"/>
              <w:rPr>
                <w:sz w:val="21"/>
                <w:szCs w:val="21"/>
                <w:color w:val="auto"/>
              </w:rPr>
            </w:pPr>
          </w:p>
        </w:tc>
        <w:tc>
          <w:tcPr>
            <w:tcW w:w="2460" w:type="dxa"/>
            <w:vAlign w:val="bottom"/>
            <w:gridSpan w:val="2"/>
          </w:tcPr>
          <w:p>
            <w:pPr>
              <w:ind w:left="24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92"/>
        </w:trPr>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98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WEIGHTED</w:t>
            </w:r>
          </w:p>
        </w:tc>
        <w:tc>
          <w:tcPr>
            <w:tcW w:w="1300" w:type="dxa"/>
            <w:vAlign w:val="bottom"/>
          </w:tcPr>
          <w:p>
            <w:pPr>
              <w:spacing w:after="0"/>
              <w:rPr>
                <w:sz w:val="7"/>
                <w:szCs w:val="7"/>
                <w:color w:val="auto"/>
              </w:rPr>
            </w:pPr>
          </w:p>
        </w:tc>
        <w:tc>
          <w:tcPr>
            <w:tcW w:w="1160" w:type="dxa"/>
            <w:vAlign w:val="bottom"/>
            <w:vMerge w:val="restart"/>
          </w:tcPr>
          <w:p>
            <w:pPr>
              <w:jc w:val="right"/>
              <w:ind w:right="265"/>
              <w:spacing w:after="0"/>
              <w:rPr>
                <w:sz w:val="20"/>
                <w:szCs w:val="20"/>
                <w:color w:val="auto"/>
              </w:rPr>
            </w:pPr>
            <w:r>
              <w:rPr>
                <w:rFonts w:ascii="Courier New" w:cs="Courier New" w:eastAsia="Courier New" w:hAnsi="Courier New"/>
                <w:sz w:val="15"/>
                <w:szCs w:val="15"/>
                <w:color w:val="auto"/>
              </w:rPr>
              <w:t>WEIGHTED</w:t>
            </w:r>
          </w:p>
        </w:tc>
        <w:tc>
          <w:tcPr>
            <w:tcW w:w="0" w:type="dxa"/>
            <w:vAlign w:val="bottom"/>
          </w:tcPr>
          <w:p>
            <w:pPr>
              <w:spacing w:after="0"/>
              <w:rPr>
                <w:sz w:val="1"/>
                <w:szCs w:val="1"/>
                <w:color w:val="auto"/>
              </w:rPr>
            </w:pPr>
          </w:p>
        </w:tc>
      </w:tr>
      <w:tr>
        <w:trPr>
          <w:trHeight w:val="172"/>
        </w:trPr>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AVERAGE</w:t>
            </w:r>
          </w:p>
        </w:tc>
        <w:tc>
          <w:tcPr>
            <w:tcW w:w="98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0" w:type="dxa"/>
            <w:vAlign w:val="bottom"/>
            <w:vMerge w:val="restart"/>
          </w:tcPr>
          <w:p>
            <w:pPr>
              <w:jc w:val="right"/>
              <w:ind w:right="109"/>
              <w:spacing w:after="0"/>
              <w:rPr>
                <w:sz w:val="20"/>
                <w:szCs w:val="20"/>
                <w:color w:val="auto"/>
              </w:rPr>
            </w:pPr>
            <w:r>
              <w:rPr>
                <w:rFonts w:ascii="Courier New" w:cs="Courier New" w:eastAsia="Courier New" w:hAnsi="Courier New"/>
                <w:sz w:val="15"/>
                <w:szCs w:val="15"/>
                <w:color w:val="auto"/>
                <w:w w:val="94"/>
              </w:rPr>
              <w:t>EXERCISE</w:t>
            </w:r>
          </w:p>
        </w:tc>
        <w:tc>
          <w:tcPr>
            <w:tcW w:w="12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NUMBER</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REMAINING</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AVERAGE</w:t>
            </w:r>
          </w:p>
        </w:tc>
        <w:tc>
          <w:tcPr>
            <w:tcW w:w="1300" w:type="dxa"/>
            <w:vAlign w:val="bottom"/>
            <w:vMerge w:val="restart"/>
          </w:tcPr>
          <w:p>
            <w:pPr>
              <w:jc w:val="right"/>
              <w:ind w:right="445"/>
              <w:spacing w:after="0"/>
              <w:rPr>
                <w:sz w:val="20"/>
                <w:szCs w:val="20"/>
                <w:color w:val="auto"/>
              </w:rPr>
            </w:pPr>
            <w:r>
              <w:rPr>
                <w:rFonts w:ascii="Courier New" w:cs="Courier New" w:eastAsia="Courier New" w:hAnsi="Courier New"/>
                <w:sz w:val="15"/>
                <w:szCs w:val="15"/>
                <w:color w:val="auto"/>
              </w:rPr>
              <w:t>NUMBER</w:t>
            </w: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72"/>
        </w:trPr>
        <w:tc>
          <w:tcPr>
            <w:tcW w:w="8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CONTRACTUAL</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EXERCISE</w:t>
            </w:r>
          </w:p>
        </w:tc>
        <w:tc>
          <w:tcPr>
            <w:tcW w:w="1300" w:type="dxa"/>
            <w:vAlign w:val="bottom"/>
            <w:vMerge w:val="continue"/>
          </w:tcPr>
          <w:p>
            <w:pPr>
              <w:spacing w:after="0"/>
              <w:rPr>
                <w:sz w:val="14"/>
                <w:szCs w:val="14"/>
                <w:color w:val="auto"/>
              </w:rPr>
            </w:pP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172"/>
        </w:trPr>
        <w:tc>
          <w:tcPr>
            <w:tcW w:w="8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PRICES</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OUTSTANDING</w:t>
            </w:r>
          </w:p>
        </w:tc>
        <w:tc>
          <w:tcPr>
            <w:tcW w:w="12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LIFE</w:t>
            </w: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PRICE</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EXERCISABLE</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52"/>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8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$1.92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2,498.6</w:t>
            </w:r>
          </w:p>
        </w:tc>
        <w:tc>
          <w:tcPr>
            <w:tcW w:w="12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9.25</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$ 1.92</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2"/>
        </w:trPr>
        <w:tc>
          <w:tcPr>
            <w:tcW w:w="8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14.00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21.0</w:t>
            </w:r>
          </w:p>
        </w:tc>
        <w:tc>
          <w:tcPr>
            <w:tcW w:w="12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9.75</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14.00</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5.3</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14.00</w:t>
            </w:r>
          </w:p>
        </w:tc>
        <w:tc>
          <w:tcPr>
            <w:tcW w:w="0" w:type="dxa"/>
            <w:vAlign w:val="bottom"/>
          </w:tcPr>
          <w:p>
            <w:pPr>
              <w:spacing w:after="0"/>
              <w:rPr>
                <w:sz w:val="1"/>
                <w:szCs w:val="1"/>
                <w:color w:val="auto"/>
              </w:rPr>
            </w:pPr>
          </w:p>
        </w:tc>
      </w:tr>
      <w:tr>
        <w:trPr>
          <w:trHeight w:val="252"/>
        </w:trPr>
        <w:tc>
          <w:tcPr>
            <w:tcW w:w="8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8.75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1,000.0</w:t>
            </w:r>
          </w:p>
        </w:tc>
        <w:tc>
          <w:tcPr>
            <w:tcW w:w="12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8.75</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16"/>
        </w:trPr>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F-19</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85</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The weighted average grant-date fair value of the 3,527.4 options granted during the year amounted to $6.12 per option. The Company utilized the Black-Scholes option pricing model to estimate fair value, utilizing the following assumptions for the year (all in weighted averages):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5.24%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life of options (in years).........................</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0.945</w:t>
            </w:r>
          </w:p>
        </w:tc>
      </w:tr>
      <w:tr>
        <w:trPr>
          <w:trHeight w:val="2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None</w:t>
            </w:r>
          </w:p>
        </w:tc>
      </w:tr>
    </w:tbl>
    <w:p>
      <w:pPr>
        <w:spacing w:after="0" w:line="264" w:lineRule="exact"/>
        <w:rPr>
          <w:sz w:val="20"/>
          <w:szCs w:val="20"/>
          <w:color w:val="auto"/>
        </w:rPr>
      </w:pPr>
    </w:p>
    <w:p>
      <w:pPr>
        <w:ind w:right="3159" w:firstLine="447"/>
        <w:spacing w:after="0" w:line="281" w:lineRule="auto"/>
        <w:rPr>
          <w:sz w:val="20"/>
          <w:szCs w:val="20"/>
          <w:color w:val="auto"/>
        </w:rPr>
      </w:pPr>
      <w:r>
        <w:rPr>
          <w:rFonts w:ascii="Courier New" w:cs="Courier New" w:eastAsia="Courier New" w:hAnsi="Courier New"/>
          <w:sz w:val="14"/>
          <w:szCs w:val="14"/>
          <w:color w:val="auto"/>
        </w:rPr>
        <w:t>Had compensation cost for the Company's share option plans been determined based on fair value at the grant dates for awards made in 1998 under such plans</w:t>
      </w:r>
    </w:p>
    <w:tbl>
      <w:tblPr>
        <w:tblLayout w:type="fixed"/>
        <w:tblInd w:w="0" w:type="dxa"/>
        <w:tblCellMar>
          <w:top w:w="0" w:type="dxa"/>
          <w:left w:w="0" w:type="dxa"/>
          <w:bottom w:w="0" w:type="dxa"/>
          <w:right w:w="0" w:type="dxa"/>
        </w:tblCellMar>
      </w:tblPr>
      <w:tr>
        <w:trPr>
          <w:trHeight w:val="145"/>
        </w:trPr>
        <w:tc>
          <w:tcPr>
            <w:tcW w:w="1200" w:type="dxa"/>
            <w:vAlign w:val="bottom"/>
            <w:gridSpan w:val="2"/>
          </w:tcPr>
          <w:p>
            <w:pPr>
              <w:spacing w:after="0" w:line="145" w:lineRule="exact"/>
              <w:rPr>
                <w:sz w:val="20"/>
                <w:szCs w:val="20"/>
                <w:color w:val="auto"/>
              </w:rPr>
            </w:pPr>
            <w:r>
              <w:rPr>
                <w:rFonts w:ascii="Courier New" w:cs="Courier New" w:eastAsia="Courier New" w:hAnsi="Courier New"/>
                <w:sz w:val="15"/>
                <w:szCs w:val="15"/>
                <w:color w:val="auto"/>
              </w:rPr>
              <w:t>in accordance</w:t>
            </w:r>
          </w:p>
        </w:tc>
        <w:tc>
          <w:tcPr>
            <w:tcW w:w="5940" w:type="dxa"/>
            <w:vAlign w:val="bottom"/>
            <w:gridSpan w:val="2"/>
          </w:tcPr>
          <w:p>
            <w:pPr>
              <w:ind w:left="40"/>
              <w:spacing w:after="0" w:line="145" w:lineRule="exact"/>
              <w:rPr>
                <w:sz w:val="20"/>
                <w:szCs w:val="20"/>
                <w:color w:val="auto"/>
              </w:rPr>
            </w:pPr>
            <w:r>
              <w:rPr>
                <w:rFonts w:ascii="Courier New" w:cs="Courier New" w:eastAsia="Courier New" w:hAnsi="Courier New"/>
                <w:sz w:val="15"/>
                <w:szCs w:val="15"/>
                <w:color w:val="auto"/>
                <w:w w:val="98"/>
              </w:rPr>
              <w:t>with SFAS No. 123, the Company's pro forma net income and earnings</w:t>
            </w:r>
          </w:p>
        </w:tc>
      </w:tr>
      <w:tr>
        <w:trPr>
          <w:trHeight w:val="252"/>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per share for</w:t>
            </w:r>
          </w:p>
        </w:tc>
        <w:tc>
          <w:tcPr>
            <w:tcW w:w="5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year ended September 30, 1998 would have been as follows:</w:t>
            </w:r>
          </w:p>
        </w:tc>
      </w:tr>
      <w:tr>
        <w:trPr>
          <w:trHeight w:val="608"/>
        </w:trPr>
        <w:tc>
          <w:tcPr>
            <w:tcW w:w="5260" w:type="dxa"/>
            <w:vAlign w:val="bottom"/>
            <w:gridSpan w:val="3"/>
          </w:tcPr>
          <w:p>
            <w:pPr>
              <w:spacing w:after="0"/>
              <w:rPr>
                <w:sz w:val="20"/>
                <w:szCs w:val="20"/>
                <w:color w:val="auto"/>
              </w:rPr>
            </w:pPr>
            <w:r>
              <w:rPr>
                <w:rFonts w:ascii="Courier New" w:cs="Courier New" w:eastAsia="Courier New" w:hAnsi="Courier New"/>
                <w:sz w:val="15"/>
                <w:szCs w:val="15"/>
                <w:color w:val="auto"/>
              </w:rPr>
              <w:t>Pro forma net income......................................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$29,455</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4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forma basic earnings per share........................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0.19</w:t>
            </w:r>
          </w:p>
        </w:tc>
      </w:tr>
      <w:tr>
        <w:trPr>
          <w:trHeight w:val="252"/>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4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forma diluted earnings per share......................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0.18</w:t>
            </w:r>
          </w:p>
        </w:tc>
      </w:tr>
    </w:tbl>
    <w:p>
      <w:pPr>
        <w:spacing w:after="0" w:line="264"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All of the Company's stock options were granted during the year ended September 30, 1998. Accordingly, the impact of the stock options on pro forma net income and earnings per share does not reflect the annualized impact of such option grants.</w:t>
      </w:r>
    </w:p>
    <w:p>
      <w:pPr>
        <w:spacing w:after="0" w:line="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4"/>
          <w:szCs w:val="14"/>
          <w:color w:val="auto"/>
        </w:rPr>
        <w:t>EARNINGS PER SHARE</w:t>
      </w:r>
    </w:p>
    <w:p>
      <w:pPr>
        <w:spacing w:after="0" w:line="174" w:lineRule="exact"/>
        <w:rPr>
          <w:sz w:val="20"/>
          <w:szCs w:val="20"/>
          <w:color w:val="auto"/>
        </w:rPr>
      </w:pPr>
    </w:p>
    <w:p>
      <w:pPr>
        <w:ind w:right="3779" w:firstLine="447"/>
        <w:spacing w:after="0" w:line="359"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YEAR ENDED SEPTEMBER 30,</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1998</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c>
          <w:tcPr>
            <w:tcW w:w="0" w:type="dxa"/>
            <w:vAlign w:val="bottom"/>
          </w:tcPr>
          <w:p>
            <w:pPr>
              <w:spacing w:after="0"/>
              <w:rPr>
                <w:sz w:val="1"/>
                <w:szCs w:val="1"/>
                <w:color w:val="auto"/>
              </w:rPr>
            </w:pPr>
          </w:p>
        </w:tc>
      </w:tr>
      <w:tr>
        <w:trPr>
          <w:trHeight w:val="252"/>
        </w:trPr>
        <w:tc>
          <w:tcPr>
            <w:tcW w:w="4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c>
          <w:tcPr>
            <w:tcW w:w="260" w:type="dxa"/>
            <w:vAlign w:val="bottom"/>
          </w:tcPr>
          <w:p>
            <w:pPr>
              <w:spacing w:after="0"/>
              <w:rPr>
                <w:sz w:val="21"/>
                <w:szCs w:val="21"/>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1"/>
                <w:szCs w:val="21"/>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160" w:type="dxa"/>
            <w:vAlign w:val="bottom"/>
          </w:tcPr>
          <w:p>
            <w:pPr>
              <w:spacing w:after="0"/>
              <w:rPr>
                <w:sz w:val="22"/>
                <w:szCs w:val="22"/>
                <w:color w:val="auto"/>
              </w:rPr>
            </w:pPr>
          </w:p>
        </w:tc>
        <w:tc>
          <w:tcPr>
            <w:tcW w:w="90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$30,384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8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$24,508</w:t>
            </w:r>
          </w:p>
        </w:tc>
        <w:tc>
          <w:tcPr>
            <w:tcW w:w="0" w:type="dxa"/>
            <w:vAlign w:val="bottom"/>
          </w:tcPr>
          <w:p>
            <w:pPr>
              <w:spacing w:after="0"/>
              <w:rPr>
                <w:sz w:val="1"/>
                <w:szCs w:val="1"/>
                <w:color w:val="auto"/>
              </w:rPr>
            </w:pPr>
          </w:p>
        </w:tc>
      </w:tr>
      <w:tr>
        <w:trPr>
          <w:trHeight w:val="172"/>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90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200" w:type="dxa"/>
            <w:vAlign w:val="bottom"/>
            <w:vMerge w:val="restart"/>
          </w:tcPr>
          <w:p>
            <w:pPr>
              <w:spacing w:after="0"/>
              <w:rPr>
                <w:sz w:val="20"/>
                <w:szCs w:val="20"/>
                <w:color w:val="auto"/>
              </w:rPr>
            </w:pPr>
            <w:r>
              <w:rPr>
                <w:rFonts w:ascii="Courier New" w:cs="Courier New" w:eastAsia="Courier New" w:hAnsi="Courier New"/>
                <w:sz w:val="15"/>
                <w:szCs w:val="15"/>
                <w:color w:val="auto"/>
              </w:rPr>
              <w:t>Denominator:</w:t>
            </w:r>
          </w:p>
        </w:tc>
        <w:tc>
          <w:tcPr>
            <w:tcW w:w="1160" w:type="dxa"/>
            <w:vAlign w:val="bottom"/>
          </w:tcPr>
          <w:p>
            <w:pPr>
              <w:spacing w:after="0"/>
              <w:rPr>
                <w:sz w:val="21"/>
                <w:szCs w:val="21"/>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2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Denominator for basic earnings per share weighted average</w:t>
            </w:r>
          </w:p>
        </w:tc>
        <w:tc>
          <w:tcPr>
            <w:tcW w:w="90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158,528</w:t>
            </w:r>
          </w:p>
        </w:tc>
        <w:tc>
          <w:tcPr>
            <w:tcW w:w="260" w:type="dxa"/>
            <w:vAlign w:val="bottom"/>
          </w:tcPr>
          <w:p>
            <w:pPr>
              <w:spacing w:after="0"/>
              <w:rPr>
                <w:sz w:val="14"/>
                <w:szCs w:val="14"/>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5"/>
              </w:rPr>
              <w:t>108,330</w:t>
            </w:r>
          </w:p>
        </w:tc>
        <w:tc>
          <w:tcPr>
            <w:tcW w:w="8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107,920</w:t>
            </w: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number of shares outstanding..........................</w:t>
            </w:r>
          </w:p>
        </w:tc>
        <w:tc>
          <w:tcPr>
            <w:tcW w:w="9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Effect of dilutive contingently issuable shares..........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2,585</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2,585</w:t>
            </w: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Effect of dilutive stock options granted.................</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914</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200" w:type="dxa"/>
            <w:vAlign w:val="bottom"/>
            <w:vMerge w:val="restart"/>
          </w:tcPr>
          <w:p>
            <w:pPr>
              <w:spacing w:after="0"/>
              <w:rPr>
                <w:sz w:val="20"/>
                <w:szCs w:val="20"/>
                <w:color w:val="auto"/>
              </w:rPr>
            </w:pPr>
            <w:r>
              <w:rPr>
                <w:rFonts w:ascii="Courier New" w:cs="Courier New" w:eastAsia="Courier New" w:hAnsi="Courier New"/>
                <w:sz w:val="15"/>
                <w:szCs w:val="15"/>
                <w:color w:val="auto"/>
              </w:rPr>
              <w:t>Denominator for dilutive earnings per share</w:t>
            </w:r>
          </w:p>
        </w:tc>
        <w:tc>
          <w:tcPr>
            <w:tcW w:w="116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w w:val="97"/>
              </w:rPr>
              <w:t>adjusted</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4200" w:type="dxa"/>
            <w:vAlign w:val="bottom"/>
            <w:vMerge w:val="continue"/>
          </w:tcPr>
          <w:p>
            <w:pPr>
              <w:ind w:left="3920"/>
              <w:spacing w:after="0" w:line="72" w:lineRule="exact"/>
              <w:rPr>
                <w:sz w:val="20"/>
                <w:szCs w:val="20"/>
                <w:color w:val="auto"/>
              </w:rPr>
            </w:pPr>
            <w:r>
              <w:rPr>
                <w:rFonts w:ascii="Courier New" w:cs="Courier New" w:eastAsia="Courier New" w:hAnsi="Courier New"/>
                <w:sz w:val="7"/>
                <w:szCs w:val="7"/>
                <w:color w:val="auto"/>
              </w:rPr>
              <w:t>--</w:t>
            </w:r>
          </w:p>
        </w:tc>
        <w:tc>
          <w:tcPr>
            <w:tcW w:w="1160" w:type="dxa"/>
            <w:vAlign w:val="bottom"/>
            <w:vMerge w:val="continue"/>
          </w:tcPr>
          <w:p>
            <w:pPr>
              <w:spacing w:after="0"/>
              <w:rPr>
                <w:sz w:val="7"/>
                <w:szCs w:val="7"/>
                <w:color w:val="auto"/>
              </w:rPr>
            </w:pPr>
          </w:p>
        </w:tc>
        <w:tc>
          <w:tcPr>
            <w:tcW w:w="90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159,442</w:t>
            </w:r>
          </w:p>
        </w:tc>
        <w:tc>
          <w:tcPr>
            <w:tcW w:w="260" w:type="dxa"/>
            <w:vAlign w:val="bottom"/>
          </w:tcPr>
          <w:p>
            <w:pPr>
              <w:spacing w:after="0"/>
              <w:rPr>
                <w:sz w:val="7"/>
                <w:szCs w:val="7"/>
                <w:color w:val="auto"/>
              </w:rPr>
            </w:pPr>
          </w:p>
        </w:tc>
        <w:tc>
          <w:tcPr>
            <w:tcW w:w="8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5"/>
              </w:rPr>
              <w:t>110,915</w:t>
            </w:r>
          </w:p>
        </w:tc>
        <w:tc>
          <w:tcPr>
            <w:tcW w:w="8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110,505</w:t>
            </w:r>
          </w:p>
        </w:tc>
        <w:tc>
          <w:tcPr>
            <w:tcW w:w="0" w:type="dxa"/>
            <w:vAlign w:val="bottom"/>
          </w:tcPr>
          <w:p>
            <w:pPr>
              <w:spacing w:after="0"/>
              <w:rPr>
                <w:sz w:val="1"/>
                <w:szCs w:val="1"/>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weighted average shares and assumed conversions..........</w:t>
            </w:r>
          </w:p>
        </w:tc>
        <w:tc>
          <w:tcPr>
            <w:tcW w:w="9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60" w:type="dxa"/>
            <w:vAlign w:val="bottom"/>
            <w:gridSpan w:val="2"/>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Basic earnings per share...................................</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c>
          <w:tcPr>
            <w:tcW w:w="0" w:type="dxa"/>
            <w:vAlign w:val="bottom"/>
          </w:tcPr>
          <w:p>
            <w:pPr>
              <w:spacing w:after="0"/>
              <w:rPr>
                <w:sz w:val="1"/>
                <w:szCs w:val="1"/>
                <w:color w:val="auto"/>
              </w:rPr>
            </w:pPr>
          </w:p>
        </w:tc>
      </w:tr>
      <w:tr>
        <w:trPr>
          <w:trHeight w:val="172"/>
        </w:trPr>
        <w:tc>
          <w:tcPr>
            <w:tcW w:w="5360" w:type="dxa"/>
            <w:vAlign w:val="bottom"/>
            <w:gridSpan w:val="2"/>
            <w:vMerge w:val="restart"/>
          </w:tcPr>
          <w:p>
            <w:pPr>
              <w:jc w:val="right"/>
              <w:ind w:right="25"/>
              <w:spacing w:after="0"/>
              <w:rPr>
                <w:sz w:val="20"/>
                <w:szCs w:val="20"/>
                <w:color w:val="auto"/>
              </w:rPr>
            </w:pPr>
            <w:r>
              <w:rPr>
                <w:rFonts w:ascii="Courier New" w:cs="Courier New" w:eastAsia="Courier New" w:hAnsi="Courier New"/>
                <w:sz w:val="15"/>
                <w:szCs w:val="15"/>
                <w:color w:val="auto"/>
                <w:w w:val="98"/>
              </w:rPr>
              <w:t>Diluted earnings per share.................................</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42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c>
          <w:tcPr>
            <w:tcW w:w="0" w:type="dxa"/>
            <w:vAlign w:val="bottom"/>
          </w:tcPr>
          <w:p>
            <w:pPr>
              <w:spacing w:after="0"/>
              <w:rPr>
                <w:sz w:val="1"/>
                <w:szCs w:val="1"/>
                <w:color w:val="auto"/>
              </w:rPr>
            </w:pPr>
          </w:p>
        </w:tc>
      </w:tr>
      <w:tr>
        <w:trPr>
          <w:trHeight w:val="252"/>
        </w:trPr>
        <w:tc>
          <w:tcPr>
            <w:tcW w:w="4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4"/>
          <w:szCs w:val="14"/>
          <w:color w:val="auto"/>
        </w:rPr>
        <w:t>SEGMENT INFORMATION AND SALES TO SIGNIFICANT CUSTOMERS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GEOGRAPHIC INFORMATION</w:t>
      </w:r>
    </w:p>
    <w:p>
      <w:pPr>
        <w:spacing w:after="0" w:line="174" w:lineRule="exact"/>
        <w:rPr>
          <w:sz w:val="20"/>
          <w:szCs w:val="20"/>
          <w:color w:val="auto"/>
        </w:rPr>
      </w:pPr>
    </w:p>
    <w:p>
      <w:pPr>
        <w:ind w:right="3259" w:firstLine="447"/>
        <w:spacing w:after="0" w:line="301" w:lineRule="auto"/>
        <w:rPr>
          <w:sz w:val="20"/>
          <w:szCs w:val="20"/>
          <w:color w:val="auto"/>
        </w:rPr>
      </w:pPr>
      <w:r>
        <w:rPr>
          <w:rFonts w:ascii="Courier New" w:cs="Courier New" w:eastAsia="Courier New" w:hAnsi="Courier New"/>
          <w:sz w:val="15"/>
          <w:szCs w:val="15"/>
          <w:color w:val="auto"/>
        </w:rPr>
        <w:t>The following is a summary of revenue and long-lived assets by geographic area. Revenue is attributed to geographic region based on the location of the customers.</w:t>
      </w:r>
    </w:p>
    <w:p>
      <w:pPr>
        <w:spacing w:after="0" w:line="4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62" w:right="1440" w:bottom="1440" w:gutter="0" w:footer="0" w:header="0"/>
        </w:sectPr>
      </w:pPr>
    </w:p>
    <w:bookmarkStart w:id="92" w:name="page93"/>
    <w:bookmarkEnd w:id="92"/>
    <w:p>
      <w:pPr>
        <w:ind w:left="268"/>
        <w:spacing w:after="0"/>
        <w:rPr>
          <w:sz w:val="20"/>
          <w:szCs w:val="20"/>
          <w:color w:val="auto"/>
        </w:rPr>
      </w:pPr>
      <w:r>
        <w:rPr>
          <w:rFonts w:ascii="Courier New" w:cs="Courier New" w:eastAsia="Courier New" w:hAnsi="Courier New"/>
          <w:sz w:val="15"/>
          <w:szCs w:val="15"/>
          <w:color w:val="auto"/>
        </w:rPr>
        <w:t>86</w:t>
      </w:r>
    </w:p>
    <w:p>
      <w:pPr>
        <w:spacing w:after="0" w:line="30" w:lineRule="exact"/>
        <w:rPr>
          <w:sz w:val="20"/>
          <w:szCs w:val="20"/>
          <w:color w:val="auto"/>
        </w:rPr>
      </w:pPr>
    </w:p>
    <w:tbl>
      <w:tblPr>
        <w:tblLayout w:type="fixed"/>
        <w:tblInd w:w="8" w:type="dxa"/>
        <w:tblCellMar>
          <w:top w:w="0" w:type="dxa"/>
          <w:left w:w="0" w:type="dxa"/>
          <w:bottom w:w="0" w:type="dxa"/>
          <w:right w:w="0" w:type="dxa"/>
        </w:tblCellMar>
      </w:tblPr>
      <w:tr>
        <w:trPr>
          <w:trHeight w:val="252"/>
        </w:trPr>
        <w:tc>
          <w:tcPr>
            <w:tcW w:w="5040" w:type="dxa"/>
            <w:vAlign w:val="bottom"/>
          </w:tcPr>
          <w:p>
            <w:pPr>
              <w:ind w:left="2940"/>
              <w:spacing w:after="0"/>
              <w:rPr>
                <w:sz w:val="20"/>
                <w:szCs w:val="20"/>
                <w:color w:val="auto"/>
              </w:rPr>
            </w:pPr>
            <w:r>
              <w:rPr>
                <w:rFonts w:ascii="Courier New" w:cs="Courier New" w:eastAsia="Courier New" w:hAnsi="Courier New"/>
                <w:sz w:val="15"/>
                <w:szCs w:val="15"/>
                <w:color w:val="auto"/>
              </w:rPr>
              <w:t>AMDOCS LIMITED</w:t>
            </w:r>
          </w:p>
        </w:tc>
        <w:tc>
          <w:tcPr>
            <w:tcW w:w="1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5040" w:type="dxa"/>
            <w:vAlign w:val="bottom"/>
          </w:tcPr>
          <w:p>
            <w:pPr>
              <w:ind w:left="980"/>
              <w:spacing w:after="0"/>
              <w:rPr>
                <w:sz w:val="20"/>
                <w:szCs w:val="20"/>
                <w:color w:val="auto"/>
              </w:rPr>
            </w:pPr>
            <w:r>
              <w:rPr>
                <w:rFonts w:ascii="Courier New" w:cs="Courier New" w:eastAsia="Courier New" w:hAnsi="Courier New"/>
                <w:sz w:val="15"/>
                <w:szCs w:val="15"/>
                <w:color w:val="auto"/>
                <w:w w:val="99"/>
              </w:rPr>
              <w:t>NOTES TO CONSOLIDATED FINANCIAL STATEMENTS --</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(CONTINUED)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5040" w:type="dxa"/>
            <w:vAlign w:val="bottom"/>
          </w:tcPr>
          <w:p>
            <w:pPr>
              <w:spacing w:after="0"/>
              <w:rPr>
                <w:sz w:val="24"/>
                <w:szCs w:val="24"/>
                <w:color w:val="auto"/>
              </w:rPr>
            </w:pPr>
          </w:p>
        </w:tc>
        <w:tc>
          <w:tcPr>
            <w:tcW w:w="30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c>
          <w:tcPr>
            <w:tcW w:w="0" w:type="dxa"/>
            <w:vAlign w:val="bottom"/>
          </w:tcPr>
          <w:p>
            <w:pPr>
              <w:spacing w:after="0"/>
              <w:rPr>
                <w:sz w:val="1"/>
                <w:szCs w:val="1"/>
                <w:color w:val="auto"/>
              </w:rPr>
            </w:pPr>
          </w:p>
        </w:tc>
      </w:tr>
      <w:tr>
        <w:trPr>
          <w:trHeight w:val="172"/>
        </w:trPr>
        <w:tc>
          <w:tcPr>
            <w:tcW w:w="5040" w:type="dxa"/>
            <w:vAlign w:val="bottom"/>
          </w:tcPr>
          <w:p>
            <w:pPr>
              <w:spacing w:after="0"/>
              <w:rPr>
                <w:sz w:val="14"/>
                <w:szCs w:val="14"/>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40" w:type="dxa"/>
            <w:vAlign w:val="bottom"/>
          </w:tcPr>
          <w:p>
            <w:pPr>
              <w:spacing w:after="0"/>
              <w:rPr>
                <w:sz w:val="14"/>
                <w:szCs w:val="14"/>
                <w:color w:val="auto"/>
              </w:rPr>
            </w:pPr>
          </w:p>
        </w:tc>
        <w:tc>
          <w:tcPr>
            <w:tcW w:w="1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2"/>
        </w:trPr>
        <w:tc>
          <w:tcPr>
            <w:tcW w:w="5040" w:type="dxa"/>
            <w:vAlign w:val="bottom"/>
          </w:tcPr>
          <w:p>
            <w:pPr>
              <w:spacing w:after="0"/>
              <w:rPr>
                <w:sz w:val="21"/>
                <w:szCs w:val="21"/>
                <w:color w:val="auto"/>
              </w:rPr>
            </w:pPr>
          </w:p>
        </w:tc>
        <w:tc>
          <w:tcPr>
            <w:tcW w:w="1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$210,867</w:t>
            </w: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$185,119</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$142,921</w:t>
            </w:r>
          </w:p>
        </w:tc>
        <w:tc>
          <w:tcPr>
            <w:tcW w:w="0" w:type="dxa"/>
            <w:vAlign w:val="bottom"/>
          </w:tcPr>
          <w:p>
            <w:pPr>
              <w:spacing w:after="0"/>
              <w:rPr>
                <w:sz w:val="1"/>
                <w:szCs w:val="1"/>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North America...........................................</w:t>
            </w: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Australia...............................................</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33,215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37,362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36,553</w:t>
            </w:r>
          </w:p>
        </w:tc>
        <w:tc>
          <w:tcPr>
            <w:tcW w:w="0" w:type="dxa"/>
            <w:vAlign w:val="bottom"/>
          </w:tcPr>
          <w:p>
            <w:pPr>
              <w:spacing w:after="0"/>
              <w:rPr>
                <w:sz w:val="1"/>
                <w:szCs w:val="1"/>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Europe..................................................</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109,752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32,642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30,763</w:t>
            </w:r>
          </w:p>
        </w:tc>
        <w:tc>
          <w:tcPr>
            <w:tcW w:w="0" w:type="dxa"/>
            <w:vAlign w:val="bottom"/>
          </w:tcPr>
          <w:p>
            <w:pPr>
              <w:spacing w:after="0"/>
              <w:rPr>
                <w:sz w:val="1"/>
                <w:szCs w:val="1"/>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49,933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1,483</w:t>
            </w:r>
          </w:p>
        </w:tc>
        <w:tc>
          <w:tcPr>
            <w:tcW w:w="0" w:type="dxa"/>
            <w:vAlign w:val="bottom"/>
          </w:tcPr>
          <w:p>
            <w:pPr>
              <w:spacing w:after="0"/>
              <w:rPr>
                <w:sz w:val="1"/>
                <w:szCs w:val="1"/>
                <w:color w:val="auto"/>
              </w:rPr>
            </w:pPr>
          </w:p>
        </w:tc>
      </w:tr>
      <w:tr>
        <w:trPr>
          <w:trHeight w:val="172"/>
        </w:trPr>
        <w:tc>
          <w:tcPr>
            <w:tcW w:w="504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Total...................................................</w:t>
            </w:r>
          </w:p>
        </w:tc>
        <w:tc>
          <w:tcPr>
            <w:tcW w:w="1120" w:type="dxa"/>
            <w:vAlign w:val="bottom"/>
            <w:vMerge w:val="restart"/>
          </w:tcPr>
          <w:p>
            <w:pPr>
              <w:jc w:val="right"/>
              <w:ind w:right="187"/>
              <w:spacing w:after="0"/>
              <w:rPr>
                <w:sz w:val="20"/>
                <w:szCs w:val="20"/>
                <w:color w:val="auto"/>
              </w:rPr>
            </w:pP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perscript"/>
              </w:rPr>
              <w:t>--------</w:t>
            </w:r>
            <w:r>
              <w:rPr>
                <w:rFonts w:ascii="Courier New" w:cs="Courier New" w:eastAsia="Courier New" w:hAnsi="Courier New"/>
                <w:sz w:val="11"/>
                <w:szCs w:val="11"/>
                <w:color w:val="auto"/>
                <w:w w:val="73"/>
              </w:rPr>
              <w:t>403,767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$290,102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$211,720</w:t>
            </w:r>
          </w:p>
        </w:tc>
        <w:tc>
          <w:tcPr>
            <w:tcW w:w="0" w:type="dxa"/>
            <w:vAlign w:val="bottom"/>
          </w:tcPr>
          <w:p>
            <w:pPr>
              <w:spacing w:after="0"/>
              <w:rPr>
                <w:sz w:val="1"/>
                <w:szCs w:val="1"/>
                <w:color w:val="auto"/>
              </w:rPr>
            </w:pPr>
          </w:p>
        </w:tc>
      </w:tr>
      <w:tr>
        <w:trPr>
          <w:trHeight w:val="252"/>
        </w:trPr>
        <w:tc>
          <w:tcPr>
            <w:tcW w:w="5040" w:type="dxa"/>
            <w:vAlign w:val="bottom"/>
            <w:vMerge w:val="restart"/>
          </w:tcPr>
          <w:p>
            <w:pPr>
              <w:spacing w:after="0"/>
              <w:rPr>
                <w:sz w:val="20"/>
                <w:szCs w:val="20"/>
                <w:color w:val="auto"/>
              </w:rPr>
            </w:pPr>
            <w:r>
              <w:rPr>
                <w:rFonts w:ascii="Courier New" w:cs="Courier New" w:eastAsia="Courier New" w:hAnsi="Courier New"/>
                <w:sz w:val="15"/>
                <w:szCs w:val="15"/>
                <w:color w:val="auto"/>
              </w:rPr>
              <w:t>LONG-LIVED ASSETS</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040" w:type="dxa"/>
            <w:vAlign w:val="bottom"/>
            <w:vMerge w:val="continue"/>
          </w:tcPr>
          <w:p>
            <w:pPr>
              <w:spacing w:after="0"/>
              <w:rPr>
                <w:sz w:val="7"/>
                <w:szCs w:val="7"/>
                <w:color w:val="auto"/>
              </w:rPr>
            </w:pPr>
          </w:p>
        </w:tc>
        <w:tc>
          <w:tcPr>
            <w:tcW w:w="11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$ 38,917</w:t>
            </w:r>
          </w:p>
        </w:tc>
        <w:tc>
          <w:tcPr>
            <w:tcW w:w="98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$ 26,779</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$ 18,346</w:t>
            </w:r>
          </w:p>
        </w:tc>
        <w:tc>
          <w:tcPr>
            <w:tcW w:w="0" w:type="dxa"/>
            <w:vAlign w:val="bottom"/>
          </w:tcPr>
          <w:p>
            <w:pPr>
              <w:spacing w:after="0"/>
              <w:rPr>
                <w:sz w:val="1"/>
                <w:szCs w:val="1"/>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Israel*.................................................</w:t>
            </w: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North America**.........................................</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30,441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39,771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7,378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1,794</w:t>
            </w:r>
          </w:p>
        </w:tc>
        <w:tc>
          <w:tcPr>
            <w:tcW w:w="0" w:type="dxa"/>
            <w:vAlign w:val="bottom"/>
          </w:tcPr>
          <w:p>
            <w:pPr>
              <w:spacing w:after="0"/>
              <w:rPr>
                <w:sz w:val="1"/>
                <w:szCs w:val="1"/>
                <w:color w:val="auto"/>
              </w:rPr>
            </w:pPr>
          </w:p>
        </w:tc>
      </w:tr>
      <w:tr>
        <w:trPr>
          <w:trHeight w:val="172"/>
        </w:trPr>
        <w:tc>
          <w:tcPr>
            <w:tcW w:w="5040" w:type="dxa"/>
            <w:vAlign w:val="bottom"/>
          </w:tcPr>
          <w:p>
            <w:pPr>
              <w:spacing w:after="0"/>
              <w:rPr>
                <w:sz w:val="14"/>
                <w:szCs w:val="14"/>
                <w:color w:val="auto"/>
              </w:rPr>
            </w:pPr>
          </w:p>
        </w:tc>
        <w:tc>
          <w:tcPr>
            <w:tcW w:w="1120" w:type="dxa"/>
            <w:vAlign w:val="bottom"/>
            <w:vMerge w:val="restart"/>
          </w:tcPr>
          <w:p>
            <w:pPr>
              <w:jc w:val="right"/>
              <w:ind w:right="187"/>
              <w:spacing w:after="0"/>
              <w:rPr>
                <w:sz w:val="20"/>
                <w:szCs w:val="20"/>
                <w:color w:val="auto"/>
              </w:rPr>
            </w:pPr>
            <w:r>
              <w:rPr>
                <w:rFonts w:ascii="Courier New" w:cs="Courier New" w:eastAsia="Courier New" w:hAnsi="Courier New"/>
                <w:sz w:val="22"/>
                <w:szCs w:val="22"/>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76,736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0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$ 68,952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$ 20,140</w:t>
            </w:r>
          </w:p>
        </w:tc>
        <w:tc>
          <w:tcPr>
            <w:tcW w:w="0" w:type="dxa"/>
            <w:vAlign w:val="bottom"/>
          </w:tcPr>
          <w:p>
            <w:pPr>
              <w:spacing w:after="0"/>
              <w:rPr>
                <w:sz w:val="1"/>
                <w:szCs w:val="1"/>
                <w:color w:val="auto"/>
              </w:rPr>
            </w:pPr>
          </w:p>
        </w:tc>
      </w:tr>
      <w:tr>
        <w:trPr>
          <w:trHeight w:val="252"/>
        </w:trPr>
        <w:tc>
          <w:tcPr>
            <w:tcW w:w="5040" w:type="dxa"/>
            <w:vAlign w:val="bottom"/>
          </w:tcPr>
          <w:p>
            <w:pPr>
              <w:spacing w:after="0"/>
              <w:rPr>
                <w:sz w:val="21"/>
                <w:szCs w:val="21"/>
                <w:color w:val="auto"/>
              </w:rPr>
            </w:pP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348" w:hanging="348"/>
        <w:spacing w:after="0"/>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computers and vehicles.</w:t>
      </w:r>
    </w:p>
    <w:p>
      <w:pPr>
        <w:spacing w:after="0" w:line="146" w:lineRule="exact"/>
        <w:rPr>
          <w:sz w:val="20"/>
          <w:szCs w:val="20"/>
          <w:color w:val="auto"/>
        </w:rPr>
      </w:pPr>
    </w:p>
    <w:p>
      <w:pPr>
        <w:ind w:left="348" w:hanging="348"/>
        <w:spacing w:after="0"/>
        <w:tabs>
          <w:tab w:leader="none" w:pos="3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 software and intellectual property rights.</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10 percent of total long-lived assets.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AND CUSTOMER INFORMATION</w:t>
      </w:r>
    </w:p>
    <w:p>
      <w:pPr>
        <w:spacing w:after="0" w:line="346" w:lineRule="exact"/>
        <w:rPr>
          <w:sz w:val="20"/>
          <w:szCs w:val="20"/>
          <w:color w:val="auto"/>
        </w:rPr>
      </w:pPr>
    </w:p>
    <w:p>
      <w:pPr>
        <w:ind w:left="8" w:right="3159" w:firstLine="447"/>
        <w:spacing w:after="0" w:line="295" w:lineRule="auto"/>
        <w:rPr>
          <w:sz w:val="20"/>
          <w:szCs w:val="20"/>
          <w:color w:val="auto"/>
        </w:rPr>
      </w:pPr>
      <w:r>
        <w:rPr>
          <w:rFonts w:ascii="Courier New" w:cs="Courier New" w:eastAsia="Courier New" w:hAnsi="Courier New"/>
          <w:sz w:val="14"/>
          <w:szCs w:val="14"/>
          <w:color w:val="auto"/>
        </w:rPr>
        <w:t>Customer care and billing systems (CC&amp;B) include systems for wireless, wireline and multiple-service or convergent network operators and service providers. Directory includes directory sales and publishing systems for publishers of both traditional printed yellow pages and white pages directories and electronic directories, such as Internet, kiosk and CD-ROM directories.</w:t>
      </w:r>
    </w:p>
    <w:p>
      <w:pPr>
        <w:spacing w:after="0" w:line="200" w:lineRule="exact"/>
        <w:rPr>
          <w:sz w:val="20"/>
          <w:szCs w:val="20"/>
          <w:color w:val="auto"/>
        </w:rPr>
      </w:pPr>
    </w:p>
    <w:p>
      <w:pPr>
        <w:spacing w:after="0" w:line="37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940" w:type="dxa"/>
            <w:vAlign w:val="bottom"/>
          </w:tcPr>
          <w:p>
            <w:pPr>
              <w:spacing w:after="0"/>
              <w:rPr>
                <w:sz w:val="14"/>
                <w:szCs w:val="14"/>
                <w:color w:val="auto"/>
              </w:rPr>
            </w:pPr>
          </w:p>
        </w:tc>
        <w:tc>
          <w:tcPr>
            <w:tcW w:w="29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2960" w:type="dxa"/>
            <w:vAlign w:val="bottom"/>
            <w:gridSpan w:val="3"/>
          </w:tcPr>
          <w:p>
            <w:pPr>
              <w:jc w:val="center"/>
              <w:ind w:left="28"/>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14"/>
                <w:szCs w:val="14"/>
                <w:color w:val="auto"/>
              </w:rPr>
            </w:pPr>
          </w:p>
        </w:tc>
        <w:tc>
          <w:tcPr>
            <w:tcW w:w="98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4"/>
              </w:rPr>
              <w:t>1998</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1996</w:t>
            </w:r>
          </w:p>
        </w:tc>
        <w:tc>
          <w:tcPr>
            <w:tcW w:w="0" w:type="dxa"/>
            <w:vAlign w:val="bottom"/>
          </w:tcPr>
          <w:p>
            <w:pPr>
              <w:spacing w:after="0"/>
              <w:rPr>
                <w:sz w:val="1"/>
                <w:szCs w:val="1"/>
                <w:color w:val="auto"/>
              </w:rPr>
            </w:pPr>
          </w:p>
        </w:tc>
      </w:tr>
      <w:tr>
        <w:trPr>
          <w:trHeight w:val="252"/>
        </w:trPr>
        <w:tc>
          <w:tcPr>
            <w:tcW w:w="2940" w:type="dxa"/>
            <w:vAlign w:val="bottom"/>
          </w:tcPr>
          <w:p>
            <w:pPr>
              <w:spacing w:after="0"/>
              <w:rPr>
                <w:sz w:val="21"/>
                <w:szCs w:val="21"/>
                <w:color w:val="auto"/>
              </w:rPr>
            </w:pPr>
          </w:p>
        </w:tc>
        <w:tc>
          <w:tcPr>
            <w:tcW w:w="98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4"/>
        </w:trPr>
        <w:tc>
          <w:tcPr>
            <w:tcW w:w="2940" w:type="dxa"/>
            <w:vAlign w:val="bottom"/>
          </w:tcPr>
          <w:p>
            <w:pPr>
              <w:spacing w:after="0"/>
              <w:rPr>
                <w:sz w:val="20"/>
                <w:szCs w:val="20"/>
                <w:color w:val="auto"/>
              </w:rPr>
            </w:pPr>
            <w:r>
              <w:rPr>
                <w:rFonts w:ascii="Courier New" w:cs="Courier New" w:eastAsia="Courier New" w:hAnsi="Courier New"/>
                <w:sz w:val="15"/>
                <w:szCs w:val="15"/>
                <w:color w:val="auto"/>
              </w:rPr>
              <w:t>CC&amp;B............................</w:t>
            </w:r>
          </w:p>
        </w:tc>
        <w:tc>
          <w:tcPr>
            <w:tcW w:w="98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7"/>
              </w:rPr>
              <w:t>$251,829</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$166,335</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$102,481</w:t>
            </w:r>
          </w:p>
        </w:tc>
        <w:tc>
          <w:tcPr>
            <w:tcW w:w="0" w:type="dxa"/>
            <w:vAlign w:val="bottom"/>
          </w:tcPr>
          <w:p>
            <w:pPr>
              <w:spacing w:after="0"/>
              <w:rPr>
                <w:sz w:val="1"/>
                <w:szCs w:val="1"/>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Directory.......................</w:t>
            </w: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151,938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123,767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109,239</w:t>
            </w:r>
          </w:p>
        </w:tc>
        <w:tc>
          <w:tcPr>
            <w:tcW w:w="0" w:type="dxa"/>
            <w:vAlign w:val="bottom"/>
          </w:tcPr>
          <w:p>
            <w:pPr>
              <w:spacing w:after="0"/>
              <w:rPr>
                <w:sz w:val="1"/>
                <w:szCs w:val="1"/>
                <w:color w:val="auto"/>
              </w:rPr>
            </w:pPr>
          </w:p>
        </w:tc>
      </w:tr>
      <w:tr>
        <w:trPr>
          <w:trHeight w:val="172"/>
        </w:trPr>
        <w:tc>
          <w:tcPr>
            <w:tcW w:w="294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980" w:type="dxa"/>
            <w:vAlign w:val="bottom"/>
            <w:vMerge w:val="restart"/>
          </w:tcPr>
          <w:p>
            <w:pPr>
              <w:jc w:val="center"/>
              <w:ind w:right="8"/>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6"/>
                <w:szCs w:val="16"/>
                <w:color w:val="auto"/>
                <w:w w:val="70"/>
                <w:vertAlign w:val="superscript"/>
              </w:rPr>
              <w:t>--------</w:t>
            </w:r>
            <w:r>
              <w:rPr>
                <w:rFonts w:ascii="Courier New" w:cs="Courier New" w:eastAsia="Courier New" w:hAnsi="Courier New"/>
                <w:sz w:val="10"/>
                <w:szCs w:val="10"/>
                <w:color w:val="auto"/>
                <w:w w:val="70"/>
              </w:rPr>
              <w:t>403,767</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2"/>
        </w:trPr>
        <w:tc>
          <w:tcPr>
            <w:tcW w:w="29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$290,102</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$211,720</w:t>
            </w:r>
          </w:p>
        </w:tc>
        <w:tc>
          <w:tcPr>
            <w:tcW w:w="0" w:type="dxa"/>
            <w:vAlign w:val="bottom"/>
          </w:tcPr>
          <w:p>
            <w:pPr>
              <w:spacing w:after="0"/>
              <w:rPr>
                <w:sz w:val="1"/>
                <w:szCs w:val="1"/>
                <w:color w:val="auto"/>
              </w:rPr>
            </w:pPr>
          </w:p>
        </w:tc>
      </w:tr>
      <w:tr>
        <w:trPr>
          <w:trHeight w:val="252"/>
        </w:trPr>
        <w:tc>
          <w:tcPr>
            <w:tcW w:w="2940" w:type="dxa"/>
            <w:vAlign w:val="bottom"/>
          </w:tcPr>
          <w:p>
            <w:pPr>
              <w:spacing w:after="0"/>
              <w:rPr>
                <w:sz w:val="21"/>
                <w:szCs w:val="21"/>
                <w:color w:val="auto"/>
              </w:rPr>
            </w:pPr>
          </w:p>
        </w:tc>
        <w:tc>
          <w:tcPr>
            <w:tcW w:w="98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516"/>
        </w:trPr>
        <w:tc>
          <w:tcPr>
            <w:tcW w:w="2940" w:type="dxa"/>
            <w:vAlign w:val="bottom"/>
          </w:tcPr>
          <w:p>
            <w:pPr>
              <w:spacing w:after="0"/>
              <w:rPr>
                <w:sz w:val="24"/>
                <w:szCs w:val="2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F-21</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7"/>
          </w:cols>
          <w:pgMar w:left="232" w:top="263"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87</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TO SIGNIFICANT CUSTOMERS</w:t>
      </w:r>
    </w:p>
    <w:p>
      <w:pPr>
        <w:spacing w:after="0" w:line="174" w:lineRule="exact"/>
        <w:rPr>
          <w:sz w:val="20"/>
          <w:szCs w:val="20"/>
          <w:color w:val="auto"/>
        </w:rPr>
      </w:pPr>
    </w:p>
    <w:p>
      <w:pPr>
        <w:ind w:right="3599" w:firstLine="447"/>
        <w:spacing w:after="0" w:line="401" w:lineRule="auto"/>
        <w:rPr>
          <w:sz w:val="20"/>
          <w:szCs w:val="20"/>
          <w:color w:val="auto"/>
        </w:rPr>
      </w:pPr>
      <w:r>
        <w:rPr>
          <w:rFonts w:ascii="Courier New" w:cs="Courier New" w:eastAsia="Courier New" w:hAnsi="Courier New"/>
          <w:sz w:val="14"/>
          <w:szCs w:val="14"/>
          <w:color w:val="auto"/>
        </w:rPr>
        <w:t>The following table summarizes the percentage of sales to significant customers (when they exceed 10 percent of total revenue for the year).</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YEAR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4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4"/>
              </w:rPr>
              <w:t>1996</w:t>
            </w:r>
          </w:p>
        </w:tc>
        <w:tc>
          <w:tcPr>
            <w:tcW w:w="0" w:type="dxa"/>
            <w:vAlign w:val="bottom"/>
          </w:tcPr>
          <w:p>
            <w:pPr>
              <w:spacing w:after="0"/>
              <w:rPr>
                <w:sz w:val="1"/>
                <w:szCs w:val="1"/>
                <w:color w:val="auto"/>
              </w:rPr>
            </w:pPr>
          </w:p>
        </w:tc>
      </w:tr>
      <w:tr>
        <w:trPr>
          <w:trHeight w:val="252"/>
        </w:trPr>
        <w:tc>
          <w:tcPr>
            <w:tcW w:w="3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64"/>
        </w:trPr>
        <w:tc>
          <w:tcPr>
            <w:tcW w:w="4460" w:type="dxa"/>
            <w:vAlign w:val="bottom"/>
            <w:gridSpan w:val="2"/>
          </w:tcPr>
          <w:p>
            <w:pPr>
              <w:spacing w:after="0"/>
              <w:rPr>
                <w:sz w:val="20"/>
                <w:szCs w:val="20"/>
                <w:color w:val="auto"/>
              </w:rPr>
            </w:pPr>
            <w:r>
              <w:rPr>
                <w:rFonts w:ascii="Courier New" w:cs="Courier New" w:eastAsia="Courier New" w:hAnsi="Courier New"/>
                <w:sz w:val="11"/>
                <w:szCs w:val="11"/>
                <w:color w:val="auto"/>
                <w:w w:val="71"/>
              </w:rPr>
              <w:t>Southwestern</w:t>
            </w:r>
            <w:r>
              <w:rPr>
                <w:rFonts w:ascii="Courier New" w:cs="Courier New" w:eastAsia="Courier New" w:hAnsi="Courier New"/>
                <w:sz w:val="19"/>
                <w:szCs w:val="19"/>
                <w:color w:val="auto"/>
                <w:w w:val="71"/>
                <w:vertAlign w:val="subscript"/>
              </w:rPr>
              <w:t>...........................................</w:t>
            </w:r>
            <w:r>
              <w:rPr>
                <w:rFonts w:ascii="Courier New" w:cs="Courier New" w:eastAsia="Courier New" w:hAnsi="Courier New"/>
                <w:sz w:val="11"/>
                <w:szCs w:val="11"/>
                <w:color w:val="auto"/>
                <w:w w:val="71"/>
              </w:rPr>
              <w:t>BellCommunicationsServicesInc.and</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w:t>
            </w:r>
          </w:p>
        </w:tc>
        <w:tc>
          <w:tcPr>
            <w:tcW w:w="10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35%</w:t>
            </w:r>
          </w:p>
        </w:tc>
        <w:tc>
          <w:tcPr>
            <w:tcW w:w="980" w:type="dxa"/>
            <w:vAlign w:val="bottom"/>
            <w:vMerge w:val="restart"/>
          </w:tcPr>
          <w:p>
            <w:pPr>
              <w:jc w:val="right"/>
              <w:ind w:right="545"/>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affiliates</w:t>
            </w:r>
          </w:p>
        </w:tc>
        <w:tc>
          <w:tcPr>
            <w:tcW w:w="9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w w:val="98"/>
              </w:rPr>
              <w:t>BellSouth Telecommunications, Inc., and affiliates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   16</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w w:val="89"/>
              </w:rPr>
              <w:t>Telstra Corporation Ltd................................</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4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 less than 10 percent of total revenue</w:t>
            </w: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5500" w:type="dxa"/>
            <w:vAlign w:val="bottom"/>
            <w:gridSpan w:val="3"/>
          </w:tcPr>
          <w:p>
            <w:pPr>
              <w:spacing w:after="0"/>
              <w:rPr>
                <w:sz w:val="20"/>
                <w:szCs w:val="20"/>
                <w:color w:val="auto"/>
              </w:rPr>
            </w:pPr>
            <w:r>
              <w:rPr>
                <w:rFonts w:ascii="Courier New" w:cs="Courier New" w:eastAsia="Courier New" w:hAnsi="Courier New"/>
                <w:sz w:val="15"/>
                <w:szCs w:val="15"/>
                <w:color w:val="auto"/>
              </w:rPr>
              <w:t>NOTE 17  SELECTED QUARTERLY FINANCIAL DATA (UNAUDITED)</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QUARTER ENDED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560" w:type="dxa"/>
            <w:vAlign w:val="bottom"/>
          </w:tcPr>
          <w:p>
            <w:pPr>
              <w:spacing w:after="0"/>
              <w:rPr>
                <w:sz w:val="14"/>
                <w:szCs w:val="14"/>
                <w:color w:val="auto"/>
              </w:rPr>
            </w:pPr>
          </w:p>
        </w:tc>
        <w:tc>
          <w:tcPr>
            <w:tcW w:w="3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SEPT 30,</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JUNE 30,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DEC 31,</w:t>
            </w:r>
          </w:p>
        </w:tc>
        <w:tc>
          <w:tcPr>
            <w:tcW w:w="0" w:type="dxa"/>
            <w:vAlign w:val="bottom"/>
          </w:tcPr>
          <w:p>
            <w:pPr>
              <w:spacing w:after="0"/>
              <w:rPr>
                <w:sz w:val="1"/>
                <w:szCs w:val="1"/>
                <w:color w:val="auto"/>
              </w:rPr>
            </w:pPr>
          </w:p>
        </w:tc>
      </w:tr>
      <w:tr>
        <w:trPr>
          <w:trHeight w:val="252"/>
        </w:trPr>
        <w:tc>
          <w:tcPr>
            <w:tcW w:w="3560" w:type="dxa"/>
            <w:vAlign w:val="bottom"/>
          </w:tcPr>
          <w:p>
            <w:pPr>
              <w:spacing w:after="0"/>
              <w:rPr>
                <w:sz w:val="21"/>
                <w:szCs w:val="21"/>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7"/>
              </w:rPr>
              <w:t>$116,704</w:t>
            </w:r>
          </w:p>
        </w:tc>
        <w:tc>
          <w:tcPr>
            <w:tcW w:w="10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$106,497</w:t>
            </w:r>
          </w:p>
        </w:tc>
        <w:tc>
          <w:tcPr>
            <w:tcW w:w="10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$94,008</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$86,558</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26,104</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22,821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19,125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16,845</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11,598</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6,443</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4,105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7,961</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0.06</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0.04</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0.06</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0.04</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7"/>
              </w:rPr>
              <w:t>$ 87,987</w:t>
            </w:r>
          </w:p>
        </w:tc>
        <w:tc>
          <w:tcPr>
            <w:tcW w:w="10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$ 77,089</w:t>
            </w:r>
          </w:p>
        </w:tc>
        <w:tc>
          <w:tcPr>
            <w:tcW w:w="10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$62,489</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$62,537</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(10,586)</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13,363</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12,179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12,013</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(18,307)</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7,378</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8,236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8,569</w:t>
            </w:r>
          </w:p>
        </w:tc>
        <w:tc>
          <w:tcPr>
            <w:tcW w:w="0" w:type="dxa"/>
            <w:vAlign w:val="bottom"/>
          </w:tcPr>
          <w:p>
            <w:pPr>
              <w:spacing w:after="0"/>
              <w:rPr>
                <w:sz w:val="1"/>
                <w:szCs w:val="1"/>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(0.17)</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0.07</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0" w:type="dxa"/>
            <w:vAlign w:val="bottom"/>
          </w:tcPr>
          <w:p>
            <w:pPr>
              <w:spacing w:after="0"/>
              <w:rPr>
                <w:sz w:val="1"/>
                <w:szCs w:val="1"/>
                <w:color w:val="auto"/>
              </w:rPr>
            </w:pPr>
          </w:p>
        </w:tc>
      </w:tr>
      <w:tr>
        <w:trPr>
          <w:trHeight w:val="2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(0.17)</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0.07</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259" w:firstLine="447"/>
        <w:spacing w:after="0" w:line="359" w:lineRule="auto"/>
        <w:rPr>
          <w:sz w:val="20"/>
          <w:szCs w:val="20"/>
          <w:color w:val="auto"/>
        </w:rPr>
      </w:pPr>
      <w:r>
        <w:rPr>
          <w:rFonts w:ascii="Courier New" w:cs="Courier New" w:eastAsia="Courier New" w:hAnsi="Courier New"/>
          <w:sz w:val="15"/>
          <w:szCs w:val="15"/>
          <w:color w:val="auto"/>
        </w:rPr>
        <w:t>The fiscal quarter ended September 30, 1997 includes nonrecurring charges of $27,563.</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FINANCIAL INSTRUMENTS</w:t>
      </w:r>
    </w:p>
    <w:p>
      <w:pPr>
        <w:spacing w:after="0" w:line="174" w:lineRule="exact"/>
        <w:rPr>
          <w:sz w:val="20"/>
          <w:szCs w:val="20"/>
          <w:color w:val="auto"/>
        </w:rPr>
      </w:pPr>
    </w:p>
    <w:p>
      <w:pPr>
        <w:ind w:right="3079" w:firstLine="447"/>
        <w:spacing w:after="0" w:line="250" w:lineRule="auto"/>
        <w:rPr>
          <w:sz w:val="20"/>
          <w:szCs w:val="20"/>
          <w:color w:val="auto"/>
        </w:rPr>
      </w:pPr>
      <w:r>
        <w:rPr>
          <w:rFonts w:ascii="Courier New" w:cs="Courier New" w:eastAsia="Courier New" w:hAnsi="Courier New"/>
          <w:sz w:val="15"/>
          <w:szCs w:val="15"/>
          <w:color w:val="auto"/>
        </w:rPr>
        <w:t>Most of the Company's revenue and expenses are denominated in U.S. dollars. However, as the Company does business world-wide, the Company enters into various foreign exchange contracts in managing its foreign exchange risks. The derivative financial instruments are afforded hedge accounting treatment because they are effective in managing foreign exchange risks and are appropriately designated to the underlying exposures. The Company does not enter into derivative contracts for speculative purposes, nor is it a party to any leveraged derivative instrument. Through its foreign currency hedging activities, the Company seeks to minimize the risk that fair value of the sales of products and services and cash flow required for the Company's expenses denominated in a currency different from the functional currency will be affected by changes in exchange rates. Cash flow hedges protect the Company from fluctuations in expenses expected to be incurred in subsidiaries that operate in non U.S. dollar-based environments. Fair value hedges protect cash flows generated by firm commitments from customers who purchase services in non U.S. dollar-based currencies.</w:t>
      </w:r>
    </w:p>
    <w:p>
      <w:pPr>
        <w:spacing w:after="0" w:line="9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63"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88</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59" w:firstLine="447"/>
        <w:spacing w:after="0" w:line="295" w:lineRule="auto"/>
        <w:rPr>
          <w:sz w:val="20"/>
          <w:szCs w:val="20"/>
          <w:color w:val="auto"/>
        </w:rPr>
      </w:pPr>
      <w:r>
        <w:rPr>
          <w:rFonts w:ascii="Courier New" w:cs="Courier New" w:eastAsia="Courier New" w:hAnsi="Courier New"/>
          <w:sz w:val="14"/>
          <w:szCs w:val="14"/>
          <w:color w:val="auto"/>
        </w:rPr>
        <w:t>For its qualifying fair value hedges, the fair value of the derivative instrument and firm commitment are recorded as assets and liabilities on the balance sheet. The change in the fair value of the forward contract related to the ineffective portion of the hedging contracts is recorded in Other expense, net. For the year ended September 30, 1998, this amounted to an expense of $98.</w:t>
      </w:r>
    </w:p>
    <w:p>
      <w:pPr>
        <w:spacing w:after="0" w:line="57" w:lineRule="exact"/>
        <w:rPr>
          <w:sz w:val="20"/>
          <w:szCs w:val="20"/>
          <w:color w:val="auto"/>
        </w:rPr>
      </w:pPr>
    </w:p>
    <w:p>
      <w:pPr>
        <w:ind w:right="3079" w:firstLine="447"/>
        <w:spacing w:after="0" w:line="273" w:lineRule="auto"/>
        <w:rPr>
          <w:sz w:val="20"/>
          <w:szCs w:val="20"/>
          <w:color w:val="auto"/>
        </w:rPr>
      </w:pPr>
      <w:r>
        <w:rPr>
          <w:rFonts w:ascii="Courier New" w:cs="Courier New" w:eastAsia="Courier New" w:hAnsi="Courier New"/>
          <w:sz w:val="14"/>
          <w:szCs w:val="14"/>
          <w:color w:val="auto"/>
        </w:rPr>
        <w:t>For its qualifying cash flow hedges, the fair value of the derivative instrument is recorded as an asset or liability on the balance sheet. The change in fair value of the derivative instrument related to the ineffective portion of the hedging contracts is recorded in Other expense, net. For the year ended September 30, 1998, this amounted to income of $300. The remaining change in fair value is reported in Other comprehensive income and will be recorded into earnings, as a component of the line item which contains the hedged item in the same period the forecasted transactions affect earnings. It is expected that $634 of net unrealized losses included in Other comprehensive income at September 30, 1998 will be recognized during the period ended September 30, 1999. At September 30, 1998 the maximum length of time over which the Company is hedging its exposure to the variability of future cash flows is 4 years.</w:t>
      </w:r>
    </w:p>
    <w:p>
      <w:pPr>
        <w:spacing w:after="0" w:line="71"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At September 30, 1998, the Company had forward exchange contracts to exchange various foreign currencies for U.S. dollars. The value of New Israeli shekels and Australian dollars to be purchased was $121,868 and the value of Great Britain pounds, Austrian shillings, Japanese yen, and Canadian dollars to be sold is $60,599. The fair value of forward derivatives as of September 30, 1998 is $(4,671).</w:t>
      </w:r>
    </w:p>
    <w:p>
      <w:pPr>
        <w:spacing w:after="0" w:line="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262"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89</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346"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BALANCE SHEET (UNAUDITED)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88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2"/>
        </w:trPr>
        <w:tc>
          <w:tcPr>
            <w:tcW w:w="1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2"/>
        </w:trPr>
        <w:tc>
          <w:tcPr>
            <w:tcW w:w="18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1880" w:type="dxa"/>
            <w:vAlign w:val="bottom"/>
            <w:vMerge w:val="restart"/>
          </w:tcPr>
          <w:p>
            <w:pPr>
              <w:spacing w:after="0"/>
              <w:rPr>
                <w:sz w:val="20"/>
                <w:szCs w:val="20"/>
                <w:color w:val="auto"/>
              </w:rPr>
            </w:pPr>
            <w:r>
              <w:rPr>
                <w:rFonts w:ascii="Courier New" w:cs="Courier New" w:eastAsia="Courier New" w:hAnsi="Courier New"/>
                <w:sz w:val="15"/>
                <w:szCs w:val="15"/>
                <w:color w:val="auto"/>
              </w:rPr>
              <w:t>Current Assets:</w:t>
            </w:r>
          </w:p>
        </w:tc>
        <w:tc>
          <w:tcPr>
            <w:tcW w:w="3560" w:type="dxa"/>
            <w:vAlign w:val="bottom"/>
          </w:tcPr>
          <w:p>
            <w:pPr>
              <w:jc w:val="right"/>
              <w:ind w:right="1965"/>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1880" w:type="dxa"/>
            <w:vAlign w:val="bottom"/>
            <w:vMerge w:val="continue"/>
          </w:tcPr>
          <w:p>
            <w:pPr>
              <w:spacing w:after="0"/>
              <w:rPr>
                <w:sz w:val="7"/>
                <w:szCs w:val="7"/>
                <w:color w:val="auto"/>
              </w:rPr>
            </w:pPr>
          </w:p>
        </w:tc>
        <w:tc>
          <w:tcPr>
            <w:tcW w:w="3560" w:type="dxa"/>
            <w:vAlign w:val="bottom"/>
          </w:tcPr>
          <w:p>
            <w:pPr>
              <w:spacing w:after="0"/>
              <w:rPr>
                <w:sz w:val="7"/>
                <w:szCs w:val="7"/>
                <w:color w:val="auto"/>
              </w:rPr>
            </w:pP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26,894</w:t>
            </w: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including unbilled of $7,124.........</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121,283</w:t>
            </w: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from related parties..................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10,144</w:t>
            </w: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12,050</w:t>
            </w: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16,085</w:t>
            </w:r>
          </w:p>
        </w:tc>
        <w:tc>
          <w:tcPr>
            <w:tcW w:w="0" w:type="dxa"/>
            <w:vAlign w:val="bottom"/>
          </w:tcPr>
          <w:p>
            <w:pPr>
              <w:spacing w:after="0"/>
              <w:rPr>
                <w:sz w:val="1"/>
                <w:szCs w:val="1"/>
                <w:color w:val="auto"/>
              </w:rPr>
            </w:pPr>
          </w:p>
        </w:tc>
      </w:tr>
      <w:tr>
        <w:trPr>
          <w:trHeight w:val="172"/>
        </w:trPr>
        <w:tc>
          <w:tcPr>
            <w:tcW w:w="5440" w:type="dxa"/>
            <w:vAlign w:val="bottom"/>
            <w:gridSpan w:val="2"/>
            <w:vMerge w:val="restart"/>
          </w:tcPr>
          <w:p>
            <w:pPr>
              <w:ind w:left="880"/>
              <w:spacing w:after="0"/>
              <w:rPr>
                <w:sz w:val="20"/>
                <w:szCs w:val="20"/>
                <w:color w:val="auto"/>
              </w:rPr>
            </w:pPr>
            <w:r>
              <w:rPr>
                <w:rFonts w:ascii="Courier New" w:cs="Courier New" w:eastAsia="Courier New" w:hAnsi="Courier New"/>
                <w:sz w:val="15"/>
                <w:szCs w:val="15"/>
                <w:color w:val="auto"/>
              </w:rPr>
              <w:t>Total current assets</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186,456</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63,533</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Deferred income taxes</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7,348</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Intellectual property rights................................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22,052</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Other noncurrent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22,161</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$ 301,550</w:t>
            </w:r>
          </w:p>
        </w:tc>
        <w:tc>
          <w:tcPr>
            <w:tcW w:w="0" w:type="dxa"/>
            <w:vAlign w:val="bottom"/>
          </w:tcPr>
          <w:p>
            <w:pPr>
              <w:spacing w:after="0"/>
              <w:rPr>
                <w:sz w:val="1"/>
                <w:szCs w:val="1"/>
                <w:color w:val="auto"/>
              </w:rPr>
            </w:pPr>
          </w:p>
        </w:tc>
      </w:tr>
      <w:tr>
        <w:trPr>
          <w:trHeight w:val="252"/>
        </w:trPr>
        <w:tc>
          <w:tcPr>
            <w:tcW w:w="5440" w:type="dxa"/>
            <w:vAlign w:val="bottom"/>
            <w:gridSpan w:val="2"/>
            <w:vMerge w:val="restart"/>
          </w:tcPr>
          <w:p>
            <w:pPr>
              <w:ind w:left="1520"/>
              <w:spacing w:after="0"/>
              <w:rPr>
                <w:sz w:val="20"/>
                <w:szCs w:val="20"/>
                <w:color w:val="auto"/>
              </w:rPr>
            </w:pPr>
            <w:r>
              <w:rPr>
                <w:rFonts w:ascii="Courier New" w:cs="Courier New" w:eastAsia="Courier New" w:hAnsi="Courier New"/>
                <w:sz w:val="15"/>
                <w:szCs w:val="15"/>
                <w:color w:val="auto"/>
              </w:rPr>
              <w:t>LIABILITIES AND SHAREHOLDERS' EQUITY</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560" w:type="dxa"/>
            <w:vAlign w:val="bottom"/>
          </w:tcPr>
          <w:p>
            <w:pPr>
              <w:spacing w:after="0"/>
              <w:rPr>
                <w:sz w:val="14"/>
                <w:szCs w:val="14"/>
                <w:color w:val="auto"/>
              </w:rPr>
            </w:pP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47,449</w:t>
            </w: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Accrued personnel costs...................................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26,861</w:t>
            </w: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Short-term financing arrangements.........................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75,908</w:t>
            </w: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61,070</w:t>
            </w: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4,184</w:t>
            </w: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1,275</w:t>
            </w: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18,039</w:t>
            </w:r>
          </w:p>
        </w:tc>
        <w:tc>
          <w:tcPr>
            <w:tcW w:w="0" w:type="dxa"/>
            <w:vAlign w:val="bottom"/>
          </w:tcPr>
          <w:p>
            <w:pPr>
              <w:spacing w:after="0"/>
              <w:rPr>
                <w:sz w:val="1"/>
                <w:szCs w:val="1"/>
                <w:color w:val="auto"/>
              </w:rPr>
            </w:pPr>
          </w:p>
        </w:tc>
      </w:tr>
      <w:tr>
        <w:trPr>
          <w:trHeight w:val="172"/>
        </w:trPr>
        <w:tc>
          <w:tcPr>
            <w:tcW w:w="5440" w:type="dxa"/>
            <w:vAlign w:val="bottom"/>
            <w:gridSpan w:val="2"/>
            <w:vMerge w:val="restart"/>
          </w:tcPr>
          <w:p>
            <w:pPr>
              <w:ind w:left="880"/>
              <w:spacing w:after="0"/>
              <w:rPr>
                <w:sz w:val="20"/>
                <w:szCs w:val="20"/>
                <w:color w:val="auto"/>
              </w:rPr>
            </w:pPr>
            <w:r>
              <w:rPr>
                <w:rFonts w:ascii="Courier New" w:cs="Courier New" w:eastAsia="Courier New" w:hAnsi="Courier New"/>
                <w:sz w:val="15"/>
                <w:szCs w:val="15"/>
                <w:color w:val="auto"/>
              </w:rPr>
              <w:t>Total current liabilities</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234,786</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Long-term forward exchange contracts........................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513</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Long-term portion of capital lease obligations..............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12,675</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27,805</w:t>
            </w:r>
          </w:p>
        </w:tc>
        <w:tc>
          <w:tcPr>
            <w:tcW w:w="0" w:type="dxa"/>
            <w:vAlign w:val="bottom"/>
          </w:tcPr>
          <w:p>
            <w:pPr>
              <w:spacing w:after="0"/>
              <w:rPr>
                <w:sz w:val="1"/>
                <w:szCs w:val="1"/>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Shareholders' equity:</w:t>
            </w:r>
          </w:p>
        </w:tc>
        <w:tc>
          <w:tcPr>
            <w:tcW w:w="3560" w:type="dxa"/>
            <w:vAlign w:val="bottom"/>
            <w:vMerge w:val="restart"/>
          </w:tcPr>
          <w:p>
            <w:pPr>
              <w:jc w:val="right"/>
              <w:ind w:right="265"/>
              <w:spacing w:after="0"/>
              <w:rPr>
                <w:sz w:val="20"/>
                <w:szCs w:val="20"/>
                <w:color w:val="auto"/>
              </w:rPr>
            </w:pPr>
            <w:r>
              <w:rPr>
                <w:rFonts w:ascii="Courier New" w:cs="Courier New" w:eastAsia="Courier New" w:hAnsi="Courier New"/>
                <w:sz w:val="15"/>
                <w:szCs w:val="15"/>
                <w:color w:val="auto"/>
              </w:rPr>
              <w:t>Authorized 25,000 shares; L0.01 par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Preferred Shares --</w:t>
            </w:r>
          </w:p>
        </w:tc>
        <w:tc>
          <w:tcPr>
            <w:tcW w:w="3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rPr>
              <w:t>value; 0 shares</w:t>
            </w: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issued and outstanding.................</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Ordinary Shares --</w:t>
            </w: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Authorized 550,000 shares; L0.01 par</w:t>
            </w:r>
          </w:p>
        </w:tc>
        <w:tc>
          <w:tcPr>
            <w:tcW w:w="180" w:type="dxa"/>
            <w:vAlign w:val="bottom"/>
          </w:tcPr>
          <w:p>
            <w:pPr>
              <w:spacing w:after="0"/>
              <w:rPr>
                <w:sz w:val="14"/>
                <w:szCs w:val="14"/>
                <w:color w:val="auto"/>
              </w:rPr>
            </w:pPr>
          </w:p>
        </w:tc>
        <w:tc>
          <w:tcPr>
            <w:tcW w:w="8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3,149</w:t>
            </w:r>
          </w:p>
        </w:tc>
        <w:tc>
          <w:tcPr>
            <w:tcW w:w="0" w:type="dxa"/>
            <w:vAlign w:val="bottom"/>
          </w:tcPr>
          <w:p>
            <w:pPr>
              <w:spacing w:after="0"/>
              <w:rPr>
                <w:sz w:val="1"/>
                <w:szCs w:val="1"/>
                <w:color w:val="auto"/>
              </w:rPr>
            </w:pPr>
          </w:p>
        </w:tc>
      </w:tr>
      <w:tr>
        <w:trPr>
          <w:trHeight w:val="172"/>
        </w:trPr>
        <w:tc>
          <w:tcPr>
            <w:tcW w:w="54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value; 196,800 shares outstanding......................</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447,772</w:t>
            </w: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Unrealized income on derivative instruments...............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225</w:t>
            </w:r>
          </w:p>
        </w:tc>
        <w:tc>
          <w:tcPr>
            <w:tcW w:w="0" w:type="dxa"/>
            <w:vAlign w:val="bottom"/>
          </w:tcPr>
          <w:p>
            <w:pPr>
              <w:spacing w:after="0"/>
              <w:rPr>
                <w:sz w:val="1"/>
                <w:szCs w:val="1"/>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Unearned compensation.....................................</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(6,559)</w:t>
            </w:r>
          </w:p>
        </w:tc>
        <w:tc>
          <w:tcPr>
            <w:tcW w:w="0" w:type="dxa"/>
            <w:vAlign w:val="bottom"/>
          </w:tcPr>
          <w:p>
            <w:pPr>
              <w:spacing w:after="0"/>
              <w:rPr>
                <w:sz w:val="1"/>
                <w:szCs w:val="1"/>
                <w:color w:val="auto"/>
              </w:rPr>
            </w:pP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Accumulated deficit</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(418,816)</w:t>
            </w:r>
          </w:p>
        </w:tc>
        <w:tc>
          <w:tcPr>
            <w:tcW w:w="0" w:type="dxa"/>
            <w:vAlign w:val="bottom"/>
          </w:tcPr>
          <w:p>
            <w:pPr>
              <w:spacing w:after="0"/>
              <w:rPr>
                <w:sz w:val="1"/>
                <w:szCs w:val="1"/>
                <w:color w:val="auto"/>
              </w:rPr>
            </w:pPr>
          </w:p>
        </w:tc>
      </w:tr>
      <w:tr>
        <w:trPr>
          <w:trHeight w:val="172"/>
        </w:trPr>
        <w:tc>
          <w:tcPr>
            <w:tcW w:w="5440" w:type="dxa"/>
            <w:vAlign w:val="bottom"/>
            <w:gridSpan w:val="2"/>
            <w:vMerge w:val="restart"/>
          </w:tcPr>
          <w:p>
            <w:pPr>
              <w:ind w:left="880"/>
              <w:spacing w:after="0"/>
              <w:rPr>
                <w:sz w:val="20"/>
                <w:szCs w:val="20"/>
                <w:color w:val="auto"/>
              </w:rPr>
            </w:pPr>
            <w:r>
              <w:rPr>
                <w:rFonts w:ascii="Courier New" w:cs="Courier New" w:eastAsia="Courier New" w:hAnsi="Courier New"/>
                <w:sz w:val="15"/>
                <w:szCs w:val="15"/>
                <w:color w:val="auto"/>
              </w:rPr>
              <w:t>Total shareholders' equity</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vMerge w:val="continue"/>
          </w:tcPr>
          <w:p>
            <w:pPr>
              <w:jc w:val="right"/>
              <w:ind w:right="5"/>
              <w:spacing w:after="0" w:line="152"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25,771</w:t>
            </w:r>
          </w:p>
        </w:tc>
        <w:tc>
          <w:tcPr>
            <w:tcW w:w="0" w:type="dxa"/>
            <w:vAlign w:val="bottom"/>
          </w:tcPr>
          <w:p>
            <w:pPr>
              <w:spacing w:after="0"/>
              <w:rPr>
                <w:sz w:val="1"/>
                <w:szCs w:val="1"/>
                <w:color w:val="auto"/>
              </w:rPr>
            </w:pPr>
          </w:p>
        </w:tc>
      </w:tr>
      <w:tr>
        <w:trPr>
          <w:trHeight w:val="200"/>
        </w:trPr>
        <w:tc>
          <w:tcPr>
            <w:tcW w:w="18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ind w:left="5540"/>
        <w:spacing w:after="0"/>
        <w:rPr>
          <w:sz w:val="20"/>
          <w:szCs w:val="20"/>
          <w:color w:val="auto"/>
        </w:rPr>
      </w:pPr>
      <w:r>
        <w:rPr>
          <w:rFonts w:ascii="Courier New" w:cs="Courier New" w:eastAsia="Courier New" w:hAnsi="Courier New"/>
          <w:sz w:val="15"/>
          <w:szCs w:val="15"/>
          <w:color w:val="auto"/>
        </w:rPr>
        <w:t>$ 301,550</w:t>
      </w:r>
    </w:p>
    <w:p>
      <w:pPr>
        <w:spacing w:after="0" w:line="2"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263" w:right="1440" w:bottom="1440" w:gutter="0" w:footer="0" w:header="0"/>
        </w:sectPr>
      </w:pPr>
    </w:p>
    <w:bookmarkStart w:id="96" w:name="page97"/>
    <w:bookmarkEnd w:id="96"/>
    <w:p>
      <w:pPr>
        <w:ind w:left="268"/>
        <w:spacing w:after="0"/>
        <w:rPr>
          <w:sz w:val="20"/>
          <w:szCs w:val="20"/>
          <w:color w:val="auto"/>
        </w:rPr>
      </w:pPr>
      <w:r>
        <w:rPr>
          <w:rFonts w:ascii="Courier New" w:cs="Courier New" w:eastAsia="Courier New" w:hAnsi="Courier New"/>
          <w:sz w:val="15"/>
          <w:szCs w:val="15"/>
          <w:color w:val="auto"/>
        </w:rPr>
        <w:t>90</w:t>
      </w:r>
    </w:p>
    <w:p>
      <w:pPr>
        <w:spacing w:after="0" w:line="346"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200" w:lineRule="exact"/>
        <w:rPr>
          <w:sz w:val="20"/>
          <w:szCs w:val="20"/>
          <w:color w:val="auto"/>
        </w:rPr>
      </w:pPr>
    </w:p>
    <w:p>
      <w:pPr>
        <w:spacing w:after="0" w:line="318"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346"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SIX MONTHS ENDED</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0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$ 32,348</w:t>
            </w:r>
          </w:p>
        </w:tc>
        <w:tc>
          <w:tcPr>
            <w:tcW w:w="88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$ 18,419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License (*)...............................................</w:t>
            </w:r>
          </w:p>
        </w:tc>
        <w:tc>
          <w:tcPr>
            <w:tcW w:w="10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Service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246,907</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162,147</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279,255</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180,566</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2,693</w:t>
            </w:r>
          </w:p>
        </w:tc>
        <w:tc>
          <w:tcPr>
            <w:tcW w:w="26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5,867</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license...........................................</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service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160,195</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104,750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17,519</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10,955</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Selling, general and administrative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33,062</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23,024</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213,469</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144,596</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Operating income............................................</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65,786</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35,970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expense, net..........................................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11,837</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Income before income taxes..................................</w:t>
            </w:r>
          </w:p>
        </w:tc>
        <w:tc>
          <w:tcPr>
            <w:tcW w:w="18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61,833</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24,133</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18,550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12,067</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income..................................................</w:t>
            </w:r>
          </w:p>
        </w:tc>
        <w:tc>
          <w:tcPr>
            <w:tcW w:w="1000" w:type="dxa"/>
            <w:vAlign w:val="bottom"/>
            <w:gridSpan w:val="2"/>
            <w:vMerge w:val="restart"/>
          </w:tcPr>
          <w:p>
            <w:pPr>
              <w:jc w:val="right"/>
              <w:ind w:right="105"/>
              <w:spacing w:after="0"/>
              <w:rPr>
                <w:sz w:val="20"/>
                <w:szCs w:val="20"/>
                <w:color w:val="auto"/>
              </w:rPr>
            </w:pPr>
            <w:r>
              <w:rPr>
                <w:rFonts w:ascii="Courier New" w:cs="Courier New" w:eastAsia="Courier New" w:hAnsi="Courier New"/>
                <w:sz w:val="20"/>
                <w:szCs w:val="20"/>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43,283</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$ 12,066</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Basic earnings per share....................................</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Diluted earnings per share..................................</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hanging="348"/>
        <w:spacing w:after="0"/>
        <w:tabs>
          <w:tab w:leader="none" w:pos="34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income (expense) resulting from transactions with</w:t>
      </w:r>
    </w:p>
    <w:p>
      <w:pPr>
        <w:spacing w:after="0" w:line="30"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parties for the six months ended March 31, 1999 and 1998,</w:t>
      </w:r>
    </w:p>
    <w:p>
      <w:pPr>
        <w:spacing w:after="0" w:line="174" w:lineRule="exact"/>
        <w:rPr>
          <w:sz w:val="20"/>
          <w:szCs w:val="20"/>
          <w:color w:val="auto"/>
        </w:rPr>
      </w:pPr>
    </w:p>
    <w:p>
      <w:pPr>
        <w:ind w:left="348" w:right="3159"/>
        <w:spacing w:after="0" w:line="331" w:lineRule="auto"/>
        <w:rPr>
          <w:sz w:val="20"/>
          <w:szCs w:val="20"/>
          <w:color w:val="auto"/>
        </w:rPr>
      </w:pPr>
      <w:r>
        <w:rPr>
          <w:rFonts w:ascii="Courier New" w:cs="Courier New" w:eastAsia="Courier New" w:hAnsi="Courier New"/>
          <w:sz w:val="14"/>
          <w:szCs w:val="14"/>
          <w:color w:val="auto"/>
        </w:rPr>
        <w:t>respectively: license revenue -- $278 and $210; service revenue -- $45,949 and $42,832; cost of service -- $(1,057) and $(1,265); selling, general and administrative -- $(232) and $(189); interest expense -- $(0) and $(3,048).</w:t>
      </w:r>
    </w:p>
    <w:p>
      <w:pPr>
        <w:spacing w:after="0" w:line="376"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27"/>
          </w:cols>
          <w:pgMar w:left="232" w:top="263"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91</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00" w:lineRule="exact"/>
        <w:rPr>
          <w:sz w:val="20"/>
          <w:szCs w:val="20"/>
          <w:color w:val="auto"/>
        </w:rPr>
      </w:pPr>
    </w:p>
    <w:p>
      <w:pPr>
        <w:spacing w:after="0" w:line="31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CONSOLIDATED STATEMENT OF CHANGES</w:t>
      </w:r>
    </w:p>
    <w:p>
      <w:pPr>
        <w:spacing w:after="0" w:line="346"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 SHAREHOLDERS' EQUITY (DEFICIT) (UNAUDITED)</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UNREALIZED</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vMerge w:val="restart"/>
          </w:tcPr>
          <w:p>
            <w:pPr>
              <w:jc w:val="center"/>
              <w:ind w:left="65"/>
              <w:spacing w:after="0"/>
              <w:rPr>
                <w:sz w:val="20"/>
                <w:szCs w:val="20"/>
                <w:color w:val="auto"/>
              </w:rPr>
            </w:pPr>
            <w:r>
              <w:rPr>
                <w:rFonts w:ascii="Courier New" w:cs="Courier New" w:eastAsia="Courier New" w:hAnsi="Courier New"/>
                <w:sz w:val="15"/>
                <w:szCs w:val="15"/>
                <w:color w:val="auto"/>
                <w:w w:val="97"/>
              </w:rPr>
              <w:t>TOTAL</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166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ORDINARY SHARES</w:t>
            </w:r>
          </w:p>
        </w:tc>
        <w:tc>
          <w:tcPr>
            <w:tcW w:w="11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ADDITIONAL</w:t>
            </w:r>
          </w:p>
        </w:tc>
        <w:tc>
          <w:tcPr>
            <w:tcW w:w="12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INCOME</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(LOSS) ON</w:t>
            </w:r>
          </w:p>
        </w:tc>
        <w:tc>
          <w:tcPr>
            <w:tcW w:w="13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UNEARNED</w:t>
            </w:r>
          </w:p>
        </w:tc>
        <w:tc>
          <w:tcPr>
            <w:tcW w:w="12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SHAREHOLDERS'</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Courier New" w:cs="Courier New" w:eastAsia="Courier New" w:hAnsi="Courier New"/>
                <w:sz w:val="13"/>
                <w:szCs w:val="13"/>
                <w:color w:val="auto"/>
                <w:w w:val="74"/>
                <w:vertAlign w:val="subscript"/>
              </w:rPr>
              <w:t>SHARES</w:t>
            </w:r>
            <w:r>
              <w:rPr>
                <w:rFonts w:ascii="Courier New" w:cs="Courier New" w:eastAsia="Courier New" w:hAnsi="Courier New"/>
                <w:sz w:val="9"/>
                <w:szCs w:val="9"/>
                <w:color w:val="auto"/>
                <w:w w:val="74"/>
              </w:rPr>
              <w:t>----------------</w:t>
            </w:r>
          </w:p>
        </w:tc>
        <w:tc>
          <w:tcPr>
            <w:tcW w:w="6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6"/>
              </w:rPr>
              <w:t>AMOUNT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PAID-IN</w:t>
            </w: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DERIVATIVE</w:t>
            </w:r>
          </w:p>
        </w:tc>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EQUITY</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CAPITAL</w:t>
            </w: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INSTRUMENTS</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COMPENSATION</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(DEFICIT)</w:t>
            </w: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Balance at September 30,</w:t>
            </w:r>
          </w:p>
        </w:tc>
        <w:tc>
          <w:tcPr>
            <w:tcW w:w="980" w:type="dxa"/>
            <w:vAlign w:val="bottom"/>
            <w:vMerge w:val="restart"/>
          </w:tcPr>
          <w:p>
            <w:pPr>
              <w:jc w:val="right"/>
              <w:ind w:right="190"/>
              <w:spacing w:after="0"/>
              <w:rPr>
                <w:sz w:val="20"/>
                <w:szCs w:val="20"/>
                <w:color w:val="auto"/>
              </w:rPr>
            </w:pPr>
            <w:r>
              <w:rPr>
                <w:rFonts w:ascii="Courier New" w:cs="Courier New" w:eastAsia="Courier New" w:hAnsi="Courier New"/>
                <w:sz w:val="15"/>
                <w:szCs w:val="15"/>
                <w:color w:val="auto"/>
              </w:rPr>
              <w:t>196,800</w:t>
            </w:r>
          </w:p>
        </w:tc>
        <w:tc>
          <w:tcPr>
            <w:tcW w:w="6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1240" w:type="dxa"/>
            <w:vAlign w:val="bottom"/>
            <w:gridSpan w:val="2"/>
            <w:vMerge w:val="restart"/>
          </w:tcPr>
          <w:p>
            <w:pPr>
              <w:jc w:val="right"/>
              <w:ind w:right="145"/>
              <w:spacing w:after="0"/>
              <w:rPr>
                <w:sz w:val="20"/>
                <w:szCs w:val="20"/>
                <w:color w:val="auto"/>
              </w:rPr>
            </w:pPr>
            <w:r>
              <w:rPr>
                <w:rFonts w:ascii="Courier New" w:cs="Courier New" w:eastAsia="Courier New" w:hAnsi="Courier New"/>
                <w:sz w:val="15"/>
                <w:szCs w:val="15"/>
                <w:color w:val="auto"/>
              </w:rPr>
              <w:t>$(1,495)</w:t>
            </w:r>
          </w:p>
        </w:tc>
        <w:tc>
          <w:tcPr>
            <w:tcW w:w="13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$(8,947)</w:t>
            </w:r>
          </w:p>
        </w:tc>
        <w:tc>
          <w:tcPr>
            <w:tcW w:w="12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$(462,099)</w:t>
            </w:r>
          </w:p>
        </w:tc>
        <w:tc>
          <w:tcPr>
            <w:tcW w:w="13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$(21,889)</w:t>
            </w:r>
          </w:p>
        </w:tc>
        <w:tc>
          <w:tcPr>
            <w:tcW w:w="0" w:type="dxa"/>
            <w:vAlign w:val="bottom"/>
          </w:tcPr>
          <w:p>
            <w:pPr>
              <w:spacing w:after="0"/>
              <w:rPr>
                <w:sz w:val="1"/>
                <w:szCs w:val="1"/>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9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43,283</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43,283</w:t>
            </w:r>
          </w:p>
        </w:tc>
        <w:tc>
          <w:tcPr>
            <w:tcW w:w="0" w:type="dxa"/>
            <w:vAlign w:val="bottom"/>
          </w:tcPr>
          <w:p>
            <w:pPr>
              <w:spacing w:after="0"/>
              <w:rPr>
                <w:sz w:val="1"/>
                <w:szCs w:val="1"/>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Unrealized income on</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derivative instruments,</w:t>
            </w:r>
          </w:p>
        </w:tc>
        <w:tc>
          <w:tcPr>
            <w:tcW w:w="980" w:type="dxa"/>
            <w:vAlign w:val="bottom"/>
            <w:vMerge w:val="restart"/>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1,720</w:t>
            </w:r>
          </w:p>
        </w:tc>
        <w:tc>
          <w:tcPr>
            <w:tcW w:w="13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1,720</w:t>
            </w:r>
          </w:p>
        </w:tc>
        <w:tc>
          <w:tcPr>
            <w:tcW w:w="0" w:type="dxa"/>
            <w:vAlign w:val="bottom"/>
          </w:tcPr>
          <w:p>
            <w:pPr>
              <w:spacing w:after="0"/>
              <w:rPr>
                <w:sz w:val="1"/>
                <w:szCs w:val="1"/>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net of $737 tax..........</w:t>
            </w:r>
          </w:p>
        </w:tc>
        <w:tc>
          <w:tcPr>
            <w:tcW w:w="9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Stock options granted, net</w:t>
            </w:r>
          </w:p>
        </w:tc>
        <w:tc>
          <w:tcPr>
            <w:tcW w:w="980" w:type="dxa"/>
            <w:vAlign w:val="bottom"/>
            <w:vMerge w:val="restart"/>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269</w:t>
            </w:r>
          </w:p>
        </w:tc>
        <w:tc>
          <w:tcPr>
            <w:tcW w:w="440" w:type="dxa"/>
            <w:vAlign w:val="bottom"/>
          </w:tcPr>
          <w:p>
            <w:pPr>
              <w:spacing w:after="0"/>
              <w:rPr>
                <w:sz w:val="14"/>
                <w:szCs w:val="14"/>
                <w:color w:val="auto"/>
              </w:rPr>
            </w:pPr>
          </w:p>
        </w:tc>
        <w:tc>
          <w:tcPr>
            <w:tcW w:w="80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(241)</w:t>
            </w:r>
          </w:p>
        </w:tc>
        <w:tc>
          <w:tcPr>
            <w:tcW w:w="12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of forfeitures...........</w:t>
            </w:r>
          </w:p>
        </w:tc>
        <w:tc>
          <w:tcPr>
            <w:tcW w:w="9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980" w:type="dxa"/>
            <w:vAlign w:val="bottom"/>
            <w:vMerge w:val="restart"/>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2,629</w:t>
            </w:r>
          </w:p>
        </w:tc>
        <w:tc>
          <w:tcPr>
            <w:tcW w:w="12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2,629</w:t>
            </w:r>
          </w:p>
        </w:tc>
        <w:tc>
          <w:tcPr>
            <w:tcW w:w="0" w:type="dxa"/>
            <w:vAlign w:val="bottom"/>
          </w:tcPr>
          <w:p>
            <w:pPr>
              <w:spacing w:after="0"/>
              <w:rPr>
                <w:sz w:val="1"/>
                <w:szCs w:val="1"/>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9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0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March 31, 1999..</w:t>
            </w:r>
          </w:p>
        </w:tc>
        <w:tc>
          <w:tcPr>
            <w:tcW w:w="980" w:type="dxa"/>
            <w:vAlign w:val="bottom"/>
            <w:vMerge w:val="restart"/>
          </w:tcPr>
          <w:p>
            <w:pPr>
              <w:jc w:val="right"/>
              <w:ind w:right="190"/>
              <w:spacing w:after="0"/>
              <w:rPr>
                <w:sz w:val="20"/>
                <w:szCs w:val="20"/>
                <w:color w:val="auto"/>
              </w:rPr>
            </w:pPr>
            <w:r>
              <w:rPr>
                <w:rFonts w:ascii="Courier New" w:cs="Courier New" w:eastAsia="Courier New" w:hAnsi="Courier New"/>
                <w:sz w:val="11"/>
                <w:szCs w:val="11"/>
                <w:color w:val="auto"/>
                <w:w w:val="70"/>
              </w:rPr>
              <w:t>196,800</w:t>
            </w:r>
            <w:r>
              <w:rPr>
                <w:rFonts w:ascii="Courier New" w:cs="Courier New" w:eastAsia="Courier New" w:hAnsi="Courier New"/>
                <w:sz w:val="19"/>
                <w:szCs w:val="19"/>
                <w:color w:val="auto"/>
                <w:w w:val="70"/>
                <w:vertAlign w:val="superscript"/>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5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$447,772</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225</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$(6,559)</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$(418,816)</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$ 25,771</w:t>
            </w: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1"/>
                <w:szCs w:val="21"/>
                <w:color w:val="auto"/>
              </w:rPr>
            </w:pPr>
          </w:p>
        </w:tc>
        <w:tc>
          <w:tcPr>
            <w:tcW w:w="98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460"/>
          </w:cols>
          <w:pgMar w:left="240" w:top="262" w:right="1199"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92</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00" w:lineRule="exact"/>
        <w:rPr>
          <w:sz w:val="20"/>
          <w:szCs w:val="20"/>
          <w:color w:val="auto"/>
        </w:rPr>
      </w:pPr>
    </w:p>
    <w:p>
      <w:pPr>
        <w:spacing w:after="0" w:line="318"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SIX MONTHS ENDED MARCH 31,</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1"/>
                <w:szCs w:val="21"/>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43,283</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12,066</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3325"/>
              <w:spacing w:after="0"/>
              <w:rPr>
                <w:sz w:val="20"/>
                <w:szCs w:val="20"/>
                <w:color w:val="auto"/>
              </w:rPr>
            </w:pPr>
            <w:r>
              <w:rPr>
                <w:rFonts w:ascii="Courier New" w:cs="Courier New" w:eastAsia="Courier New" w:hAnsi="Courier New"/>
                <w:sz w:val="15"/>
                <w:szCs w:val="15"/>
                <w:color w:val="auto"/>
              </w:rPr>
              <w:t>operating activities:</w:t>
            </w:r>
          </w:p>
        </w:tc>
        <w:tc>
          <w:tcPr>
            <w:tcW w:w="280" w:type="dxa"/>
            <w:vAlign w:val="bottom"/>
          </w:tcPr>
          <w:p>
            <w:pPr>
              <w:spacing w:after="0"/>
              <w:rPr>
                <w:sz w:val="14"/>
                <w:szCs w:val="14"/>
                <w:color w:val="auto"/>
              </w:rPr>
            </w:pPr>
          </w:p>
        </w:tc>
        <w:tc>
          <w:tcPr>
            <w:tcW w:w="102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8,343</w:t>
            </w:r>
          </w:p>
        </w:tc>
        <w:tc>
          <w:tcPr>
            <w:tcW w:w="320" w:type="dxa"/>
            <w:vAlign w:val="bottom"/>
          </w:tcPr>
          <w:p>
            <w:pPr>
              <w:spacing w:after="0"/>
              <w:rPr>
                <w:sz w:val="14"/>
                <w:szCs w:val="14"/>
                <w:color w:val="auto"/>
              </w:rPr>
            </w:pPr>
          </w:p>
        </w:tc>
        <w:tc>
          <w:tcPr>
            <w:tcW w:w="8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5,646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5,425</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8,585</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equipment.................................</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394</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4,799</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(2,790)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280" w:type="dxa"/>
            <w:vAlign w:val="bottom"/>
          </w:tcPr>
          <w:p>
            <w:pPr>
              <w:spacing w:after="0"/>
              <w:rPr>
                <w:sz w:val="14"/>
                <w:szCs w:val="14"/>
                <w:color w:val="auto"/>
              </w:rPr>
            </w:pPr>
          </w:p>
        </w:tc>
        <w:tc>
          <w:tcPr>
            <w:tcW w:w="10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(41,469)</w:t>
            </w:r>
          </w:p>
        </w:tc>
        <w:tc>
          <w:tcPr>
            <w:tcW w:w="3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(40,478)</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(4,220)</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assets...................................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(2,938)</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(2,841)</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(3,237)</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5,877</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(3,360)</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31,830</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17,524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(6,508)</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5,996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liabilities..............................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3,537</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 on derivative instruments.................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2,457</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6"/>
                <w:szCs w:val="6"/>
                <w:color w:val="auto"/>
                <w:w w:val="80"/>
              </w:rPr>
              <w:t>---------</w:t>
            </w:r>
          </w:p>
        </w:tc>
        <w:tc>
          <w:tcPr>
            <w:tcW w:w="10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(23,908)</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(11,820)</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280" w:type="dxa"/>
            <w:vAlign w:val="bottom"/>
          </w:tcPr>
          <w:p>
            <w:pPr>
              <w:jc w:val="right"/>
              <w:spacing w:after="0"/>
              <w:rPr>
                <w:sz w:val="20"/>
                <w:szCs w:val="20"/>
                <w:color w:val="auto"/>
              </w:rPr>
            </w:pPr>
            <w:r>
              <w:rPr>
                <w:rFonts w:ascii="Courier New" w:cs="Courier New" w:eastAsia="Courier New" w:hAnsi="Courier New"/>
                <w:sz w:val="6"/>
                <w:szCs w:val="6"/>
                <w:color w:val="auto"/>
                <w:w w:val="80"/>
              </w:rPr>
              <w:t>---------</w:t>
            </w:r>
          </w:p>
        </w:tc>
        <w:tc>
          <w:tcPr>
            <w:tcW w:w="102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38,336</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11,767</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280" w:type="dxa"/>
            <w:vAlign w:val="bottom"/>
          </w:tcPr>
          <w:p>
            <w:pPr>
              <w:spacing w:after="0"/>
              <w:rPr>
                <w:sz w:val="14"/>
                <w:szCs w:val="14"/>
                <w:color w:val="auto"/>
              </w:rPr>
            </w:pPr>
          </w:p>
        </w:tc>
        <w:tc>
          <w:tcPr>
            <w:tcW w:w="102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1,006</w:t>
            </w:r>
          </w:p>
        </w:tc>
        <w:tc>
          <w:tcPr>
            <w:tcW w:w="320" w:type="dxa"/>
            <w:vAlign w:val="bottom"/>
          </w:tcPr>
          <w:p>
            <w:pPr>
              <w:spacing w:after="0"/>
              <w:rPr>
                <w:sz w:val="14"/>
                <w:szCs w:val="14"/>
                <w:color w:val="auto"/>
              </w:rPr>
            </w:pPr>
          </w:p>
        </w:tc>
        <w:tc>
          <w:tcPr>
            <w:tcW w:w="8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544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improvements..............................................</w:t>
            </w: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 leasehold</w:t>
            </w:r>
          </w:p>
        </w:tc>
        <w:tc>
          <w:tcPr>
            <w:tcW w:w="280" w:type="dxa"/>
            <w:vAlign w:val="bottom"/>
          </w:tcPr>
          <w:p>
            <w:pPr>
              <w:spacing w:after="0"/>
              <w:rPr>
                <w:sz w:val="14"/>
                <w:szCs w:val="14"/>
                <w:color w:val="auto"/>
              </w:rPr>
            </w:pPr>
          </w:p>
        </w:tc>
        <w:tc>
          <w:tcPr>
            <w:tcW w:w="10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(20,401)</w:t>
            </w:r>
          </w:p>
        </w:tc>
        <w:tc>
          <w:tcPr>
            <w:tcW w:w="3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(9,581)</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improvements..............................................</w:t>
            </w: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280" w:type="dxa"/>
            <w:vAlign w:val="bottom"/>
          </w:tcPr>
          <w:p>
            <w:pPr>
              <w:jc w:val="right"/>
              <w:spacing w:after="0"/>
              <w:rPr>
                <w:sz w:val="20"/>
                <w:szCs w:val="20"/>
                <w:color w:val="auto"/>
              </w:rPr>
            </w:pPr>
            <w:r>
              <w:rPr>
                <w:rFonts w:ascii="Courier New" w:cs="Courier New" w:eastAsia="Courier New" w:hAnsi="Courier New"/>
                <w:sz w:val="6"/>
                <w:szCs w:val="6"/>
                <w:color w:val="auto"/>
                <w:w w:val="80"/>
              </w:rPr>
              <w:t>---------</w:t>
            </w:r>
          </w:p>
        </w:tc>
        <w:tc>
          <w:tcPr>
            <w:tcW w:w="10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(19,395)</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(9,037)</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7"/>
                <w:szCs w:val="7"/>
                <w:color w:val="auto"/>
              </w:rPr>
            </w:pPr>
          </w:p>
        </w:tc>
        <w:tc>
          <w:tcPr>
            <w:tcW w:w="8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96,448</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Ordinary Shares...............</w:t>
            </w: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Dividends paid..............................................</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(478,684)</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short-term finance arrangements..............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(179,274)</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(163,249)</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Borrowings under short-term finance arrangements............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163,617</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171,081</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long-term debt................</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364,127</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under capital lease obligations..........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(1,779)</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(1,195)</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long-term financing arrangements.............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on notes payable to related parties................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(3,268)</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cash used in financing activities.......................</w:t>
            </w:r>
          </w:p>
        </w:tc>
        <w:tc>
          <w:tcPr>
            <w:tcW w:w="280" w:type="dxa"/>
            <w:vAlign w:val="bottom"/>
          </w:tcPr>
          <w:p>
            <w:pPr>
              <w:jc w:val="right"/>
              <w:spacing w:after="0"/>
              <w:rPr>
                <w:sz w:val="20"/>
                <w:szCs w:val="20"/>
                <w:color w:val="auto"/>
              </w:rPr>
            </w:pPr>
            <w:r>
              <w:rPr>
                <w:rFonts w:ascii="Courier New" w:cs="Courier New" w:eastAsia="Courier New" w:hAnsi="Courier New"/>
                <w:sz w:val="6"/>
                <w:szCs w:val="6"/>
                <w:color w:val="auto"/>
                <w:w w:val="80"/>
              </w:rPr>
              <w:t>---------</w:t>
            </w:r>
          </w:p>
        </w:tc>
        <w:tc>
          <w:tcPr>
            <w:tcW w:w="102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(17,436)</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(44,740)</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280" w:type="dxa"/>
            <w:vAlign w:val="bottom"/>
          </w:tcPr>
          <w:p>
            <w:pPr>
              <w:jc w:val="right"/>
              <w:spacing w:after="0"/>
              <w:rPr>
                <w:sz w:val="20"/>
                <w:szCs w:val="20"/>
                <w:color w:val="auto"/>
              </w:rPr>
            </w:pPr>
            <w:r>
              <w:rPr>
                <w:rFonts w:ascii="Courier New" w:cs="Courier New" w:eastAsia="Courier New" w:hAnsi="Courier New"/>
                <w:sz w:val="6"/>
                <w:szCs w:val="6"/>
                <w:color w:val="auto"/>
                <w:w w:val="80"/>
              </w:rPr>
              <w:t>---------</w:t>
            </w:r>
          </w:p>
        </w:tc>
        <w:tc>
          <w:tcPr>
            <w:tcW w:w="102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1,505</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(42,010)</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25,389</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53,732</w:t>
            </w:r>
          </w:p>
        </w:tc>
        <w:tc>
          <w:tcPr>
            <w:tcW w:w="0" w:type="dxa"/>
            <w:vAlign w:val="bottom"/>
          </w:tcPr>
          <w:p>
            <w:pPr>
              <w:spacing w:after="0"/>
              <w:rPr>
                <w:sz w:val="1"/>
                <w:szCs w:val="1"/>
                <w:color w:val="auto"/>
              </w:rPr>
            </w:pPr>
          </w:p>
        </w:tc>
      </w:tr>
      <w:tr>
        <w:trPr>
          <w:trHeight w:val="17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280" w:type="dxa"/>
            <w:vAlign w:val="bottom"/>
            <w:vMerge w:val="restart"/>
          </w:tcPr>
          <w:p>
            <w:pPr>
              <w:jc w:val="right"/>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102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26,894</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11,722</w:t>
            </w:r>
          </w:p>
        </w:tc>
        <w:tc>
          <w:tcPr>
            <w:tcW w:w="0" w:type="dxa"/>
            <w:vAlign w:val="bottom"/>
          </w:tcPr>
          <w:p>
            <w:pPr>
              <w:spacing w:after="0"/>
              <w:rPr>
                <w:sz w:val="1"/>
                <w:szCs w:val="1"/>
                <w:color w:val="auto"/>
              </w:rPr>
            </w:pPr>
          </w:p>
        </w:tc>
      </w:tr>
      <w:tr>
        <w:trPr>
          <w:trHeight w:val="25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54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20,953</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10,496</w:t>
            </w:r>
          </w:p>
        </w:tc>
        <w:tc>
          <w:tcPr>
            <w:tcW w:w="0" w:type="dxa"/>
            <w:vAlign w:val="bottom"/>
          </w:tcPr>
          <w:p>
            <w:pPr>
              <w:spacing w:after="0"/>
              <w:rPr>
                <w:sz w:val="1"/>
                <w:szCs w:val="1"/>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net of refunds..............................</w:t>
            </w:r>
          </w:p>
        </w:tc>
        <w:tc>
          <w:tcPr>
            <w:tcW w:w="2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280" w:type="dxa"/>
            <w:vAlign w:val="bottom"/>
          </w:tcPr>
          <w:p>
            <w:pPr>
              <w:spacing w:after="0"/>
              <w:rPr>
                <w:sz w:val="21"/>
                <w:szCs w:val="21"/>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3,012</w:t>
            </w:r>
          </w:p>
        </w:tc>
        <w:tc>
          <w:tcPr>
            <w:tcW w:w="320" w:type="dxa"/>
            <w:vAlign w:val="bottom"/>
          </w:tcPr>
          <w:p>
            <w:pPr>
              <w:spacing w:after="0"/>
              <w:rPr>
                <w:sz w:val="21"/>
                <w:szCs w:val="21"/>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Capital lease obligations of $6,472 and $1,133 were incurred during the six months ended March 31, 1999 and 1998, respectively, when the Company entered into lease agreements for vehicles.</w:t>
      </w:r>
    </w:p>
    <w:p>
      <w:pPr>
        <w:spacing w:after="0" w:line="39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63" w:right="1440" w:bottom="532" w:gutter="0" w:footer="0" w:header="0"/>
        </w:sectPr>
      </w:pPr>
    </w:p>
    <w:bookmarkStart w:id="99" w:name="page100"/>
    <w:bookmarkEnd w:id="99"/>
    <w:p>
      <w:pPr>
        <w:ind w:left="268"/>
        <w:spacing w:after="0"/>
        <w:rPr>
          <w:sz w:val="20"/>
          <w:szCs w:val="20"/>
          <w:color w:val="auto"/>
        </w:rPr>
      </w:pPr>
      <w:r>
        <w:rPr>
          <w:rFonts w:ascii="Courier New" w:cs="Courier New" w:eastAsia="Courier New" w:hAnsi="Courier New"/>
          <w:sz w:val="15"/>
          <w:szCs w:val="15"/>
          <w:color w:val="auto"/>
        </w:rPr>
        <w:t>93</w:t>
      </w:r>
    </w:p>
    <w:p>
      <w:pPr>
        <w:spacing w:after="0" w:line="346"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200" w:lineRule="exact"/>
        <w:rPr>
          <w:sz w:val="20"/>
          <w:szCs w:val="20"/>
          <w:color w:val="auto"/>
        </w:rPr>
      </w:pPr>
    </w:p>
    <w:p>
      <w:pPr>
        <w:spacing w:after="0" w:line="318"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346"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MARCH 31, 1999</w:t>
      </w:r>
    </w:p>
    <w:p>
      <w:pPr>
        <w:spacing w:after="0" w:line="200" w:lineRule="exact"/>
        <w:rPr>
          <w:sz w:val="20"/>
          <w:szCs w:val="20"/>
          <w:color w:val="auto"/>
        </w:rPr>
      </w:pPr>
    </w:p>
    <w:p>
      <w:pPr>
        <w:spacing w:after="0" w:line="318" w:lineRule="exact"/>
        <w:rPr>
          <w:sz w:val="20"/>
          <w:szCs w:val="20"/>
          <w:color w:val="auto"/>
        </w:rPr>
      </w:pPr>
    </w:p>
    <w:p>
      <w:pPr>
        <w:ind w:left="348" w:hanging="348"/>
        <w:spacing w:after="0"/>
        <w:tabs>
          <w:tab w:leader="none" w:pos="34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200" w:lineRule="exact"/>
        <w:rPr>
          <w:sz w:val="20"/>
          <w:szCs w:val="20"/>
          <w:color w:val="auto"/>
        </w:rPr>
      </w:pPr>
    </w:p>
    <w:p>
      <w:pPr>
        <w:spacing w:after="0" w:line="318" w:lineRule="exact"/>
        <w:rPr>
          <w:sz w:val="20"/>
          <w:szCs w:val="20"/>
          <w:color w:val="auto"/>
        </w:rPr>
      </w:pPr>
    </w:p>
    <w:p>
      <w:pPr>
        <w:ind w:left="8" w:right="3079" w:firstLine="447"/>
        <w:spacing w:after="0" w:line="266"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200" w:lineRule="exact"/>
        <w:rPr>
          <w:sz w:val="20"/>
          <w:szCs w:val="20"/>
          <w:color w:val="auto"/>
        </w:rPr>
      </w:pPr>
    </w:p>
    <w:p>
      <w:pPr>
        <w:spacing w:after="0" w:line="218" w:lineRule="exact"/>
        <w:rPr>
          <w:sz w:val="20"/>
          <w:szCs w:val="20"/>
          <w:color w:val="auto"/>
        </w:rPr>
      </w:pPr>
    </w:p>
    <w:p>
      <w:pPr>
        <w:ind w:left="8" w:right="3159" w:firstLine="447"/>
        <w:spacing w:after="0" w:line="251"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In the opinion of management, all adjustments considered necessary for a fair presentation of the unaudited interim consolidated financial statements have been included therein and are of a normal recurring nature. The results of operations for the interim periods presented herein are not necessarily indicative of the results to be expected for the full year. These statements, however, do not include all information and footnotes necessary for a complete presentation of financial position, results of operations and cash flows in conformity with generally accepted accounting principles. These statements should be read in conjunction with the Company's consolidated financial statements for the year ended September 30, 1998 set forth in the Company's Annual Report on Form 20-F filed with the Securities and Exchange Commission.</w:t>
      </w:r>
    </w:p>
    <w:p>
      <w:pPr>
        <w:spacing w:after="0" w:line="200" w:lineRule="exact"/>
        <w:rPr>
          <w:sz w:val="20"/>
          <w:szCs w:val="20"/>
          <w:color w:val="auto"/>
        </w:rPr>
      </w:pPr>
    </w:p>
    <w:p>
      <w:pPr>
        <w:spacing w:after="0" w:line="236" w:lineRule="exact"/>
        <w:rPr>
          <w:sz w:val="20"/>
          <w:szCs w:val="20"/>
          <w:color w:val="auto"/>
        </w:rPr>
      </w:pPr>
    </w:p>
    <w:p>
      <w:pPr>
        <w:ind w:left="348" w:hanging="348"/>
        <w:spacing w:after="0"/>
        <w:tabs>
          <w:tab w:leader="none" w:pos="3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NEW ACCOUNTING STANDARDS</w:t>
      </w:r>
    </w:p>
    <w:p>
      <w:pPr>
        <w:spacing w:after="0" w:line="200" w:lineRule="exact"/>
        <w:rPr>
          <w:sz w:val="20"/>
          <w:szCs w:val="20"/>
          <w:color w:val="auto"/>
        </w:rPr>
      </w:pPr>
    </w:p>
    <w:p>
      <w:pPr>
        <w:spacing w:after="0" w:line="318" w:lineRule="exact"/>
        <w:rPr>
          <w:sz w:val="20"/>
          <w:szCs w:val="20"/>
          <w:color w:val="auto"/>
        </w:rPr>
      </w:pPr>
    </w:p>
    <w:p>
      <w:pPr>
        <w:ind w:left="8" w:right="3079" w:firstLine="447"/>
        <w:spacing w:after="0" w:line="283" w:lineRule="auto"/>
        <w:rPr>
          <w:sz w:val="20"/>
          <w:szCs w:val="20"/>
          <w:color w:val="auto"/>
        </w:rPr>
      </w:pPr>
      <w:r>
        <w:rPr>
          <w:rFonts w:ascii="Courier New" w:cs="Courier New" w:eastAsia="Courier New" w:hAnsi="Courier New"/>
          <w:sz w:val="14"/>
          <w:szCs w:val="14"/>
          <w:color w:val="auto"/>
        </w:rPr>
        <w:t>Effective October 1, 1998, the Company adopted the provisions of Statement of Position (SOP) 98-1, "Accounting for the Costs of Computer Software Developed for or Obtained for Internal-Use". The SOP requires the capitalization of certain costs incurred after the date of adoption in connection with developing or obtaining software for internal use. In accordance with the SOP, the Company capitalized approximately $1,200 of internally developed software costs in the six-month period ended March 31, 1999.</w:t>
      </w:r>
    </w:p>
    <w:p>
      <w:pPr>
        <w:spacing w:after="0" w:line="200" w:lineRule="exact"/>
        <w:rPr>
          <w:sz w:val="20"/>
          <w:szCs w:val="20"/>
          <w:color w:val="auto"/>
        </w:rPr>
      </w:pPr>
    </w:p>
    <w:p>
      <w:pPr>
        <w:spacing w:after="0" w:line="211" w:lineRule="exact"/>
        <w:rPr>
          <w:sz w:val="20"/>
          <w:szCs w:val="20"/>
          <w:color w:val="auto"/>
        </w:rPr>
      </w:pPr>
    </w:p>
    <w:p>
      <w:pPr>
        <w:ind w:left="348" w:hanging="348"/>
        <w:spacing w:after="0"/>
        <w:tabs>
          <w:tab w:leader="none" w:pos="34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200" w:lineRule="exact"/>
        <w:rPr>
          <w:sz w:val="20"/>
          <w:szCs w:val="20"/>
          <w:color w:val="auto"/>
        </w:rPr>
      </w:pPr>
    </w:p>
    <w:p>
      <w:pPr>
        <w:spacing w:after="0" w:line="318" w:lineRule="exact"/>
        <w:rPr>
          <w:sz w:val="20"/>
          <w:szCs w:val="20"/>
          <w:color w:val="auto"/>
        </w:rPr>
      </w:pPr>
    </w:p>
    <w:p>
      <w:pPr>
        <w:ind w:left="8" w:right="3159" w:firstLine="447"/>
        <w:spacing w:after="0" w:line="259" w:lineRule="auto"/>
        <w:rPr>
          <w:sz w:val="20"/>
          <w:szCs w:val="20"/>
          <w:color w:val="auto"/>
        </w:rPr>
      </w:pPr>
      <w:r>
        <w:rPr>
          <w:rFonts w:ascii="Courier New" w:cs="Courier New" w:eastAsia="Courier New" w:hAnsi="Courier New"/>
          <w:sz w:val="15"/>
          <w:szCs w:val="15"/>
          <w:color w:val="auto"/>
        </w:rPr>
        <w:t>Effective October 1, 1998, the Company adopted the provisions of Statement of Financial Accounting Standards No. 130, "Reporting Comprehensive Income" (Statement 130), which established standards for the reporting and display of comprehensive income and its components. 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200" w:lineRule="exact"/>
        <w:rPr>
          <w:sz w:val="20"/>
          <w:szCs w:val="20"/>
          <w:color w:val="auto"/>
        </w:rPr>
      </w:pPr>
    </w:p>
    <w:p>
      <w:pPr>
        <w:spacing w:after="0" w:line="225" w:lineRule="exact"/>
        <w:rPr>
          <w:sz w:val="20"/>
          <w:szCs w:val="20"/>
          <w:color w:val="auto"/>
        </w:rPr>
      </w:pPr>
    </w:p>
    <w:p>
      <w:pPr>
        <w:ind w:left="8" w:right="3699" w:firstLine="447"/>
        <w:spacing w:after="0" w:line="359" w:lineRule="auto"/>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six month periods ended March 31: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9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9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$43,283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$12,066</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income on derivative instruments, net</w:t>
            </w:r>
          </w:p>
        </w:tc>
        <w:tc>
          <w:tcPr>
            <w:tcW w:w="900" w:type="dxa"/>
            <w:vAlign w:val="bottom"/>
            <w:vMerge w:val="restart"/>
          </w:tcPr>
          <w:p>
            <w:pPr>
              <w:jc w:val="right"/>
              <w:ind w:right="108"/>
              <w:spacing w:after="0"/>
              <w:rPr>
                <w:sz w:val="20"/>
                <w:szCs w:val="20"/>
                <w:color w:val="auto"/>
              </w:rPr>
            </w:pPr>
            <w:r>
              <w:rPr>
                <w:rFonts w:ascii="Courier New" w:cs="Courier New" w:eastAsia="Courier New" w:hAnsi="Courier New"/>
                <w:sz w:val="15"/>
                <w:szCs w:val="15"/>
                <w:color w:val="auto"/>
              </w:rPr>
              <w:t>1,720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of tax....................................................</w:t>
            </w:r>
          </w:p>
        </w:tc>
        <w:tc>
          <w:tcPr>
            <w:tcW w:w="9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Comprehensive income........................................</w:t>
            </w:r>
          </w:p>
        </w:tc>
        <w:tc>
          <w:tcPr>
            <w:tcW w:w="900" w:type="dxa"/>
            <w:vAlign w:val="bottom"/>
            <w:vMerge w:val="restart"/>
          </w:tcPr>
          <w:p>
            <w:pPr>
              <w:jc w:val="right"/>
              <w:ind w:right="10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45,003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$12,066</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27"/>
          </w:cols>
          <w:pgMar w:left="232" w:top="263" w:right="1440" w:bottom="0" w:gutter="0" w:footer="0" w:header="0"/>
        </w:sectPr>
      </w:pPr>
    </w:p>
    <w:bookmarkStart w:id="100" w:name="page101"/>
    <w:bookmarkEnd w:id="100"/>
    <w:p>
      <w:pPr>
        <w:ind w:left="2200"/>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9019"/>
          </w:cols>
          <w:pgMar w:left="1440" w:top="286" w:right="1440" w:bottom="1440" w:gutter="0" w:footer="0" w:header="0"/>
        </w:sectPr>
      </w:pPr>
    </w:p>
    <w:bookmarkStart w:id="101" w:name="page102"/>
    <w:bookmarkEnd w:id="101"/>
    <w:p>
      <w:pPr>
        <w:ind w:left="268"/>
        <w:spacing w:after="0"/>
        <w:rPr>
          <w:sz w:val="20"/>
          <w:szCs w:val="20"/>
          <w:color w:val="auto"/>
        </w:rPr>
      </w:pPr>
      <w:r>
        <w:rPr>
          <w:rFonts w:ascii="Courier New" w:cs="Courier New" w:eastAsia="Courier New" w:hAnsi="Courier New"/>
          <w:sz w:val="15"/>
          <w:szCs w:val="15"/>
          <w:color w:val="auto"/>
        </w:rPr>
        <w:t>94</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200" w:lineRule="exact"/>
        <w:rPr>
          <w:sz w:val="20"/>
          <w:szCs w:val="20"/>
          <w:color w:val="auto"/>
        </w:rPr>
      </w:pPr>
    </w:p>
    <w:p>
      <w:pPr>
        <w:spacing w:after="0" w:line="318"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348" w:hanging="348"/>
        <w:spacing w:after="0"/>
        <w:tabs>
          <w:tab w:leader="none" w:pos="34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200" w:lineRule="exact"/>
        <w:rPr>
          <w:sz w:val="20"/>
          <w:szCs w:val="20"/>
          <w:color w:val="auto"/>
        </w:rPr>
      </w:pPr>
    </w:p>
    <w:p>
      <w:pPr>
        <w:spacing w:after="0" w:line="318" w:lineRule="exact"/>
        <w:rPr>
          <w:sz w:val="20"/>
          <w:szCs w:val="20"/>
          <w:color w:val="auto"/>
        </w:rPr>
      </w:pPr>
    </w:p>
    <w:p>
      <w:pPr>
        <w:ind w:left="8" w:right="3439" w:firstLine="447"/>
        <w:spacing w:after="0" w:line="359" w:lineRule="auto"/>
        <w:rPr>
          <w:sz w:val="20"/>
          <w:szCs w:val="20"/>
          <w:color w:val="auto"/>
        </w:rPr>
      </w:pPr>
      <w:r>
        <w:rPr>
          <w:rFonts w:ascii="Courier New" w:cs="Courier New" w:eastAsia="Courier New" w:hAnsi="Courier New"/>
          <w:sz w:val="15"/>
          <w:szCs w:val="15"/>
          <w:color w:val="auto"/>
        </w:rPr>
        <w:t>The provision for income taxes for the six month periods ended March 31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9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9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$13,751</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$14,857</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4,799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(2,790)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900" w:type="dxa"/>
            <w:vAlign w:val="bottom"/>
            <w:vMerge w:val="restart"/>
          </w:tcPr>
          <w:p>
            <w:pPr>
              <w:jc w:val="right"/>
              <w:ind w:right="108"/>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18,550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$12,067</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 w:right="3259" w:firstLine="447"/>
        <w:spacing w:after="0" w:line="359" w:lineRule="auto"/>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six month periods ended March 31: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172"/>
        </w:trPr>
        <w:tc>
          <w:tcPr>
            <w:tcW w:w="5440" w:type="dxa"/>
            <w:vAlign w:val="bottom"/>
            <w:vMerge w:val="restart"/>
          </w:tcPr>
          <w:p>
            <w:pPr>
              <w:spacing w:after="0"/>
              <w:rPr>
                <w:sz w:val="20"/>
                <w:szCs w:val="20"/>
                <w:color w:val="auto"/>
              </w:rPr>
            </w:pPr>
            <w:r>
              <w:rPr>
                <w:rFonts w:ascii="Courier New" w:cs="Courier New" w:eastAsia="Courier New" w:hAnsi="Courier New"/>
                <w:sz w:val="15"/>
                <w:szCs w:val="15"/>
                <w:color w:val="auto"/>
              </w:rPr>
              <w:t>Effective income tax rate...................................</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88" w:right="3079" w:hanging="188"/>
        <w:spacing w:after="0" w:line="266" w:lineRule="auto"/>
        <w:tabs>
          <w:tab w:leader="none" w:pos="18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1998, the Company incurred tax expense on the income of its operations in various countries and sustained a loss in a tax jurisdiction in which the Company is tax-exempt, which resulted in no tax benefit to offset the expense incurred. As a result, the Company's effective income tax rate in fiscal 1998 was significantly greater than the estimated fiscal 1999 effective tax rate.</w:t>
      </w:r>
    </w:p>
    <w:p>
      <w:pPr>
        <w:spacing w:after="0" w:line="200" w:lineRule="exact"/>
        <w:rPr>
          <w:sz w:val="20"/>
          <w:szCs w:val="20"/>
          <w:color w:val="auto"/>
        </w:rPr>
      </w:pPr>
    </w:p>
    <w:p>
      <w:pPr>
        <w:spacing w:after="0" w:line="218" w:lineRule="exact"/>
        <w:rPr>
          <w:sz w:val="20"/>
          <w:szCs w:val="20"/>
          <w:color w:val="auto"/>
        </w:rPr>
      </w:pPr>
    </w:p>
    <w:p>
      <w:pPr>
        <w:ind w:left="348" w:hanging="348"/>
        <w:spacing w:after="0"/>
        <w:tabs>
          <w:tab w:leader="none" w:pos="34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200" w:lineRule="exact"/>
        <w:rPr>
          <w:sz w:val="20"/>
          <w:szCs w:val="20"/>
          <w:color w:val="auto"/>
        </w:rPr>
      </w:pPr>
    </w:p>
    <w:p>
      <w:pPr>
        <w:spacing w:after="0" w:line="318" w:lineRule="exact"/>
        <w:rPr>
          <w:sz w:val="20"/>
          <w:szCs w:val="20"/>
          <w:color w:val="auto"/>
        </w:rPr>
      </w:pPr>
    </w:p>
    <w:p>
      <w:pPr>
        <w:ind w:left="8" w:right="3779" w:firstLine="447"/>
        <w:spacing w:after="0" w:line="359"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 for the six month periods ended March 31: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52"/>
        </w:trPr>
        <w:tc>
          <w:tcPr>
            <w:tcW w:w="39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920" w:type="dxa"/>
            <w:vAlign w:val="bottom"/>
          </w:tcPr>
          <w:p>
            <w:pPr>
              <w:spacing w:after="0" w:line="264" w:lineRule="exact"/>
              <w:rPr>
                <w:sz w:val="20"/>
                <w:szCs w:val="20"/>
                <w:color w:val="auto"/>
              </w:rPr>
            </w:pPr>
            <w:r>
              <w:rPr>
                <w:rFonts w:ascii="Courier New" w:cs="Courier New" w:eastAsia="Courier New" w:hAnsi="Courier New"/>
                <w:sz w:val="27"/>
                <w:szCs w:val="27"/>
                <w:color w:val="auto"/>
                <w:w w:val="73"/>
                <w:vertAlign w:val="superscript"/>
              </w:rPr>
              <w:t>Numerator:</w:t>
            </w:r>
            <w:r>
              <w:rPr>
                <w:rFonts w:ascii="Courier New" w:cs="Courier New" w:eastAsia="Courier New" w:hAnsi="Courier New"/>
                <w:sz w:val="14"/>
                <w:szCs w:val="14"/>
                <w:color w:val="auto"/>
                <w:w w:val="73"/>
              </w:rPr>
              <w:t xml:space="preserve">  ................................................</w:t>
            </w:r>
          </w:p>
        </w:tc>
        <w:tc>
          <w:tcPr>
            <w:tcW w:w="270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$ 43,283</w:t>
            </w:r>
          </w:p>
        </w:tc>
        <w:tc>
          <w:tcPr>
            <w:tcW w:w="88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$ 12,066</w:t>
            </w:r>
          </w:p>
        </w:tc>
        <w:tc>
          <w:tcPr>
            <w:tcW w:w="0" w:type="dxa"/>
            <w:vAlign w:val="bottom"/>
          </w:tcPr>
          <w:p>
            <w:pPr>
              <w:spacing w:after="0"/>
              <w:rPr>
                <w:sz w:val="1"/>
                <w:szCs w:val="1"/>
                <w:color w:val="auto"/>
              </w:rPr>
            </w:pP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27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920" w:type="dxa"/>
            <w:vAlign w:val="bottom"/>
            <w:vMerge w:val="restart"/>
          </w:tcPr>
          <w:p>
            <w:pPr>
              <w:spacing w:after="0"/>
              <w:rPr>
                <w:sz w:val="20"/>
                <w:szCs w:val="20"/>
                <w:color w:val="auto"/>
              </w:rPr>
            </w:pPr>
            <w:r>
              <w:rPr>
                <w:rFonts w:ascii="Courier New" w:cs="Courier New" w:eastAsia="Courier New" w:hAnsi="Courier New"/>
                <w:sz w:val="15"/>
                <w:szCs w:val="15"/>
                <w:color w:val="auto"/>
              </w:rPr>
              <w:t>Denominator:</w:t>
            </w: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920" w:type="dxa"/>
            <w:vAlign w:val="bottom"/>
            <w:vMerge w:val="continue"/>
          </w:tcPr>
          <w:p>
            <w:pPr>
              <w:spacing w:after="0"/>
              <w:rPr>
                <w:sz w:val="7"/>
                <w:szCs w:val="7"/>
                <w:color w:val="auto"/>
              </w:rPr>
            </w:pPr>
          </w:p>
        </w:tc>
        <w:tc>
          <w:tcPr>
            <w:tcW w:w="1880" w:type="dxa"/>
            <w:vAlign w:val="bottom"/>
            <w:vMerge w:val="restart"/>
          </w:tcPr>
          <w:p>
            <w:pPr>
              <w:spacing w:after="0"/>
              <w:rPr>
                <w:sz w:val="20"/>
                <w:szCs w:val="20"/>
                <w:color w:val="auto"/>
              </w:rPr>
            </w:pPr>
            <w:r>
              <w:rPr>
                <w:rFonts w:ascii="Courier New" w:cs="Courier New" w:eastAsia="Courier New" w:hAnsi="Courier New"/>
                <w:sz w:val="15"/>
                <w:szCs w:val="15"/>
                <w:color w:val="auto"/>
              </w:rPr>
              <w:t>weighted average</w:t>
            </w: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Denominator for basic earnings per share --</w:t>
            </w:r>
          </w:p>
        </w:tc>
        <w:tc>
          <w:tcPr>
            <w:tcW w:w="1880" w:type="dxa"/>
            <w:vAlign w:val="bottom"/>
            <w:vMerge w:val="continue"/>
          </w:tcPr>
          <w:p>
            <w:pPr>
              <w:spacing w:after="0"/>
              <w:rPr>
                <w:sz w:val="14"/>
                <w:szCs w:val="14"/>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196,800</w:t>
            </w:r>
          </w:p>
        </w:tc>
        <w:tc>
          <w:tcPr>
            <w:tcW w:w="2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127,858</w:t>
            </w:r>
          </w:p>
        </w:tc>
        <w:tc>
          <w:tcPr>
            <w:tcW w:w="0" w:type="dxa"/>
            <w:vAlign w:val="bottom"/>
          </w:tcPr>
          <w:p>
            <w:pPr>
              <w:spacing w:after="0"/>
              <w:rPr>
                <w:sz w:val="1"/>
                <w:szCs w:val="1"/>
                <w:color w:val="auto"/>
              </w:rPr>
            </w:pPr>
          </w:p>
        </w:tc>
      </w:tr>
      <w:tr>
        <w:trPr>
          <w:trHeight w:val="172"/>
        </w:trPr>
        <w:tc>
          <w:tcPr>
            <w:tcW w:w="5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w:t>
            </w: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Effect of dilutive stock options granted....................</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2,463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c>
          <w:tcPr>
            <w:tcW w:w="0" w:type="dxa"/>
            <w:vAlign w:val="bottom"/>
          </w:tcPr>
          <w:p>
            <w:pPr>
              <w:spacing w:after="0"/>
              <w:rPr>
                <w:sz w:val="1"/>
                <w:szCs w:val="1"/>
                <w:color w:val="auto"/>
              </w:rPr>
            </w:pPr>
          </w:p>
        </w:tc>
      </w:tr>
      <w:tr>
        <w:trPr>
          <w:trHeight w:val="252"/>
        </w:trPr>
        <w:tc>
          <w:tcPr>
            <w:tcW w:w="3920" w:type="dxa"/>
            <w:vAlign w:val="bottom"/>
            <w:vMerge w:val="restart"/>
          </w:tcPr>
          <w:p>
            <w:pPr>
              <w:spacing w:after="0"/>
              <w:rPr>
                <w:sz w:val="20"/>
                <w:szCs w:val="20"/>
                <w:color w:val="auto"/>
              </w:rPr>
            </w:pPr>
            <w:r>
              <w:rPr>
                <w:rFonts w:ascii="Courier New" w:cs="Courier New" w:eastAsia="Courier New" w:hAnsi="Courier New"/>
                <w:sz w:val="15"/>
                <w:szCs w:val="15"/>
                <w:color w:val="auto"/>
              </w:rPr>
              <w:t>Denominator for dilutive earnings per share</w:t>
            </w:r>
          </w:p>
        </w:tc>
        <w:tc>
          <w:tcPr>
            <w:tcW w:w="270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w w:val="74"/>
              </w:rPr>
              <w:t>-- adjusted</w:t>
            </w:r>
            <w:r>
              <w:rPr>
                <w:rFonts w:ascii="Courier New" w:cs="Courier New" w:eastAsia="Courier New" w:hAnsi="Courier New"/>
                <w:sz w:val="30"/>
                <w:szCs w:val="30"/>
                <w:color w:val="auto"/>
                <w:w w:val="74"/>
                <w:vertAlign w:val="superscript"/>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92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199,263</w:t>
            </w:r>
          </w:p>
        </w:tc>
        <w:tc>
          <w:tcPr>
            <w:tcW w:w="26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128,333</w:t>
            </w:r>
          </w:p>
        </w:tc>
        <w:tc>
          <w:tcPr>
            <w:tcW w:w="0" w:type="dxa"/>
            <w:vAlign w:val="bottom"/>
          </w:tcPr>
          <w:p>
            <w:pPr>
              <w:spacing w:after="0"/>
              <w:rPr>
                <w:sz w:val="1"/>
                <w:szCs w:val="1"/>
                <w:color w:val="auto"/>
              </w:rPr>
            </w:pPr>
          </w:p>
        </w:tc>
      </w:tr>
      <w:tr>
        <w:trPr>
          <w:trHeight w:val="172"/>
        </w:trPr>
        <w:tc>
          <w:tcPr>
            <w:tcW w:w="5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average shares and assumed conversions....................</w:t>
            </w: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20" w:type="dxa"/>
            <w:vAlign w:val="bottom"/>
            <w:vMerge w:val="restart"/>
          </w:tcPr>
          <w:p>
            <w:pPr>
              <w:spacing w:after="0"/>
              <w:rPr>
                <w:sz w:val="20"/>
                <w:szCs w:val="20"/>
                <w:color w:val="auto"/>
              </w:rPr>
            </w:pPr>
            <w:r>
              <w:rPr>
                <w:rFonts w:ascii="Courier New" w:cs="Courier New" w:eastAsia="Courier New" w:hAnsi="Courier New"/>
                <w:sz w:val="15"/>
                <w:szCs w:val="15"/>
                <w:color w:val="auto"/>
                <w:w w:val="72"/>
              </w:rPr>
              <w:t>Basic earnings per share....................................</w:t>
            </w: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920" w:type="dxa"/>
            <w:vAlign w:val="bottom"/>
            <w:vMerge w:val="continue"/>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0" w:type="dxa"/>
            <w:vAlign w:val="bottom"/>
          </w:tcPr>
          <w:p>
            <w:pPr>
              <w:spacing w:after="0"/>
              <w:rPr>
                <w:sz w:val="1"/>
                <w:szCs w:val="1"/>
                <w:color w:val="auto"/>
              </w:rPr>
            </w:pPr>
          </w:p>
        </w:tc>
      </w:tr>
      <w:tr>
        <w:trPr>
          <w:trHeight w:val="172"/>
        </w:trPr>
        <w:tc>
          <w:tcPr>
            <w:tcW w:w="3920" w:type="dxa"/>
            <w:vAlign w:val="bottom"/>
            <w:vMerge w:val="restart"/>
          </w:tcPr>
          <w:p>
            <w:pPr>
              <w:spacing w:after="0"/>
              <w:rPr>
                <w:sz w:val="20"/>
                <w:szCs w:val="20"/>
                <w:color w:val="auto"/>
              </w:rPr>
            </w:pPr>
            <w:r>
              <w:rPr>
                <w:rFonts w:ascii="Courier New" w:cs="Courier New" w:eastAsia="Courier New" w:hAnsi="Courier New"/>
                <w:sz w:val="15"/>
                <w:szCs w:val="15"/>
                <w:color w:val="auto"/>
                <w:w w:val="72"/>
              </w:rPr>
              <w:t>Diluted earnings per share..................................</w:t>
            </w: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3920" w:type="dxa"/>
            <w:vAlign w:val="bottom"/>
            <w:vMerge w:val="continue"/>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0" w:type="dxa"/>
            <w:vAlign w:val="bottom"/>
          </w:tcPr>
          <w:p>
            <w:pPr>
              <w:spacing w:after="0"/>
              <w:rPr>
                <w:sz w:val="1"/>
                <w:szCs w:val="1"/>
                <w:color w:val="auto"/>
              </w:rPr>
            </w:pPr>
          </w:p>
        </w:tc>
      </w:tr>
      <w:tr>
        <w:trPr>
          <w:trHeight w:val="252"/>
        </w:trPr>
        <w:tc>
          <w:tcPr>
            <w:tcW w:w="3920" w:type="dxa"/>
            <w:vAlign w:val="bottom"/>
          </w:tcPr>
          <w:p>
            <w:pPr>
              <w:spacing w:after="0"/>
              <w:rPr>
                <w:sz w:val="21"/>
                <w:szCs w:val="21"/>
                <w:color w:val="auto"/>
              </w:rPr>
            </w:pP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27"/>
          </w:cols>
          <w:pgMar w:left="232" w:top="263" w:right="1440" w:bottom="106" w:gutter="0" w:footer="0" w:header="0"/>
        </w:sectPr>
      </w:pPr>
    </w:p>
    <w:bookmarkStart w:id="102" w:name="page103"/>
    <w:bookmarkEnd w:id="102"/>
    <w:p>
      <w:pPr>
        <w:ind w:left="348" w:hanging="348"/>
        <w:spacing w:after="0"/>
        <w:tabs>
          <w:tab w:leader="none" w:pos="34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ARCHITEL TRANSACTION</w:t>
      </w:r>
    </w:p>
    <w:p>
      <w:pPr>
        <w:spacing w:after="0" w:line="200" w:lineRule="exact"/>
        <w:rPr>
          <w:sz w:val="20"/>
          <w:szCs w:val="20"/>
          <w:color w:val="auto"/>
        </w:rPr>
      </w:pPr>
    </w:p>
    <w:p>
      <w:pPr>
        <w:spacing w:after="0" w:line="318" w:lineRule="exact"/>
        <w:rPr>
          <w:sz w:val="20"/>
          <w:szCs w:val="20"/>
          <w:color w:val="auto"/>
        </w:rPr>
      </w:pPr>
    </w:p>
    <w:p>
      <w:pPr>
        <w:ind w:left="8" w:right="3079" w:firstLine="447"/>
        <w:spacing w:after="0" w:line="259" w:lineRule="auto"/>
        <w:rPr>
          <w:sz w:val="20"/>
          <w:szCs w:val="20"/>
          <w:color w:val="auto"/>
        </w:rPr>
      </w:pPr>
      <w:r>
        <w:rPr>
          <w:rFonts w:ascii="Courier New" w:cs="Courier New" w:eastAsia="Courier New" w:hAnsi="Courier New"/>
          <w:sz w:val="15"/>
          <w:szCs w:val="15"/>
          <w:color w:val="auto"/>
        </w:rPr>
        <w:t>On March 2, 1999, the Company entered into a combination agreement with Architel Systems Corporation, a Canadian corporation, by which the Company would acquire Architel in a stock transaction valued at approximately $400,000 at the time of the agreement. On April 8, 1999, Architel announced that it had restructured its relationship with its largest customer, and expected revenue and earnings for the future periods to be substantially less than originally anticipated. As a result of these developments, on April 22, 1999, the Company terminated the combination agreement.</w:t>
      </w:r>
    </w:p>
    <w:p>
      <w:pPr>
        <w:spacing w:after="0" w:line="25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27"/>
          </w:cols>
          <w:pgMar w:left="232" w:top="285" w:right="1440" w:bottom="1440" w:gutter="0" w:footer="0" w:header="0"/>
        </w:sectPr>
      </w:pPr>
    </w:p>
    <w:bookmarkStart w:id="103" w:name="page104"/>
    <w:bookmarkEnd w:id="103"/>
    <w:p>
      <w:pPr>
        <w:ind w:left="268"/>
        <w:spacing w:after="0"/>
        <w:rPr>
          <w:sz w:val="20"/>
          <w:szCs w:val="20"/>
          <w:color w:val="auto"/>
        </w:rPr>
      </w:pPr>
      <w:r>
        <w:rPr>
          <w:rFonts w:ascii="Courier New" w:cs="Courier New" w:eastAsia="Courier New" w:hAnsi="Courier New"/>
          <w:sz w:val="15"/>
          <w:szCs w:val="15"/>
          <w:color w:val="auto"/>
        </w:rPr>
        <w:t>95</w:t>
      </w:r>
    </w:p>
    <w:p>
      <w:pPr>
        <w:spacing w:after="0" w:line="174"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UNDERWRITING</w:t>
      </w:r>
    </w:p>
    <w:p>
      <w:pPr>
        <w:spacing w:after="0" w:line="346" w:lineRule="exact"/>
        <w:rPr>
          <w:sz w:val="20"/>
          <w:szCs w:val="20"/>
          <w:color w:val="auto"/>
        </w:rPr>
      </w:pPr>
    </w:p>
    <w:p>
      <w:pPr>
        <w:ind w:left="8" w:right="3159" w:firstLine="447"/>
        <w:spacing w:after="0" w:line="259" w:lineRule="auto"/>
        <w:rPr>
          <w:sz w:val="20"/>
          <w:szCs w:val="20"/>
          <w:color w:val="auto"/>
        </w:rPr>
      </w:pPr>
      <w:r>
        <w:rPr>
          <w:rFonts w:ascii="Courier New" w:cs="Courier New" w:eastAsia="Courier New" w:hAnsi="Courier New"/>
          <w:sz w:val="15"/>
          <w:szCs w:val="15"/>
          <w:color w:val="auto"/>
        </w:rPr>
        <w:t>We, the selling shareholders and the underwriters for the offering, or the Underwriters, named below have entered into an underwriting agreement with respect to the shares being offered. Subject to certain conditions, each Underwriter has severally agreed to purchase the number of shares indicated in the following table. Goldman, Sachs &amp; Co., BancBoston Robertson Stephens Inc., BT Alex. Brown Incorporated, Lehman Brothers Inc., NationsBanc Montgomery Securities LLC and SG Cowen Securities Corporation are the representatives of the Underwriters.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440" w:type="dxa"/>
            <w:vAlign w:val="bottom"/>
            <w:vMerge w:val="restart"/>
          </w:tcPr>
          <w:p>
            <w:pPr>
              <w:jc w:val="center"/>
              <w:ind w:right="5"/>
              <w:spacing w:after="0"/>
              <w:rPr>
                <w:sz w:val="20"/>
                <w:szCs w:val="20"/>
                <w:color w:val="auto"/>
              </w:rPr>
            </w:pPr>
            <w:r>
              <w:rPr>
                <w:rFonts w:ascii="Courier New" w:cs="Courier New" w:eastAsia="Courier New" w:hAnsi="Courier New"/>
                <w:sz w:val="15"/>
                <w:szCs w:val="15"/>
                <w:color w:val="auto"/>
                <w:w w:val="99"/>
              </w:rPr>
              <w:t>Underwriters</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Number</w:t>
            </w: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of Shares</w:t>
            </w:r>
          </w:p>
        </w:tc>
        <w:tc>
          <w:tcPr>
            <w:tcW w:w="0" w:type="dxa"/>
            <w:vAlign w:val="bottom"/>
          </w:tcPr>
          <w:p>
            <w:pPr>
              <w:spacing w:after="0"/>
              <w:rPr>
                <w:sz w:val="1"/>
                <w:szCs w:val="1"/>
                <w:color w:val="auto"/>
              </w:rPr>
            </w:pPr>
          </w:p>
        </w:tc>
      </w:tr>
      <w:tr>
        <w:trPr>
          <w:trHeight w:val="25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4"/>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Goldman, Sachs &amp; Co. .......................................</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BancBoston Robertson Stephens Inc. .........................</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BT Alex. Brown Incorporated.................................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Lehman Brothers Inc. .......................................</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NationsBanc Montgomery Securities LLC.......................</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SG Cowen Securities Corporation.............................</w:t>
            </w:r>
          </w:p>
        </w:tc>
        <w:tc>
          <w:tcPr>
            <w:tcW w:w="10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92"/>
        </w:trPr>
        <w:tc>
          <w:tcPr>
            <w:tcW w:w="54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440" w:type="dxa"/>
            <w:vAlign w:val="bottom"/>
            <w:vMerge w:val="continue"/>
          </w:tcPr>
          <w:p>
            <w:pPr>
              <w:spacing w:after="0"/>
              <w:rPr>
                <w:sz w:val="14"/>
                <w:szCs w:val="1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20,000,000</w:t>
            </w: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1"/>
                <w:szCs w:val="21"/>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688"/>
        </w:trPr>
        <w:tc>
          <w:tcPr>
            <w:tcW w:w="5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8" w:right="3079" w:firstLine="447"/>
        <w:spacing w:after="0" w:line="266" w:lineRule="auto"/>
        <w:rPr>
          <w:sz w:val="20"/>
          <w:szCs w:val="20"/>
          <w:color w:val="auto"/>
        </w:rPr>
      </w:pPr>
      <w:r>
        <w:rPr>
          <w:rFonts w:ascii="Courier New" w:cs="Courier New" w:eastAsia="Courier New" w:hAnsi="Courier New"/>
          <w:sz w:val="15"/>
          <w:szCs w:val="15"/>
          <w:color w:val="auto"/>
        </w:rPr>
        <w:t>If the Underwriters sell more shares than the total number set forth in the table above, the Underwriters have an option to buy up to an additional 3,000,000 shares from Amdocs and the selling shareholders to cover such sales. They may exercise that option for 30 days. If any shares are purchased pursuant to this option, the Underwriters will severally purchase shares in approximately the same proportion as set forth in the table above.</w:t>
      </w:r>
    </w:p>
    <w:p>
      <w:pPr>
        <w:spacing w:after="0" w:line="200" w:lineRule="exact"/>
        <w:rPr>
          <w:sz w:val="20"/>
          <w:szCs w:val="20"/>
          <w:color w:val="auto"/>
        </w:rPr>
      </w:pPr>
    </w:p>
    <w:p>
      <w:pPr>
        <w:spacing w:after="0" w:line="218" w:lineRule="exact"/>
        <w:rPr>
          <w:sz w:val="20"/>
          <w:szCs w:val="20"/>
          <w:color w:val="auto"/>
        </w:rPr>
      </w:pPr>
    </w:p>
    <w:p>
      <w:pPr>
        <w:ind w:left="8" w:right="3079" w:firstLine="447"/>
        <w:spacing w:after="0" w:line="281" w:lineRule="auto"/>
        <w:rPr>
          <w:sz w:val="20"/>
          <w:szCs w:val="20"/>
          <w:color w:val="auto"/>
        </w:rPr>
      </w:pPr>
      <w:r>
        <w:rPr>
          <w:rFonts w:ascii="Courier New" w:cs="Courier New" w:eastAsia="Courier New" w:hAnsi="Courier New"/>
          <w:sz w:val="15"/>
          <w:szCs w:val="15"/>
          <w:color w:val="auto"/>
        </w:rPr>
        <w:t>The following table shows the per share and total underwriting discounts and commissions to be paid to the Underwriters by Amdocs and the selling shareholders, respectively. Such amounts are shown assuming both no exercise and full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5360" w:type="dxa"/>
            <w:vAlign w:val="bottom"/>
          </w:tcPr>
          <w:p>
            <w:pPr>
              <w:spacing w:after="0"/>
              <w:rPr>
                <w:sz w:val="14"/>
                <w:szCs w:val="14"/>
                <w:color w:val="auto"/>
              </w:rPr>
            </w:pPr>
          </w:p>
        </w:tc>
        <w:tc>
          <w:tcPr>
            <w:tcW w:w="260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Paid by Amdocs</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No Exercise</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Full Exercise</w:t>
            </w:r>
          </w:p>
        </w:tc>
        <w:tc>
          <w:tcPr>
            <w:tcW w:w="0" w:type="dxa"/>
            <w:vAlign w:val="bottom"/>
          </w:tcPr>
          <w:p>
            <w:pPr>
              <w:spacing w:after="0"/>
              <w:rPr>
                <w:sz w:val="1"/>
                <w:szCs w:val="1"/>
                <w:color w:val="auto"/>
              </w:rPr>
            </w:pPr>
          </w:p>
        </w:tc>
      </w:tr>
      <w:tr>
        <w:trPr>
          <w:trHeight w:val="252"/>
        </w:trPr>
        <w:tc>
          <w:tcPr>
            <w:tcW w:w="5360" w:type="dxa"/>
            <w:vAlign w:val="bottom"/>
          </w:tcPr>
          <w:p>
            <w:pPr>
              <w:spacing w:after="0"/>
              <w:rPr>
                <w:sz w:val="21"/>
                <w:szCs w:val="21"/>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36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14"/>
                <w:szCs w:val="14"/>
                <w:color w:val="auto"/>
              </w:rPr>
            </w:pPr>
          </w:p>
        </w:tc>
        <w:tc>
          <w:tcPr>
            <w:tcW w:w="26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Paid by the Selling</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14"/>
                <w:szCs w:val="14"/>
                <w:color w:val="auto"/>
              </w:rPr>
            </w:pPr>
          </w:p>
        </w:tc>
        <w:tc>
          <w:tcPr>
            <w:tcW w:w="26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Shareholders</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No Exercise</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Full Exercise</w:t>
            </w:r>
          </w:p>
        </w:tc>
        <w:tc>
          <w:tcPr>
            <w:tcW w:w="0" w:type="dxa"/>
            <w:vAlign w:val="bottom"/>
          </w:tcPr>
          <w:p>
            <w:pPr>
              <w:spacing w:after="0"/>
              <w:rPr>
                <w:sz w:val="1"/>
                <w:szCs w:val="1"/>
                <w:color w:val="auto"/>
              </w:rPr>
            </w:pPr>
          </w:p>
        </w:tc>
      </w:tr>
      <w:tr>
        <w:trPr>
          <w:trHeight w:val="172"/>
        </w:trPr>
        <w:tc>
          <w:tcPr>
            <w:tcW w:w="5360" w:type="dxa"/>
            <w:vAlign w:val="bottom"/>
            <w:vMerge w:val="restart"/>
          </w:tcPr>
          <w:p>
            <w:pPr>
              <w:spacing w:after="0"/>
              <w:rPr>
                <w:sz w:val="20"/>
                <w:szCs w:val="20"/>
                <w:color w:val="auto"/>
              </w:rPr>
            </w:pPr>
            <w:r>
              <w:rPr>
                <w:rFonts w:ascii="Courier New" w:cs="Courier New" w:eastAsia="Courier New" w:hAnsi="Courier New"/>
                <w:sz w:val="15"/>
                <w:szCs w:val="15"/>
                <w:color w:val="auto"/>
              </w:rPr>
              <w:t>Per Share</w:t>
            </w:r>
          </w:p>
        </w:tc>
        <w:tc>
          <w:tcPr>
            <w:tcW w:w="1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r>
              <w:rPr>
                <w:rFonts w:ascii="Courier New" w:cs="Courier New" w:eastAsia="Courier New" w:hAnsi="Courier New"/>
                <w:sz w:val="29"/>
                <w:szCs w:val="29"/>
                <w:color w:val="auto"/>
                <w:vertAlign w:val="subscript"/>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vMerge w:val="continue"/>
          </w:tcPr>
          <w:p>
            <w:pPr>
              <w:ind w:left="800"/>
              <w:spacing w:after="0" w:line="152" w:lineRule="exact"/>
              <w:rPr>
                <w:sz w:val="20"/>
                <w:szCs w:val="20"/>
                <w:color w:val="auto"/>
              </w:rPr>
            </w:pPr>
            <w:r>
              <w:rPr>
                <w:rFonts w:ascii="Courier New" w:cs="Courier New" w:eastAsia="Courier New" w:hAnsi="Courier New"/>
                <w:sz w:val="15"/>
                <w:szCs w:val="15"/>
                <w:color w:val="auto"/>
              </w:rPr>
              <w:t>..................................................</w:t>
            </w:r>
          </w:p>
        </w:tc>
        <w:tc>
          <w:tcPr>
            <w:tcW w:w="1260" w:type="dxa"/>
            <w:vAlign w:val="bottom"/>
            <w:vMerge w:val="continue"/>
          </w:tcPr>
          <w:p>
            <w:pPr>
              <w:spacing w:after="0"/>
              <w:rPr>
                <w:sz w:val="14"/>
                <w:szCs w:val="14"/>
                <w:color w:val="auto"/>
              </w:rPr>
            </w:pPr>
          </w:p>
        </w:tc>
        <w:tc>
          <w:tcPr>
            <w:tcW w:w="13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3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8" w:right="3159" w:firstLine="447"/>
        <w:spacing w:after="0" w:line="252" w:lineRule="auto"/>
        <w:rPr>
          <w:sz w:val="20"/>
          <w:szCs w:val="20"/>
          <w:color w:val="auto"/>
        </w:rPr>
      </w:pPr>
      <w:r>
        <w:rPr>
          <w:rFonts w:ascii="Courier New" w:cs="Courier New" w:eastAsia="Courier New" w:hAnsi="Courier New"/>
          <w:sz w:val="15"/>
          <w:szCs w:val="15"/>
          <w:color w:val="auto"/>
        </w:rPr>
        <w:t>Shares sold by the Underwriters to the public will initially be offered at the initial price to public set forth on the cover of this prospectus and will be eligible for trading on the New York Stock Exchange. Any shares sold by the Underwriters to securities dealers may be sold at a discount of up to</w:t>
      </w:r>
    </w:p>
    <w:p>
      <w:pPr>
        <w:spacing w:after="0" w:line="2" w:lineRule="exact"/>
        <w:rPr>
          <w:sz w:val="20"/>
          <w:szCs w:val="20"/>
          <w:color w:val="auto"/>
        </w:rPr>
      </w:pPr>
    </w:p>
    <w:p>
      <w:pPr>
        <w:ind w:left="8" w:right="3259" w:hanging="8"/>
        <w:spacing w:after="0" w:line="260" w:lineRule="auto"/>
        <w:tabs>
          <w:tab w:leader="none" w:pos="99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share from the initial price to public. Any such securities dealers may resell any shares purchased from the Underwriters to certain other</w:t>
      </w:r>
    </w:p>
    <w:tbl>
      <w:tblPr>
        <w:tblLayout w:type="fixed"/>
        <w:tblInd w:w="8" w:type="dxa"/>
        <w:tblCellMar>
          <w:top w:w="0" w:type="dxa"/>
          <w:left w:w="0" w:type="dxa"/>
          <w:bottom w:w="0" w:type="dxa"/>
          <w:right w:w="0" w:type="dxa"/>
        </w:tblCellMar>
      </w:tblPr>
      <w:tr>
        <w:trPr>
          <w:trHeight w:val="144"/>
        </w:trPr>
        <w:tc>
          <w:tcPr>
            <w:tcW w:w="2100" w:type="dxa"/>
            <w:vAlign w:val="bottom"/>
          </w:tcPr>
          <w:p>
            <w:pPr>
              <w:spacing w:after="0" w:line="144" w:lineRule="exact"/>
              <w:rPr>
                <w:sz w:val="20"/>
                <w:szCs w:val="20"/>
                <w:color w:val="auto"/>
              </w:rPr>
            </w:pPr>
            <w:r>
              <w:rPr>
                <w:rFonts w:ascii="Courier New" w:cs="Courier New" w:eastAsia="Courier New" w:hAnsi="Courier New"/>
                <w:sz w:val="15"/>
                <w:szCs w:val="15"/>
                <w:color w:val="auto"/>
              </w:rPr>
              <w:t>brokers or dealers at a</w:t>
            </w:r>
          </w:p>
        </w:tc>
        <w:tc>
          <w:tcPr>
            <w:tcW w:w="1340" w:type="dxa"/>
            <w:vAlign w:val="bottom"/>
          </w:tcPr>
          <w:p>
            <w:pPr>
              <w:ind w:left="40"/>
              <w:spacing w:after="0" w:line="144" w:lineRule="exact"/>
              <w:rPr>
                <w:sz w:val="20"/>
                <w:szCs w:val="20"/>
                <w:color w:val="auto"/>
              </w:rPr>
            </w:pPr>
            <w:r>
              <w:rPr>
                <w:rFonts w:ascii="Courier New" w:cs="Courier New" w:eastAsia="Courier New" w:hAnsi="Courier New"/>
                <w:sz w:val="15"/>
                <w:szCs w:val="15"/>
                <w:color w:val="auto"/>
              </w:rPr>
              <w:t>discount of up</w:t>
            </w:r>
          </w:p>
        </w:tc>
        <w:tc>
          <w:tcPr>
            <w:tcW w:w="840" w:type="dxa"/>
            <w:vAlign w:val="bottom"/>
          </w:tcPr>
          <w:p>
            <w:pPr>
              <w:ind w:left="40"/>
              <w:spacing w:after="0" w:line="144" w:lineRule="exact"/>
              <w:rPr>
                <w:sz w:val="20"/>
                <w:szCs w:val="20"/>
                <w:color w:val="auto"/>
              </w:rPr>
            </w:pPr>
            <w:r>
              <w:rPr>
                <w:rFonts w:ascii="Courier New" w:cs="Courier New" w:eastAsia="Courier New" w:hAnsi="Courier New"/>
                <w:sz w:val="15"/>
                <w:szCs w:val="15"/>
                <w:color w:val="auto"/>
              </w:rPr>
              <w:t>to $</w:t>
            </w:r>
          </w:p>
        </w:tc>
        <w:tc>
          <w:tcPr>
            <w:tcW w:w="2100" w:type="dxa"/>
            <w:vAlign w:val="bottom"/>
          </w:tcPr>
          <w:p>
            <w:pPr>
              <w:jc w:val="right"/>
              <w:spacing w:after="0" w:line="144" w:lineRule="exact"/>
              <w:rPr>
                <w:sz w:val="20"/>
                <w:szCs w:val="20"/>
                <w:color w:val="auto"/>
              </w:rPr>
            </w:pPr>
            <w:r>
              <w:rPr>
                <w:rFonts w:ascii="Courier New" w:cs="Courier New" w:eastAsia="Courier New" w:hAnsi="Courier New"/>
                <w:sz w:val="15"/>
                <w:szCs w:val="15"/>
                <w:color w:val="auto"/>
              </w:rPr>
              <w:t>per share from the</w:t>
            </w:r>
          </w:p>
        </w:tc>
        <w:tc>
          <w:tcPr>
            <w:tcW w:w="680" w:type="dxa"/>
            <w:vAlign w:val="bottom"/>
          </w:tcPr>
          <w:p>
            <w:pPr>
              <w:ind w:left="60"/>
              <w:spacing w:after="0" w:line="144" w:lineRule="exact"/>
              <w:rPr>
                <w:sz w:val="20"/>
                <w:szCs w:val="20"/>
                <w:color w:val="auto"/>
              </w:rPr>
            </w:pPr>
            <w:r>
              <w:rPr>
                <w:rFonts w:ascii="Courier New" w:cs="Courier New" w:eastAsia="Courier New" w:hAnsi="Courier New"/>
                <w:sz w:val="15"/>
                <w:szCs w:val="15"/>
                <w:color w:val="auto"/>
                <w:w w:val="95"/>
              </w:rPr>
              <w:t>initial</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price to public. If all</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the shares are</w:t>
            </w:r>
          </w:p>
        </w:tc>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not sold at the initial price to</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public</w:t>
            </w:r>
          </w:p>
        </w:tc>
      </w:tr>
      <w:tr>
        <w:trPr>
          <w:trHeight w:val="252"/>
        </w:trPr>
        <w:tc>
          <w:tcPr>
            <w:tcW w:w="2100" w:type="dxa"/>
            <w:vAlign w:val="bottom"/>
          </w:tcPr>
          <w:p>
            <w:pPr>
              <w:spacing w:after="0"/>
              <w:rPr>
                <w:sz w:val="20"/>
                <w:szCs w:val="20"/>
                <w:color w:val="auto"/>
              </w:rPr>
            </w:pPr>
            <w:r>
              <w:rPr>
                <w:rFonts w:ascii="Courier New" w:cs="Courier New" w:eastAsia="Courier New" w:hAnsi="Courier New"/>
                <w:sz w:val="15"/>
                <w:szCs w:val="15"/>
                <w:color w:val="auto"/>
              </w:rPr>
              <w:t>the representatives may</w:t>
            </w:r>
          </w:p>
        </w:tc>
        <w:tc>
          <w:tcPr>
            <w:tcW w:w="42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change the offering price and the other selling</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terms.</w:t>
            </w:r>
          </w:p>
        </w:tc>
      </w:tr>
    </w:tbl>
    <w:p>
      <w:pPr>
        <w:spacing w:after="0" w:line="264" w:lineRule="exact"/>
        <w:rPr>
          <w:sz w:val="20"/>
          <w:szCs w:val="20"/>
          <w:color w:val="auto"/>
        </w:rPr>
      </w:pPr>
    </w:p>
    <w:p>
      <w:pPr>
        <w:ind w:left="8" w:right="3159" w:firstLine="447"/>
        <w:spacing w:after="0" w:line="281" w:lineRule="auto"/>
        <w:rPr>
          <w:sz w:val="20"/>
          <w:szCs w:val="20"/>
          <w:color w:val="auto"/>
        </w:rPr>
      </w:pPr>
      <w:r>
        <w:rPr>
          <w:rFonts w:ascii="Courier New" w:cs="Courier New" w:eastAsia="Courier New" w:hAnsi="Courier New"/>
          <w:sz w:val="15"/>
          <w:szCs w:val="15"/>
          <w:color w:val="auto"/>
        </w:rPr>
        <w:t>The Company and the selling shareholders have agreed with the Underwriters not to dispose of or hedge any of their ordinary shares or securities convertible into or exchangeable for ordinary shares during the period from the date of this prospectus continuing through the date</w:t>
      </w:r>
    </w:p>
    <w:p>
      <w:pPr>
        <w:spacing w:after="0" w:line="6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U-1</w:t>
      </w:r>
    </w:p>
    <w:p>
      <w:pPr>
        <w:sectPr>
          <w:pgSz w:w="11900" w:h="16838" w:orient="portrait"/>
          <w:cols w:equalWidth="0" w:num="1">
            <w:col w:w="10227"/>
          </w:cols>
          <w:pgMar w:left="232" w:top="262" w:right="1440" w:bottom="532"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96</w:t>
      </w:r>
    </w:p>
    <w:p>
      <w:pPr>
        <w:spacing w:after="0" w:line="346" w:lineRule="exact"/>
        <w:rPr>
          <w:sz w:val="20"/>
          <w:szCs w:val="20"/>
          <w:color w:val="auto"/>
        </w:rPr>
      </w:pPr>
    </w:p>
    <w:p>
      <w:pPr>
        <w:ind w:right="3079" w:firstLine="268"/>
        <w:spacing w:after="0" w:line="281" w:lineRule="auto"/>
        <w:rPr>
          <w:sz w:val="20"/>
          <w:szCs w:val="20"/>
          <w:color w:val="auto"/>
        </w:rPr>
      </w:pPr>
      <w:r>
        <w:rPr>
          <w:rFonts w:ascii="Courier New" w:cs="Courier New" w:eastAsia="Courier New" w:hAnsi="Courier New"/>
          <w:sz w:val="15"/>
          <w:szCs w:val="15"/>
          <w:color w:val="auto"/>
        </w:rPr>
        <w:t>days after the date of this prospectus, except with the prior written consent of the representatives. This agreement does not apply to any existing employee benefit plans. See "Shares Eligible for Future Sale" for a discussion of certain transfer restrictions.</w:t>
      </w:r>
    </w:p>
    <w:p>
      <w:pPr>
        <w:spacing w:after="0" w:line="236" w:lineRule="exact"/>
        <w:rPr>
          <w:sz w:val="20"/>
          <w:szCs w:val="20"/>
          <w:color w:val="auto"/>
        </w:rPr>
      </w:pPr>
    </w:p>
    <w:p>
      <w:pPr>
        <w:ind w:right="3159" w:firstLine="447"/>
        <w:spacing w:after="0" w:line="259" w:lineRule="auto"/>
        <w:rPr>
          <w:sz w:val="20"/>
          <w:szCs w:val="20"/>
          <w:color w:val="auto"/>
        </w:rPr>
      </w:pPr>
      <w:r>
        <w:rPr>
          <w:rFonts w:ascii="Courier New" w:cs="Courier New" w:eastAsia="Courier New" w:hAnsi="Courier New"/>
          <w:sz w:val="15"/>
          <w:szCs w:val="15"/>
          <w:color w:val="auto"/>
        </w:rPr>
        <w:t>In connection with the offering, the Underwriters may purchase and sell ordinary shares in the open market. These transactions may include short sales, stabilizing transactions and purchases to cover positions created by short sales. Short sales involve the sale by the Underwriters of a greater number of shares than they are required to purchase in the offering. Stabilizing transactions consist of certain bids or purchases made for the purpose of preventing or retarding a decline in the market price of the ordinary shares while the offering is in progress.</w:t>
      </w:r>
    </w:p>
    <w:p>
      <w:pPr>
        <w:spacing w:after="0" w:line="253"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The Underwriters also may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41"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These activities by the Underwriters may stabilize, maintain or otherwise affect the market price of the ordinary shares. As a result, the price of the ordinary shares may be higher than the price that otherwise might exist in the open market. If these activities are commenced, they may be discontinued by the Underwriters at any time. These transactions may be effected on the New York Stock Exchange or otherwise.</w:t>
      </w:r>
    </w:p>
    <w:p>
      <w:pPr>
        <w:spacing w:after="0" w:line="246" w:lineRule="exact"/>
        <w:rPr>
          <w:sz w:val="20"/>
          <w:szCs w:val="20"/>
          <w:color w:val="auto"/>
        </w:rPr>
      </w:pPr>
    </w:p>
    <w:p>
      <w:pPr>
        <w:jc w:val="both"/>
        <w:ind w:right="3159" w:firstLine="447"/>
        <w:spacing w:after="0" w:line="301" w:lineRule="auto"/>
        <w:rPr>
          <w:sz w:val="20"/>
          <w:szCs w:val="20"/>
          <w:color w:val="auto"/>
        </w:rPr>
      </w:pPr>
      <w:r>
        <w:rPr>
          <w:rFonts w:ascii="Courier New" w:cs="Courier New" w:eastAsia="Courier New" w:hAnsi="Courier New"/>
          <w:sz w:val="15"/>
          <w:szCs w:val="15"/>
          <w:color w:val="auto"/>
        </w:rPr>
        <w:t>The Company will pay the expenses of the offering on behalf of the selling shareholders, excluding underwriting discounts and commissions. The expenses of the offering are estimated to be approximately $2.0 million.</w:t>
      </w:r>
    </w:p>
    <w:p>
      <w:pPr>
        <w:spacing w:after="0" w:line="221" w:lineRule="exact"/>
        <w:rPr>
          <w:sz w:val="20"/>
          <w:szCs w:val="20"/>
          <w:color w:val="auto"/>
        </w:rPr>
      </w:pPr>
    </w:p>
    <w:p>
      <w:pPr>
        <w:ind w:right="3339" w:firstLine="447"/>
        <w:spacing w:after="0" w:line="301" w:lineRule="auto"/>
        <w:rPr>
          <w:sz w:val="20"/>
          <w:szCs w:val="20"/>
          <w:color w:val="auto"/>
        </w:rPr>
      </w:pPr>
      <w:r>
        <w:rPr>
          <w:rFonts w:ascii="Courier New" w:cs="Courier New" w:eastAsia="Courier New" w:hAnsi="Courier New"/>
          <w:sz w:val="15"/>
          <w:szCs w:val="15"/>
          <w:color w:val="auto"/>
        </w:rPr>
        <w:t>The Company and the selling shareholders have agreed to indemnify the several Underwriters against certain liabilities, including liabilities under the Securities Act.</w:t>
      </w:r>
    </w:p>
    <w:p>
      <w:pPr>
        <w:spacing w:after="0" w:line="221" w:lineRule="exact"/>
        <w:rPr>
          <w:sz w:val="20"/>
          <w:szCs w:val="20"/>
          <w:color w:val="auto"/>
        </w:rPr>
      </w:pPr>
    </w:p>
    <w:p>
      <w:pPr>
        <w:ind w:right="3159" w:firstLine="447"/>
        <w:spacing w:after="0" w:line="253" w:lineRule="auto"/>
        <w:rPr>
          <w:sz w:val="20"/>
          <w:szCs w:val="20"/>
          <w:color w:val="auto"/>
        </w:rPr>
      </w:pPr>
      <w:r>
        <w:rPr>
          <w:rFonts w:ascii="Courier New" w:cs="Courier New" w:eastAsia="Courier New" w:hAnsi="Courier New"/>
          <w:sz w:val="15"/>
          <w:szCs w:val="15"/>
          <w:color w:val="auto"/>
        </w:rPr>
        <w:t>Up to 10,000,000 additional ordinary shares (or up to 11,500,000 shares if the applicable over-allotment option is exercised in full) may be delivered by the TRACES Trust to holders of the Automatic Common Exchange Securities upon exchange of the Automatic Common Exchange Securities on the Exchange Date (as defined in the Trust Prospectus). In lieu of delivery of such shares, a TRACES Trust shareholder may elect to pay cash or deliver other securities on the Exchange Date for each ordinary share then deliverable in the amounts and under the procedures described in the Trust Prospectus. The Automatic Common Exchange Securities are being offered through an underwriter or underwriters in the manner described in the Trust Prospectus. The respective closings of the offerings of the ordinary shares and the Automatic Common Exchange Securities are not dependent upon one another.</w:t>
      </w:r>
    </w:p>
    <w:p>
      <w:pPr>
        <w:spacing w:after="0" w:line="2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U-2</w:t>
      </w:r>
    </w:p>
    <w:p>
      <w:pPr>
        <w:sectPr>
          <w:pgSz w:w="11900" w:h="16838" w:orient="portrait"/>
          <w:cols w:equalWidth="0" w:num="1">
            <w:col w:w="10219"/>
          </w:cols>
          <w:pgMar w:left="240" w:top="263" w:right="1440" w:bottom="1440" w:gutter="0" w:footer="0" w:header="0"/>
        </w:sectPr>
      </w:pPr>
    </w:p>
    <w:bookmarkStart w:id="105" w:name="page106"/>
    <w:bookmarkEnd w:id="105"/>
    <w:p>
      <w:pPr>
        <w:ind w:left="268"/>
        <w:spacing w:after="0"/>
        <w:rPr>
          <w:sz w:val="20"/>
          <w:szCs w:val="20"/>
          <w:color w:val="auto"/>
        </w:rPr>
      </w:pPr>
      <w:r>
        <w:rPr>
          <w:rFonts w:ascii="Courier New" w:cs="Courier New" w:eastAsia="Courier New" w:hAnsi="Courier New"/>
          <w:sz w:val="15"/>
          <w:szCs w:val="15"/>
          <w:color w:val="auto"/>
        </w:rPr>
        <w:t>97</w:t>
      </w:r>
    </w:p>
    <w:p>
      <w:pPr>
        <w:spacing w:after="0" w:line="174" w:lineRule="exact"/>
        <w:rPr>
          <w:sz w:val="20"/>
          <w:szCs w:val="20"/>
          <w:color w:val="auto"/>
        </w:rPr>
      </w:pPr>
    </w:p>
    <w:p>
      <w:pPr>
        <w:ind w:left="188" w:hanging="188"/>
        <w:spacing w:after="0"/>
        <w:tabs>
          <w:tab w:leader="none" w:pos="18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18" w:lineRule="exact"/>
        <w:rPr>
          <w:sz w:val="20"/>
          <w:szCs w:val="20"/>
          <w:color w:val="auto"/>
        </w:rPr>
      </w:pPr>
    </w:p>
    <w:p>
      <w:pPr>
        <w:ind w:left="8" w:right="3159" w:firstLine="447"/>
        <w:spacing w:after="0" w:line="266" w:lineRule="auto"/>
        <w:rPr>
          <w:sz w:val="20"/>
          <w:szCs w:val="20"/>
          <w:color w:val="auto"/>
        </w:rPr>
      </w:pPr>
      <w:r>
        <w:rPr>
          <w:rFonts w:ascii="Courier New" w:cs="Courier New" w:eastAsia="Courier New" w:hAnsi="Courier New"/>
          <w:sz w:val="15"/>
          <w:szCs w:val="15"/>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its date.</w:t>
      </w:r>
    </w:p>
    <w:p>
      <w:pPr>
        <w:spacing w:after="0" w:line="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Page</w:t>
      </w:r>
    </w:p>
    <w:p>
      <w:pPr>
        <w:spacing w:after="0" w:line="3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Enforcement of Civil Liabilities</w:t>
      </w:r>
      <w:r>
        <w:rPr>
          <w:sz w:val="20"/>
          <w:szCs w:val="20"/>
          <w:color w:val="auto"/>
        </w:rPr>
        <w:tab/>
      </w:r>
      <w:r>
        <w:rPr>
          <w:rFonts w:ascii="Courier New" w:cs="Courier New" w:eastAsia="Courier New" w:hAnsi="Courier New"/>
          <w:sz w:val="15"/>
          <w:szCs w:val="15"/>
          <w:color w:val="auto"/>
        </w:rPr>
        <w:t>2</w:t>
      </w:r>
    </w:p>
    <w:p>
      <w:pPr>
        <w:spacing w:after="0" w:line="30"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3</w:t>
      </w:r>
    </w:p>
    <w:p>
      <w:pPr>
        <w:spacing w:after="0" w:line="2"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17</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Market Prices and Dividend Policy</w:t>
      </w:r>
      <w:r>
        <w:rPr>
          <w:sz w:val="20"/>
          <w:szCs w:val="20"/>
          <w:color w:val="auto"/>
        </w:rPr>
        <w:tab/>
      </w:r>
      <w:r>
        <w:rPr>
          <w:rFonts w:ascii="Courier New" w:cs="Courier New" w:eastAsia="Courier New" w:hAnsi="Courier New"/>
          <w:sz w:val="15"/>
          <w:szCs w:val="15"/>
          <w:color w:val="auto"/>
        </w:rPr>
        <w:t>17</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Selected Consolidated Financial</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5"/>
          <w:szCs w:val="15"/>
          <w:color w:val="auto"/>
        </w:rPr>
        <w:t>18</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of Financial Condition and Results</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of Operations</w:t>
      </w:r>
      <w:r>
        <w:rPr>
          <w:sz w:val="20"/>
          <w:szCs w:val="20"/>
          <w:color w:val="auto"/>
        </w:rPr>
        <w:tab/>
      </w:r>
      <w:r>
        <w:rPr>
          <w:rFonts w:ascii="Courier New" w:cs="Courier New" w:eastAsia="Courier New" w:hAnsi="Courier New"/>
          <w:sz w:val="15"/>
          <w:szCs w:val="15"/>
          <w:color w:val="auto"/>
        </w:rPr>
        <w:t>20</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31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43</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Certain Transactions</w:t>
      </w:r>
      <w:r>
        <w:rPr>
          <w:sz w:val="20"/>
          <w:szCs w:val="20"/>
          <w:color w:val="auto"/>
        </w:rPr>
        <w:tab/>
      </w:r>
      <w:r>
        <w:rPr>
          <w:rFonts w:ascii="Courier New" w:cs="Courier New" w:eastAsia="Courier New" w:hAnsi="Courier New"/>
          <w:sz w:val="15"/>
          <w:szCs w:val="15"/>
          <w:color w:val="auto"/>
        </w:rPr>
        <w:t>48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Principal and Selling Shareholders</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TRACES Shareholders</w:t>
      </w:r>
      <w:r>
        <w:rPr>
          <w:sz w:val="20"/>
          <w:szCs w:val="20"/>
          <w:color w:val="auto"/>
        </w:rPr>
        <w:tab/>
      </w:r>
      <w:r>
        <w:rPr>
          <w:rFonts w:ascii="Courier New" w:cs="Courier New" w:eastAsia="Courier New" w:hAnsi="Courier New"/>
          <w:sz w:val="15"/>
          <w:szCs w:val="15"/>
          <w:color w:val="auto"/>
        </w:rPr>
        <w:t>52</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Description of Share Capital</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Comparison of United States and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Guernsey Corporate Law</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Shares Eligible for Future Sale</w:t>
      </w:r>
      <w:r>
        <w:rPr>
          <w:sz w:val="20"/>
          <w:szCs w:val="20"/>
          <w:color w:val="auto"/>
        </w:rPr>
        <w:tab/>
      </w:r>
      <w:r>
        <w:rPr>
          <w:rFonts w:ascii="Courier New" w:cs="Courier New" w:eastAsia="Courier New" w:hAnsi="Courier New"/>
          <w:sz w:val="15"/>
          <w:szCs w:val="15"/>
          <w:color w:val="auto"/>
        </w:rPr>
        <w:t>57</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Taxation of the Company</w:t>
      </w:r>
      <w:r>
        <w:rPr>
          <w:sz w:val="20"/>
          <w:szCs w:val="20"/>
          <w:color w:val="auto"/>
        </w:rPr>
        <w:tab/>
      </w:r>
      <w:r>
        <w:rPr>
          <w:rFonts w:ascii="Courier New" w:cs="Courier New" w:eastAsia="Courier New" w:hAnsi="Courier New"/>
          <w:sz w:val="15"/>
          <w:szCs w:val="15"/>
          <w:color w:val="auto"/>
        </w:rPr>
        <w:t>58</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Taxation of Holders of Ordinary</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60</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63</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63</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Where You Can Find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More Information</w:t>
      </w:r>
      <w:r>
        <w:rPr>
          <w:sz w:val="20"/>
          <w:szCs w:val="20"/>
          <w:color w:val="auto"/>
        </w:rPr>
        <w:tab/>
      </w:r>
      <w:r>
        <w:rPr>
          <w:rFonts w:ascii="Courier New" w:cs="Courier New" w:eastAsia="Courier New" w:hAnsi="Courier New"/>
          <w:sz w:val="15"/>
          <w:szCs w:val="15"/>
          <w:color w:val="auto"/>
        </w:rPr>
        <w:t>63</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63</w:t>
      </w:r>
    </w:p>
    <w:p>
      <w:pPr>
        <w:spacing w:after="0" w:line="2" w:lineRule="exact"/>
        <w:rPr>
          <w:sz w:val="20"/>
          <w:szCs w:val="20"/>
          <w:color w:val="auto"/>
        </w:rPr>
      </w:pPr>
    </w:p>
    <w:p>
      <w:pPr>
        <w:ind w:left="8"/>
        <w:spacing w:after="0"/>
        <w:tabs>
          <w:tab w:leader="dot" w:pos="3548"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2" w:lineRule="exact"/>
        <w:rPr>
          <w:sz w:val="20"/>
          <w:szCs w:val="20"/>
          <w:color w:val="auto"/>
        </w:rPr>
      </w:pPr>
    </w:p>
    <w:p>
      <w:pPr>
        <w:ind w:left="8"/>
        <w:spacing w:after="0"/>
        <w:tabs>
          <w:tab w:leader="dot" w:pos="3548"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U-1</w:t>
      </w:r>
    </w:p>
    <w:p>
      <w:pPr>
        <w:spacing w:after="0" w:line="200" w:lineRule="exact"/>
        <w:rPr>
          <w:sz w:val="20"/>
          <w:szCs w:val="20"/>
          <w:color w:val="auto"/>
        </w:rPr>
      </w:pPr>
    </w:p>
    <w:p>
      <w:pPr>
        <w:spacing w:after="0" w:line="290"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88" w:hanging="188"/>
        <w:spacing w:after="0"/>
        <w:tabs>
          <w:tab w:leader="none" w:pos="18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18"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20,000,000 Shares</w:t>
      </w:r>
    </w:p>
    <w:p>
      <w:pPr>
        <w:spacing w:after="0" w:line="200" w:lineRule="exact"/>
        <w:rPr>
          <w:sz w:val="20"/>
          <w:szCs w:val="20"/>
          <w:color w:val="auto"/>
        </w:rPr>
      </w:pPr>
    </w:p>
    <w:p>
      <w:pPr>
        <w:spacing w:after="0" w:line="318"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346"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Ordinary Shares</w:t>
      </w:r>
    </w:p>
    <w:p>
      <w:pPr>
        <w:spacing w:after="0" w:line="17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GOLDMAN, SACHS &amp; CO.</w:t>
      </w:r>
    </w:p>
    <w:p>
      <w:pPr>
        <w:spacing w:after="0" w:line="346"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BANCBOSTON ROBERTSON STEPHENS</w:t>
      </w:r>
    </w:p>
    <w:p>
      <w:pPr>
        <w:spacing w:after="0" w:line="346"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BT ALEX. BROWN</w:t>
      </w:r>
    </w:p>
    <w:p>
      <w:pPr>
        <w:spacing w:after="0" w:line="346"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LEHMAN BROTHERS</w:t>
      </w:r>
    </w:p>
    <w:p>
      <w:pPr>
        <w:spacing w:after="0" w:line="346"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NATIONSBANC MONTGOMERY SECURITIES LLC</w:t>
      </w:r>
    </w:p>
    <w:p>
      <w:pPr>
        <w:sectPr>
          <w:pgSz w:w="11900" w:h="16838" w:orient="portrait"/>
          <w:cols w:equalWidth="0" w:num="1">
            <w:col w:w="10227"/>
          </w:cols>
          <w:pgMar w:left="232" w:top="262" w:right="1440" w:bottom="0" w:gutter="0" w:footer="0" w:header="0"/>
        </w:sectPr>
      </w:pPr>
    </w:p>
    <w:bookmarkStart w:id="106" w:name="page107"/>
    <w:bookmarkEnd w:id="106"/>
    <w:p>
      <w:pPr>
        <w:jc w:val="center"/>
        <w:ind w:right="3071"/>
        <w:spacing w:after="0"/>
        <w:rPr>
          <w:sz w:val="20"/>
          <w:szCs w:val="20"/>
          <w:color w:val="auto"/>
        </w:rPr>
      </w:pPr>
      <w:r>
        <w:rPr>
          <w:rFonts w:ascii="Courier New" w:cs="Courier New" w:eastAsia="Courier New" w:hAnsi="Courier New"/>
          <w:sz w:val="15"/>
          <w:szCs w:val="15"/>
          <w:color w:val="auto"/>
        </w:rPr>
        <w:t>SG COWEN</w:t>
      </w:r>
    </w:p>
    <w:p>
      <w:pPr>
        <w:spacing w:after="0" w:line="174" w:lineRule="exact"/>
        <w:rPr>
          <w:sz w:val="20"/>
          <w:szCs w:val="20"/>
          <w:color w:val="auto"/>
        </w:rPr>
      </w:pPr>
    </w:p>
    <w:p>
      <w:pPr>
        <w:jc w:val="right"/>
        <w:ind w:right="5119"/>
        <w:spacing w:after="0"/>
        <w:rPr>
          <w:sz w:val="20"/>
          <w:szCs w:val="20"/>
          <w:color w:val="auto"/>
        </w:rPr>
      </w:pPr>
      <w:r>
        <w:rPr>
          <w:rFonts w:ascii="Courier New" w:cs="Courier New" w:eastAsia="Courier New" w:hAnsi="Courier New"/>
          <w:sz w:val="15"/>
          <w:szCs w:val="15"/>
          <w:color w:val="auto"/>
        </w:rPr>
        <w:t>REPRESENTATIVES OF THE UNDERWRITERS</w:t>
      </w:r>
    </w:p>
    <w:p>
      <w:pPr>
        <w:spacing w:after="0" w:line="346" w:lineRule="exact"/>
        <w:rPr>
          <w:sz w:val="20"/>
          <w:szCs w:val="20"/>
          <w:color w:val="auto"/>
        </w:rPr>
      </w:pPr>
    </w:p>
    <w:p>
      <w:pPr>
        <w:ind w:left="188" w:hanging="188"/>
        <w:spacing w:after="0"/>
        <w:tabs>
          <w:tab w:leader="none" w:pos="18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113"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98</w:t>
      </w:r>
    </w:p>
    <w:p>
      <w:pPr>
        <w:spacing w:after="0" w:line="174"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5"/>
          <w:szCs w:val="15"/>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41"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[ALTERNATE PAGES FOR TRUST PROSPECTUS]</w:t>
      </w:r>
    </w:p>
    <w:p>
      <w:pPr>
        <w:spacing w:after="0" w:line="200" w:lineRule="exact"/>
        <w:rPr>
          <w:sz w:val="20"/>
          <w:szCs w:val="20"/>
          <w:color w:val="auto"/>
        </w:rPr>
      </w:pPr>
    </w:p>
    <w:p>
      <w:pPr>
        <w:spacing w:after="0" w:line="318"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Subject to Completion. Dated May 6, 1999.</w:t>
      </w:r>
    </w:p>
    <w:p>
      <w:pPr>
        <w:spacing w:after="0" w:line="200" w:lineRule="exact"/>
        <w:rPr>
          <w:sz w:val="20"/>
          <w:szCs w:val="20"/>
          <w:color w:val="auto"/>
        </w:rPr>
      </w:pPr>
    </w:p>
    <w:p>
      <w:pPr>
        <w:spacing w:after="0" w:line="31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10,000,000 Shares</w:t>
      </w:r>
    </w:p>
    <w:p>
      <w:pPr>
        <w:spacing w:after="0" w:line="200" w:lineRule="exact"/>
        <w:rPr>
          <w:sz w:val="20"/>
          <w:szCs w:val="20"/>
          <w:color w:val="auto"/>
        </w:rPr>
      </w:pPr>
    </w:p>
    <w:p>
      <w:pPr>
        <w:spacing w:after="0" w:line="31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00" w:lineRule="exact"/>
        <w:rPr>
          <w:sz w:val="20"/>
          <w:szCs w:val="20"/>
          <w:color w:val="auto"/>
        </w:rPr>
      </w:pPr>
    </w:p>
    <w:p>
      <w:pPr>
        <w:spacing w:after="0" w:line="31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Ordinary Shares</w:t>
      </w:r>
    </w:p>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right="3159" w:firstLine="447"/>
        <w:spacing w:after="0" w:line="255" w:lineRule="auto"/>
        <w:rPr>
          <w:sz w:val="20"/>
          <w:szCs w:val="20"/>
          <w:color w:val="auto"/>
        </w:rPr>
      </w:pPr>
      <w:r>
        <w:rPr>
          <w:rFonts w:ascii="Courier New" w:cs="Courier New" w:eastAsia="Courier New" w:hAnsi="Courier New"/>
          <w:sz w:val="15"/>
          <w:szCs w:val="15"/>
          <w:color w:val="auto"/>
        </w:rPr>
        <w:t>This prospectus relates to up to 10,000,000 ordinary shares (or up to 11,500,000 ordinary shares if the underwriters' over-allotment option is exercised in full) beneficially owned by the Amdocs Automatic Common Exchange Security Trust (the "TRACES Trust") shareholders named in this prospectus that may be delivered by the TRACES Trust to holders of Automatic Common Exchange Securities of the TRACES Trust upon exchange of such securities on the Exchange Date as defined in the attached prospectus of the TRACES Trust (the "Trust Prospectus"). The Automatic Common Exchange Securities are being sold by the TRACES Trust in an offering described in the attached Trust Prospectus. See "Trust Prospectus".</w:t>
      </w:r>
    </w:p>
    <w:p>
      <w:pPr>
        <w:spacing w:after="0" w:line="200" w:lineRule="exact"/>
        <w:rPr>
          <w:sz w:val="20"/>
          <w:szCs w:val="20"/>
          <w:color w:val="auto"/>
        </w:rPr>
      </w:pPr>
    </w:p>
    <w:p>
      <w:pPr>
        <w:spacing w:after="0" w:line="231"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In addition, Amdocs and several of our shareholders are offering for sale up to an aggregate 20,000,000 ordinary shares (or up to 23,000,000 ordinary shares if the underwriters' over-allotment option is exercised in full) directly to the public pursuant to a separate prospectus. Of the 20,000,000 ordinary shares being offered in that offering, 2,000,000 shares are being offered by Amdocs and 18,000,000 shares are being offered by the selling shareholders. The respective closings of the offerings of the Automatic Common Exchange Securities and the ordinary shares are not dependent upon one another.</w:t>
      </w:r>
    </w:p>
    <w:p>
      <w:pPr>
        <w:spacing w:after="0" w:line="200" w:lineRule="exact"/>
        <w:rPr>
          <w:sz w:val="20"/>
          <w:szCs w:val="20"/>
          <w:color w:val="auto"/>
        </w:rPr>
      </w:pPr>
    </w:p>
    <w:p>
      <w:pPr>
        <w:spacing w:after="0" w:line="225" w:lineRule="exact"/>
        <w:rPr>
          <w:sz w:val="20"/>
          <w:szCs w:val="20"/>
          <w:color w:val="auto"/>
        </w:rPr>
      </w:pPr>
    </w:p>
    <w:p>
      <w:pPr>
        <w:ind w:right="3159" w:firstLine="447"/>
        <w:spacing w:after="0" w:line="301" w:lineRule="auto"/>
        <w:rPr>
          <w:sz w:val="20"/>
          <w:szCs w:val="20"/>
          <w:color w:val="auto"/>
        </w:rPr>
      </w:pPr>
      <w:r>
        <w:rPr>
          <w:rFonts w:ascii="Courier New" w:cs="Courier New" w:eastAsia="Courier New" w:hAnsi="Courier New"/>
          <w:sz w:val="15"/>
          <w:szCs w:val="15"/>
          <w:color w:val="auto"/>
        </w:rPr>
        <w:t>Amdocs will not receive any proceeds from the sale of the Automatic Common Exchange Securities by the TRACES Trust or the sale of the ordinary shares by our selling shareholders.</w:t>
      </w:r>
    </w:p>
    <w:p>
      <w:pPr>
        <w:spacing w:after="0" w:line="393"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The ordinary shares are listed on the New York Stock Exchange under the symbol "DOX." The last reported sale price of our ordinary shares on May 4, 1999 was $26.88 per share.</w:t>
      </w:r>
    </w:p>
    <w:p>
      <w:pPr>
        <w:spacing w:after="0" w:line="22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3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34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BT ALEX. BROWN</w:t>
      </w:r>
    </w:p>
    <w:p>
      <w:pPr>
        <w:spacing w:after="0" w:line="174"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LEHMAN BROTHERS</w:t>
      </w:r>
    </w:p>
    <w:p>
      <w:pPr>
        <w:spacing w:after="0" w:line="346" w:lineRule="exact"/>
        <w:rPr>
          <w:sz w:val="20"/>
          <w:szCs w:val="20"/>
          <w:color w:val="auto"/>
        </w:rPr>
      </w:pPr>
    </w:p>
    <w:p>
      <w:pPr>
        <w:ind w:left="2220"/>
        <w:spacing w:after="0"/>
        <w:tabs>
          <w:tab w:leader="none" w:pos="4180" w:val="left"/>
        </w:tabs>
        <w:rPr>
          <w:sz w:val="20"/>
          <w:szCs w:val="20"/>
          <w:color w:val="auto"/>
        </w:rPr>
      </w:pPr>
      <w:r>
        <w:rPr>
          <w:rFonts w:ascii="Courier New" w:cs="Courier New" w:eastAsia="Courier New" w:hAnsi="Courier New"/>
          <w:sz w:val="15"/>
          <w:szCs w:val="15"/>
          <w:color w:val="auto"/>
        </w:rPr>
        <w:t>Prospectus dated May</w:t>
      </w:r>
      <w:r>
        <w:rPr>
          <w:sz w:val="20"/>
          <w:szCs w:val="20"/>
          <w:color w:val="auto"/>
        </w:rPr>
        <w:tab/>
      </w:r>
      <w:r>
        <w:rPr>
          <w:rFonts w:ascii="Courier New" w:cs="Courier New" w:eastAsia="Courier New" w:hAnsi="Courier New"/>
          <w:sz w:val="14"/>
          <w:szCs w:val="14"/>
          <w:color w:val="auto"/>
        </w:rPr>
        <w:t>, 1999.</w:t>
      </w:r>
    </w:p>
    <w:p>
      <w:pPr>
        <w:sectPr>
          <w:pgSz w:w="11900" w:h="16838" w:orient="portrait"/>
          <w:cols w:equalWidth="0" w:num="1">
            <w:col w:w="10219"/>
          </w:cols>
          <w:pgMar w:left="240" w:top="263" w:right="1440" w:bottom="1048"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99</w:t>
      </w:r>
    </w:p>
    <w:p>
      <w:pPr>
        <w:spacing w:after="0" w:line="346"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[ALTERNATE PAGE FOR TRUST PROSPECTUS]</w:t>
      </w:r>
    </w:p>
    <w:p>
      <w:pPr>
        <w:spacing w:after="0" w:line="200" w:lineRule="exact"/>
        <w:rPr>
          <w:sz w:val="20"/>
          <w:szCs w:val="20"/>
          <w:color w:val="auto"/>
        </w:rPr>
      </w:pPr>
    </w:p>
    <w:p>
      <w:pPr>
        <w:spacing w:after="0" w:line="31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PLAN OF DISTRIBUTION</w:t>
      </w:r>
    </w:p>
    <w:p>
      <w:pPr>
        <w:spacing w:after="0" w:line="200" w:lineRule="exact"/>
        <w:rPr>
          <w:sz w:val="20"/>
          <w:szCs w:val="20"/>
          <w:color w:val="auto"/>
        </w:rPr>
      </w:pPr>
    </w:p>
    <w:p>
      <w:pPr>
        <w:spacing w:after="0" w:line="318" w:lineRule="exact"/>
        <w:rPr>
          <w:sz w:val="20"/>
          <w:szCs w:val="20"/>
          <w:color w:val="auto"/>
        </w:rPr>
      </w:pPr>
    </w:p>
    <w:p>
      <w:pPr>
        <w:ind w:right="3259" w:firstLine="447"/>
        <w:spacing w:after="0" w:line="295" w:lineRule="auto"/>
        <w:rPr>
          <w:sz w:val="20"/>
          <w:szCs w:val="20"/>
          <w:color w:val="auto"/>
        </w:rPr>
      </w:pPr>
      <w:r>
        <w:rPr>
          <w:rFonts w:ascii="Courier New" w:cs="Courier New" w:eastAsia="Courier New" w:hAnsi="Courier New"/>
          <w:sz w:val="14"/>
          <w:szCs w:val="14"/>
          <w:color w:val="auto"/>
        </w:rPr>
        <w:t>The Automatic Common Exchange Securities will be distributed as described in the Trust Prospectus under the caption "Underwriting". Some of the underwriters and their affiliates have provided, are currently providing, and expect to provide in the future, commercial and investment banking services to us for which they have received and will receive fees and commissions.</w:t>
      </w:r>
    </w:p>
    <w:p>
      <w:pPr>
        <w:spacing w:after="0" w:line="200" w:lineRule="exact"/>
        <w:rPr>
          <w:sz w:val="20"/>
          <w:szCs w:val="20"/>
          <w:color w:val="auto"/>
        </w:rPr>
      </w:pP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TRUST PROSPECTUS</w:t>
      </w:r>
    </w:p>
    <w:p>
      <w:pPr>
        <w:spacing w:after="0" w:line="200" w:lineRule="exact"/>
        <w:rPr>
          <w:sz w:val="20"/>
          <w:szCs w:val="20"/>
          <w:color w:val="auto"/>
        </w:rPr>
      </w:pPr>
    </w:p>
    <w:p>
      <w:pPr>
        <w:spacing w:after="0" w:line="318"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The Automatic Common Exchange Securities are being offered pursuant to the Trust Prospectus. This prospectus relates only to the ordinary shares that may be delivered upon exchange of the Automatic Common Exchange Securities. We take no responsibility for any information included in or omitted from the Trust Prospectus. The Trust Prospectus does not constitute a part of this prospectus nor is it incorporated by reference herein.</w:t>
      </w:r>
    </w:p>
    <w:p>
      <w:pPr>
        <w:spacing w:after="0" w:line="2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ALT-64</w:t>
      </w:r>
    </w:p>
    <w:p>
      <w:pPr>
        <w:sectPr>
          <w:pgSz w:w="11900" w:h="16838" w:orient="portrait"/>
          <w:cols w:equalWidth="0" w:num="1">
            <w:col w:w="10219"/>
          </w:cols>
          <w:pgMar w:left="240" w:top="262" w:right="1440" w:bottom="1440" w:gutter="0" w:footer="0" w:header="0"/>
        </w:sectPr>
      </w:pPr>
    </w:p>
    <w:bookmarkStart w:id="109" w:name="page110"/>
    <w:bookmarkEnd w:id="109"/>
    <w:p>
      <w:pPr>
        <w:ind w:left="268"/>
        <w:spacing w:after="0"/>
        <w:rPr>
          <w:sz w:val="20"/>
          <w:szCs w:val="20"/>
          <w:color w:val="auto"/>
        </w:rPr>
      </w:pPr>
      <w:r>
        <w:rPr>
          <w:rFonts w:ascii="Courier New" w:cs="Courier New" w:eastAsia="Courier New" w:hAnsi="Courier New"/>
          <w:sz w:val="15"/>
          <w:szCs w:val="15"/>
          <w:color w:val="auto"/>
        </w:rPr>
        <w:t>100</w:t>
      </w:r>
    </w:p>
    <w:p>
      <w:pPr>
        <w:spacing w:after="0" w:line="346"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[ALTERNATE COVER FOR TRUST PROSPECTUS]</w:t>
      </w:r>
    </w:p>
    <w:p>
      <w:pPr>
        <w:spacing w:after="0" w:line="346" w:lineRule="exact"/>
        <w:rPr>
          <w:sz w:val="20"/>
          <w:szCs w:val="20"/>
          <w:color w:val="auto"/>
        </w:rPr>
      </w:pPr>
    </w:p>
    <w:p>
      <w:pPr>
        <w:ind w:left="188" w:hanging="188"/>
        <w:spacing w:after="0"/>
        <w:tabs>
          <w:tab w:leader="none" w:pos="18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18" w:lineRule="exact"/>
        <w:rPr>
          <w:sz w:val="20"/>
          <w:szCs w:val="20"/>
          <w:color w:val="auto"/>
        </w:rPr>
      </w:pPr>
    </w:p>
    <w:p>
      <w:pPr>
        <w:ind w:left="8" w:right="3159" w:firstLine="447"/>
        <w:spacing w:after="0" w:line="266" w:lineRule="auto"/>
        <w:rPr>
          <w:sz w:val="20"/>
          <w:szCs w:val="20"/>
          <w:color w:val="auto"/>
        </w:rPr>
      </w:pPr>
      <w:r>
        <w:rPr>
          <w:rFonts w:ascii="Courier New" w:cs="Courier New" w:eastAsia="Courier New" w:hAnsi="Courier New"/>
          <w:sz w:val="15"/>
          <w:szCs w:val="15"/>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its date.</w:t>
      </w:r>
    </w:p>
    <w:p>
      <w:pPr>
        <w:spacing w:after="0" w:line="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Page</w:t>
      </w:r>
    </w:p>
    <w:p>
      <w:pPr>
        <w:spacing w:after="0" w:line="3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Enforcement of Civil Liabilities</w:t>
      </w:r>
      <w:r>
        <w:rPr>
          <w:sz w:val="20"/>
          <w:szCs w:val="20"/>
          <w:color w:val="auto"/>
        </w:rPr>
        <w:tab/>
      </w:r>
      <w:r>
        <w:rPr>
          <w:rFonts w:ascii="Courier New" w:cs="Courier New" w:eastAsia="Courier New" w:hAnsi="Courier New"/>
          <w:sz w:val="15"/>
          <w:szCs w:val="15"/>
          <w:color w:val="auto"/>
        </w:rPr>
        <w:t>2</w:t>
      </w:r>
    </w:p>
    <w:p>
      <w:pPr>
        <w:spacing w:after="0" w:line="30"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3</w:t>
      </w:r>
    </w:p>
    <w:p>
      <w:pPr>
        <w:spacing w:after="0" w:line="2"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17</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Market Prices and Dividend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Policy</w:t>
      </w:r>
      <w:r>
        <w:rPr>
          <w:sz w:val="20"/>
          <w:szCs w:val="20"/>
          <w:color w:val="auto"/>
        </w:rPr>
        <w:tab/>
      </w:r>
      <w:r>
        <w:rPr>
          <w:rFonts w:ascii="Courier New" w:cs="Courier New" w:eastAsia="Courier New" w:hAnsi="Courier New"/>
          <w:sz w:val="15"/>
          <w:szCs w:val="15"/>
          <w:color w:val="auto"/>
        </w:rPr>
        <w:t>17</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Selected Consolidated Financial</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5"/>
          <w:szCs w:val="15"/>
          <w:color w:val="auto"/>
        </w:rPr>
        <w:t>18</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Management's Discussion and</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Analysis of Financial Condition</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and Results of Operations</w:t>
      </w:r>
      <w:r>
        <w:rPr>
          <w:sz w:val="20"/>
          <w:szCs w:val="20"/>
          <w:color w:val="auto"/>
        </w:rPr>
        <w:tab/>
      </w:r>
      <w:r>
        <w:rPr>
          <w:rFonts w:ascii="Courier New" w:cs="Courier New" w:eastAsia="Courier New" w:hAnsi="Courier New"/>
          <w:sz w:val="15"/>
          <w:szCs w:val="15"/>
          <w:color w:val="auto"/>
        </w:rPr>
        <w:t>20</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31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43</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Certain Transactions</w:t>
      </w:r>
      <w:r>
        <w:rPr>
          <w:sz w:val="20"/>
          <w:szCs w:val="20"/>
          <w:color w:val="auto"/>
        </w:rPr>
        <w:tab/>
      </w:r>
      <w:r>
        <w:rPr>
          <w:rFonts w:ascii="Courier New" w:cs="Courier New" w:eastAsia="Courier New" w:hAnsi="Courier New"/>
          <w:sz w:val="15"/>
          <w:szCs w:val="15"/>
          <w:color w:val="auto"/>
        </w:rPr>
        <w:t>48</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Principal and Selling</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Shareholders</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TRACES Shareholders</w:t>
      </w:r>
      <w:r>
        <w:rPr>
          <w:sz w:val="20"/>
          <w:szCs w:val="20"/>
          <w:color w:val="auto"/>
        </w:rPr>
        <w:tab/>
      </w:r>
      <w:r>
        <w:rPr>
          <w:rFonts w:ascii="Courier New" w:cs="Courier New" w:eastAsia="Courier New" w:hAnsi="Courier New"/>
          <w:sz w:val="15"/>
          <w:szCs w:val="15"/>
          <w:color w:val="auto"/>
        </w:rPr>
        <w:t>52</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Description of Share Capital</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Comparison of United States and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Guernsey Corporate Law</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Shares Eligible for Future Sale</w:t>
      </w:r>
      <w:r>
        <w:rPr>
          <w:sz w:val="20"/>
          <w:szCs w:val="20"/>
          <w:color w:val="auto"/>
        </w:rPr>
        <w:tab/>
      </w:r>
      <w:r>
        <w:rPr>
          <w:rFonts w:ascii="Courier New" w:cs="Courier New" w:eastAsia="Courier New" w:hAnsi="Courier New"/>
          <w:sz w:val="15"/>
          <w:szCs w:val="15"/>
          <w:color w:val="auto"/>
        </w:rPr>
        <w:t>57</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Taxation of the Company</w:t>
      </w:r>
      <w:r>
        <w:rPr>
          <w:sz w:val="20"/>
          <w:szCs w:val="20"/>
          <w:color w:val="auto"/>
        </w:rPr>
        <w:tab/>
      </w:r>
      <w:r>
        <w:rPr>
          <w:rFonts w:ascii="Courier New" w:cs="Courier New" w:eastAsia="Courier New" w:hAnsi="Courier New"/>
          <w:sz w:val="15"/>
          <w:szCs w:val="15"/>
          <w:color w:val="auto"/>
        </w:rPr>
        <w:t>58</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Taxation of Holders of Ordinary</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60</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63</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63</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Where You Can Find More</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5"/>
          <w:szCs w:val="15"/>
          <w:color w:val="auto"/>
        </w:rPr>
        <w:t>63</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63</w:t>
      </w:r>
    </w:p>
    <w:p>
      <w:pPr>
        <w:spacing w:after="0" w:line="2" w:lineRule="exact"/>
        <w:rPr>
          <w:sz w:val="20"/>
          <w:szCs w:val="20"/>
          <w:color w:val="auto"/>
        </w:rPr>
      </w:pPr>
    </w:p>
    <w:p>
      <w:pPr>
        <w:ind w:left="8"/>
        <w:spacing w:after="0"/>
        <w:tabs>
          <w:tab w:leader="dot" w:pos="3288"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4"/>
          <w:szCs w:val="14"/>
          <w:color w:val="auto"/>
        </w:rPr>
        <w:t>ALT-64</w:t>
      </w:r>
    </w:p>
    <w:p>
      <w:pPr>
        <w:spacing w:after="0" w:line="2" w:lineRule="exact"/>
        <w:rPr>
          <w:sz w:val="20"/>
          <w:szCs w:val="20"/>
          <w:color w:val="auto"/>
        </w:rPr>
      </w:pPr>
    </w:p>
    <w:p>
      <w:pPr>
        <w:ind w:left="8"/>
        <w:spacing w:after="0"/>
        <w:tabs>
          <w:tab w:leader="dot" w:pos="3288" w:val="left"/>
        </w:tabs>
        <w:rPr>
          <w:sz w:val="20"/>
          <w:szCs w:val="20"/>
          <w:color w:val="auto"/>
        </w:rPr>
      </w:pPr>
      <w:r>
        <w:rPr>
          <w:rFonts w:ascii="Courier New" w:cs="Courier New" w:eastAsia="Courier New" w:hAnsi="Courier New"/>
          <w:sz w:val="15"/>
          <w:szCs w:val="15"/>
          <w:color w:val="auto"/>
        </w:rPr>
        <w:t>Trust Prospectus</w:t>
      </w:r>
      <w:r>
        <w:rPr>
          <w:sz w:val="20"/>
          <w:szCs w:val="20"/>
          <w:color w:val="auto"/>
        </w:rPr>
        <w:tab/>
      </w:r>
      <w:r>
        <w:rPr>
          <w:rFonts w:ascii="Courier New" w:cs="Courier New" w:eastAsia="Courier New" w:hAnsi="Courier New"/>
          <w:sz w:val="14"/>
          <w:szCs w:val="14"/>
          <w:color w:val="auto"/>
        </w:rPr>
        <w:t>ALT-64</w:t>
      </w:r>
    </w:p>
    <w:p>
      <w:pPr>
        <w:spacing w:after="0" w:line="2" w:lineRule="exact"/>
        <w:rPr>
          <w:sz w:val="20"/>
          <w:szCs w:val="20"/>
          <w:color w:val="auto"/>
        </w:rPr>
      </w:pPr>
    </w:p>
    <w:p>
      <w:pPr>
        <w:ind w:left="8"/>
        <w:spacing w:after="0"/>
        <w:tabs>
          <w:tab w:leader="dot" w:pos="3548"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200" w:lineRule="exact"/>
        <w:rPr>
          <w:sz w:val="20"/>
          <w:szCs w:val="20"/>
          <w:color w:val="auto"/>
        </w:rPr>
      </w:pPr>
    </w:p>
    <w:p>
      <w:pPr>
        <w:spacing w:after="0" w:line="290"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88" w:hanging="188"/>
        <w:spacing w:after="0"/>
        <w:tabs>
          <w:tab w:leader="none" w:pos="18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18"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10,000,000 Shares</w:t>
      </w:r>
    </w:p>
    <w:p>
      <w:pPr>
        <w:spacing w:after="0" w:line="200" w:lineRule="exact"/>
        <w:rPr>
          <w:sz w:val="20"/>
          <w:szCs w:val="20"/>
          <w:color w:val="auto"/>
        </w:rPr>
      </w:pPr>
    </w:p>
    <w:p>
      <w:pPr>
        <w:spacing w:after="0" w:line="318"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346"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Ordinary Shares</w:t>
      </w:r>
    </w:p>
    <w:p>
      <w:pPr>
        <w:spacing w:after="0" w:line="30"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w:t>
      </w:r>
    </w:p>
    <w:p>
      <w:pPr>
        <w:spacing w:after="0" w:line="1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GOLDMAN, SACHS &amp; CO.</w:t>
      </w:r>
    </w:p>
    <w:p>
      <w:pPr>
        <w:spacing w:after="0" w:line="200" w:lineRule="exact"/>
        <w:rPr>
          <w:sz w:val="20"/>
          <w:szCs w:val="20"/>
          <w:color w:val="auto"/>
        </w:rPr>
      </w:pPr>
    </w:p>
    <w:p>
      <w:pPr>
        <w:spacing w:after="0" w:line="318"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BT ALEX. BROWN</w:t>
      </w:r>
    </w:p>
    <w:p>
      <w:pPr>
        <w:sectPr>
          <w:pgSz w:w="11900" w:h="16838" w:orient="portrait"/>
          <w:cols w:equalWidth="0" w:num="1">
            <w:col w:w="10227"/>
          </w:cols>
          <w:pgMar w:left="232" w:top="262" w:right="1440" w:bottom="0" w:gutter="0" w:footer="0" w:header="0"/>
        </w:sectPr>
      </w:pPr>
    </w:p>
    <w:p>
      <w:pPr>
        <w:spacing w:after="0" w:line="346" w:lineRule="exact"/>
        <w:rPr>
          <w:sz w:val="20"/>
          <w:szCs w:val="20"/>
          <w:color w:val="auto"/>
        </w:rPr>
      </w:pPr>
    </w:p>
    <w:p>
      <w:pPr>
        <w:ind w:left="2868"/>
        <w:spacing w:after="0"/>
        <w:rPr>
          <w:sz w:val="20"/>
          <w:szCs w:val="20"/>
          <w:color w:val="auto"/>
        </w:rPr>
      </w:pPr>
      <w:r>
        <w:rPr>
          <w:rFonts w:ascii="Courier New" w:cs="Courier New" w:eastAsia="Courier New" w:hAnsi="Courier New"/>
          <w:sz w:val="14"/>
          <w:szCs w:val="14"/>
          <w:color w:val="auto"/>
        </w:rPr>
        <w:t>LEHMAN BROTHERS</w:t>
      </w:r>
    </w:p>
    <w:p>
      <w:pPr>
        <w:sectPr>
          <w:pgSz w:w="11900" w:h="16838" w:orient="portrait"/>
          <w:cols w:equalWidth="0" w:num="1">
            <w:col w:w="10227"/>
          </w:cols>
          <w:pgMar w:left="232" w:top="262" w:right="1440" w:bottom="0" w:gutter="0" w:footer="0" w:header="0"/>
          <w:type w:val="continuous"/>
        </w:sectPr>
      </w:pPr>
    </w:p>
    <w:bookmarkStart w:id="110" w:name="page111"/>
    <w:bookmarkEnd w:id="110"/>
    <w:p>
      <w:pPr>
        <w:jc w:val="right"/>
        <w:ind w:right="5119"/>
        <w:spacing w:after="0"/>
        <w:rPr>
          <w:sz w:val="20"/>
          <w:szCs w:val="20"/>
          <w:color w:val="auto"/>
        </w:rPr>
      </w:pPr>
      <w:r>
        <w:rPr>
          <w:rFonts w:ascii="Courier New" w:cs="Courier New" w:eastAsia="Courier New" w:hAnsi="Courier New"/>
          <w:sz w:val="15"/>
          <w:szCs w:val="15"/>
          <w:color w:val="auto"/>
        </w:rPr>
        <w:t>Representatives of the Underwriters</w:t>
      </w:r>
    </w:p>
    <w:p>
      <w:pPr>
        <w:spacing w:after="0" w:line="30" w:lineRule="exact"/>
        <w:rPr>
          <w:sz w:val="20"/>
          <w:szCs w:val="20"/>
          <w:color w:val="auto"/>
        </w:rPr>
      </w:pPr>
    </w:p>
    <w:p>
      <w:pPr>
        <w:ind w:left="188" w:hanging="188"/>
        <w:spacing w:after="0"/>
        <w:tabs>
          <w:tab w:leader="none" w:pos="18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86"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101</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4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4" w:lineRule="exact"/>
        <w:rPr>
          <w:sz w:val="20"/>
          <w:szCs w:val="20"/>
          <w:color w:val="auto"/>
        </w:rPr>
      </w:pPr>
    </w:p>
    <w:p>
      <w:pPr>
        <w:ind w:right="3079" w:firstLine="447"/>
        <w:spacing w:after="0" w:line="281" w:lineRule="auto"/>
        <w:rPr>
          <w:sz w:val="20"/>
          <w:szCs w:val="20"/>
          <w:color w:val="auto"/>
        </w:rPr>
      </w:pPr>
      <w:r>
        <w:rPr>
          <w:rFonts w:ascii="Courier New" w:cs="Courier New" w:eastAsia="Courier New" w:hAnsi="Courier New"/>
          <w:sz w:val="15"/>
          <w:szCs w:val="15"/>
          <w:color w:val="auto"/>
        </w:rPr>
        <w:t>The following table sets forth the various expenses to be paid by Amdocs in connection with the issuance and distribution of the securities being registered. All amounts shown are estimates except for amounts of filing and listing fees.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Securities and Exchange Commission registration fee.........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226,914</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New York Stock Exchange listing fee.........................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National Association of Securities Dealers fee..............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30,500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Legal fees and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400,000</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Registrar and Transfer agent fees and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Accounting fees and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Printing, EDGAR formatting and mailing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Miscellaneous...............................................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44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Total.............................................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5440" w:type="dxa"/>
            <w:vAlign w:val="bottom"/>
            <w:vMerge w:val="continue"/>
          </w:tcPr>
          <w:p>
            <w:pPr>
              <w:spacing w:after="0"/>
              <w:rPr>
                <w:sz w:val="21"/>
                <w:szCs w:val="21"/>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$2,000,000</w:t>
            </w:r>
          </w:p>
        </w:tc>
        <w:tc>
          <w:tcPr>
            <w:tcW w:w="0" w:type="dxa"/>
            <w:vAlign w:val="bottom"/>
          </w:tcPr>
          <w:p>
            <w:pPr>
              <w:spacing w:after="0"/>
              <w:rPr>
                <w:sz w:val="1"/>
                <w:szCs w:val="1"/>
                <w:color w:val="auto"/>
              </w:rPr>
            </w:pPr>
          </w:p>
        </w:tc>
      </w:tr>
      <w:tr>
        <w:trPr>
          <w:trHeight w:val="608"/>
        </w:trPr>
        <w:tc>
          <w:tcPr>
            <w:tcW w:w="5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 To be filed by amendment</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ITEM 14.  INDEMNIFICATION OF DIRECTORS AND OFFICERS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3079" w:firstLine="447"/>
        <w:spacing w:after="0" w:line="295" w:lineRule="auto"/>
        <w:rPr>
          <w:sz w:val="20"/>
          <w:szCs w:val="20"/>
          <w:color w:val="auto"/>
        </w:rPr>
      </w:pPr>
      <w:r>
        <w:rPr>
          <w:rFonts w:ascii="Courier New" w:cs="Courier New" w:eastAsia="Courier New" w:hAnsi="Courier New"/>
          <w:sz w:val="14"/>
          <w:szCs w:val="14"/>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5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RECENT SALES OF UNREGISTERED SECURITIES</w:t>
      </w:r>
    </w:p>
    <w:p>
      <w:pPr>
        <w:spacing w:after="0" w:line="346"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Set forth in reverse chronological order below is certain information regarding the number of ordinary shares or other securities issued, or options granted, by the Registrant, since May 6, 1996 that have not been registered under the Securities Act.</w:t>
      </w:r>
    </w:p>
    <w:p>
      <w:pPr>
        <w:spacing w:after="0" w:line="236" w:lineRule="exact"/>
        <w:rPr>
          <w:sz w:val="20"/>
          <w:szCs w:val="20"/>
          <w:color w:val="auto"/>
        </w:rPr>
      </w:pPr>
    </w:p>
    <w:p>
      <w:pPr>
        <w:ind w:left="880" w:hanging="441"/>
        <w:spacing w:after="0"/>
        <w:tabs>
          <w:tab w:leader="none" w:pos="8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Issuances of Share Capital</w:t>
      </w:r>
    </w:p>
    <w:p>
      <w:pPr>
        <w:spacing w:after="0" w:line="17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5"/>
          <w:szCs w:val="15"/>
          <w:color w:val="auto"/>
        </w:rPr>
        <w:t>On March 30, 1998, Welsh, Carson, Anderson &amp; Stowe VII, L.P., Welsh, Carson, Anderson &amp; Stowe VI. L.P., WCAS Information Partners, L.P. and certain other investors purchased a total of 51,507,716 ordinary shares for an aggregate purchase price of $99.1 million. Such number of ordinary shares and all other share figures set forth in this Item give effect to a recapitalization of Amdocs' share capital which was effected prior to the June 19, 1998 public offering.</w:t>
      </w:r>
    </w:p>
    <w:p>
      <w:pPr>
        <w:spacing w:after="0" w:line="78" w:lineRule="exact"/>
        <w:rPr>
          <w:sz w:val="20"/>
          <w:szCs w:val="20"/>
          <w:color w:val="auto"/>
        </w:rPr>
      </w:pPr>
    </w:p>
    <w:p>
      <w:pPr>
        <w:ind w:right="3339" w:firstLine="447"/>
        <w:spacing w:after="0" w:line="301" w:lineRule="auto"/>
        <w:rPr>
          <w:sz w:val="20"/>
          <w:szCs w:val="20"/>
          <w:color w:val="auto"/>
        </w:rPr>
      </w:pPr>
      <w:r>
        <w:rPr>
          <w:rFonts w:ascii="Courier New" w:cs="Courier New" w:eastAsia="Courier New" w:hAnsi="Courier New"/>
          <w:sz w:val="15"/>
          <w:szCs w:val="15"/>
          <w:color w:val="auto"/>
        </w:rPr>
        <w:t>On September 28, 1997, a trust for the benefit of certain employees of Amdocs purchased 5,720,000 ordinary shares for an aggregate purchase price of $31.6 million.</w:t>
      </w:r>
    </w:p>
    <w:p>
      <w:pPr>
        <w:spacing w:after="0" w:line="49" w:lineRule="exact"/>
        <w:rPr>
          <w:sz w:val="20"/>
          <w:szCs w:val="20"/>
          <w:color w:val="auto"/>
        </w:rPr>
      </w:pPr>
    </w:p>
    <w:p>
      <w:pPr>
        <w:ind w:right="3159" w:firstLine="447"/>
        <w:spacing w:after="0" w:line="281" w:lineRule="auto"/>
        <w:rPr>
          <w:sz w:val="20"/>
          <w:szCs w:val="20"/>
          <w:color w:val="auto"/>
        </w:rPr>
      </w:pPr>
      <w:r>
        <w:rPr>
          <w:rFonts w:ascii="Courier New" w:cs="Courier New" w:eastAsia="Courier New" w:hAnsi="Courier New"/>
          <w:sz w:val="15"/>
          <w:szCs w:val="15"/>
          <w:color w:val="auto"/>
        </w:rPr>
        <w:t>On September 22, 1997, Welsh, Carson, Anderson &amp; Stowe VII, L.P., Welsh, Carson, Anderson &amp; Stowe VI. L.P., and certain other investors purchased 11,072,308 ordinary shares for an aggregate purchase price of $61.2 million and $3.27 million in principal amount of Amdocs' junior promissory notes.</w:t>
      </w:r>
    </w:p>
    <w:p>
      <w:pPr>
        <w:spacing w:after="0" w:line="64" w:lineRule="exact"/>
        <w:rPr>
          <w:sz w:val="20"/>
          <w:szCs w:val="20"/>
          <w:color w:val="auto"/>
        </w:rPr>
      </w:pPr>
    </w:p>
    <w:p>
      <w:pPr>
        <w:ind w:left="880" w:hanging="441"/>
        <w:spacing w:after="0"/>
        <w:tabs>
          <w:tab w:leader="none" w:pos="8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Grants</w:t>
      </w:r>
    </w:p>
    <w:p>
      <w:pPr>
        <w:spacing w:after="0" w:line="346" w:lineRule="exact"/>
        <w:rPr>
          <w:sz w:val="20"/>
          <w:szCs w:val="20"/>
          <w:color w:val="auto"/>
        </w:rPr>
      </w:pPr>
    </w:p>
    <w:p>
      <w:pPr>
        <w:ind w:right="3439" w:firstLine="447"/>
        <w:spacing w:after="0" w:line="281" w:lineRule="auto"/>
        <w:rPr>
          <w:sz w:val="20"/>
          <w:szCs w:val="20"/>
          <w:color w:val="auto"/>
        </w:rPr>
      </w:pPr>
      <w:r>
        <w:rPr>
          <w:rFonts w:ascii="Courier New" w:cs="Courier New" w:eastAsia="Courier New" w:hAnsi="Courier New"/>
          <w:sz w:val="15"/>
          <w:szCs w:val="15"/>
          <w:color w:val="auto"/>
        </w:rPr>
        <w:t>From January 1998 through March 31, 1999, Amdocs granted options to directors, employees and consultants to purchase an aggregate of 4,231,214 ordinary shares at a weighted average exercise price of $6.03 per share. The options vest ratably over a period of three to</w:t>
      </w:r>
    </w:p>
    <w:p>
      <w:pPr>
        <w:sectPr>
          <w:pgSz w:w="11900" w:h="16838" w:orient="portrait"/>
          <w:cols w:equalWidth="0" w:num="1">
            <w:col w:w="10219"/>
          </w:cols>
          <w:pgMar w:left="240" w:top="262" w:right="1440" w:bottom="1440" w:gutter="0" w:footer="0" w:header="0"/>
        </w:sectPr>
      </w:pPr>
    </w:p>
    <w:p>
      <w:pPr>
        <w:spacing w:after="0" w:line="23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19"/>
          </w:cols>
          <w:pgMar w:left="240" w:top="262" w:right="1440" w:bottom="1440" w:gutter="0" w:footer="0" w:header="0"/>
          <w:type w:val="continuous"/>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102</w:t>
      </w:r>
    </w:p>
    <w:p>
      <w:pPr>
        <w:spacing w:after="0" w:line="346" w:lineRule="exact"/>
        <w:rPr>
          <w:sz w:val="20"/>
          <w:szCs w:val="20"/>
          <w:color w:val="auto"/>
        </w:rPr>
      </w:pPr>
    </w:p>
    <w:p>
      <w:pPr>
        <w:ind w:right="3519"/>
        <w:spacing w:after="0" w:line="359" w:lineRule="auto"/>
        <w:rPr>
          <w:sz w:val="20"/>
          <w:szCs w:val="20"/>
          <w:color w:val="auto"/>
        </w:rPr>
      </w:pPr>
      <w:r>
        <w:rPr>
          <w:rFonts w:ascii="Courier New" w:cs="Courier New" w:eastAsia="Courier New" w:hAnsi="Courier New"/>
          <w:sz w:val="15"/>
          <w:szCs w:val="15"/>
          <w:color w:val="auto"/>
        </w:rPr>
        <w:t>eight years commencing from the date of grant. As of March 31, 1999 none of those options were exercisable.</w:t>
      </w:r>
    </w:p>
    <w:p>
      <w:pPr>
        <w:spacing w:after="0" w:line="180" w:lineRule="exact"/>
        <w:rPr>
          <w:sz w:val="20"/>
          <w:szCs w:val="20"/>
          <w:color w:val="auto"/>
        </w:rPr>
      </w:pPr>
    </w:p>
    <w:p>
      <w:pPr>
        <w:jc w:val="both"/>
        <w:ind w:right="3159" w:firstLine="447"/>
        <w:spacing w:after="0" w:line="295" w:lineRule="auto"/>
        <w:rPr>
          <w:sz w:val="20"/>
          <w:szCs w:val="20"/>
          <w:color w:val="auto"/>
        </w:rPr>
      </w:pPr>
      <w:r>
        <w:rPr>
          <w:rFonts w:ascii="Courier New" w:cs="Courier New" w:eastAsia="Courier New" w:hAnsi="Courier New"/>
          <w:sz w:val="14"/>
          <w:szCs w:val="14"/>
          <w:color w:val="auto"/>
        </w:rPr>
        <w:t>No underwriters were engaged in connection with any of the foregoing sales of securities. The securities issued in the above transactions were offered and sold in reliance upon the exemption from registration under Section 4(2) of the Securities Act or Regulation D or Regulation S promulgated under the Securities Act, relative to sales by an issuer not involving any public offering.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16.</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EXHIBITS AND FINANCIAL STATEMENT SCHEDULES</w:t>
            </w:r>
          </w:p>
        </w:tc>
        <w:tc>
          <w:tcPr>
            <w:tcW w:w="0" w:type="dxa"/>
            <w:vAlign w:val="bottom"/>
          </w:tcPr>
          <w:p>
            <w:pPr>
              <w:spacing w:after="0"/>
              <w:rPr>
                <w:sz w:val="1"/>
                <w:szCs w:val="1"/>
                <w:color w:val="auto"/>
              </w:rPr>
            </w:pPr>
          </w:p>
        </w:tc>
      </w:tr>
      <w:tr>
        <w:trPr>
          <w:trHeight w:val="344"/>
        </w:trPr>
        <w:tc>
          <w:tcPr>
            <w:tcW w:w="840" w:type="dxa"/>
            <w:vAlign w:val="bottom"/>
          </w:tcPr>
          <w:p>
            <w:pPr>
              <w:spacing w:after="0"/>
              <w:rPr>
                <w:sz w:val="24"/>
                <w:szCs w:val="24"/>
                <w:color w:val="auto"/>
              </w:rPr>
            </w:pPr>
          </w:p>
        </w:tc>
        <w:tc>
          <w:tcPr>
            <w:tcW w:w="5420" w:type="dxa"/>
            <w:vAlign w:val="bottom"/>
          </w:tcPr>
          <w:p>
            <w:pPr>
              <w:ind w:left="2100"/>
              <w:spacing w:after="0"/>
              <w:rPr>
                <w:sz w:val="20"/>
                <w:szCs w:val="20"/>
                <w:color w:val="auto"/>
              </w:rPr>
            </w:pPr>
            <w:r>
              <w:rPr>
                <w:rFonts w:ascii="Courier New" w:cs="Courier New" w:eastAsia="Courier New" w:hAnsi="Courier New"/>
                <w:sz w:val="15"/>
                <w:szCs w:val="15"/>
                <w:color w:val="auto"/>
              </w:rPr>
              <w:t>EXHIBIT INDEX</w:t>
            </w:r>
          </w:p>
        </w:tc>
        <w:tc>
          <w:tcPr>
            <w:tcW w:w="0" w:type="dxa"/>
            <w:vAlign w:val="bottom"/>
          </w:tcPr>
          <w:p>
            <w:pPr>
              <w:spacing w:after="0"/>
              <w:rPr>
                <w:sz w:val="1"/>
                <w:szCs w:val="1"/>
                <w:color w:val="auto"/>
              </w:rPr>
            </w:pPr>
          </w:p>
        </w:tc>
      </w:tr>
      <w:tr>
        <w:trPr>
          <w:trHeight w:val="780"/>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20" w:type="dxa"/>
            <w:vAlign w:val="bottom"/>
            <w:vMerge w:val="restart"/>
          </w:tcPr>
          <w:p>
            <w:pPr>
              <w:ind w:left="220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2"/>
        </w:trPr>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NO.</w:t>
            </w:r>
          </w:p>
        </w:tc>
        <w:tc>
          <w:tcPr>
            <w:tcW w:w="5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2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of Underwriting Agreement</w:t>
            </w:r>
          </w:p>
        </w:tc>
        <w:tc>
          <w:tcPr>
            <w:tcW w:w="0" w:type="dxa"/>
            <w:vAlign w:val="bottom"/>
          </w:tcPr>
          <w:p>
            <w:pPr>
              <w:spacing w:after="0"/>
              <w:rPr>
                <w:sz w:val="1"/>
                <w:szCs w:val="1"/>
                <w:color w:val="auto"/>
              </w:rPr>
            </w:pP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Articles of Association of Amdocs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Limited (Exhibit 3.1 to Amdocs' Registration Statement on</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3.2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F-1 dated June 19, 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Memorandum of Association of Amdocs Limited (Exhibit 3.2 to</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Amdocs' Registration Statement on Form F-1 dated June 19,</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Specimen certificate for the ordinary shares of the</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Registrant (Exhibit 4.1 to Amdocs' Registration Statement on</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F-1 dated June 19, 1998; Registration Number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Stock Option and Incentive Plan, as amended, of Amdocs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4.2 to Amdocs' Registration Statement on Form F-1</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4.3</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Note Purchase Agreement, dated as of September 22, 1997,</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among European Software Marketing Ltd., WCAS Capital</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Partners III, L.P., as Agent, and the several Purchasers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named in Schedule 1 thereto (Exhibit 4.3 to Amdocs'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4.4</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Credit Agreement, dated as of December 5, 1997, among</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European Software Marketing Limited, the other subsidiaries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of Amdocs named therein and Nationsbanc of Texas, N.A., as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Administrative Agent, the Bank of Nova Scotia, as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Syndication Agent, and The Bank of Japan, Limited as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Documentation Agent (Exhibit 4.4 to Amdocs' Registration</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F-1 dated June 19, 1998; Registration No.</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4.5</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Share Subscription Agreement, dated as of September 22,</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4.5 to Amdocs' Registration Statement on Form F-1</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4.6</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Conditional Investment Agreement, dated as of September 22,</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4.6 to Amdocs' Registration Statement on Form F-1</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4.7</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Letter Agreement, dated September 22, 1997, as amended as of</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May 20, 1998, between Amdocs and Welsh, Carson, Anderson and</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Stowe, on behalf of the Investors named therein (Exhibit 4.7</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to Amdocs' Registration Statement on Form F-1 dated June 19,</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4.8</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Letter of Understanding, dated September 22, 1997, between</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Amdocs and Welsh, Carson, Anderson and Stowe, on behalf of</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the Investors named therein (Exhibit 4.8 to Amdocs'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c>
          <w:tcPr>
            <w:tcW w:w="0" w:type="dxa"/>
            <w:vAlign w:val="bottom"/>
          </w:tcPr>
          <w:p>
            <w:pPr>
              <w:spacing w:after="0"/>
              <w:rPr>
                <w:sz w:val="1"/>
                <w:szCs w:val="1"/>
                <w:color w:val="auto"/>
              </w:rPr>
            </w:pPr>
          </w:p>
        </w:tc>
      </w:tr>
      <w:tr>
        <w:trPr>
          <w:trHeight w:val="252"/>
        </w:trPr>
        <w:tc>
          <w:tcPr>
            <w:tcW w:w="840" w:type="dxa"/>
            <w:vAlign w:val="bottom"/>
          </w:tcPr>
          <w:p>
            <w:pPr>
              <w:spacing w:after="0"/>
              <w:rPr>
                <w:sz w:val="21"/>
                <w:szCs w:val="21"/>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63" w:right="1440"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5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103</w:t>
            </w:r>
          </w:p>
        </w:tc>
        <w:tc>
          <w:tcPr>
            <w:tcW w:w="5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0"/>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20" w:type="dxa"/>
            <w:vAlign w:val="bottom"/>
            <w:vMerge w:val="restart"/>
          </w:tcPr>
          <w:p>
            <w:pPr>
              <w:ind w:left="220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2"/>
        </w:trPr>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NO.</w:t>
            </w:r>
          </w:p>
        </w:tc>
        <w:tc>
          <w:tcPr>
            <w:tcW w:w="5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2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Shareholders Agreement, Summary of Terms, dated September</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22, 1997 (Exhibit 4.9 to Amdocs' Registration Statement on</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4.10</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F-1 dated June 19, 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Certain proxies executed by investment partnerships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affiliated with Welsh, Carson, Anderson and Stowe and</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certain other entities in favor of Conbond Holding Company</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Ltd. (Exhibit 4.10 to Amdocs' Registration Statement on Form</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*5.1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F-1 dated June 19, 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Opinion of Carey Langlois</w:t>
            </w:r>
          </w:p>
        </w:tc>
        <w:tc>
          <w:tcPr>
            <w:tcW w:w="0" w:type="dxa"/>
            <w:vAlign w:val="bottom"/>
          </w:tcPr>
          <w:p>
            <w:pPr>
              <w:spacing w:after="0"/>
              <w:rPr>
                <w:sz w:val="1"/>
                <w:szCs w:val="1"/>
                <w:color w:val="auto"/>
              </w:rPr>
            </w:pP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Agreement No. C303410 for Joint Development and Marketing</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between Southwestern Bell Telephone Company and Amdocs, Inc.</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as of June 19, 1991, as amended(Exhibit 10.1 to</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Amdocs' Registration Statement on Form F-1 dated June 19,</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General Agreement No. CGA0450 for Support Services effective</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as of January 1, 1994 Southwestern Bell Telephone Company</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and Amdocs, Inc.(Exhibit 10.2 to Amdocs' Registration</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F-1 dated June 19, 1998; Registration No.</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10.3</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Marketing and License Agreement between Southwestern Bell</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Yellow Pages, Inc. and Amdocs, Inc. dated as of May 18,</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1990, as amended(Exhibit 10.3 to Amdocs' Registration</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F-1 dated June 19, 1998; Registration No.</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10.4</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Joint Development Agreement between Southwestern Bell Mobile</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Systems, Inc. and Amdocs, Inc., signed by the parties on</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March 15, 1994 and March 31, 1994, respectively(Exhibit 10.4</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to Amdocs' Registration Statement on Form F-1 dated June 19,</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10.5</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Marketing Rights Agreement between Southwestern Bell Mobile</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Systems, Inc. and Canadian Directory Technology Limited,</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signed by the parties on March 14, 1994 and April 5, 1994,</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respectively, as amended(Exhibit 10.5 to Amdocs'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10.6</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Letter of Agreement between Southwestern Bell Mobile</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Systems, Inc. and Canadian Directory Technology Limited</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dated July 22, 1996 and signed on July 25, 1995(Exhibit 10.3</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to Amdocs' Registration Statement on Form F-1 dated June 19,</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10.7</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Development Agreement between Southwestern Bell</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Communications Services, Inc. and Amdocs, Inc. dated as of</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February 15, 1996(Exhibit 10.7 to Amdocs' Registration</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F-1 dated June 19, 1998; Registration No.</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10.8</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Marketing Rights Agreement between Southwestern Bell</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Communications Services, Inc. and Canadian Directory</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Technology Limited effective as of February 15, 1996, as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amended(Exhibit 10.8 to Amdocs' Registration Statement on</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10.9</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F-1 dated June 19, 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License and Maintenance Services Agreement between</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GoldenLines Limited and Amdocs (UK) Limited, dated as of</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November 15, 1996(Exhibit 10.9 to Amdocs' Registration</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F-1 dated June 19, 1998; Registration No.</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10.10</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Customization and Support Services Agreement between</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GoldenLines Limited and P.S. Publishing System Limited,</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as of November 15, 1996(Exhibit 10.10 to Amdocs'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c>
          <w:tcPr>
            <w:tcW w:w="0" w:type="dxa"/>
            <w:vAlign w:val="bottom"/>
          </w:tcPr>
          <w:p>
            <w:pPr>
              <w:spacing w:after="0"/>
              <w:rPr>
                <w:sz w:val="1"/>
                <w:szCs w:val="1"/>
                <w:color w:val="auto"/>
              </w:rPr>
            </w:pPr>
          </w:p>
        </w:tc>
      </w:tr>
      <w:tr>
        <w:trPr>
          <w:trHeight w:val="252"/>
        </w:trPr>
        <w:tc>
          <w:tcPr>
            <w:tcW w:w="840" w:type="dxa"/>
            <w:vAlign w:val="bottom"/>
          </w:tcPr>
          <w:p>
            <w:pPr>
              <w:spacing w:after="0"/>
              <w:rPr>
                <w:sz w:val="21"/>
                <w:szCs w:val="21"/>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62" w:right="1440" w:bottom="1440" w:gutter="0" w:footer="0" w:header="0"/>
        </w:sectPr>
      </w:pPr>
    </w:p>
    <w:bookmarkStart w:id="114" w:name="page115"/>
    <w:bookmarkEnd w:id="114"/>
    <w:tbl>
      <w:tblPr>
        <w:tblLayout w:type="fixed"/>
        <w:tblInd w:w="8" w:type="dxa"/>
        <w:tblCellMar>
          <w:top w:w="0" w:type="dxa"/>
          <w:left w:w="0" w:type="dxa"/>
          <w:bottom w:w="0" w:type="dxa"/>
          <w:right w:w="0" w:type="dxa"/>
        </w:tblCellMar>
      </w:tblPr>
      <w:tr>
        <w:trPr>
          <w:trHeight w:val="25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104</w:t>
            </w:r>
          </w:p>
        </w:tc>
        <w:tc>
          <w:tcPr>
            <w:tcW w:w="5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0"/>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20" w:type="dxa"/>
            <w:vAlign w:val="bottom"/>
            <w:vMerge w:val="restart"/>
          </w:tcPr>
          <w:p>
            <w:pPr>
              <w:ind w:left="220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2"/>
        </w:trPr>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NO.</w:t>
            </w:r>
          </w:p>
        </w:tc>
        <w:tc>
          <w:tcPr>
            <w:tcW w:w="5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2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10.11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IT Services Provision Agreement between Pacific Access &amp; Pty</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Ltd., as agent for Telstra Corporation Limited, and Amdocs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(USA), Inc., dated as of May 7, 1998(Exhibit 10.11 to</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Amdocs' Registration Statement on Form F-1 dated June 19,</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10.12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Guarantee and Indemnity between Amdocs Limited, as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Guarantor, and Pacific Access Pty Ltd., as Beneficiary,</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as of May 7, 1995(Exhibit 10.12 to Amdocs'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92"/>
              </w:rPr>
              <w:t>*10.13</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Master Agreement No. 99006220 For Software and Services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between Amdocs Inc. and SBC Communications Inc., dated March</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*21.1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the Registrant</w:t>
            </w:r>
          </w:p>
        </w:tc>
        <w:tc>
          <w:tcPr>
            <w:tcW w:w="0" w:type="dxa"/>
            <w:vAlign w:val="bottom"/>
          </w:tcPr>
          <w:p>
            <w:pPr>
              <w:spacing w:after="0"/>
              <w:rPr>
                <w:sz w:val="1"/>
                <w:szCs w:val="1"/>
                <w:color w:val="auto"/>
              </w:rPr>
            </w:pP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c>
          <w:tcPr>
            <w:tcW w:w="0" w:type="dxa"/>
            <w:vAlign w:val="bottom"/>
          </w:tcPr>
          <w:p>
            <w:pPr>
              <w:spacing w:after="0"/>
              <w:rPr>
                <w:sz w:val="1"/>
                <w:szCs w:val="1"/>
                <w:color w:val="auto"/>
              </w:rPr>
            </w:pP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Consent of Carey Langlois (included in Exhibit 5.1).</w:t>
            </w:r>
          </w:p>
        </w:tc>
        <w:tc>
          <w:tcPr>
            <w:tcW w:w="0" w:type="dxa"/>
            <w:vAlign w:val="bottom"/>
          </w:tcPr>
          <w:p>
            <w:pPr>
              <w:spacing w:after="0"/>
              <w:rPr>
                <w:sz w:val="1"/>
                <w:szCs w:val="1"/>
                <w:color w:val="auto"/>
              </w:rPr>
            </w:pP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Powers of Attorney (contained on the signature pages</w:t>
            </w:r>
          </w:p>
        </w:tc>
        <w:tc>
          <w:tcPr>
            <w:tcW w:w="0" w:type="dxa"/>
            <w:vAlign w:val="bottom"/>
          </w:tcPr>
          <w:p>
            <w:pPr>
              <w:spacing w:after="0"/>
              <w:rPr>
                <w:sz w:val="1"/>
                <w:szCs w:val="1"/>
                <w:color w:val="auto"/>
              </w:rPr>
            </w:pPr>
          </w:p>
        </w:tc>
      </w:tr>
      <w:tr>
        <w:trPr>
          <w:trHeight w:val="252"/>
        </w:trPr>
        <w:tc>
          <w:tcPr>
            <w:tcW w:w="840" w:type="dxa"/>
            <w:vAlign w:val="bottom"/>
          </w:tcPr>
          <w:p>
            <w:pPr>
              <w:spacing w:after="0"/>
              <w:rPr>
                <w:sz w:val="21"/>
                <w:szCs w:val="21"/>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hereof).</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To be filed by amendment</w:t>
      </w:r>
    </w:p>
    <w:p>
      <w:pPr>
        <w:spacing w:after="0" w:line="346" w:lineRule="exact"/>
        <w:rPr>
          <w:sz w:val="20"/>
          <w:szCs w:val="20"/>
          <w:color w:val="auto"/>
        </w:rPr>
      </w:pPr>
    </w:p>
    <w:p>
      <w:pPr>
        <w:ind w:left="188" w:right="3959" w:hanging="188"/>
        <w:spacing w:after="0" w:line="359" w:lineRule="auto"/>
        <w:tabs>
          <w:tab w:leader="none" w:pos="18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material will be redacted and complete exhibits will be separately filed with the Securities Exchange Commission.</w:t>
      </w:r>
    </w:p>
    <w:p>
      <w:pPr>
        <w:spacing w:after="0" w:line="179"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ITEM 17.  UNDERTAKINGS</w:t>
      </w:r>
    </w:p>
    <w:p>
      <w:pPr>
        <w:spacing w:after="0" w:line="346" w:lineRule="exact"/>
        <w:rPr>
          <w:sz w:val="20"/>
          <w:szCs w:val="20"/>
          <w:color w:val="auto"/>
        </w:rPr>
      </w:pPr>
    </w:p>
    <w:p>
      <w:pPr>
        <w:ind w:left="8" w:right="3079" w:firstLine="447"/>
        <w:spacing w:after="0" w:line="281" w:lineRule="auto"/>
        <w:rPr>
          <w:sz w:val="20"/>
          <w:szCs w:val="20"/>
          <w:color w:val="auto"/>
        </w:rPr>
      </w:pPr>
      <w:r>
        <w:rPr>
          <w:rFonts w:ascii="Courier New" w:cs="Courier New" w:eastAsia="Courier New" w:hAnsi="Courier New"/>
          <w:sz w:val="15"/>
          <w:szCs w:val="15"/>
          <w:color w:val="auto"/>
        </w:rPr>
        <w:t>The undersigned Registrant hereby undertakes to provide to the Underwriters at the closing specified in the Underwriting Agreement, ordinary shares in such denominations and registered in such names as required by the Underwriters to permit prompt delivery to each purchaser.</w:t>
      </w:r>
    </w:p>
    <w:p>
      <w:pPr>
        <w:spacing w:after="0" w:line="200" w:lineRule="exact"/>
        <w:rPr>
          <w:sz w:val="20"/>
          <w:szCs w:val="20"/>
          <w:color w:val="auto"/>
        </w:rPr>
      </w:pPr>
    </w:p>
    <w:p>
      <w:pPr>
        <w:spacing w:after="0" w:line="208" w:lineRule="exact"/>
        <w:rPr>
          <w:sz w:val="20"/>
          <w:szCs w:val="20"/>
          <w:color w:val="auto"/>
        </w:rPr>
      </w:pPr>
    </w:p>
    <w:p>
      <w:pPr>
        <w:ind w:left="8" w:right="3079" w:firstLine="447"/>
        <w:spacing w:after="0" w:line="251"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provisions described in Item 14,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31"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undersigned Registrant hereby undertakes that:</w:t>
      </w:r>
    </w:p>
    <w:p>
      <w:pPr>
        <w:spacing w:after="0" w:line="200" w:lineRule="exact"/>
        <w:rPr>
          <w:sz w:val="20"/>
          <w:szCs w:val="20"/>
          <w:color w:val="auto"/>
        </w:rPr>
      </w:pPr>
    </w:p>
    <w:p>
      <w:pPr>
        <w:spacing w:after="0" w:line="318" w:lineRule="exact"/>
        <w:rPr>
          <w:sz w:val="20"/>
          <w:szCs w:val="20"/>
          <w:color w:val="auto"/>
        </w:rPr>
      </w:pPr>
    </w:p>
    <w:p>
      <w:pPr>
        <w:ind w:left="8" w:right="3079" w:firstLine="439"/>
        <w:spacing w:after="0" w:line="266" w:lineRule="auto"/>
        <w:tabs>
          <w:tab w:leader="none" w:pos="813"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0" w:lineRule="exact"/>
        <w:rPr>
          <w:rFonts w:ascii="Courier New" w:cs="Courier New" w:eastAsia="Courier New" w:hAnsi="Courier New"/>
          <w:sz w:val="15"/>
          <w:szCs w:val="15"/>
          <w:color w:val="auto"/>
        </w:rPr>
      </w:pPr>
    </w:p>
    <w:p>
      <w:pPr>
        <w:spacing w:after="0" w:line="218" w:lineRule="exact"/>
        <w:rPr>
          <w:rFonts w:ascii="Courier New" w:cs="Courier New" w:eastAsia="Courier New" w:hAnsi="Courier New"/>
          <w:sz w:val="15"/>
          <w:szCs w:val="15"/>
          <w:color w:val="auto"/>
        </w:rPr>
      </w:pPr>
    </w:p>
    <w:p>
      <w:pPr>
        <w:ind w:left="8" w:right="3079" w:firstLine="439"/>
        <w:spacing w:after="0" w:line="272" w:lineRule="auto"/>
        <w:tabs>
          <w:tab w:leader="none" w:pos="813"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0227"/>
          </w:cols>
          <w:pgMar w:left="232" w:top="262" w:right="1440" w:bottom="887" w:gutter="0" w:footer="0" w:header="0"/>
        </w:sectPr>
      </w:pPr>
    </w:p>
    <w:p>
      <w:pPr>
        <w:spacing w:after="0" w:line="241"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27"/>
          </w:cols>
          <w:pgMar w:left="232" w:top="262" w:right="1440" w:bottom="887" w:gutter="0" w:footer="0" w:header="0"/>
          <w:type w:val="continuous"/>
        </w:sectPr>
      </w:pPr>
    </w:p>
    <w:bookmarkStart w:id="115" w:name="page116"/>
    <w:bookmarkEnd w:id="115"/>
    <w:p>
      <w:pPr>
        <w:ind w:left="268"/>
        <w:spacing w:after="0"/>
        <w:rPr>
          <w:sz w:val="20"/>
          <w:szCs w:val="20"/>
          <w:color w:val="auto"/>
        </w:rPr>
      </w:pPr>
      <w:r>
        <w:rPr>
          <w:rFonts w:ascii="Courier New" w:cs="Courier New" w:eastAsia="Courier New" w:hAnsi="Courier New"/>
          <w:sz w:val="15"/>
          <w:szCs w:val="15"/>
          <w:color w:val="auto"/>
        </w:rPr>
        <w:t>105</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SIGNATURES</w:t>
      </w:r>
    </w:p>
    <w:p>
      <w:pPr>
        <w:spacing w:after="0" w:line="346" w:lineRule="exact"/>
        <w:rPr>
          <w:sz w:val="20"/>
          <w:szCs w:val="20"/>
          <w:color w:val="auto"/>
        </w:rPr>
      </w:pPr>
    </w:p>
    <w:p>
      <w:pPr>
        <w:ind w:left="8" w:right="3159" w:firstLine="447"/>
        <w:spacing w:after="0" w:line="281"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city of New York, State of New York, on this 6th day of May, 1999.</w:t>
      </w:r>
    </w:p>
    <w:p>
      <w:pPr>
        <w:spacing w:after="0" w:line="236"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By: /s/ BRUCE K. ANDERSON</w:t>
      </w:r>
    </w:p>
    <w:p>
      <w:pPr>
        <w:spacing w:after="0" w:line="30"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8"/>
        <w:spacing w:after="0"/>
        <w:rPr>
          <w:sz w:val="20"/>
          <w:szCs w:val="20"/>
          <w:color w:val="auto"/>
        </w:rPr>
      </w:pPr>
      <w:r>
        <w:rPr>
          <w:rFonts w:ascii="Courier New" w:cs="Courier New" w:eastAsia="Courier New" w:hAnsi="Courier New"/>
          <w:sz w:val="15"/>
          <w:szCs w:val="15"/>
          <w:color w:val="auto"/>
        </w:rPr>
        <w:t>Bruce K. Anderson</w:t>
      </w:r>
    </w:p>
    <w:p>
      <w:pPr>
        <w:spacing w:after="0" w:line="2" w:lineRule="exact"/>
        <w:rPr>
          <w:sz w:val="20"/>
          <w:szCs w:val="20"/>
          <w:color w:val="auto"/>
        </w:rPr>
      </w:pPr>
    </w:p>
    <w:p>
      <w:pPr>
        <w:ind w:left="4108"/>
        <w:spacing w:after="0"/>
        <w:rPr>
          <w:sz w:val="20"/>
          <w:szCs w:val="20"/>
          <w:color w:val="auto"/>
        </w:rPr>
      </w:pPr>
      <w:r>
        <w:rPr>
          <w:rFonts w:ascii="Courier New" w:cs="Courier New" w:eastAsia="Courier New" w:hAnsi="Courier New"/>
          <w:sz w:val="15"/>
          <w:szCs w:val="15"/>
          <w:color w:val="auto"/>
        </w:rPr>
        <w:t>Chief Executive Officer</w:t>
      </w:r>
    </w:p>
    <w:p>
      <w:pPr>
        <w:spacing w:after="0" w:line="2" w:lineRule="exact"/>
        <w:rPr>
          <w:sz w:val="20"/>
          <w:szCs w:val="20"/>
          <w:color w:val="auto"/>
        </w:rPr>
      </w:pPr>
    </w:p>
    <w:p>
      <w:pPr>
        <w:ind w:left="4108"/>
        <w:spacing w:after="0"/>
        <w:rPr>
          <w:sz w:val="20"/>
          <w:szCs w:val="20"/>
          <w:color w:val="auto"/>
        </w:rPr>
      </w:pPr>
      <w:r>
        <w:rPr>
          <w:rFonts w:ascii="Courier New" w:cs="Courier New" w:eastAsia="Courier New" w:hAnsi="Courier New"/>
          <w:sz w:val="15"/>
          <w:szCs w:val="15"/>
          <w:color w:val="auto"/>
        </w:rPr>
        <w:t>and Chairman of the Board</w:t>
      </w:r>
    </w:p>
    <w:p>
      <w:pPr>
        <w:spacing w:after="0" w:line="318" w:lineRule="exact"/>
        <w:rPr>
          <w:sz w:val="20"/>
          <w:szCs w:val="20"/>
          <w:color w:val="auto"/>
        </w:rPr>
      </w:pPr>
    </w:p>
    <w:p>
      <w:pPr>
        <w:jc w:val="both"/>
        <w:ind w:left="8" w:right="3959" w:firstLine="447"/>
        <w:spacing w:after="0" w:line="30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4060" w:type="dxa"/>
            <w:vAlign w:val="bottom"/>
          </w:tcPr>
          <w:p>
            <w:pPr>
              <w:jc w:val="right"/>
              <w:ind w:right="1925"/>
              <w:spacing w:after="0"/>
              <w:rPr>
                <w:sz w:val="20"/>
                <w:szCs w:val="20"/>
                <w:color w:val="auto"/>
              </w:rPr>
            </w:pPr>
            <w:r>
              <w:rPr>
                <w:rFonts w:ascii="Courier New" w:cs="Courier New" w:eastAsia="Courier New" w:hAnsi="Courier New"/>
                <w:sz w:val="15"/>
                <w:szCs w:val="15"/>
                <w:color w:val="auto"/>
              </w:rPr>
              <w:t>TITLE</w:t>
            </w:r>
          </w:p>
        </w:tc>
        <w:tc>
          <w:tcPr>
            <w:tcW w:w="1120" w:type="dxa"/>
            <w:vAlign w:val="bottom"/>
          </w:tcPr>
          <w:p>
            <w:pPr>
              <w:ind w:left="420"/>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r>
        <w:trPr>
          <w:trHeight w:val="252"/>
        </w:trPr>
        <w:tc>
          <w:tcPr>
            <w:tcW w:w="3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6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36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/s/ BRUCE K. ANDERSON</w:t>
            </w:r>
          </w:p>
        </w:tc>
        <w:tc>
          <w:tcPr>
            <w:tcW w:w="4060" w:type="dxa"/>
            <w:vAlign w:val="bottom"/>
          </w:tcPr>
          <w:p>
            <w:pPr>
              <w:spacing w:after="0"/>
              <w:rPr>
                <w:sz w:val="20"/>
                <w:szCs w:val="20"/>
                <w:color w:val="auto"/>
              </w:rPr>
            </w:pPr>
            <w:r>
              <w:rPr>
                <w:rFonts w:ascii="Courier New" w:cs="Courier New" w:eastAsia="Courier New" w:hAnsi="Courier New"/>
                <w:sz w:val="15"/>
                <w:szCs w:val="15"/>
                <w:color w:val="auto"/>
              </w:rPr>
              <w:t>Chairman of the Board and Chief Executive</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w w:val="96"/>
              </w:rPr>
              <w:t>May 6, 1999</w:t>
            </w:r>
          </w:p>
        </w:tc>
        <w:tc>
          <w:tcPr>
            <w:tcW w:w="0" w:type="dxa"/>
            <w:vAlign w:val="bottom"/>
          </w:tcPr>
          <w:p>
            <w:pPr>
              <w:spacing w:after="0"/>
              <w:rPr>
                <w:sz w:val="1"/>
                <w:szCs w:val="1"/>
                <w:color w:val="auto"/>
              </w:rPr>
            </w:pPr>
          </w:p>
        </w:tc>
      </w:tr>
      <w:tr>
        <w:trPr>
          <w:trHeight w:val="172"/>
        </w:trPr>
        <w:tc>
          <w:tcPr>
            <w:tcW w:w="3660" w:type="dxa"/>
            <w:vAlign w:val="bottom"/>
            <w:vMerge w:val="restart"/>
          </w:tcPr>
          <w:p>
            <w:pPr>
              <w:spacing w:after="0"/>
              <w:rPr>
                <w:sz w:val="20"/>
                <w:szCs w:val="20"/>
                <w:color w:val="auto"/>
              </w:rPr>
            </w:pPr>
            <w:r>
              <w:rPr>
                <w:rFonts w:ascii="Courier New" w:cs="Courier New" w:eastAsia="Courier New" w:hAnsi="Courier New"/>
                <w:sz w:val="14"/>
                <w:szCs w:val="14"/>
                <w:color w:val="auto"/>
                <w:w w:val="71"/>
              </w:rPr>
              <w:t>- ---------------------------------------</w:t>
            </w:r>
            <w:r>
              <w:rPr>
                <w:rFonts w:ascii="Courier New" w:cs="Courier New" w:eastAsia="Courier New" w:hAnsi="Courier New"/>
                <w:sz w:val="27"/>
                <w:szCs w:val="27"/>
                <w:color w:val="auto"/>
                <w:w w:val="71"/>
                <w:vertAlign w:val="subscript"/>
              </w:rPr>
              <w:t>BruceK.Anderson</w:t>
            </w:r>
          </w:p>
        </w:tc>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3660" w:type="dxa"/>
            <w:vAlign w:val="bottom"/>
            <w:vMerge w:val="continue"/>
          </w:tcPr>
          <w:p>
            <w:pPr>
              <w:spacing w:after="0"/>
              <w:rPr>
                <w:sz w:val="23"/>
                <w:szCs w:val="23"/>
                <w:color w:val="auto"/>
              </w:rPr>
            </w:pPr>
          </w:p>
        </w:tc>
        <w:tc>
          <w:tcPr>
            <w:tcW w:w="4060" w:type="dxa"/>
            <w:vAlign w:val="bottom"/>
          </w:tcPr>
          <w:p>
            <w:pPr>
              <w:spacing w:after="0"/>
              <w:rPr>
                <w:sz w:val="20"/>
                <w:szCs w:val="20"/>
                <w:color w:val="auto"/>
              </w:rPr>
            </w:pPr>
            <w:r>
              <w:rPr>
                <w:rFonts w:ascii="Courier New" w:cs="Courier New" w:eastAsia="Courier New" w:hAnsi="Courier New"/>
                <w:sz w:val="15"/>
                <w:szCs w:val="15"/>
                <w:color w:val="auto"/>
              </w:rPr>
              <w:t>(Principal Executive Officer)</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6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88"/>
              </w:rPr>
              <w:t>*</w:t>
            </w:r>
          </w:p>
        </w:tc>
        <w:tc>
          <w:tcPr>
            <w:tcW w:w="4060" w:type="dxa"/>
            <w:vAlign w:val="bottom"/>
          </w:tcPr>
          <w:p>
            <w:pPr>
              <w:spacing w:after="0"/>
              <w:rPr>
                <w:sz w:val="20"/>
                <w:szCs w:val="20"/>
                <w:color w:val="auto"/>
              </w:rPr>
            </w:pPr>
            <w:r>
              <w:rPr>
                <w:rFonts w:ascii="Courier New" w:cs="Courier New" w:eastAsia="Courier New" w:hAnsi="Courier New"/>
                <w:sz w:val="15"/>
                <w:szCs w:val="15"/>
                <w:color w:val="auto"/>
              </w:rPr>
              <w:t>Director and Chief</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w w:val="96"/>
              </w:rPr>
              <w:t>May 6, 1999</w:t>
            </w:r>
          </w:p>
        </w:tc>
        <w:tc>
          <w:tcPr>
            <w:tcW w:w="0" w:type="dxa"/>
            <w:vAlign w:val="bottom"/>
          </w:tcPr>
          <w:p>
            <w:pPr>
              <w:spacing w:after="0"/>
              <w:rPr>
                <w:sz w:val="1"/>
                <w:szCs w:val="1"/>
                <w:color w:val="auto"/>
              </w:rPr>
            </w:pPr>
          </w:p>
        </w:tc>
      </w:tr>
      <w:tr>
        <w:trPr>
          <w:trHeight w:val="172"/>
        </w:trPr>
        <w:tc>
          <w:tcPr>
            <w:tcW w:w="3660" w:type="dxa"/>
            <w:vAlign w:val="bottom"/>
            <w:vMerge w:val="restart"/>
          </w:tcPr>
          <w:p>
            <w:pPr>
              <w:spacing w:after="0"/>
              <w:rPr>
                <w:sz w:val="20"/>
                <w:szCs w:val="20"/>
                <w:color w:val="auto"/>
              </w:rPr>
            </w:pPr>
            <w:r>
              <w:rPr>
                <w:rFonts w:ascii="Courier New" w:cs="Courier New" w:eastAsia="Courier New" w:hAnsi="Courier New"/>
                <w:sz w:val="13"/>
                <w:szCs w:val="13"/>
                <w:color w:val="auto"/>
                <w:w w:val="74"/>
              </w:rPr>
              <w:t>- ---------------------------------------</w:t>
            </w:r>
            <w:r>
              <w:rPr>
                <w:rFonts w:ascii="Courier New" w:cs="Courier New" w:eastAsia="Courier New" w:hAnsi="Courier New"/>
                <w:sz w:val="25"/>
                <w:szCs w:val="25"/>
                <w:color w:val="auto"/>
                <w:w w:val="74"/>
                <w:vertAlign w:val="subscript"/>
              </w:rPr>
              <w:t>RobertA.Minicucci</w:t>
            </w:r>
          </w:p>
        </w:tc>
        <w:tc>
          <w:tcPr>
            <w:tcW w:w="406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 (Principal Financial and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3660" w:type="dxa"/>
            <w:vAlign w:val="bottom"/>
            <w:vMerge w:val="continue"/>
          </w:tcPr>
          <w:p>
            <w:pPr>
              <w:spacing w:after="0"/>
              <w:rPr>
                <w:sz w:val="23"/>
                <w:szCs w:val="23"/>
                <w:color w:val="auto"/>
              </w:rPr>
            </w:pPr>
          </w:p>
        </w:tc>
        <w:tc>
          <w:tcPr>
            <w:tcW w:w="4060" w:type="dxa"/>
            <w:vAlign w:val="bottom"/>
          </w:tcPr>
          <w:p>
            <w:pPr>
              <w:spacing w:after="0"/>
              <w:rPr>
                <w:sz w:val="20"/>
                <w:szCs w:val="20"/>
                <w:color w:val="auto"/>
              </w:rPr>
            </w:pPr>
            <w:r>
              <w:rPr>
                <w:rFonts w:ascii="Courier New" w:cs="Courier New" w:eastAsia="Courier New" w:hAnsi="Courier New"/>
                <w:sz w:val="15"/>
                <w:szCs w:val="15"/>
                <w:color w:val="auto"/>
              </w:rPr>
              <w:t>Accounting Officer)</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6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88"/>
              </w:rPr>
              <w:t>*</w:t>
            </w:r>
          </w:p>
        </w:tc>
        <w:tc>
          <w:tcPr>
            <w:tcW w:w="406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Director</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w w:val="96"/>
              </w:rPr>
              <w:t>May 6, 1999</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66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Adrian Gardner</w:t>
            </w:r>
          </w:p>
        </w:tc>
        <w:tc>
          <w:tcPr>
            <w:tcW w:w="4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6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88"/>
              </w:rPr>
              <w:t>*</w:t>
            </w:r>
          </w:p>
        </w:tc>
        <w:tc>
          <w:tcPr>
            <w:tcW w:w="406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Director</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w w:val="96"/>
              </w:rPr>
              <w:t>May 6, 1999</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66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Stephen Hermer</w:t>
            </w:r>
          </w:p>
        </w:tc>
        <w:tc>
          <w:tcPr>
            <w:tcW w:w="4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6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88"/>
              </w:rPr>
              <w:t>*</w:t>
            </w:r>
          </w:p>
        </w:tc>
        <w:tc>
          <w:tcPr>
            <w:tcW w:w="406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Director</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w w:val="96"/>
              </w:rPr>
              <w:t>May 6, 1999</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66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James Kahan</w:t>
            </w:r>
          </w:p>
        </w:tc>
        <w:tc>
          <w:tcPr>
            <w:tcW w:w="4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6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88"/>
              </w:rPr>
              <w:t>*</w:t>
            </w:r>
          </w:p>
        </w:tc>
        <w:tc>
          <w:tcPr>
            <w:tcW w:w="406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Director</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w w:val="96"/>
              </w:rPr>
              <w:t>May 6, 1999</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66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Paz Littman</w:t>
            </w:r>
          </w:p>
        </w:tc>
        <w:tc>
          <w:tcPr>
            <w:tcW w:w="4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6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88"/>
              </w:rPr>
              <w:t>*</w:t>
            </w:r>
          </w:p>
        </w:tc>
        <w:tc>
          <w:tcPr>
            <w:tcW w:w="406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Director</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w w:val="96"/>
              </w:rPr>
              <w:t>May 6, 1999</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6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Revital Naveh</w:t>
            </w:r>
          </w:p>
        </w:tc>
        <w:tc>
          <w:tcPr>
            <w:tcW w:w="4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6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88"/>
              </w:rPr>
              <w:t>*</w:t>
            </w:r>
          </w:p>
        </w:tc>
        <w:tc>
          <w:tcPr>
            <w:tcW w:w="406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Director</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w w:val="96"/>
              </w:rPr>
              <w:t>May 6, 1999</w:t>
            </w:r>
          </w:p>
        </w:tc>
        <w:tc>
          <w:tcPr>
            <w:tcW w:w="0" w:type="dxa"/>
            <w:vAlign w:val="bottom"/>
          </w:tcPr>
          <w:p>
            <w:pPr>
              <w:spacing w:after="0"/>
              <w:rPr>
                <w:sz w:val="1"/>
                <w:szCs w:val="1"/>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366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Lawrence Perlman</w:t>
            </w:r>
          </w:p>
        </w:tc>
        <w:tc>
          <w:tcPr>
            <w:tcW w:w="4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188"/>
        <w:spacing w:after="0"/>
        <w:rPr>
          <w:sz w:val="20"/>
          <w:szCs w:val="20"/>
          <w:color w:val="auto"/>
        </w:rPr>
      </w:pPr>
      <w:r>
        <w:rPr>
          <w:rFonts w:ascii="Courier New" w:cs="Courier New" w:eastAsia="Courier New" w:hAnsi="Courier New"/>
          <w:sz w:val="15"/>
          <w:szCs w:val="15"/>
          <w:color w:val="auto"/>
        </w:rPr>
        <w:t>Director</w:t>
      </w:r>
    </w:p>
    <w:p>
      <w:pPr>
        <w:spacing w:after="0" w:line="30" w:lineRule="exact"/>
        <w:rPr>
          <w:sz w:val="20"/>
          <w:szCs w:val="20"/>
          <w:color w:val="auto"/>
        </w:rPr>
      </w:pPr>
    </w:p>
    <w:p>
      <w:pPr>
        <w:ind w:left="188" w:hanging="188"/>
        <w:spacing w:after="0"/>
        <w:tabs>
          <w:tab w:leader="none" w:pos="18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J. Price</w:t>
      </w:r>
    </w:p>
    <w:p>
      <w:pPr>
        <w:sectPr>
          <w:pgSz w:w="11900" w:h="16838" w:orient="portrait"/>
          <w:cols w:equalWidth="0" w:num="1">
            <w:col w:w="10227"/>
          </w:cols>
          <w:pgMar w:left="232" w:top="263"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4"/>
          <w:szCs w:val="14"/>
          <w:color w:val="auto"/>
        </w:rPr>
        <w:t>106</w:t>
      </w:r>
    </w:p>
    <w:p>
      <w:pPr>
        <w:sectPr>
          <w:pgSz w:w="11900" w:h="16838" w:orient="portrait"/>
          <w:cols w:equalWidth="0" w:num="1">
            <w:col w:w="10219"/>
          </w:cols>
          <w:pgMar w:left="2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3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3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sectPr>
          <w:pgSz w:w="11900" w:h="16838" w:orient="portrait"/>
          <w:cols w:equalWidth="0" w:num="3">
            <w:col w:w="4540" w:space="720"/>
            <w:col w:w="2160" w:space="720"/>
            <w:col w:w="2079"/>
          </w:cols>
          <w:pgMar w:left="240" w:top="263" w:right="1440" w:bottom="1440" w:gutter="0" w:footer="0" w:header="0"/>
          <w:type w:val="continuous"/>
        </w:sectPr>
      </w:pPr>
    </w:p>
    <w:p>
      <w:pPr>
        <w:jc w:val="center"/>
        <w:ind w:left="5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Amdocs Limited's Authorized Representative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May 6, 1999</w:t>
      </w:r>
    </w:p>
    <w:p>
      <w:pPr>
        <w:spacing w:after="0" w:line="44" w:lineRule="exact"/>
        <w:rPr>
          <w:sz w:val="20"/>
          <w:szCs w:val="20"/>
          <w:color w:val="auto"/>
        </w:rPr>
      </w:pPr>
    </w:p>
    <w:p>
      <w:pPr>
        <w:sectPr>
          <w:pgSz w:w="11900" w:h="16838" w:orient="portrait"/>
          <w:cols w:equalWidth="0" w:num="3">
            <w:col w:w="2940" w:space="720"/>
            <w:col w:w="3760" w:space="360"/>
            <w:col w:w="2439"/>
          </w:cols>
          <w:pgMar w:left="240" w:top="263" w:right="1440" w:bottom="1440" w:gutter="0" w:footer="0" w:header="0"/>
          <w:type w:val="continuous"/>
        </w:sectPr>
      </w:pPr>
    </w:p>
    <w:p>
      <w:pPr>
        <w:spacing w:after="0"/>
        <w:tabs>
          <w:tab w:leader="none" w:pos="38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in the United States</w:t>
      </w:r>
    </w:p>
    <w:p>
      <w:pPr>
        <w:ind w:left="980"/>
        <w:spacing w:after="0"/>
        <w:rPr>
          <w:sz w:val="20"/>
          <w:szCs w:val="20"/>
          <w:color w:val="auto"/>
        </w:rPr>
      </w:pPr>
      <w:r>
        <w:rPr>
          <w:rFonts w:ascii="Courier New" w:cs="Courier New" w:eastAsia="Courier New" w:hAnsi="Courier New"/>
          <w:sz w:val="15"/>
          <w:szCs w:val="15"/>
          <w:color w:val="auto"/>
        </w:rPr>
        <w:t>Thomas G. O'Brien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BRUCE K. ANDERSON</w:t>
      </w:r>
    </w:p>
    <w:p>
      <w:pPr>
        <w:spacing w:after="0" w:line="3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K. Anderson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Attorney-in-Fact</w:t>
      </w:r>
    </w:p>
    <w:p>
      <w:pPr>
        <w:spacing w:after="0" w:line="200" w:lineRule="exact"/>
        <w:rPr>
          <w:sz w:val="20"/>
          <w:szCs w:val="20"/>
          <w:color w:val="auto"/>
        </w:rPr>
      </w:pPr>
    </w:p>
    <w:p>
      <w:pPr>
        <w:spacing w:after="0" w:line="31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POWER OF ATTORNEY</w:t>
      </w:r>
    </w:p>
    <w:p>
      <w:pPr>
        <w:spacing w:after="0" w:line="200" w:lineRule="exact"/>
        <w:rPr>
          <w:sz w:val="20"/>
          <w:szCs w:val="20"/>
          <w:color w:val="auto"/>
        </w:rPr>
      </w:pPr>
    </w:p>
    <w:p>
      <w:pPr>
        <w:spacing w:after="0" w:line="318" w:lineRule="exact"/>
        <w:rPr>
          <w:sz w:val="20"/>
          <w:szCs w:val="20"/>
          <w:color w:val="auto"/>
        </w:rPr>
      </w:pPr>
    </w:p>
    <w:p>
      <w:pPr>
        <w:ind w:right="3079" w:firstLine="447"/>
        <w:spacing w:after="0" w:line="251" w:lineRule="auto"/>
        <w:rPr>
          <w:sz w:val="20"/>
          <w:szCs w:val="20"/>
          <w:color w:val="auto"/>
        </w:rPr>
      </w:pPr>
      <w:r>
        <w:rPr>
          <w:rFonts w:ascii="Courier New" w:cs="Courier New" w:eastAsia="Courier New" w:hAnsi="Courier New"/>
          <w:sz w:val="15"/>
          <w:szCs w:val="15"/>
          <w:color w:val="auto"/>
        </w:rPr>
        <w:t>KNOW ALL MEN BY THESE PRESENTS that each individual whose signature appears below hereby constitutes and appoints Bruce K. Anderson, as his true and lawful attorney-in-fact and agent with full power of substitution, for him and in his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which said attorney-in-fact and agent may deem necessary or advisable to be done in connection with this Registration Statement, as fully to all intents and purposes as he might or could do in person, hereby ratifying and confirming all that said attorney-in-fact and agent, or any substitute or substitutes for said attorney-in-fact and agent, may lawfully do or cause to be done by virtue hereof.</w:t>
      </w:r>
    </w:p>
    <w:p>
      <w:pPr>
        <w:spacing w:after="0" w:line="200" w:lineRule="exact"/>
        <w:rPr>
          <w:sz w:val="20"/>
          <w:szCs w:val="20"/>
          <w:color w:val="auto"/>
        </w:rPr>
      </w:pPr>
    </w:p>
    <w:p>
      <w:pPr>
        <w:spacing w:after="0" w:line="236" w:lineRule="exact"/>
        <w:rPr>
          <w:sz w:val="20"/>
          <w:szCs w:val="20"/>
          <w:color w:val="auto"/>
        </w:rPr>
      </w:pPr>
    </w:p>
    <w:p>
      <w:pPr>
        <w:jc w:val="both"/>
        <w:ind w:right="3959" w:firstLine="447"/>
        <w:spacing w:after="0" w:line="30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3880" w:type="dxa"/>
            <w:vAlign w:val="bottom"/>
          </w:tcPr>
          <w:p>
            <w:pPr>
              <w:ind w:left="1600"/>
              <w:spacing w:after="0"/>
              <w:rPr>
                <w:sz w:val="20"/>
                <w:szCs w:val="20"/>
                <w:color w:val="auto"/>
              </w:rPr>
            </w:pPr>
            <w:r>
              <w:rPr>
                <w:rFonts w:ascii="Courier New" w:cs="Courier New" w:eastAsia="Courier New" w:hAnsi="Courier New"/>
                <w:sz w:val="15"/>
                <w:szCs w:val="15"/>
                <w:color w:val="auto"/>
              </w:rPr>
              <w:t>TITLE</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r>
        <w:trPr>
          <w:trHeight w:val="252"/>
        </w:trPr>
        <w:tc>
          <w:tcPr>
            <w:tcW w:w="3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880" w:type="dxa"/>
            <w:vAlign w:val="bottom"/>
          </w:tcPr>
          <w:p>
            <w:pPr>
              <w:ind w:left="178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36"/>
        </w:trPr>
        <w:tc>
          <w:tcPr>
            <w:tcW w:w="3660" w:type="dxa"/>
            <w:vAlign w:val="bottom"/>
          </w:tcPr>
          <w:p>
            <w:pPr>
              <w:ind w:left="980"/>
              <w:spacing w:after="0"/>
              <w:rPr>
                <w:sz w:val="20"/>
                <w:szCs w:val="20"/>
                <w:color w:val="auto"/>
              </w:rPr>
            </w:pPr>
            <w:r>
              <w:rPr>
                <w:rFonts w:ascii="Courier New" w:cs="Courier New" w:eastAsia="Courier New" w:hAnsi="Courier New"/>
                <w:sz w:val="15"/>
                <w:szCs w:val="15"/>
                <w:color w:val="auto"/>
              </w:rPr>
              <w:t>/s/ AVINOAM NAOR</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Director of Amdocs Limited and Chief</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May 6, 1999</w:t>
            </w:r>
          </w:p>
        </w:tc>
        <w:tc>
          <w:tcPr>
            <w:tcW w:w="0" w:type="dxa"/>
            <w:vAlign w:val="bottom"/>
          </w:tcPr>
          <w:p>
            <w:pPr>
              <w:spacing w:after="0"/>
              <w:rPr>
                <w:sz w:val="1"/>
                <w:szCs w:val="1"/>
                <w:color w:val="auto"/>
              </w:rPr>
            </w:pPr>
          </w:p>
        </w:tc>
      </w:tr>
      <w:tr>
        <w:trPr>
          <w:trHeight w:val="172"/>
        </w:trPr>
        <w:tc>
          <w:tcPr>
            <w:tcW w:w="3660" w:type="dxa"/>
            <w:vAlign w:val="bottom"/>
            <w:vMerge w:val="restart"/>
          </w:tcPr>
          <w:p>
            <w:pPr>
              <w:spacing w:after="0"/>
              <w:rPr>
                <w:sz w:val="20"/>
                <w:szCs w:val="20"/>
                <w:color w:val="auto"/>
              </w:rPr>
            </w:pPr>
            <w:r>
              <w:rPr>
                <w:rFonts w:ascii="Courier New" w:cs="Courier New" w:eastAsia="Courier New" w:hAnsi="Courier New"/>
                <w:sz w:val="15"/>
                <w:szCs w:val="15"/>
                <w:color w:val="auto"/>
                <w:w w:val="73"/>
              </w:rPr>
              <w:t>- ---------------------------------------</w:t>
            </w:r>
            <w:r>
              <w:rPr>
                <w:rFonts w:ascii="Courier New" w:cs="Courier New" w:eastAsia="Courier New" w:hAnsi="Courier New"/>
                <w:sz w:val="29"/>
                <w:szCs w:val="29"/>
                <w:color w:val="auto"/>
                <w:w w:val="73"/>
                <w:vertAlign w:val="subscript"/>
              </w:rPr>
              <w:t>AvinoamNaor</w:t>
            </w:r>
          </w:p>
        </w:tc>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 of Amdocs Management</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3660" w:type="dxa"/>
            <w:vAlign w:val="bottom"/>
            <w:vMerge w:val="continue"/>
          </w:tcPr>
          <w:p>
            <w:pPr>
              <w:spacing w:after="0"/>
              <w:rPr>
                <w:sz w:val="23"/>
                <w:szCs w:val="23"/>
                <w:color w:val="auto"/>
              </w:rPr>
            </w:pP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Limited</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type w:val="continuous"/>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107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40" w:type="dxa"/>
            <w:vAlign w:val="bottom"/>
          </w:tcPr>
          <w:p>
            <w:pPr>
              <w:spacing w:after="0"/>
              <w:rPr>
                <w:sz w:val="21"/>
                <w:szCs w:val="21"/>
                <w:color w:val="auto"/>
              </w:rPr>
            </w:pPr>
          </w:p>
        </w:tc>
        <w:tc>
          <w:tcPr>
            <w:tcW w:w="5420" w:type="dxa"/>
            <w:vAlign w:val="bottom"/>
          </w:tcPr>
          <w:p>
            <w:pPr>
              <w:ind w:left="2100"/>
              <w:spacing w:after="0"/>
              <w:rPr>
                <w:sz w:val="20"/>
                <w:szCs w:val="20"/>
                <w:color w:val="auto"/>
              </w:rPr>
            </w:pPr>
            <w:r>
              <w:rPr>
                <w:rFonts w:ascii="Courier New" w:cs="Courier New" w:eastAsia="Courier New" w:hAnsi="Courier New"/>
                <w:sz w:val="15"/>
                <w:szCs w:val="15"/>
                <w:color w:val="auto"/>
              </w:rPr>
              <w:t>EXHIBIT INDEX</w:t>
            </w:r>
          </w:p>
        </w:tc>
        <w:tc>
          <w:tcPr>
            <w:tcW w:w="0" w:type="dxa"/>
            <w:vAlign w:val="bottom"/>
          </w:tcPr>
          <w:p>
            <w:pPr>
              <w:spacing w:after="0"/>
              <w:rPr>
                <w:sz w:val="1"/>
                <w:szCs w:val="1"/>
                <w:color w:val="auto"/>
              </w:rPr>
            </w:pPr>
          </w:p>
        </w:tc>
      </w:tr>
      <w:tr>
        <w:trPr>
          <w:trHeight w:val="780"/>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20" w:type="dxa"/>
            <w:vAlign w:val="bottom"/>
            <w:vMerge w:val="restart"/>
          </w:tcPr>
          <w:p>
            <w:pPr>
              <w:ind w:left="220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2"/>
        </w:trPr>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NO.</w:t>
            </w:r>
          </w:p>
        </w:tc>
        <w:tc>
          <w:tcPr>
            <w:tcW w:w="5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2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of Underwriting Agreement</w:t>
            </w:r>
          </w:p>
        </w:tc>
        <w:tc>
          <w:tcPr>
            <w:tcW w:w="0" w:type="dxa"/>
            <w:vAlign w:val="bottom"/>
          </w:tcPr>
          <w:p>
            <w:pPr>
              <w:spacing w:after="0"/>
              <w:rPr>
                <w:sz w:val="1"/>
                <w:szCs w:val="1"/>
                <w:color w:val="auto"/>
              </w:rPr>
            </w:pPr>
          </w:p>
        </w:tc>
      </w:tr>
      <w:tr>
        <w:trPr>
          <w:trHeight w:val="17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Articles of Association of Amdocs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Limited (Exhibit 3.1 to Amdocs' Registration Statement on</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3.2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F-1 dated June 19, 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Memorandum of Association of Amdocs Limited (Exhibit 3.2 to</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Amdocs' Registration Statement on Form F-1 dated June 19,</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Specimen certificate for the ordinary shares of the</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Registrant (Exhibit 4.1 to Amdocs' Registration Statement on</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F-1 dated June 19, 1998; Registration Number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Stock Option and Incentive Plan, as amended, of Amdocs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4.2 to Amdocs' Registration Statement on Form F-1</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4.3</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Note Purchase Agreement, dated as of September 22, 1997,</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among European Software Marketing Ltd., WCAS Capital</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Partners III, L.P., as Agent, and the several Purchasers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named in Schedule 1 thereto (Exhibit 4.3 to Amdocs'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4.4</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Credit Agreement, dated as of December 5, 1997, among</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European Software Marketing Limited, the other subsidiaries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of Amdocs named therein and Nationsbanc of Texas, N.A., as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Administrative Agent, the Bank of Nova Scotia, as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Syndication Agent, and The Bank of Japan, Limited as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Documentation Agent (Exhibit 4.4 to Amdocs' Registration</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F-1 dated June 19, 1998; Registration No.</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4.5</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Share Subscription Agreement, dated as of September 22,</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4.5 to Amdocs' Registration Statement on Form F-1</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4.6</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Conditional Investment Agreement, dated as of September 22,</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4.6 to Amdocs' Registration Statement on Form F-1</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4.7</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Letter Agreement, dated September 22, 1997, as amended as of</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May 20, 1998, between Amdocs and Welsh, Carson, Anderson and</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Stowe, on behalf of the Investors named therein (Exhibit 4.7</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to Amdocs' Registration Statement on Form F-1 dated June 19,</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4.8</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Letter of Understanding, dated September 22, 1997, between</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Amdocs and Welsh, Carson, Anderson and Stowe, on behalf of</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the Investors named therein (Exhibit 4.8 to Amdocs'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4.9</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Shareholders Agreement, Summary of Terms, dated September</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22, 1997 (Exhibit 4.9 to Amdocs' Registration Statement on</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4.10</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F-1 dated June 19, 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Certain proxies executed by investment partnerships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affiliated with Welsh, Carson, Anderson and Stowe and</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certain other entities in favor of Conbond Holding Company</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Ltd. (Exhibit 4.10 to Amdocs' Registration Statement on Form</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*5.1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F-1 dated June 19, 1998; Registration No. 333-8826)</w:t>
            </w:r>
          </w:p>
        </w:tc>
        <w:tc>
          <w:tcPr>
            <w:tcW w:w="0" w:type="dxa"/>
            <w:vAlign w:val="bottom"/>
          </w:tcPr>
          <w:p>
            <w:pPr>
              <w:spacing w:after="0"/>
              <w:rPr>
                <w:sz w:val="1"/>
                <w:szCs w:val="1"/>
                <w:color w:val="auto"/>
              </w:rPr>
            </w:pPr>
          </w:p>
        </w:tc>
      </w:tr>
      <w:tr>
        <w:trPr>
          <w:trHeight w:val="252"/>
        </w:trPr>
        <w:tc>
          <w:tcPr>
            <w:tcW w:w="840" w:type="dxa"/>
            <w:vAlign w:val="bottom"/>
            <w:vMerge w:val="continue"/>
          </w:tcPr>
          <w:p>
            <w:pPr>
              <w:spacing w:after="0"/>
              <w:rPr>
                <w:sz w:val="21"/>
                <w:szCs w:val="21"/>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Opinion of Carey Langlois</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w:t>
            </w:r>
          </w:p>
        </w:tc>
        <w:tc>
          <w:tcPr>
            <w:tcW w:w="5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0"/>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20" w:type="dxa"/>
            <w:vAlign w:val="bottom"/>
            <w:vMerge w:val="restart"/>
          </w:tcPr>
          <w:p>
            <w:pPr>
              <w:ind w:left="220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2"/>
        </w:trPr>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NO.</w:t>
            </w:r>
          </w:p>
        </w:tc>
        <w:tc>
          <w:tcPr>
            <w:tcW w:w="5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2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Agreement No. C303410 for Joint Development and Marketing</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between Southwestern Bell Telephone Company and Amdocs, Inc.</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as of June 19, 1991, as amended(Exhibit 10.1 to</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Amdocs' Registration Statement on Form F-1 dated June 19,</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General Agreement No. CGA0450 for Support Services effective</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as of January 1, 1994 Southwestern Bell Telephone Company</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and Amdocs, Inc.(Exhibit 10.2 to Amdocs' Registration</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F-1 dated June 19, 1998; Registration No.</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10.3</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Marketing and License Agreement between Southwestern Bell</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Yellow Pages, Inc. and Amdocs, Inc. dated as of May 18,</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1990, as amended(Exhibit 10.3 to Amdocs' Registration</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F-1 dated June 19, 1998; Registration No.</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10.4</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Joint Development Agreement between Southwestern Bell Mobile</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Systems, Inc. and Amdocs, Inc., signed by the parties on</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March 15, 1994 and March 31, 1994, respectively(Exhibit 10.4</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to Amdocs' Registration Statement on Form F-1 dated June 19,</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10.5</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Marketing Rights Agreement between Southwestern Bell Mobile</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Systems, Inc. and Canadian Directory Technology Limited,</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signed by the parties on March 14, 1994 and April 5, 1994,</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respectively, as amended(Exhibit 10.5 to Amdocs'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10.6</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Letter of Agreement between Southwestern Bell Mobile</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Systems, Inc. and Canadian Directory Technology Limited</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dated July 22, 1996 and signed on July 25, 1995(Exhibit 10.3</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to Amdocs' Registration Statement on Form F-1 dated June 19,</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10.7</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Development Agreement between Southwestern Bell</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Communications Services, Inc. and Amdocs, Inc. dated as of</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February 15, 1996(Exhibit 10.7 to Amdocs' Registration</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F-1 dated June 19, 1998; Registration No.</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10.8</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Marketing Rights Agreement between Southwestern Bell</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Communications Services, Inc. and Canadian Directory</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Technology Limited effective as of February 15, 1996, as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amended(Exhibit 10.8 to Amdocs' Registration Statement on</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10.9</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F-1 dated June 19, 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License and Maintenance Services Agreement between</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GoldenLines Limited and Amdocs (UK) Limited, dated as of</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November 15, 1996(Exhibit 10.9 to Amdocs' Registration</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F-1 dated June 19, 1998; Registration No.</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10.10</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Customization and Support Services Agreement between</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GoldenLines Limited and P.S. Publishing System Limited,</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as of November 15, 1996(Exhibit 10.10 to Amdocs'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10.11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IT Services Provision Agreement between Pacific Access &amp; Pty</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Ltd., as agent for Telstra Corporation Limited, and Amdocs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(USA), Inc., dated as of May 7, 1998(Exhibit 10.11 to</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Amdocs' Registration Statement on Form F-1 dated June 19,</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10.12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Guarantee and Indemnity between Amdocs Limited, as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Guarantor, and Pacific Access Pty Ltd., as Beneficiary,</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as of May 7, 1995(Exhibit 10.12 to Amdocs'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92"/>
              </w:rPr>
              <w:t>*10.13</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Master Agreement No. 99006220 For Software and Services</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between Amdocs Inc. and SBC Communications Inc., dated March</w:t>
            </w:r>
          </w:p>
        </w:tc>
        <w:tc>
          <w:tcPr>
            <w:tcW w:w="0" w:type="dxa"/>
            <w:vAlign w:val="bottom"/>
          </w:tcPr>
          <w:p>
            <w:pPr>
              <w:spacing w:after="0"/>
              <w:rPr>
                <w:sz w:val="1"/>
                <w:szCs w:val="1"/>
                <w:color w:val="auto"/>
              </w:rPr>
            </w:pPr>
          </w:p>
        </w:tc>
      </w:tr>
      <w:tr>
        <w:trPr>
          <w:trHeight w:val="172"/>
        </w:trPr>
        <w:tc>
          <w:tcPr>
            <w:tcW w:w="8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*21.1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the Registrant</w:t>
            </w:r>
          </w:p>
        </w:tc>
        <w:tc>
          <w:tcPr>
            <w:tcW w:w="0" w:type="dxa"/>
            <w:vAlign w:val="bottom"/>
          </w:tcPr>
          <w:p>
            <w:pPr>
              <w:spacing w:after="0"/>
              <w:rPr>
                <w:sz w:val="1"/>
                <w:szCs w:val="1"/>
                <w:color w:val="auto"/>
              </w:rPr>
            </w:pPr>
          </w:p>
        </w:tc>
      </w:tr>
      <w:tr>
        <w:trPr>
          <w:trHeight w:val="252"/>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3" w:right="1440" w:bottom="1440" w:gutter="0" w:footer="0" w:header="0"/>
        </w:sectPr>
      </w:pPr>
    </w:p>
    <w:bookmarkStart w:id="119" w:name="page120"/>
    <w:bookmarkEnd w:id="119"/>
    <w:p>
      <w:pPr>
        <w:ind w:left="268"/>
        <w:spacing w:after="0"/>
        <w:rPr>
          <w:sz w:val="20"/>
          <w:szCs w:val="20"/>
          <w:color w:val="auto"/>
        </w:rPr>
      </w:pPr>
      <w:r>
        <w:rPr>
          <w:rFonts w:ascii="Courier New" w:cs="Courier New" w:eastAsia="Courier New" w:hAnsi="Courier New"/>
          <w:sz w:val="15"/>
          <w:szCs w:val="15"/>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w:t>
      </w:r>
    </w:p>
    <w:p>
      <w:pPr>
        <w:spacing w:after="0" w:line="30" w:lineRule="exact"/>
        <w:rPr>
          <w:sz w:val="20"/>
          <w:szCs w:val="20"/>
          <w:color w:val="auto"/>
        </w:rPr>
      </w:pPr>
    </w:p>
    <w:p>
      <w:pPr>
        <w:ind w:left="188"/>
        <w:spacing w:after="0"/>
        <w:tabs>
          <w:tab w:leader="none" w:pos="3028"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2" w:lineRule="exact"/>
        <w:rPr>
          <w:sz w:val="20"/>
          <w:szCs w:val="20"/>
          <w:color w:val="auto"/>
        </w:rPr>
      </w:pPr>
    </w:p>
    <w:p>
      <w:pPr>
        <w:ind w:left="8"/>
        <w:spacing w:after="0"/>
        <w:tabs>
          <w:tab w:leader="none" w:pos="320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46" w:lineRule="exact"/>
        <w:rPr>
          <w:sz w:val="20"/>
          <w:szCs w:val="20"/>
          <w:color w:val="auto"/>
        </w:rPr>
      </w:pPr>
    </w:p>
    <w:p>
      <w:pPr>
        <w:ind w:left="88"/>
        <w:spacing w:after="0"/>
        <w:tabs>
          <w:tab w:leader="none" w:pos="868"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Carey Langlois (included in Exhibit 5.1).</w:t>
      </w:r>
    </w:p>
    <w:p>
      <w:pPr>
        <w:spacing w:after="0" w:line="30" w:lineRule="exact"/>
        <w:rPr>
          <w:sz w:val="20"/>
          <w:szCs w:val="20"/>
          <w:color w:val="auto"/>
        </w:rPr>
      </w:pPr>
    </w:p>
    <w:p>
      <w:pPr>
        <w:ind w:left="888" w:right="4679" w:hanging="715"/>
        <w:spacing w:after="0" w:line="319" w:lineRule="auto"/>
        <w:tabs>
          <w:tab w:leader="none" w:pos="868"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5"/>
          <w:szCs w:val="15"/>
          <w:color w:val="auto"/>
        </w:rPr>
        <w:t>Powers of Attorney (contained on the signature pages hereof).</w:t>
      </w:r>
    </w:p>
    <w:p>
      <w:pPr>
        <w:spacing w:after="0" w:line="3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To be filed by amendment.</w:t>
      </w:r>
    </w:p>
    <w:p>
      <w:pPr>
        <w:spacing w:after="0" w:line="174" w:lineRule="exact"/>
        <w:rPr>
          <w:sz w:val="20"/>
          <w:szCs w:val="20"/>
          <w:color w:val="auto"/>
        </w:rPr>
      </w:pPr>
    </w:p>
    <w:p>
      <w:pPr>
        <w:ind w:left="188" w:right="3959" w:hanging="188"/>
        <w:spacing w:after="0" w:line="359" w:lineRule="auto"/>
        <w:tabs>
          <w:tab w:leader="none" w:pos="18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material will be redacted and complete exhibits will be separately filed with the Securities Exchange Commission.</w:t>
      </w:r>
    </w:p>
    <w:p>
      <w:pPr>
        <w:sectPr>
          <w:pgSz w:w="11900" w:h="16838" w:orient="portrait"/>
          <w:cols w:equalWidth="0" w:num="1">
            <w:col w:w="10227"/>
          </w:cols>
          <w:pgMar w:left="232" w:top="263"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346"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We consent to the reference to our firm under the captions "Summary Consolidated Financial Information," "Selected Consolidated Financial Information" and "Experts" and to the use of our report dated November 8, 1998, in the Registration Statement (Form F-1 No. 333-75151), Amendment No. 1, and related Prospectus of Amdocs Limited for the registration of 34,500,000 shares of its ordinary shares.</w:t>
      </w:r>
    </w:p>
    <w:p>
      <w:pPr>
        <w:spacing w:after="0" w:line="2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Louis, Missouri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6, 1999</w:t>
      </w:r>
    </w:p>
    <w:sectPr>
      <w:pgSz w:w="11900" w:h="16838" w:orient="portrait"/>
      <w:cols w:equalWidth="0" w:num="1">
        <w:col w:w="10219"/>
      </w:cols>
      <w:pgMar w:left="240"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1)"/>
      <w:numFmt w:val="decimal"/>
      <w:start w:val="1"/>
    </w:lvl>
    <w:lvl w:ilvl="1">
      <w:lvlJc w:val="left"/>
      <w:lvlText w:val="(%2)"/>
      <w:numFmt w:val="lowerRoman"/>
      <w:start w:val="1"/>
    </w:lvl>
  </w:abstractNum>
  <w:abstractNum w:abstractNumId="9">
    <w:nsid w:val="580BD78F"/>
    <w:multiLevelType w:val="hybridMultilevel"/>
    <w:lvl w:ilvl="0">
      <w:lvlJc w:val="left"/>
      <w:lvlText w:val="(%1)"/>
      <w:numFmt w:val="decimal"/>
      <w:start w:val="1"/>
    </w:lvl>
  </w:abstractNum>
  <w:abstractNum w:abstractNumId="10">
    <w:nsid w:val="153EA438"/>
    <w:multiLevelType w:val="hybridMultilevel"/>
    <w:lvl w:ilvl="0">
      <w:lvlJc w:val="left"/>
      <w:lvlText w:val="(%1)"/>
      <w:numFmt w:val="decimal"/>
      <w:start w:val="3"/>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1)"/>
      <w:numFmt w:val="decimal"/>
      <w:start w:val="1"/>
    </w:lvl>
  </w:abstractNum>
  <w:abstractNum w:abstractNumId="18">
    <w:nsid w:val="57E4CCAF"/>
    <w:multiLevelType w:val="hybridMultilevel"/>
    <w:lvl w:ilvl="0">
      <w:lvlJc w:val="left"/>
      <w:lvlText w:val="(%1)"/>
      <w:numFmt w:val="decimal"/>
      <w:start w:val="3"/>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1)"/>
      <w:numFmt w:val="decimal"/>
      <w:start w:val="6"/>
    </w:lvl>
  </w:abstractNum>
  <w:abstractNum w:abstractNumId="37">
    <w:nsid w:val="4F4EF005"/>
    <w:multiLevelType w:val="hybridMultilevel"/>
    <w:lvl w:ilvl="0">
      <w:lvlJc w:val="left"/>
      <w:lvlText w:val="(%1)"/>
      <w:numFmt w:val="decimal"/>
      <w:start w:val="7"/>
    </w:lvl>
  </w:abstractNum>
  <w:abstractNum w:abstractNumId="38">
    <w:nsid w:val="23F9C13C"/>
    <w:multiLevelType w:val="hybridMultilevel"/>
    <w:lvl w:ilvl="0">
      <w:lvlJc w:val="left"/>
      <w:lvlText w:val="(%1)"/>
      <w:numFmt w:val="decimal"/>
      <w:start w:val="8"/>
    </w:lvl>
  </w:abstractNum>
  <w:abstractNum w:abstractNumId="39">
    <w:nsid w:val="649BB77C"/>
    <w:multiLevelType w:val="hybridMultilevel"/>
    <w:lvl w:ilvl="0">
      <w:lvlJc w:val="left"/>
      <w:lvlText w:val="(%1)"/>
      <w:numFmt w:val="decimal"/>
      <w:start w:val="1"/>
    </w:lvl>
  </w:abstractNum>
  <w:abstractNum w:abstractNumId="40">
    <w:nsid w:val="275AC794"/>
    <w:multiLevelType w:val="hybridMultilevel"/>
    <w:lvl w:ilvl="0">
      <w:lvlJc w:val="left"/>
      <w:lvlText w:val="&amp;"/>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1)"/>
      <w:numFmt w:val="lowerRoman"/>
      <w:start w:val="1"/>
    </w:lvl>
  </w:abstractNum>
  <w:abstractNum w:abstractNumId="43">
    <w:nsid w:val="180115BE"/>
    <w:multiLevelType w:val="hybridMultilevel"/>
    <w:lvl w:ilvl="0">
      <w:lvlJc w:val="left"/>
      <w:lvlText w:val="(%1)"/>
      <w:numFmt w:val="lowerRoman"/>
      <w:start w:val="3"/>
    </w:lvl>
  </w:abstractNum>
  <w:abstractNum w:abstractNumId="44">
    <w:nsid w:val="235BA861"/>
    <w:multiLevelType w:val="hybridMultilevel"/>
    <w:lvl w:ilvl="0">
      <w:lvlJc w:val="left"/>
      <w:lvlText w:val="(%1)"/>
      <w:numFmt w:val="decimal"/>
      <w:start w:val="2"/>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2"/>
    </w:lvl>
  </w:abstractNum>
  <w:abstractNum w:abstractNumId="53">
    <w:nsid w:val="7E0C57B1"/>
    <w:multiLevelType w:val="hybridMultilevel"/>
    <w:lvl w:ilvl="0">
      <w:lvlJc w:val="left"/>
      <w:lvlText w:val="%1."/>
      <w:numFmt w:val="decimal"/>
      <w:start w:val="3"/>
    </w:lvl>
  </w:abstractNum>
  <w:abstractNum w:abstractNumId="54">
    <w:nsid w:val="77AE35EB"/>
    <w:multiLevelType w:val="hybridMultilevel"/>
    <w:lvl w:ilvl="0">
      <w:lvlJc w:val="left"/>
      <w:lvlText w:val="%1."/>
      <w:numFmt w:val="decimal"/>
      <w:start w:val="4"/>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1."/>
      <w:numFmt w:val="decimal"/>
      <w:start w:val="5"/>
    </w:lvl>
  </w:abstractNum>
  <w:abstractNum w:abstractNumId="57">
    <w:nsid w:val="5FF87E05"/>
    <w:multiLevelType w:val="hybridMultilevel"/>
    <w:lvl w:ilvl="0">
      <w:lvlJc w:val="left"/>
      <w:lvlText w:val="%1."/>
      <w:numFmt w:val="decimal"/>
      <w:start w:val="6"/>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1)"/>
      <w:numFmt w:val="lowerLetter"/>
      <w:start w:val="1"/>
    </w:lvl>
  </w:abstractNum>
  <w:abstractNum w:abstractNumId="66">
    <w:nsid w:val="6590700B"/>
    <w:multiLevelType w:val="hybridMultilevel"/>
    <w:lvl w:ilvl="0">
      <w:lvlJc w:val="left"/>
      <w:lvlText w:val="(%1)"/>
      <w:numFmt w:val="lowerLetter"/>
      <w:start w:val="2"/>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1)"/>
      <w:numFmt w:val="decimal"/>
      <w:start w:val="1"/>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2020-02-22T12:29:05Z</dcterms:created>
  <dcterms:modified xsi:type="dcterms:W3CDTF">2020-02-22T12:29:05Z</dcterms:modified>
</cp:coreProperties>
</file>