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May 2025</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Hirzel House, Smith Street,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 Peter Port, Island of Guernsey, GY1 2NG</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Amdocs, Inc.</w:t>
      </w:r>
    </w:p>
    <w:p>
      <w:pPr>
        <w:jc w:val="center"/>
        <w:spacing w:after="0"/>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25"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135890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166370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right="77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May 7, 2025 Amdocs Limited (“Amdocs”) issued a press release announcing financial results for the quarter ended March 31, 2025. A copy of the press release and the accompanying presentation are furnished as Exhibits 99.1 and 99.2 to this Report of Foreign Private Issuer on Form 6-K.</w:t>
      </w:r>
    </w:p>
    <w:p>
      <w:pPr>
        <w:spacing w:after="0" w:line="10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1"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EXHIBIT INDEX</w:t>
            </w:r>
          </w:p>
        </w:tc>
      </w:tr>
      <w:tr>
        <w:trPr>
          <w:trHeight w:val="260"/>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w w:val="94"/>
              </w:rPr>
              <w:t>EXHIBIT</w:t>
            </w: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119"/>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NO.</w:t>
            </w:r>
          </w:p>
        </w:tc>
        <w:tc>
          <w:tcPr>
            <w:tcW w:w="460" w:type="dxa"/>
            <w:vAlign w:val="bottom"/>
          </w:tcPr>
          <w:p>
            <w:pPr>
              <w:spacing w:after="0"/>
              <w:rPr>
                <w:sz w:val="10"/>
                <w:szCs w:val="10"/>
                <w:color w:val="auto"/>
              </w:rPr>
            </w:pPr>
          </w:p>
        </w:tc>
        <w:tc>
          <w:tcPr>
            <w:tcW w:w="6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DESCRIPTION</w:t>
            </w:r>
          </w:p>
        </w:tc>
      </w:t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60" w:type="dxa"/>
            <w:vAlign w:val="bottom"/>
          </w:tcPr>
          <w:p>
            <w:pPr>
              <w:spacing w:after="0"/>
              <w:rPr>
                <w:sz w:val="16"/>
                <w:szCs w:val="16"/>
                <w:color w:val="auto"/>
              </w:rPr>
            </w:pPr>
          </w:p>
        </w:tc>
        <w:tc>
          <w:tcPr>
            <w:tcW w:w="3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Amdocs Limited Press Release Announcing Q2 Earnings, dated May 7, 2025</w:t>
            </w:r>
          </w:p>
        </w:tc>
        <w:tc>
          <w:tcPr>
            <w:tcW w:w="2980" w:type="dxa"/>
            <w:vAlign w:val="bottom"/>
          </w:tcPr>
          <w:p>
            <w:pPr>
              <w:spacing w:after="0"/>
              <w:rPr>
                <w:sz w:val="16"/>
                <w:szCs w:val="16"/>
                <w:color w:val="auto"/>
              </w:rPr>
            </w:pPr>
          </w:p>
        </w:tc>
      </w:t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60" w:type="dxa"/>
            <w:vAlign w:val="bottom"/>
          </w:tcPr>
          <w:p>
            <w:pPr>
              <w:spacing w:after="0"/>
              <w:rPr>
                <w:sz w:val="18"/>
                <w:szCs w:val="18"/>
                <w:color w:val="auto"/>
              </w:rPr>
            </w:pPr>
          </w:p>
        </w:tc>
        <w:tc>
          <w:tcPr>
            <w:tcW w:w="1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Fiscal Q2 2025 Earnings Presentation</w:t>
            </w:r>
          </w:p>
        </w:tc>
        <w:tc>
          <w:tcPr>
            <w:tcW w:w="4980" w:type="dxa"/>
            <w:vAlign w:val="bottom"/>
            <w:gridSpan w:val="2"/>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 LIMITED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Matthew E. Smith</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Secretary and Authorized Signatory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May 7, 2025</w:t>
      </w:r>
    </w:p>
    <w:p>
      <w:pPr>
        <w:sectPr>
          <w:pgSz w:w="11900" w:h="16838" w:orient="portrait"/>
          <w:cols w:equalWidth="0" w:num="1">
            <w:col w:w="9019"/>
          </w:cols>
          <w:pgMar w:left="1440" w:top="229"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5024755" cy="1203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24755" cy="120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637" w:right="657"/>
        <w:spacing w:after="0" w:line="288" w:lineRule="auto"/>
        <w:rPr>
          <w:sz w:val="20"/>
          <w:szCs w:val="20"/>
          <w:color w:val="auto"/>
        </w:rPr>
      </w:pPr>
      <w:r>
        <w:rPr>
          <w:rFonts w:ascii="Times New Roman" w:cs="Times New Roman" w:eastAsia="Times New Roman" w:hAnsi="Times New Roman"/>
          <w:sz w:val="13"/>
          <w:szCs w:val="13"/>
          <w:b w:val="1"/>
          <w:bCs w:val="1"/>
          <w:i w:val="1"/>
          <w:iCs w:val="1"/>
          <w:color w:val="auto"/>
        </w:rPr>
        <w:t xml:space="preserve">Amdocs Limited Reports Second Quarter Fiscal 2025 Results </w:t>
      </w:r>
      <w:r>
        <w:rPr>
          <w:rFonts w:ascii="Times New Roman" w:cs="Times New Roman" w:eastAsia="Times New Roman" w:hAnsi="Times New Roman"/>
          <w:sz w:val="13"/>
          <w:szCs w:val="13"/>
          <w:i w:val="1"/>
          <w:iCs w:val="1"/>
          <w:color w:val="auto"/>
        </w:rPr>
        <w:t>Revenue of $1.13 Billion, down 9.4% YoY as Reported and up 4.0% YoY in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12-Month Backlog of $4.17 Billion, up 3.5% YoY on a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Basis Expects Fiscal 2025 Revenue Outlook of (10.9)%-(9.1)% YoY as Reported Reiterates Midpoint of Fiscal 2025 Revenue Growth Outlook in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Reiterates Fiscal 2025 Target for Double-Digit Total Shareholder Returns</w:t>
      </w:r>
      <w:r>
        <w:rPr>
          <w:rFonts w:ascii="Times New Roman" w:cs="Times New Roman" w:eastAsia="Times New Roman" w:hAnsi="Times New Roman"/>
          <w:sz w:val="18"/>
          <w:szCs w:val="18"/>
          <w:i w:val="1"/>
          <w:iCs w:val="1"/>
          <w:color w:val="auto"/>
          <w:vertAlign w:val="superscript"/>
        </w:rPr>
        <w:t>(3)</w:t>
      </w:r>
      <w:r>
        <w:rPr>
          <w:rFonts w:ascii="Times New Roman" w:cs="Times New Roman" w:eastAsia="Times New Roman" w:hAnsi="Times New Roman"/>
          <w:sz w:val="13"/>
          <w:szCs w:val="13"/>
          <w:i w:val="1"/>
          <w:iCs w:val="1"/>
          <w:color w:val="auto"/>
        </w:rPr>
        <w:t xml:space="preserve"> $1 Billion Share Repurchase Program Authorized</w:t>
      </w: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Second Quarter Fiscal 2025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jc w:val="both"/>
        <w:ind w:left="1320" w:right="659" w:hanging="303"/>
        <w:spacing w:after="0" w:line="199"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$1,128 million, down 9.4% as reported due to the phase out of certain business activities, and up 4.0% in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revenue was above the midpoint of the $1,105-$1,145 million guidance range, despite a negative impact from foreign currency movements of approximately $2 million compared to our guidance assumptions</w:t>
      </w:r>
    </w:p>
    <w:p>
      <w:pPr>
        <w:spacing w:after="0" w:line="72" w:lineRule="exact"/>
        <w:rPr>
          <w:rFonts w:ascii="Times New Roman" w:cs="Times New Roman" w:eastAsia="Times New Roman" w:hAnsi="Times New Roman"/>
          <w:sz w:val="13"/>
          <w:szCs w:val="13"/>
          <w:color w:val="auto"/>
        </w:rPr>
      </w:pPr>
    </w:p>
    <w:p>
      <w:pPr>
        <w:ind w:left="1320" w:right="919" w:hanging="303"/>
        <w:spacing w:after="0" w:line="267"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managed services revenue of $747 million, equivalent to approximately 66% of total revenue and up 3.7% as compared to last year’s second quarter</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diluted EPS of $1.45, above the guidance range of $1.30-$1.38, primarily due to a lower than anticipated GAAP effective tax rate</w:t>
      </w:r>
    </w:p>
    <w:p>
      <w:pPr>
        <w:spacing w:after="0" w:line="98" w:lineRule="exact"/>
        <w:rPr>
          <w:rFonts w:ascii="Times New Roman" w:cs="Times New Roman" w:eastAsia="Times New Roman" w:hAnsi="Times New Roman"/>
          <w:sz w:val="12"/>
          <w:szCs w:val="12"/>
          <w:color w:val="auto"/>
        </w:rPr>
      </w:pPr>
    </w:p>
    <w:p>
      <w:pPr>
        <w:ind w:left="1320" w:right="719" w:hanging="303"/>
        <w:spacing w:after="0" w:line="267"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$1.78 above the guidance range of $1.67-$1.73, primarily due to a lower than anticipated non-GAAP effective tax rate</w:t>
      </w:r>
    </w:p>
    <w:p>
      <w:pPr>
        <w:spacing w:after="0" w:line="55" w:lineRule="exact"/>
        <w:rPr>
          <w:rFonts w:ascii="Times New Roman" w:cs="Times New Roman" w:eastAsia="Times New Roman" w:hAnsi="Times New Roman"/>
          <w:sz w:val="13"/>
          <w:szCs w:val="13"/>
          <w:color w:val="auto"/>
        </w:rPr>
      </w:pPr>
    </w:p>
    <w:p>
      <w:pPr>
        <w:jc w:val="both"/>
        <w:ind w:left="1320" w:right="759" w:hanging="303"/>
        <w:spacing w:after="0" w:line="255"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income of $198 million; GAAP operating margin of 17.5%, up 500 basis points as compared to last year’s second fiscal quarter, reflecting the phase out of certain non-core business activities, restructuring charges recorded in last year’s second quarter, and a continued focus on operational excellence; GAAP operating margin was down 40 basis points sequentially</w:t>
      </w:r>
    </w:p>
    <w:p>
      <w:pPr>
        <w:spacing w:after="0" w:line="63" w:lineRule="exact"/>
        <w:rPr>
          <w:rFonts w:ascii="Times New Roman" w:cs="Times New Roman" w:eastAsia="Times New Roman" w:hAnsi="Times New Roman"/>
          <w:sz w:val="13"/>
          <w:szCs w:val="13"/>
          <w:color w:val="auto"/>
        </w:rPr>
      </w:pPr>
    </w:p>
    <w:p>
      <w:pPr>
        <w:jc w:val="both"/>
        <w:ind w:left="940" w:right="819" w:hanging="303"/>
        <w:spacing w:after="0" w:line="250" w:lineRule="auto"/>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comparison purposes, pro forma adjusts second quarter fiscal year 2024 revenue by approximately $150 million and fiscal 2024 revenue by approximately $600 million to reflect the end of certain low margin, non-core business activities; these activities substantially already ceased in the first quarter fiscal 2025 and are not included in the full year fiscal 2025 revenue outlook</w:t>
      </w: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on a constant currency basis assumes exchange rates in the current period were unchanged from the prior period</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total shareholder return assumes midpoint of fiscal year 2025 non-GAAP EPS growth outlook, plus dividend yield</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Selected Financial Metrics tables below (figures may not sum because of rounding)</w:t>
      </w:r>
    </w:p>
    <w:p>
      <w:pPr>
        <w:sectPr>
          <w:pgSz w:w="11900" w:h="16838" w:orient="portrait"/>
          <w:cols w:equalWidth="0" w:num="1">
            <w:col w:w="9019"/>
          </w:cols>
          <w:pgMar w:left="1440" w:top="125" w:right="1440" w:bottom="1440" w:gutter="0" w:footer="0" w:header="0"/>
        </w:sectPr>
      </w:pPr>
    </w:p>
    <w:bookmarkStart w:id="5" w:name="page6"/>
    <w:bookmarkEnd w:id="5"/>
    <w:p>
      <w:pPr>
        <w:ind w:left="1320" w:right="779" w:hanging="303"/>
        <w:spacing w:after="0" w:line="25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Non-GAAP operating income of $240 million; non-GAAP operating margin of 21.3%, up 290 basis points as compared to last year’s second fiscal quarter, reflecting the phase out of certain non-core business activities and a continued focus on operational excellence, and up 10 basis points sequentially</w:t>
      </w:r>
    </w:p>
    <w:p>
      <w:pPr>
        <w:spacing w:after="0" w:line="63" w:lineRule="exact"/>
        <w:rPr>
          <w:rFonts w:ascii="Times New Roman" w:cs="Times New Roman" w:eastAsia="Times New Roman" w:hAnsi="Times New Roman"/>
          <w:sz w:val="13"/>
          <w:szCs w:val="13"/>
          <w:color w:val="auto"/>
        </w:rPr>
      </w:pPr>
    </w:p>
    <w:p>
      <w:pPr>
        <w:ind w:left="1320" w:right="859" w:hanging="303"/>
        <w:spacing w:after="0" w:line="221"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 of $156 million, comprised of cash flow from operations of $172 million, less $16 million in net capital expenditures</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including $25 million of restructuring payments; reiterates full year fiscal 2025 free cash outlook of $710 million to $730 million, excluding restructuring payments</w:t>
      </w:r>
    </w:p>
    <w:p>
      <w:pPr>
        <w:spacing w:after="0" w:line="74"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Repurchased $135 million of ordinary shares during the second fiscal quarter</w:t>
      </w:r>
    </w:p>
    <w:p>
      <w:pPr>
        <w:spacing w:after="0" w:line="87" w:lineRule="exact"/>
        <w:rPr>
          <w:rFonts w:ascii="Times New Roman" w:cs="Times New Roman" w:eastAsia="Times New Roman" w:hAnsi="Times New Roman"/>
          <w:sz w:val="13"/>
          <w:szCs w:val="13"/>
          <w:color w:val="auto"/>
        </w:rPr>
      </w:pPr>
    </w:p>
    <w:p>
      <w:pPr>
        <w:ind w:left="1320" w:right="1139" w:hanging="303"/>
        <w:spacing w:after="0" w:line="29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Twelve-month backlog of $4.17 billion, up approximately $30 million sequentially; adjusting for the phase out of certain business activities, twelve-month backlog was up 3.5%</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as compared to last year’s second fiscal quarter</w:t>
      </w:r>
    </w:p>
    <w:p>
      <w:pPr>
        <w:spacing w:after="0" w:line="15" w:lineRule="exact"/>
        <w:rPr>
          <w:sz w:val="20"/>
          <w:szCs w:val="20"/>
          <w:color w:val="auto"/>
        </w:rPr>
      </w:pPr>
    </w:p>
    <w:p>
      <w:pPr>
        <w:ind w:left="640" w:right="8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JERSEY CITY, NJ – May 7, 2025 </w:t>
      </w:r>
      <w:r>
        <w:rPr>
          <w:rFonts w:ascii="Times New Roman" w:cs="Times New Roman" w:eastAsia="Times New Roman" w:hAnsi="Times New Roman"/>
          <w:sz w:val="13"/>
          <w:szCs w:val="13"/>
          <w:color w:val="auto"/>
        </w:rPr>
        <w:t>– Amdocs Limited (NASDAQ: DOX), a leading provider of software and services to communications and media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companies, today reported operating results for the three months ended March 31, 2025.</w:t>
      </w:r>
    </w:p>
    <w:p>
      <w:pPr>
        <w:spacing w:after="0" w:line="121" w:lineRule="exact"/>
        <w:rPr>
          <w:sz w:val="20"/>
          <w:szCs w:val="20"/>
          <w:color w:val="auto"/>
        </w:rPr>
      </w:pPr>
    </w:p>
    <w:p>
      <w:pPr>
        <w:ind w:left="640" w:right="659"/>
        <w:spacing w:after="0" w:line="234" w:lineRule="auto"/>
        <w:rPr>
          <w:sz w:val="20"/>
          <w:szCs w:val="20"/>
          <w:color w:val="auto"/>
        </w:rPr>
      </w:pPr>
      <w:r>
        <w:rPr>
          <w:rFonts w:ascii="Times New Roman" w:cs="Times New Roman" w:eastAsia="Times New Roman" w:hAnsi="Times New Roman"/>
          <w:sz w:val="13"/>
          <w:szCs w:val="13"/>
          <w:color w:val="auto"/>
        </w:rPr>
        <w:t>“Q2 was a good quarter for Amdocs as we executed our strategy to deliver the cloud, digital, and AI-based solutions our customers need to ensure amazing experiences and seamless connectivity for billions of people each day. Revenue of $1.13 billion was up 4% from a year ago in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and deal conversion was strong, led by continued sales momentum in cloud. Amdocs has won a deal to facilitate the migration of both Amdocs and non-Amdocs applications to Microsoft Azure for a Tier-1 European service provider, and we were also selected for the next phase of PLDT’s cloud modernization journey in Philippines. Consumer Cellular, a new US client for Amdocs, has chosen our SaaS-based connectX solution to expedite the launch of new digital brands. We also extended our collaboration with NVIDIA and other GenAI partners to further evolve Amdocs’ amAIz platform and to support the data and GenAI requirements of our customers,” said Shuky Sheffer, president and chief executive officer of Amdocs Management Limited.</w:t>
      </w:r>
    </w:p>
    <w:p>
      <w:pPr>
        <w:sectPr>
          <w:pgSz w:w="11900" w:h="16838" w:orient="portrait"/>
          <w:cols w:equalWidth="0" w:num="1">
            <w:col w:w="9019"/>
          </w:cols>
          <w:pgMar w:left="1440" w:top="231" w:right="1440" w:bottom="1440" w:gutter="0" w:footer="0" w:header="0"/>
        </w:sectPr>
      </w:pPr>
    </w:p>
    <w:bookmarkStart w:id="6" w:name="page7"/>
    <w:bookmarkEnd w:id="6"/>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achieved many project milestones this quarter, including successful production go-lives for NTT InfraNet in Japan, PLDT in Philippines, and A1 Bulgaria. Profitability improved sequentially, enabled by ongoing adoption of automation, AI, and other sophisticated tools, and free cash flow generation was strong, supported by healthy customer cash collections during the quarter. Q2 was also a record for managed services revenue, which is roughly 66% of total revenue. During the quarter, Amdocs expanded managed services activities with several customers under new multi-year agreements, maintaining the high renewal rates that support the company’s business visibility and recurring revenue base over time,” said Tamar Rapaport-Dagim, chief financial officer &amp; chief operating officer of Amdocs Management Limited.</w:t>
      </w:r>
    </w:p>
    <w:p>
      <w:pPr>
        <w:spacing w:after="0" w:line="135" w:lineRule="exact"/>
        <w:rPr>
          <w:sz w:val="20"/>
          <w:szCs w:val="20"/>
          <w:color w:val="auto"/>
        </w:rPr>
      </w:pPr>
    </w:p>
    <w:p>
      <w:pPr>
        <w:ind w:left="640" w:right="679"/>
        <w:spacing w:after="0" w:line="222" w:lineRule="auto"/>
        <w:rPr>
          <w:sz w:val="20"/>
          <w:szCs w:val="20"/>
          <w:color w:val="auto"/>
        </w:rPr>
      </w:pPr>
      <w:r>
        <w:rPr>
          <w:rFonts w:ascii="Times New Roman" w:cs="Times New Roman" w:eastAsia="Times New Roman" w:hAnsi="Times New Roman"/>
          <w:sz w:val="13"/>
          <w:szCs w:val="13"/>
          <w:color w:val="auto"/>
        </w:rPr>
        <w:t>Sheffer concluded, “The level of global macroeconomic uncertainty has clearly risen in recent months, but we believe Amdocs is relatively well positioned to navigate the present environment due to our unique business model. We currently see a rich and encouraging deal pipeline which we are actively working to convert by utilizing our technology, project delivery and operations expertise. That said, we are closely monitoring for indirect impacts of macro conditions on our customers’ spending behavior. Overall, we are today reiterating the midpoint of our fiscal 2025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revenue growth outlook in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which includes another year of double-digit growth in cloud. We are also reiterating our target of delivering double-digit expected total shareholder returns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for the fifth consecutive year, supported by significantly improved profitability and robust earnings to cash conversion.”</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 period)</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104"/>
        </w:trPr>
        <w:tc>
          <w:tcPr>
            <w:tcW w:w="4280" w:type="dxa"/>
            <w:vAlign w:val="bottom"/>
          </w:tcPr>
          <w:p>
            <w:pPr>
              <w:spacing w:after="0"/>
              <w:rPr>
                <w:sz w:val="9"/>
                <w:szCs w:val="9"/>
                <w:color w:val="auto"/>
              </w:rPr>
            </w:pPr>
          </w:p>
        </w:tc>
        <w:tc>
          <w:tcPr>
            <w:tcW w:w="1600" w:type="dxa"/>
            <w:vAlign w:val="bottom"/>
            <w:gridSpan w:val="5"/>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4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March 31, 2025</w:t>
            </w:r>
          </w:p>
        </w:tc>
      </w:tr>
      <w:tr>
        <w:trPr>
          <w:trHeight w:val="94"/>
        </w:trPr>
        <w:tc>
          <w:tcPr>
            <w:tcW w:w="4280" w:type="dxa"/>
            <w:vAlign w:val="bottom"/>
          </w:tcPr>
          <w:p>
            <w:pPr>
              <w:spacing w:after="0"/>
              <w:rPr>
                <w:sz w:val="8"/>
                <w:szCs w:val="8"/>
                <w:color w:val="auto"/>
              </w:rPr>
            </w:pPr>
          </w:p>
        </w:tc>
        <w:tc>
          <w:tcPr>
            <w:tcW w:w="540" w:type="dxa"/>
            <w:vAlign w:val="bottom"/>
            <w:tcBorders>
              <w:top w:val="single" w:sz="8" w:color="auto"/>
            </w:tcBorders>
            <w:gridSpan w:val="2"/>
          </w:tcPr>
          <w:p>
            <w:pPr>
              <w:jc w:val="right"/>
              <w:ind w:right="169"/>
              <w:spacing w:after="0" w:line="94" w:lineRule="exact"/>
              <w:rPr>
                <w:sz w:val="20"/>
                <w:szCs w:val="20"/>
                <w:color w:val="auto"/>
              </w:rPr>
            </w:pPr>
            <w:r>
              <w:rPr>
                <w:rFonts w:ascii="Times New Roman" w:cs="Times New Roman" w:eastAsia="Times New Roman" w:hAnsi="Times New Roman"/>
                <w:sz w:val="10"/>
                <w:szCs w:val="10"/>
                <w:b w:val="1"/>
                <w:bCs w:val="1"/>
                <w:color w:val="auto"/>
              </w:rPr>
              <w:t>Actual</w:t>
            </w: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7"/>
              </w:rPr>
              <w:t>Guidance</w:t>
            </w:r>
          </w:p>
        </w:tc>
        <w:tc>
          <w:tcPr>
            <w:tcW w:w="40" w:type="dxa"/>
            <w:vAlign w:val="bottom"/>
          </w:tcPr>
          <w:p>
            <w:pPr>
              <w:spacing w:after="0"/>
              <w:rPr>
                <w:sz w:val="8"/>
                <w:szCs w:val="8"/>
                <w:color w:val="auto"/>
              </w:rPr>
            </w:pPr>
          </w:p>
        </w:tc>
      </w:tr>
      <w:tr>
        <w:trPr>
          <w:trHeight w:val="141"/>
        </w:trPr>
        <w:tc>
          <w:tcPr>
            <w:tcW w:w="42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$1,128</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7"/>
              </w:rPr>
              <w:t>$1,105 - $1,145</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as reported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2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Revenue Growth, Pro-forma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constant currency </w:t>
            </w:r>
            <w:r>
              <w:rPr>
                <w:rFonts w:ascii="Times New Roman" w:cs="Times New Roman" w:eastAsia="Times New Roman" w:hAnsi="Times New Roman"/>
                <w:sz w:val="17"/>
                <w:szCs w:val="17"/>
                <w:color w:val="auto"/>
                <w:vertAlign w:val="superscript"/>
              </w:rPr>
              <w:t>(2)</w:t>
            </w:r>
          </w:p>
        </w:tc>
        <w:tc>
          <w:tcPr>
            <w:tcW w:w="5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7" w:name="page8"/>
    <w:bookmarkEnd w:id="7"/>
    <w:p>
      <w:pPr>
        <w:ind w:left="1320" w:right="10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for the second fiscal quarter of 2025 was above the midpoint of Amdocs’ guidance, despite a negative impact from foreign currency movements of approximately $2 million relative to our guidance assumptions</w:t>
      </w:r>
    </w:p>
    <w:p>
      <w:pPr>
        <w:spacing w:after="0" w:line="55" w:lineRule="exact"/>
        <w:rPr>
          <w:rFonts w:ascii="Times New Roman" w:cs="Times New Roman" w:eastAsia="Times New Roman" w:hAnsi="Times New Roman"/>
          <w:sz w:val="13"/>
          <w:szCs w:val="13"/>
          <w:color w:val="auto"/>
        </w:rPr>
      </w:pPr>
    </w:p>
    <w:p>
      <w:pPr>
        <w:ind w:left="1320" w:right="759" w:hanging="303"/>
        <w:spacing w:after="0" w:line="25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second fiscal quarter includes a negative impact from foreign currency movements of approximately $11 million relative to the second quarter of fiscal 2024 and a negative impact from foreign currency movements of approximately $5 million relative to the first quarter of fiscal 2025</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Net Income and Earnings Per Share</w:t>
      </w:r>
    </w:p>
    <w:p>
      <w:pPr>
        <w:spacing w:after="0" w:line="17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jc w:val="center"/>
        <w:ind w:left="4180"/>
        <w:spacing w:after="0" w:line="220" w:lineRule="auto"/>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4180"/>
        <w:spacing w:after="0" w:line="227" w:lineRule="auto"/>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1560" w:type="dxa"/>
        <w:tblCellMar>
          <w:top w:w="0" w:type="dxa"/>
          <w:left w:w="0" w:type="dxa"/>
          <w:bottom w:w="0" w:type="dxa"/>
          <w:right w:w="0" w:type="dxa"/>
        </w:tblCellMar>
      </w:tblPr>
      <w:tr>
        <w:trPr>
          <w:trHeight w:val="94"/>
        </w:trPr>
        <w:tc>
          <w:tcPr>
            <w:tcW w:w="92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306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99"/>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8"/>
                <w:szCs w:val="8"/>
                <w:color w:val="auto"/>
              </w:rPr>
            </w:pPr>
          </w:p>
        </w:tc>
      </w:tr>
      <w:tr>
        <w:trPr>
          <w:trHeight w:val="112"/>
        </w:trPr>
        <w:tc>
          <w:tcPr>
            <w:tcW w:w="920" w:type="dxa"/>
            <w:vAlign w:val="bottom"/>
            <w:tcBorders>
              <w:bottom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GAAP Measures</w:t>
            </w:r>
          </w:p>
        </w:tc>
        <w:tc>
          <w:tcPr>
            <w:tcW w:w="3320" w:type="dxa"/>
            <w:vAlign w:val="bottom"/>
            <w:tcBorders>
              <w:bottom w:val="single" w:sz="8" w:color="CCEEFF"/>
            </w:tcBorders>
            <w:gridSpan w:val="2"/>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r>
      <w:tr>
        <w:trPr>
          <w:trHeight w:val="152"/>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164,001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119,425</w:t>
            </w:r>
          </w:p>
        </w:tc>
      </w:tr>
      <w:tr>
        <w:trPr>
          <w:trHeight w:val="152"/>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163,243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118,502</w:t>
            </w:r>
          </w:p>
        </w:tc>
      </w:tr>
      <w:tr>
        <w:trPr>
          <w:trHeight w:val="152"/>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w:t>
            </w:r>
          </w:p>
        </w:tc>
      </w:tr>
      <w:tr>
        <w:trPr>
          <w:trHeight w:val="132"/>
        </w:trPr>
        <w:tc>
          <w:tcPr>
            <w:tcW w:w="1180" w:type="dxa"/>
            <w:vAlign w:val="bottom"/>
            <w:tcBorders>
              <w:bottom w:val="single" w:sz="8" w:color="auto"/>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5"/>
              </w:rPr>
              <w:t>Non-GAAP Measures</w:t>
            </w:r>
          </w:p>
        </w:tc>
        <w:tc>
          <w:tcPr>
            <w:tcW w:w="30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r>
      <w:tr>
        <w:trPr>
          <w:trHeight w:val="152"/>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201,017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183,620</w:t>
            </w:r>
          </w:p>
        </w:tc>
      </w:tr>
      <w:tr>
        <w:trPr>
          <w:trHeight w:val="152"/>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200,259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182,697</w:t>
            </w:r>
          </w:p>
        </w:tc>
      </w:tr>
      <w:tr>
        <w:trPr>
          <w:trHeight w:val="165"/>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w:t>
            </w:r>
          </w:p>
        </w:tc>
      </w:tr>
    </w:tbl>
    <w:p>
      <w:pPr>
        <w:spacing w:after="0" w:line="145" w:lineRule="exact"/>
        <w:rPr>
          <w:sz w:val="20"/>
          <w:szCs w:val="20"/>
          <w:color w:val="auto"/>
        </w:rPr>
      </w:pPr>
    </w:p>
    <w:p>
      <w:pPr>
        <w:ind w:left="1320" w:right="799" w:hanging="303"/>
        <w:spacing w:after="0" w:line="251"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Capital Allocation</w:t>
      </w:r>
    </w:p>
    <w:p>
      <w:pPr>
        <w:spacing w:after="0" w:line="87" w:lineRule="exact"/>
        <w:rPr>
          <w:sz w:val="20"/>
          <w:szCs w:val="20"/>
          <w:color w:val="auto"/>
        </w:rPr>
      </w:pPr>
    </w:p>
    <w:p>
      <w:pPr>
        <w:jc w:val="both"/>
        <w:ind w:left="1320" w:right="69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Quarterly Cash Dividend Program: </w:t>
      </w:r>
      <w:r>
        <w:rPr>
          <w:rFonts w:ascii="Times New Roman" w:cs="Times New Roman" w:eastAsia="Times New Roman" w:hAnsi="Times New Roman"/>
          <w:sz w:val="13"/>
          <w:szCs w:val="13"/>
          <w:color w:val="auto"/>
        </w:rPr>
        <w:t>On May 7, 2025, the Board approved the Company’s next quarterly cash dividend payment of $0.527</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per share, and set June 30, 2025 as the record date for determining the shareholders entitled to receive the dividend, which will be payable on July 25, 2025</w:t>
      </w:r>
    </w:p>
    <w:p>
      <w:pPr>
        <w:sectPr>
          <w:pgSz w:w="11900" w:h="16838" w:orient="portrait"/>
          <w:cols w:equalWidth="0" w:num="1">
            <w:col w:w="9019"/>
          </w:cols>
          <w:pgMar w:left="1440" w:top="231" w:right="1440" w:bottom="1440" w:gutter="0" w:footer="0" w:header="0"/>
        </w:sectPr>
      </w:pPr>
    </w:p>
    <w:bookmarkStart w:id="8" w:name="page9"/>
    <w:bookmarkEnd w:id="8"/>
    <w:p>
      <w:pPr>
        <w:ind w:left="1320" w:right="699" w:hanging="303"/>
        <w:spacing w:after="0" w:line="272" w:lineRule="auto"/>
        <w:tabs>
          <w:tab w:leader="none" w:pos="1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Share Repurchase Activity: </w:t>
      </w:r>
      <w:r>
        <w:rPr>
          <w:rFonts w:ascii="Times New Roman" w:cs="Times New Roman" w:eastAsia="Times New Roman" w:hAnsi="Times New Roman"/>
          <w:sz w:val="12"/>
          <w:szCs w:val="12"/>
          <w:color w:val="auto"/>
        </w:rPr>
        <w:t>Repurchased $135 million of ordinary shares during the second quarter of fiscal 2025. On May 7, 2025,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Board approved a new share repurchase plan authorizing the repurchase of up to $1 billion of ordinary shares at the Company’s discretion; this plan has no expiration date and is in addition to the current authorization, which, as of March 31, 2025, provided for up to</w:t>
      </w:r>
    </w:p>
    <w:p>
      <w:pPr>
        <w:ind w:left="1320" w:right="8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$258 million of remaining repurchase authorization. Between the two authorizations, the Company has up to $1.26 billion of remaining repurchase authority</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Twelve-month Backlog</w:t>
      </w:r>
    </w:p>
    <w:p>
      <w:pPr>
        <w:spacing w:after="0" w:line="80" w:lineRule="exact"/>
        <w:rPr>
          <w:sz w:val="20"/>
          <w:szCs w:val="20"/>
          <w:color w:val="auto"/>
        </w:rPr>
      </w:pPr>
    </w:p>
    <w:p>
      <w:pPr>
        <w:ind w:left="640" w:right="679"/>
        <w:spacing w:after="0" w:line="226" w:lineRule="auto"/>
        <w:rPr>
          <w:sz w:val="20"/>
          <w:szCs w:val="20"/>
          <w:color w:val="auto"/>
        </w:rPr>
      </w:pPr>
      <w:r>
        <w:rPr>
          <w:rFonts w:ascii="Times New Roman" w:cs="Times New Roman" w:eastAsia="Times New Roman" w:hAnsi="Times New Roman"/>
          <w:sz w:val="13"/>
          <w:szCs w:val="13"/>
          <w:color w:val="auto"/>
        </w:rPr>
        <w:t>Twelve-month backlog was $4.17 billion at the end of the second quarter of fiscal 2025. On a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adjusting the comparable period for the phase out of certain business activities, twelve-month backlog was up approximately 3.5% as compared to last year’s second fiscal quarter. Twelve-month backlog includes anticipated revenue related to contracts, estimated revenue from managed services contracts, letters of intent, maintenance and estimated on-going support activities.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Third Quarter Fiscal 2025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 millions, except</w:t>
            </w:r>
          </w:p>
        </w:tc>
      </w:tr>
      <w:tr>
        <w:trPr>
          <w:trHeight w:val="104"/>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per share data</w:t>
            </w:r>
          </w:p>
        </w:tc>
      </w:tr>
      <w:tr>
        <w:trPr>
          <w:trHeight w:val="121"/>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Q3 - 2025</w:t>
            </w:r>
          </w:p>
        </w:tc>
      </w:tr>
      <w:tr>
        <w:trPr>
          <w:trHeight w:val="141"/>
        </w:trPr>
        <w:tc>
          <w:tcPr>
            <w:tcW w:w="44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8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8"/>
              </w:rPr>
              <w:t>$ 1,110-$1,150</w:t>
            </w:r>
          </w:p>
        </w:tc>
        <w:tc>
          <w:tcPr>
            <w:tcW w:w="20" w:type="dxa"/>
            <w:vAlign w:val="bottom"/>
            <w:tcBorders>
              <w:top w:val="single" w:sz="8" w:color="CCEEFF"/>
            </w:tcBorders>
            <w:shd w:val="clear" w:color="auto" w:fill="CCEEFF"/>
          </w:tcPr>
          <w:p>
            <w:pPr>
              <w:spacing w:after="0"/>
              <w:rPr>
                <w:sz w:val="12"/>
                <w:szCs w:val="12"/>
                <w:color w:val="auto"/>
              </w:rPr>
            </w:pP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1.30-$1.38</w:t>
            </w:r>
          </w:p>
        </w:tc>
      </w:tr>
      <w:tr>
        <w:trPr>
          <w:trHeight w:val="1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1.68-$1.74</w:t>
            </w:r>
          </w:p>
        </w:tc>
      </w:tr>
    </w:tbl>
    <w:p>
      <w:pPr>
        <w:spacing w:after="0" w:line="158" w:lineRule="exact"/>
        <w:rPr>
          <w:sz w:val="20"/>
          <w:szCs w:val="20"/>
          <w:color w:val="auto"/>
        </w:rPr>
      </w:pPr>
    </w:p>
    <w:p>
      <w:pPr>
        <w:ind w:left="1320" w:right="899" w:hanging="303"/>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quarter revenue guidance assumes a positive $4 million sequential impact from foreign currency fluctuations as compared to the second quarter of fiscal 2025</w:t>
      </w:r>
    </w:p>
    <w:p>
      <w:pPr>
        <w:spacing w:after="0" w:line="55" w:lineRule="exact"/>
        <w:rPr>
          <w:rFonts w:ascii="Times New Roman" w:cs="Times New Roman" w:eastAsia="Times New Roman" w:hAnsi="Times New Roman"/>
          <w:sz w:val="13"/>
          <w:szCs w:val="13"/>
          <w:color w:val="auto"/>
        </w:rPr>
      </w:pPr>
    </w:p>
    <w:p>
      <w:pPr>
        <w:jc w:val="both"/>
        <w:ind w:left="1320" w:right="739" w:hanging="303"/>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quarter non-GAAP diluted EPS guidance excludes primarily equity-based compensation expense of approximately $0.21-$0.23 per share, amortization of purchased intangible assets and other acquisition-related costs of approximately $0.13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ectPr>
          <w:pgSz w:w="11900" w:h="16838" w:orient="portrait"/>
          <w:cols w:equalWidth="0" w:num="1">
            <w:col w:w="9019"/>
          </w:cols>
          <w:pgMar w:left="1440" w:top="229"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Full Year Fiscal 2025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36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0"/>
                <w:szCs w:val="10"/>
                <w:b w:val="1"/>
                <w:bCs w:val="1"/>
                <w:color w:val="auto"/>
              </w:rPr>
              <w:t>FY 2025 - Year-over -Year growth</w:t>
            </w:r>
          </w:p>
        </w:tc>
      </w:tr>
      <w:tr>
        <w:trPr>
          <w:trHeight w:val="94"/>
        </w:trPr>
        <w:tc>
          <w:tcPr>
            <w:tcW w:w="3640" w:type="dxa"/>
            <w:vAlign w:val="bottom"/>
          </w:tcPr>
          <w:p>
            <w:pPr>
              <w:spacing w:after="0"/>
              <w:rPr>
                <w:sz w:val="8"/>
                <w:szCs w:val="8"/>
                <w:color w:val="auto"/>
              </w:rPr>
            </w:pPr>
          </w:p>
        </w:tc>
        <w:tc>
          <w:tcPr>
            <w:tcW w:w="1420" w:type="dxa"/>
            <w:vAlign w:val="bottom"/>
            <w:gridSpan w:val="5"/>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rPr>
              <w:t>Current guidance</w:t>
            </w:r>
          </w:p>
        </w:tc>
        <w:tc>
          <w:tcPr>
            <w:tcW w:w="20" w:type="dxa"/>
            <w:vAlign w:val="bottom"/>
          </w:tcPr>
          <w:p>
            <w:pPr>
              <w:spacing w:after="0"/>
              <w:rPr>
                <w:sz w:val="8"/>
                <w:szCs w:val="8"/>
                <w:color w:val="auto"/>
              </w:rPr>
            </w:pPr>
          </w:p>
        </w:tc>
        <w:tc>
          <w:tcPr>
            <w:tcW w:w="800" w:type="dxa"/>
            <w:vAlign w:val="bottom"/>
            <w:gridSpan w:val="3"/>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w w:val="97"/>
              </w:rPr>
              <w:t>Previous guidance</w:t>
            </w:r>
          </w:p>
        </w:tc>
      </w:tr>
      <w:tr>
        <w:trPr>
          <w:trHeight w:val="141"/>
        </w:trPr>
        <w:tc>
          <w:tcPr>
            <w:tcW w:w="36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 Growth, as reported</w:t>
            </w:r>
          </w:p>
        </w:tc>
        <w:tc>
          <w:tcPr>
            <w:tcW w:w="820" w:type="dxa"/>
            <w:vAlign w:val="bottom"/>
            <w:tcBorders>
              <w:top w:val="single" w:sz="8" w:color="auto"/>
            </w:tcBorders>
            <w:gridSpan w:val="3"/>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(10.9)%-(9.1)%</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3"/>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(11.6)%-(8.4)%</w:t>
            </w:r>
          </w:p>
        </w:tc>
      </w:tr>
      <w:tr>
        <w:trPr>
          <w:trHeight w:val="152"/>
        </w:trPr>
        <w:tc>
          <w:tcPr>
            <w:tcW w:w="364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Revenue Growth, Pro-forma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constant currency </w:t>
            </w:r>
            <w:r>
              <w:rPr>
                <w:rFonts w:ascii="Times New Roman" w:cs="Times New Roman" w:eastAsia="Times New Roman" w:hAnsi="Times New Roman"/>
                <w:sz w:val="17"/>
                <w:szCs w:val="17"/>
                <w:color w:val="auto"/>
                <w:vertAlign w:val="superscript"/>
              </w:rPr>
              <w:t>(2)</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9"/>
              </w:rPr>
              <w:t>1.7%-3.7%</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1%-4.5%</w:t>
            </w:r>
          </w:p>
        </w:tc>
        <w:tc>
          <w:tcPr>
            <w:tcW w:w="40" w:type="dxa"/>
            <w:vAlign w:val="bottom"/>
          </w:tcPr>
          <w:p>
            <w:pPr>
              <w:spacing w:after="0"/>
              <w:rPr>
                <w:sz w:val="13"/>
                <w:szCs w:val="13"/>
                <w:color w:val="auto"/>
              </w:rPr>
            </w:pPr>
          </w:p>
        </w:tc>
      </w:tr>
      <w:tr>
        <w:trPr>
          <w:trHeight w:val="15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28.0%-35.0%</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27.0%-34.0%</w:t>
            </w:r>
          </w:p>
        </w:tc>
        <w:tc>
          <w:tcPr>
            <w:tcW w:w="40" w:type="dxa"/>
            <w:vAlign w:val="bottom"/>
            <w:shd w:val="clear" w:color="auto" w:fill="CCEEFF"/>
          </w:tcPr>
          <w:p>
            <w:pPr>
              <w:spacing w:after="0"/>
              <w:rPr>
                <w:sz w:val="13"/>
                <w:szCs w:val="13"/>
                <w:color w:val="auto"/>
              </w:rPr>
            </w:pPr>
          </w:p>
        </w:tc>
      </w:tr>
      <w:tr>
        <w:trPr>
          <w:trHeight w:val="165"/>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5"/>
              </w:rPr>
              <w:t>6.5%-10.5%</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6.5%-10.5%</w:t>
            </w:r>
          </w:p>
        </w:tc>
        <w:tc>
          <w:tcPr>
            <w:tcW w:w="40" w:type="dxa"/>
            <w:vAlign w:val="bottom"/>
          </w:tcPr>
          <w:p>
            <w:pPr>
              <w:spacing w:after="0"/>
              <w:rPr>
                <w:sz w:val="14"/>
                <w:szCs w:val="14"/>
                <w:color w:val="auto"/>
              </w:rPr>
            </w:pPr>
          </w:p>
        </w:tc>
      </w:tr>
      <w:tr>
        <w:trPr>
          <w:trHeight w:val="262"/>
        </w:trPr>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7"/>
          </w:tcPr>
          <w:p>
            <w:pPr>
              <w:ind w:left="440"/>
              <w:spacing w:after="0"/>
              <w:rPr>
                <w:sz w:val="20"/>
                <w:szCs w:val="20"/>
                <w:color w:val="auto"/>
              </w:rPr>
            </w:pPr>
            <w:r>
              <w:rPr>
                <w:rFonts w:ascii="Times New Roman" w:cs="Times New Roman" w:eastAsia="Times New Roman" w:hAnsi="Times New Roman"/>
                <w:sz w:val="10"/>
                <w:szCs w:val="10"/>
                <w:b w:val="1"/>
                <w:bCs w:val="1"/>
                <w:color w:val="auto"/>
              </w:rPr>
              <w:t>FY 2025, in millions</w:t>
            </w:r>
          </w:p>
        </w:tc>
      </w:tr>
      <w:tr>
        <w:trPr>
          <w:trHeight w:val="94"/>
        </w:trPr>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top w:val="single" w:sz="8" w:color="auto"/>
            </w:tcBorders>
            <w:gridSpan w:val="4"/>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Current guidance</w:t>
            </w:r>
          </w:p>
        </w:tc>
        <w:tc>
          <w:tcPr>
            <w:tcW w:w="780" w:type="dxa"/>
            <w:vAlign w:val="bottom"/>
            <w:tcBorders>
              <w:top w:val="single" w:sz="8" w:color="auto"/>
            </w:tcBorders>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w w:val="97"/>
              </w:rPr>
              <w:t>Previous guidance</w:t>
            </w:r>
          </w:p>
        </w:tc>
        <w:tc>
          <w:tcPr>
            <w:tcW w:w="40" w:type="dxa"/>
            <w:vAlign w:val="bottom"/>
          </w:tcPr>
          <w:p>
            <w:pPr>
              <w:spacing w:after="0"/>
              <w:rPr>
                <w:sz w:val="8"/>
                <w:szCs w:val="8"/>
                <w:color w:val="auto"/>
              </w:rPr>
            </w:pPr>
          </w:p>
        </w:tc>
      </w:tr>
      <w:tr>
        <w:trPr>
          <w:trHeight w:val="141"/>
        </w:trPr>
        <w:tc>
          <w:tcPr>
            <w:tcW w:w="3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Free Cash Flow </w:t>
            </w:r>
            <w:r>
              <w:rPr>
                <w:rFonts w:ascii="Times New Roman" w:cs="Times New Roman" w:eastAsia="Times New Roman" w:hAnsi="Times New Roman"/>
                <w:sz w:val="16"/>
                <w:szCs w:val="16"/>
                <w:color w:val="auto"/>
                <w:vertAlign w:val="superscript"/>
              </w:rPr>
              <w:t>(4)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710-$730</w:t>
            </w: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710-$730</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158" w:lineRule="exact"/>
        <w:rPr>
          <w:sz w:val="20"/>
          <w:szCs w:val="20"/>
          <w:color w:val="auto"/>
        </w:rPr>
      </w:pPr>
    </w:p>
    <w:p>
      <w:pPr>
        <w:ind w:left="1320" w:right="719" w:hanging="303"/>
        <w:spacing w:after="0" w:line="226"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growth on a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adjusts fiscal 2024 revenue by approximately $600 million to reflect the end of several low-margin, non-core business activities, including certain low-margin software and hardware partner activities, Vubiquity’s transactional video on demand business and non-core subscription services; these activities substantially already ceased in the first quarter of fiscal 2025 and are not included in the full year fiscal 2025 revenue outlook</w:t>
      </w:r>
    </w:p>
    <w:p>
      <w:pPr>
        <w:spacing w:after="0" w:line="74" w:lineRule="exact"/>
        <w:rPr>
          <w:rFonts w:ascii="Times New Roman" w:cs="Times New Roman" w:eastAsia="Times New Roman" w:hAnsi="Times New Roman"/>
          <w:sz w:val="13"/>
          <w:szCs w:val="13"/>
          <w:color w:val="auto"/>
        </w:rPr>
      </w:pPr>
    </w:p>
    <w:p>
      <w:pPr>
        <w:ind w:left="1320" w:right="659" w:hanging="303"/>
        <w:spacing w:after="0" w:line="255"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2025 revenue guidance incorporates an expected negative impact from foreign currency fluctuations of approximately 0.5% year-over-year, as compared with a negative impact of approximately 0.6% year-over-year previously, and includes some inorganic contribution</w:t>
      </w:r>
    </w:p>
    <w:p>
      <w:pPr>
        <w:spacing w:after="0" w:line="63" w:lineRule="exact"/>
        <w:rPr>
          <w:rFonts w:ascii="Times New Roman" w:cs="Times New Roman" w:eastAsia="Times New Roman" w:hAnsi="Times New Roman"/>
          <w:sz w:val="13"/>
          <w:szCs w:val="13"/>
          <w:color w:val="auto"/>
        </w:rPr>
      </w:pPr>
    </w:p>
    <w:p>
      <w:pPr>
        <w:ind w:left="1320" w:right="739" w:hanging="303"/>
        <w:spacing w:after="0" w:line="255"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earnings per share growth excludes primarily equity-based compensation expense of approximately $0.84-$0.88 per share, amortization of purchased intangible assets and other acquisition-related costs of approximately $0.47 per share, changes in certain acquisitions related liabilities measured at fair value, and other, net of related tax effects</w:t>
      </w:r>
    </w:p>
    <w:p>
      <w:pPr>
        <w:sectPr>
          <w:pgSz w:w="11900" w:h="16838" w:orient="portrait"/>
          <w:cols w:equalWidth="0" w:num="1">
            <w:col w:w="9019"/>
          </w:cols>
          <w:pgMar w:left="1440" w:top="229" w:right="1440" w:bottom="1440" w:gutter="0" w:footer="0" w:header="0"/>
        </w:sectPr>
      </w:pPr>
    </w:p>
    <w:bookmarkStart w:id="10" w:name="page11"/>
    <w:bookmarkEnd w:id="10"/>
    <w:p>
      <w:pPr>
        <w:ind w:left="1320" w:hanging="303"/>
        <w:spacing w:after="0"/>
        <w:tabs>
          <w:tab w:leader="none" w:pos="1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impact of the acquisitions on Amdocs’ non-GAAP diluted earnings per share is expected to be immaterial in the full fiscal year 2025</w:t>
      </w:r>
    </w:p>
    <w:p>
      <w:pPr>
        <w:spacing w:after="0" w:line="98"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margin is anticipated to be within a range of 21.1% to 21.7% for the full year fiscal 2025</w:t>
      </w:r>
    </w:p>
    <w:p>
      <w:pPr>
        <w:spacing w:after="0" w:line="87" w:lineRule="exact"/>
        <w:rPr>
          <w:rFonts w:ascii="Times New Roman" w:cs="Times New Roman" w:eastAsia="Times New Roman" w:hAnsi="Times New Roman"/>
          <w:sz w:val="13"/>
          <w:szCs w:val="13"/>
          <w:color w:val="auto"/>
        </w:rPr>
      </w:pPr>
    </w:p>
    <w:p>
      <w:pPr>
        <w:ind w:left="1320" w:right="799" w:hanging="303"/>
        <w:spacing w:after="0" w:line="309" w:lineRule="auto"/>
        <w:tabs>
          <w:tab w:leader="none" w:pos="1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operating margin is comprised of GAAP operating margin, excluding amortization on purchased intangible assets and other, equity-based compensation expense, restructuring charges, and changes in certain acquisitions related liabilities measured at fair value</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anticipated to be within a range of 15% to 17% for the full year fiscal 2025</w:t>
      </w:r>
    </w:p>
    <w:p>
      <w:pPr>
        <w:spacing w:after="0" w:line="87" w:lineRule="exact"/>
        <w:rPr>
          <w:rFonts w:ascii="Times New Roman" w:cs="Times New Roman" w:eastAsia="Times New Roman" w:hAnsi="Times New Roman"/>
          <w:sz w:val="13"/>
          <w:szCs w:val="13"/>
          <w:color w:val="auto"/>
        </w:rPr>
      </w:pPr>
    </w:p>
    <w:p>
      <w:pPr>
        <w:ind w:left="1320" w:right="779" w:hanging="303"/>
        <w:spacing w:after="0" w:line="212"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is comprised of cash flow from operations, less net capital expenditures, and excludes payments related to restructuring charges</w:t>
      </w:r>
    </w:p>
    <w:p>
      <w:pPr>
        <w:spacing w:after="0" w:line="140" w:lineRule="exact"/>
        <w:rPr>
          <w:sz w:val="20"/>
          <w:szCs w:val="20"/>
          <w:color w:val="auto"/>
        </w:rPr>
      </w:pPr>
    </w:p>
    <w:p>
      <w:pPr>
        <w:ind w:left="640" w:right="679"/>
        <w:spacing w:after="0" w:line="271" w:lineRule="auto"/>
        <w:rPr>
          <w:sz w:val="20"/>
          <w:szCs w:val="20"/>
          <w:color w:val="auto"/>
        </w:rPr>
      </w:pPr>
      <w:r>
        <w:rPr>
          <w:rFonts w:ascii="Times New Roman" w:cs="Times New Roman" w:eastAsia="Times New Roman" w:hAnsi="Times New Roman"/>
          <w:sz w:val="12"/>
          <w:szCs w:val="12"/>
          <w:color w:val="auto"/>
        </w:rPr>
        <w:t>The forward-looking statements regarding our third fiscal quarter 2025 and full year fiscal 2025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 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which have created, and continue to create, a significant amount of uncertainty, or from current and potential customer consolidation or their other strategic corporate activities.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Appointment of Board Member</w:t>
      </w:r>
    </w:p>
    <w:p>
      <w:pPr>
        <w:spacing w:after="0" w:line="80"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 xml:space="preserve">Amdocs is pleased to announce the appointment of Véronique Morali to the Company’s board of directors, effective May 5, 2025, and subject to re-election at Amdocs’ next annual general meeting on Friday, January 30, 2026. For more information, please visit the Investor Relations section of Amdocs’ website at </w:t>
      </w:r>
      <w:r>
        <w:rPr>
          <w:rFonts w:ascii="Times New Roman" w:cs="Times New Roman" w:eastAsia="Times New Roman" w:hAnsi="Times New Roman"/>
          <w:sz w:val="13"/>
          <w:szCs w:val="13"/>
          <w:u w:val="single" w:color="auto"/>
          <w:color w:val="auto"/>
        </w:rPr>
        <w:t>https://investors.amdocs.com/board-directors</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Call and Earnings Webcast Presentation Details</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 xml:space="preserve">Amdocs will host a conference call and earnings webcast presentation on May 7, 2025 at 5:00 p.m. Eastern Time to discuss the Company’s second quarter of fiscal 2025 results. To participate in the call, please register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0" w:lineRule="exact"/>
        <w:rPr>
          <w:sz w:val="20"/>
          <w:szCs w:val="20"/>
          <w:color w:val="auto"/>
        </w:rPr>
      </w:pPr>
    </w:p>
    <w:p>
      <w:pPr>
        <w:ind w:left="640" w:right="839"/>
        <w:spacing w:after="0" w:line="229" w:lineRule="auto"/>
        <w:rPr>
          <w:sz w:val="20"/>
          <w:szCs w:val="20"/>
          <w:color w:val="auto"/>
        </w:rPr>
      </w:pPr>
      <w:r>
        <w:rPr>
          <w:rFonts w:ascii="Times New Roman" w:cs="Times New Roman" w:eastAsia="Times New Roman" w:hAnsi="Times New Roman"/>
          <w:sz w:val="13"/>
          <w:szCs w:val="13"/>
          <w:color w:val="auto"/>
        </w:rPr>
        <w:t>This release includes non-GAAP diluted earnings per share and other non-GAAP financial measures, including free cash flow, revenue on a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75" w:lineRule="exact"/>
        <w:rPr>
          <w:sz w:val="20"/>
          <w:szCs w:val="20"/>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purchased intangible assets and other acquisition-related costs;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certain acquisition-related liabilities measured at fair value;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and unusual charges or benefits;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equity-based compensation expense;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related to the above.</w:t>
      </w:r>
    </w:p>
    <w:p>
      <w:pPr>
        <w:sectPr>
          <w:pgSz w:w="11900" w:h="16838" w:orient="portrait"/>
          <w:cols w:equalWidth="0" w:num="1">
            <w:col w:w="9019"/>
          </w:cols>
          <w:pgMar w:left="1440" w:top="229" w:right="1440" w:bottom="1440" w:gutter="0" w:footer="0" w:header="0"/>
        </w:sectPr>
      </w:pPr>
    </w:p>
    <w:bookmarkStart w:id="12" w:name="page13"/>
    <w:bookmarkEnd w:id="12"/>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Free cash flow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35" w:lineRule="exact"/>
        <w:rPr>
          <w:sz w:val="20"/>
          <w:szCs w:val="20"/>
          <w:color w:val="auto"/>
        </w:rPr>
      </w:pPr>
    </w:p>
    <w:p>
      <w:pPr>
        <w:ind w:left="640" w:right="659"/>
        <w:spacing w:after="0" w:line="222" w:lineRule="auto"/>
        <w:rPr>
          <w:sz w:val="20"/>
          <w:szCs w:val="20"/>
          <w:color w:val="auto"/>
        </w:rPr>
      </w:pPr>
      <w:r>
        <w:rPr>
          <w:rFonts w:ascii="Times New Roman" w:cs="Times New Roman" w:eastAsia="Times New Roman" w:hAnsi="Times New Roman"/>
          <w:sz w:val="13"/>
          <w:szCs w:val="13"/>
          <w:color w:val="auto"/>
        </w:rPr>
        <w:t>Amdocs believes that the presentation of non-GAAP diluted earnings per share and other financial measures, including free cash flow</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revenue on a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9"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9019"/>
          </w:cols>
          <w:pgMar w:left="1440" w:top="231" w:right="1440" w:bottom="1440" w:gutter="0" w:footer="0" w:header="0"/>
        </w:sectPr>
      </w:pPr>
    </w:p>
    <w:bookmarkStart w:id="13" w:name="page14"/>
    <w:bookmarkEnd w:id="13"/>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Supporting Resources</w:t>
      </w:r>
    </w:p>
    <w:p>
      <w:pPr>
        <w:spacing w:after="0" w:line="89" w:lineRule="exact"/>
        <w:rPr>
          <w:sz w:val="20"/>
          <w:szCs w:val="20"/>
          <w:color w:val="auto"/>
        </w:rPr>
      </w:pPr>
    </w:p>
    <w:p>
      <w:pPr>
        <w:ind w:left="940" w:hanging="227"/>
        <w:spacing w:after="0"/>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Keep up with Amdocs news by visiting the Company’s </w:t>
      </w:r>
      <w:r>
        <w:rPr>
          <w:rFonts w:ascii="Times New Roman" w:cs="Times New Roman" w:eastAsia="Times New Roman" w:hAnsi="Times New Roman"/>
          <w:sz w:val="13"/>
          <w:szCs w:val="13"/>
          <w:u w:val="single" w:color="auto"/>
          <w:color w:val="auto"/>
        </w:rPr>
        <w:t>website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Subscribe to Amdocs’ </w:t>
      </w:r>
      <w:r>
        <w:rPr>
          <w:rFonts w:ascii="Times New Roman" w:cs="Times New Roman" w:eastAsia="Times New Roman" w:hAnsi="Times New Roman"/>
          <w:sz w:val="13"/>
          <w:szCs w:val="13"/>
          <w:u w:val="single" w:color="auto"/>
          <w:color w:val="auto"/>
        </w:rPr>
        <w:t>RSS Feed</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Amdocs</w:t>
      </w:r>
    </w:p>
    <w:p>
      <w:pPr>
        <w:spacing w:after="0" w:line="80" w:lineRule="exact"/>
        <w:rPr>
          <w:sz w:val="20"/>
          <w:szCs w:val="20"/>
          <w:color w:val="auto"/>
        </w:rPr>
      </w:pPr>
    </w:p>
    <w:p>
      <w:pPr>
        <w:ind w:left="640" w:right="819"/>
        <w:spacing w:after="0" w:line="249" w:lineRule="auto"/>
        <w:rPr>
          <w:sz w:val="20"/>
          <w:szCs w:val="20"/>
          <w:color w:val="auto"/>
        </w:rPr>
      </w:pPr>
      <w:r>
        <w:rPr>
          <w:rFonts w:ascii="Times New Roman" w:cs="Times New Roman" w:eastAsia="Times New Roman" w:hAnsi="Times New Roman"/>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employees around the globe are here to accelerate service providers’ migration to the cloud, enable them to differentiate in the 5G era, and digitalize and automate their operations. Listed on the NASDAQ Global Select Market, Amdocs had revenue of $5.00 billion in fiscal 2024.</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visit Amdocs at </w:t>
      </w:r>
      <w:r>
        <w:rPr>
          <w:rFonts w:ascii="Times New Roman" w:cs="Times New Roman" w:eastAsia="Times New Roman" w:hAnsi="Times New Roman"/>
          <w:sz w:val="13"/>
          <w:szCs w:val="13"/>
          <w:u w:val="single" w:color="auto"/>
          <w:color w:val="auto"/>
        </w:rPr>
        <w:t>www.amdocs.com</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39"/>
        <w:spacing w:after="0" w:line="266" w:lineRule="auto"/>
        <w:rPr>
          <w:sz w:val="20"/>
          <w:szCs w:val="20"/>
          <w:color w:val="auto"/>
        </w:rPr>
      </w:pPr>
      <w:r>
        <w:rPr>
          <w:rFonts w:ascii="Times New Roman" w:cs="Times New Roman" w:eastAsia="Times New Roman" w:hAnsi="Times New Roman"/>
          <w:sz w:val="12"/>
          <w:szCs w:val="12"/>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2024, filed on December 17, 2024, and our Form 6-K furnished for the first quarter of fiscal 2025 on February 18, 2025.</w:t>
      </w:r>
    </w:p>
    <w:p>
      <w:pPr>
        <w:sectPr>
          <w:pgSz w:w="11900" w:h="16838" w:orient="portrait"/>
          <w:cols w:equalWidth="0" w:num="1">
            <w:col w:w="9019"/>
          </w:cols>
          <w:pgMar w:left="1440" w:top="231"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Matthew Smith</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E-mail: dox_info@amdocs.com</w:t>
      </w:r>
    </w:p>
    <w:p>
      <w:pPr>
        <w:sectPr>
          <w:pgSz w:w="11900" w:h="16838" w:orient="portrait"/>
          <w:cols w:equalWidth="0" w:num="1">
            <w:col w:w="9019"/>
          </w:cols>
          <w:pgMar w:left="1440" w:top="22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7"/>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32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1"/>
        </w:trPr>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7"/>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0" w:type="dxa"/>
            <w:vAlign w:val="bottom"/>
          </w:tcPr>
          <w:p>
            <w:pPr>
              <w:spacing w:after="0"/>
              <w:rPr>
                <w:sz w:val="10"/>
                <w:szCs w:val="10"/>
                <w:color w:val="auto"/>
              </w:rPr>
            </w:pPr>
          </w:p>
        </w:tc>
        <w:tc>
          <w:tcPr>
            <w:tcW w:w="1320" w:type="dxa"/>
            <w:vAlign w:val="bottom"/>
            <w:gridSpan w:val="6"/>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March 31,</w:t>
            </w:r>
          </w:p>
        </w:tc>
      </w:tr>
      <w:tr>
        <w:trPr>
          <w:trHeight w:val="94"/>
        </w:trPr>
        <w:tc>
          <w:tcPr>
            <w:tcW w:w="3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3"/>
          </w:tcPr>
          <w:p>
            <w:pPr>
              <w:jc w:val="right"/>
              <w:ind w:right="2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r>
              <w:rPr>
                <w:rFonts w:ascii="Times New Roman" w:cs="Times New Roman" w:eastAsia="Times New Roman" w:hAnsi="Times New Roman"/>
                <w:sz w:val="7"/>
                <w:szCs w:val="7"/>
                <w:b w:val="1"/>
                <w:bCs w:val="1"/>
                <w:color w:val="auto"/>
              </w:rPr>
              <w:t>(a)</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2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r>
              <w:rPr>
                <w:rFonts w:ascii="Times New Roman" w:cs="Times New Roman" w:eastAsia="Times New Roman" w:hAnsi="Times New Roman"/>
                <w:sz w:val="7"/>
                <w:szCs w:val="7"/>
                <w:b w:val="1"/>
                <w:bCs w:val="1"/>
                <w:color w:val="auto"/>
              </w:rPr>
              <w:t>(a)</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8"/>
                <w:szCs w:val="8"/>
                <w:color w:val="auto"/>
              </w:rPr>
            </w:pPr>
          </w:p>
        </w:tc>
      </w:tr>
      <w:tr>
        <w:trPr>
          <w:trHeight w:val="141"/>
        </w:trPr>
        <w:tc>
          <w:tcPr>
            <w:tcW w:w="39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9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1,128,203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1,245,849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2,238,258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2,491,048</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698,049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801,996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1,380,308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1,614,740</w:t>
            </w: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81,796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91,154</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166,129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180,361</w:t>
            </w: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134,625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147,609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256,712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290,113</w:t>
            </w: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purchased intangible assets and other</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15,998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16,198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31,757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32,608</w:t>
            </w: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33,160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33,160</w:t>
            </w:r>
          </w:p>
        </w:tc>
      </w:tr>
      <w:tr>
        <w:trPr>
          <w:trHeight w:val="151"/>
        </w:trPr>
        <w:tc>
          <w:tcPr>
            <w:tcW w:w="3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930,468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1,090,117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1,841,689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2,150,982</w:t>
            </w:r>
          </w:p>
        </w:tc>
        <w:tc>
          <w:tcPr>
            <w:tcW w:w="80" w:type="dxa"/>
            <w:vAlign w:val="bottom"/>
          </w:tcPr>
          <w:p>
            <w:pPr>
              <w:spacing w:after="0"/>
              <w:rPr>
                <w:sz w:val="13"/>
                <w:szCs w:val="13"/>
                <w:color w:val="auto"/>
              </w:rPr>
            </w:pPr>
          </w:p>
        </w:tc>
      </w:tr>
      <w:tr>
        <w:trPr>
          <w:trHeight w:val="151"/>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197,735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155,732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396,569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340,066</w:t>
            </w: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(8,465)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(11,650)</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(14,874)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(21,428)</w:t>
            </w:r>
          </w:p>
        </w:tc>
      </w:tr>
      <w:tr>
        <w:trPr>
          <w:trHeight w:val="151"/>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189,270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144,082</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381,695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318,638</w:t>
            </w:r>
          </w:p>
        </w:tc>
        <w:tc>
          <w:tcPr>
            <w:tcW w:w="80" w:type="dxa"/>
            <w:vAlign w:val="bottom"/>
            <w:shd w:val="clear" w:color="auto" w:fill="CCEEFF"/>
          </w:tcPr>
          <w:p>
            <w:pPr>
              <w:spacing w:after="0"/>
              <w:rPr>
                <w:sz w:val="13"/>
                <w:szCs w:val="13"/>
                <w:color w:val="auto"/>
              </w:rPr>
            </w:pP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25,269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24,657</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65,842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50,491</w:t>
            </w:r>
          </w:p>
        </w:tc>
      </w:tr>
      <w:tr>
        <w:trPr>
          <w:trHeight w:val="20"/>
        </w:trPr>
        <w:tc>
          <w:tcPr>
            <w:tcW w:w="3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119,425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315,853</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268,147</w:t>
            </w:r>
          </w:p>
        </w:tc>
      </w:tr>
      <w:tr>
        <w:trPr>
          <w:trHeight w:val="161"/>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9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80" w:type="dxa"/>
            <w:vAlign w:val="bottom"/>
          </w:tcPr>
          <w:p>
            <w:pPr>
              <w:spacing w:after="0"/>
              <w:rPr>
                <w:sz w:val="14"/>
                <w:szCs w:val="14"/>
                <w:color w:val="auto"/>
              </w:rPr>
            </w:pPr>
          </w:p>
        </w:tc>
      </w:tr>
      <w:tr>
        <w:trPr>
          <w:trHeight w:val="15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163,243</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118,502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314,376</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266,467</w:t>
            </w:r>
          </w:p>
        </w:tc>
      </w:tr>
      <w:tr>
        <w:trPr>
          <w:trHeight w:val="161"/>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share attributable to Amdocs Limited</w:t>
            </w:r>
          </w:p>
        </w:tc>
        <w:tc>
          <w:tcPr>
            <w:tcW w:w="9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r>
      <w:tr>
        <w:trPr>
          <w:trHeight w:val="151"/>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 attributable to Amdocs Limited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2.27</w:t>
            </w:r>
          </w:p>
        </w:tc>
      </w:tr>
      <w:tr>
        <w:trPr>
          <w:trHeight w:val="151"/>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ordinary share</w:t>
            </w:r>
          </w:p>
        </w:tc>
        <w:tc>
          <w:tcPr>
            <w:tcW w:w="9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0.479</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0.914</w:t>
            </w:r>
          </w:p>
        </w:tc>
        <w:tc>
          <w:tcPr>
            <w:tcW w:w="80" w:type="dxa"/>
            <w:vAlign w:val="bottom"/>
          </w:tcPr>
          <w:p>
            <w:pPr>
              <w:spacing w:after="0"/>
              <w:rPr>
                <w:sz w:val="13"/>
                <w:szCs w:val="13"/>
                <w:color w:val="auto"/>
              </w:rPr>
            </w:pPr>
          </w:p>
        </w:tc>
      </w:tr>
      <w:tr>
        <w:trPr>
          <w:trHeight w:val="151"/>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weighted average number of shares outstanding</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111,961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116,404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112,357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116,623</w:t>
            </w:r>
          </w:p>
        </w:tc>
      </w:tr>
      <w:tr>
        <w:trPr>
          <w:trHeight w:val="151"/>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9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112,514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117,125</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117,331</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Selected Financial Metrics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9"/>
          </w:tcPr>
          <w:p>
            <w:pPr>
              <w:ind w:left="1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8"/>
          </w:tcPr>
          <w:p>
            <w:pPr>
              <w:ind w:left="14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1"/>
        </w:trPr>
        <w:tc>
          <w:tcPr>
            <w:tcW w:w="2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2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ind w:right="83"/>
              <w:spacing w:after="0" w:line="94" w:lineRule="exact"/>
              <w:rPr>
                <w:sz w:val="20"/>
                <w:szCs w:val="20"/>
                <w:color w:val="auto"/>
              </w:rPr>
            </w:pPr>
            <w:r>
              <w:rPr>
                <w:rFonts w:ascii="Times New Roman" w:cs="Times New Roman" w:eastAsia="Times New Roman" w:hAnsi="Times New Roman"/>
                <w:sz w:val="10"/>
                <w:szCs w:val="10"/>
                <w:b w:val="1"/>
                <w:bCs w:val="1"/>
                <w:color w:val="auto"/>
              </w:rPr>
              <w:t>2025</w:t>
            </w:r>
            <w:r>
              <w:rPr>
                <w:rFonts w:ascii="Times New Roman" w:cs="Times New Roman" w:eastAsia="Times New Roman" w:hAnsi="Times New Roman"/>
                <w:sz w:val="7"/>
                <w:szCs w:val="7"/>
                <w:b w:val="1"/>
                <w:bCs w:val="1"/>
                <w:color w:val="auto"/>
              </w:rPr>
              <w:t>(a)</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4"/>
          </w:tcPr>
          <w:p>
            <w:pPr>
              <w:jc w:val="right"/>
              <w:ind w:right="320"/>
              <w:spacing w:after="0" w:line="94" w:lineRule="exact"/>
              <w:rPr>
                <w:sz w:val="20"/>
                <w:szCs w:val="20"/>
                <w:color w:val="auto"/>
              </w:rPr>
            </w:pPr>
            <w:r>
              <w:rPr>
                <w:rFonts w:ascii="Times New Roman" w:cs="Times New Roman" w:eastAsia="Times New Roman" w:hAnsi="Times New Roman"/>
                <w:sz w:val="10"/>
                <w:szCs w:val="10"/>
                <w:b w:val="1"/>
                <w:bCs w:val="1"/>
                <w:color w:val="auto"/>
              </w:rPr>
              <w:t>2025</w:t>
            </w:r>
            <w:r>
              <w:rPr>
                <w:rFonts w:ascii="Times New Roman" w:cs="Times New Roman" w:eastAsia="Times New Roman" w:hAnsi="Times New Roman"/>
                <w:sz w:val="7"/>
                <w:szCs w:val="7"/>
                <w:b w:val="1"/>
                <w:bCs w:val="1"/>
                <w:color w:val="auto"/>
              </w:rPr>
              <w:t>(a)</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ind w:right="8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29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0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$1,128,203</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$1,245,849</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$2,238,258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$2,491,048</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Non-GAAP operating income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240,106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9"/>
              </w:rPr>
              <w:t>229,434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475,504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454,675</w:t>
            </w:r>
          </w:p>
        </w:tc>
      </w:tr>
      <w:tr>
        <w:trPr>
          <w:trHeight w:val="15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9"/>
              </w:rPr>
              <w:t>183,620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389,894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367,453</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200,259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9"/>
              </w:rPr>
              <w:t>182,697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388,417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365,773</w:t>
            </w:r>
          </w:p>
        </w:tc>
      </w:tr>
      <w:tr>
        <w:trPr>
          <w:trHeight w:val="15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3.12</w:t>
            </w: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9"/>
              </w:rPr>
              <w:t>117,125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112,981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117,331</w:t>
            </w:r>
          </w:p>
        </w:tc>
      </w:tr>
      <w:tr>
        <w:trPr>
          <w:trHeight w:val="427"/>
        </w:trPr>
        <w:tc>
          <w:tcPr>
            <w:tcW w:w="29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Free Cash Flows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7"/>
        </w:trPr>
        <w:tc>
          <w:tcPr>
            <w:tcW w:w="29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2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8"/>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1"/>
        </w:trPr>
        <w:tc>
          <w:tcPr>
            <w:tcW w:w="2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7"/>
          </w:tcPr>
          <w:p>
            <w:pPr>
              <w:ind w:lef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8"/>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March 31,</w:t>
            </w:r>
          </w:p>
        </w:tc>
      </w:tr>
      <w:tr>
        <w:trPr>
          <w:trHeight w:val="94"/>
        </w:trPr>
        <w:tc>
          <w:tcPr>
            <w:tcW w:w="2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3"/>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8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29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$172,458</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$132,657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$278,013</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1"/>
              </w:rPr>
              <w:t>$315,044</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net (b)</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(15,964)</w:t>
            </w:r>
          </w:p>
        </w:tc>
        <w:tc>
          <w:tcPr>
            <w:tcW w:w="780" w:type="dxa"/>
            <w:vAlign w:val="bottom"/>
            <w:gridSpan w:val="5"/>
          </w:tcPr>
          <w:p>
            <w:pPr>
              <w:jc w:val="right"/>
              <w:ind w:right="42"/>
              <w:spacing w:after="0"/>
              <w:rPr>
                <w:sz w:val="20"/>
                <w:szCs w:val="20"/>
                <w:color w:val="auto"/>
              </w:rPr>
            </w:pPr>
            <w:r>
              <w:rPr>
                <w:rFonts w:ascii="Times New Roman" w:cs="Times New Roman" w:eastAsia="Times New Roman" w:hAnsi="Times New Roman"/>
                <w:sz w:val="13"/>
                <w:szCs w:val="13"/>
                <w:color w:val="auto"/>
              </w:rPr>
              <w:t>(19,603)</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(43,319)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8"/>
              </w:rPr>
              <w:t>(63,346)</w:t>
            </w:r>
          </w:p>
        </w:tc>
      </w:tr>
      <w:tr>
        <w:trPr>
          <w:trHeight w:val="20"/>
        </w:trPr>
        <w:tc>
          <w:tcPr>
            <w:tcW w:w="2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$156,494</w:t>
            </w: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$ 113,054</w:t>
            </w:r>
          </w:p>
        </w:tc>
        <w:tc>
          <w:tcPr>
            <w:tcW w:w="10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$234,694</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$251,698</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174625</wp:posOffset>
            </wp:positionV>
            <wp:extent cx="5416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70" w:lineRule="exact"/>
        <w:rPr>
          <w:sz w:val="20"/>
          <w:szCs w:val="20"/>
          <w:color w:val="auto"/>
        </w:rPr>
      </w:pPr>
    </w:p>
    <w:p>
      <w:pPr>
        <w:ind w:left="940" w:right="799" w:hanging="303"/>
        <w:spacing w:after="0" w:line="253" w:lineRule="auto"/>
        <w:tabs>
          <w:tab w:leader="none" w:pos="9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December 31, 2024, we phased out several low-margin, non-core business activities, which were included in the prior periods numbers.</w:t>
      </w:r>
    </w:p>
    <w:p>
      <w:pPr>
        <w:spacing w:after="0" w:line="1" w:lineRule="exact"/>
        <w:rPr>
          <w:rFonts w:ascii="Times New Roman" w:cs="Times New Roman" w:eastAsia="Times New Roman" w:hAnsi="Times New Roman"/>
          <w:sz w:val="13"/>
          <w:szCs w:val="13"/>
          <w:color w:val="auto"/>
        </w:rPr>
      </w:pPr>
    </w:p>
    <w:p>
      <w:pPr>
        <w:ind w:left="940" w:right="679" w:hanging="303"/>
        <w:spacing w:after="0" w:line="246" w:lineRule="auto"/>
        <w:tabs>
          <w:tab w:leader="none" w:pos="9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under “Purchase of property and equipment, net”, include immaterial proceeds from sale of property and equipment for the three and six months ended March 31, 2025 and 2024, respectively.</w:t>
      </w:r>
    </w:p>
    <w:p>
      <w:pPr>
        <w:sectPr>
          <w:pgSz w:w="11900" w:h="16838" w:orient="portrait"/>
          <w:cols w:equalWidth="0" w:num="1">
            <w:col w:w="9019"/>
          </w:cols>
          <w:pgMar w:left="1440" w:top="2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Three Months Ended March 31, 2025</w:t>
            </w:r>
            <w:r>
              <w:rPr>
                <w:rFonts w:ascii="Times New Roman" w:cs="Times New Roman" w:eastAsia="Times New Roman" w:hAnsi="Times New Roman"/>
                <w:sz w:val="7"/>
                <w:szCs w:val="7"/>
                <w:b w:val="1"/>
                <w:bCs w:val="1"/>
                <w:color w:val="auto"/>
              </w:rPr>
              <w:t>(a)</w:t>
            </w: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0"/>
              </w:rPr>
              <w:t>acquisitions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1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Equity based</w:t>
            </w:r>
          </w:p>
        </w:tc>
        <w:tc>
          <w:tcPr>
            <w:tcW w:w="140" w:type="dxa"/>
            <w:vAlign w:val="bottom"/>
          </w:tcPr>
          <w:p>
            <w:pPr>
              <w:spacing w:after="0"/>
              <w:rPr>
                <w:sz w:val="9"/>
                <w:szCs w:val="9"/>
                <w:color w:val="auto"/>
              </w:rPr>
            </w:pPr>
          </w:p>
        </w:tc>
        <w:tc>
          <w:tcPr>
            <w:tcW w:w="6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40" w:type="dxa"/>
            <w:vAlign w:val="bottom"/>
          </w:tcPr>
          <w:p>
            <w:pPr>
              <w:spacing w:after="0"/>
              <w:rPr>
                <w:sz w:val="9"/>
                <w:szCs w:val="9"/>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120" w:type="dxa"/>
            <w:vAlign w:val="bottom"/>
          </w:tcPr>
          <w:p>
            <w:pPr>
              <w:spacing w:after="0"/>
              <w:rPr>
                <w:sz w:val="9"/>
                <w:szCs w:val="9"/>
                <w:color w:val="auto"/>
              </w:rPr>
            </w:pPr>
          </w:p>
        </w:tc>
        <w:tc>
          <w:tcPr>
            <w:tcW w:w="64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40" w:type="dxa"/>
            <w:vAlign w:val="bottom"/>
          </w:tcPr>
          <w:p>
            <w:pPr>
              <w:spacing w:after="0"/>
              <w:rPr>
                <w:sz w:val="9"/>
                <w:szCs w:val="9"/>
                <w:color w:val="auto"/>
              </w:rPr>
            </w:pPr>
          </w:p>
        </w:tc>
        <w:tc>
          <w:tcPr>
            <w:tcW w:w="62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1"/>
              </w:rPr>
              <w:t>measured at</w:t>
            </w:r>
          </w:p>
        </w:tc>
        <w:tc>
          <w:tcPr>
            <w:tcW w:w="4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0" w:type="dxa"/>
            <w:vAlign w:val="bottom"/>
            <w:vMerge w:val="restart"/>
          </w:tcPr>
          <w:p>
            <w:pPr>
              <w:jc w:val="center"/>
              <w:ind w:right="6"/>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78"/>
              </w:rPr>
              <w:t>Other </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14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80" w:type="dxa"/>
            <w:vAlign w:val="bottom"/>
            <w:vMerge w:val="continue"/>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6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$698,049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(12,356)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2"/>
              </w:rPr>
              <w:t>$ 685,333</w:t>
            </w: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81,796</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(2,283)</w:t>
            </w: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79,513</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134,625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(11,014)</w:t>
            </w:r>
          </w:p>
        </w:tc>
        <w:tc>
          <w:tcPr>
            <w:tcW w:w="14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123,251</w:t>
            </w: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9"/>
              </w:rPr>
              <w:t>Amortization of purchased intangible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15,998</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(15,998)</w:t>
            </w: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930,468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(25,653)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w w:val="92"/>
              </w:rPr>
              <w:t>— </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888,097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197,735</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15,998</w:t>
            </w:r>
          </w:p>
        </w:tc>
        <w:tc>
          <w:tcPr>
            <w:tcW w:w="1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25,653</w:t>
            </w:r>
          </w:p>
        </w:tc>
        <w:tc>
          <w:tcPr>
            <w:tcW w:w="14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720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240,106</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2"/>
              </w:rPr>
              <w:t>(69)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(8,534)</w:t>
            </w: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25,269</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5,286</w:t>
            </w: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30,555</w:t>
            </w:r>
          </w:p>
        </w:tc>
        <w:tc>
          <w:tcPr>
            <w:tcW w:w="0" w:type="dxa"/>
            <w:vAlign w:val="bottom"/>
          </w:tcPr>
          <w:p>
            <w:pPr>
              <w:spacing w:after="0"/>
              <w:rPr>
                <w:sz w:val="1"/>
                <w:szCs w:val="1"/>
                <w:color w:val="auto"/>
              </w:rPr>
            </w:pPr>
          </w:p>
        </w:tc>
      </w:tr>
      <w:tr>
        <w:trPr>
          <w:trHeight w:val="151"/>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25,653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w w:val="73"/>
              </w:rPr>
              <w:t>(69)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79"/>
              </w:rPr>
              <w:t>(5,286)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758</w:t>
            </w:r>
          </w:p>
        </w:tc>
        <w:tc>
          <w:tcPr>
            <w:tcW w:w="0" w:type="dxa"/>
            <w:vAlign w:val="bottom"/>
          </w:tcPr>
          <w:p>
            <w:pPr>
              <w:spacing w:after="0"/>
              <w:rPr>
                <w:sz w:val="1"/>
                <w:szCs w:val="1"/>
                <w:color w:val="auto"/>
              </w:rPr>
            </w:pPr>
          </w:p>
        </w:tc>
      </w:tr>
      <w:tr>
        <w:trPr>
          <w:trHeight w:val="138"/>
        </w:trPr>
        <w:tc>
          <w:tcPr>
            <w:tcW w:w="19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163,243</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15,998</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25,653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2"/>
              </w:rPr>
              <w:t>(69)</w:t>
            </w:r>
          </w:p>
        </w:tc>
        <w:tc>
          <w:tcPr>
            <w:tcW w:w="62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(5,286)</w:t>
            </w: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2"/>
              </w:rPr>
              <w:t>$ 200,259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Three Months Ended March 31, 2024</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tcPr>
          <w:p>
            <w:pPr>
              <w:jc w:val="center"/>
              <w:ind w:right="22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300"/>
              <w:spacing w:after="0" w:line="104" w:lineRule="exact"/>
              <w:rPr>
                <w:sz w:val="20"/>
                <w:szCs w:val="20"/>
                <w:color w:val="auto"/>
              </w:rPr>
            </w:pPr>
            <w:r>
              <w:rPr>
                <w:rFonts w:ascii="Times New Roman" w:cs="Times New Roman" w:eastAsia="Times New Roman" w:hAnsi="Times New Roman"/>
                <w:sz w:val="10"/>
                <w:szCs w:val="10"/>
                <w:b w:val="1"/>
                <w:bCs w:val="1"/>
                <w:color w:val="auto"/>
              </w:rPr>
              <w:t>certain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82"/>
              </w:rPr>
              <w:t>acquisitions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7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140" w:type="dxa"/>
            <w:vAlign w:val="bottom"/>
          </w:tcPr>
          <w:p>
            <w:pPr>
              <w:spacing w:after="0"/>
              <w:rPr>
                <w:sz w:val="9"/>
                <w:szCs w:val="9"/>
                <w:color w:val="auto"/>
              </w:rPr>
            </w:pPr>
          </w:p>
        </w:tc>
        <w:tc>
          <w:tcPr>
            <w:tcW w:w="62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2"/>
              </w:rPr>
              <w:t>liabilities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jc w:val="right"/>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7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1"/>
              </w:rPr>
              <w:t>measured</w:t>
            </w: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Tax</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100" w:type="dxa"/>
            <w:vAlign w:val="bottom"/>
          </w:tcPr>
          <w:p>
            <w:pPr>
              <w:spacing w:after="0"/>
              <w:rPr>
                <w:sz w:val="9"/>
                <w:szCs w:val="9"/>
                <w:color w:val="auto"/>
              </w:rPr>
            </w:pPr>
          </w:p>
        </w:tc>
        <w:tc>
          <w:tcPr>
            <w:tcW w:w="72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76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40" w:type="dxa"/>
            <w:vAlign w:val="bottom"/>
          </w:tcPr>
          <w:p>
            <w:pPr>
              <w:spacing w:after="0"/>
              <w:rPr>
                <w:sz w:val="9"/>
                <w:szCs w:val="9"/>
                <w:color w:val="auto"/>
              </w:rPr>
            </w:pPr>
          </w:p>
        </w:tc>
        <w:tc>
          <w:tcPr>
            <w:tcW w:w="620" w:type="dxa"/>
            <w:vAlign w:val="bottom"/>
            <w:gridSpan w:val="2"/>
          </w:tcPr>
          <w:p>
            <w:pPr>
              <w:jc w:val="center"/>
              <w:ind w:right="300"/>
              <w:spacing w:after="0" w:line="104" w:lineRule="exact"/>
              <w:rPr>
                <w:sz w:val="20"/>
                <w:szCs w:val="20"/>
                <w:color w:val="auto"/>
              </w:rPr>
            </w:pPr>
            <w:r>
              <w:rPr>
                <w:rFonts w:ascii="Times New Roman" w:cs="Times New Roman" w:eastAsia="Times New Roman" w:hAnsi="Times New Roman"/>
                <w:sz w:val="10"/>
                <w:szCs w:val="10"/>
                <w:b w:val="1"/>
                <w:bCs w:val="1"/>
                <w:color w:val="auto"/>
              </w:rPr>
              <w:t>at fair</w:t>
            </w:r>
          </w:p>
        </w:tc>
        <w:tc>
          <w:tcPr>
            <w:tcW w:w="820" w:type="dxa"/>
            <w:vAlign w:val="bottom"/>
            <w:gridSpan w:val="4"/>
            <w:vMerge w:val="continue"/>
          </w:tcPr>
          <w:p>
            <w:pPr>
              <w:spacing w:after="0"/>
              <w:rPr>
                <w:sz w:val="9"/>
                <w:szCs w:val="9"/>
                <w:color w:val="auto"/>
              </w:rPr>
            </w:pPr>
          </w:p>
        </w:tc>
        <w:tc>
          <w:tcPr>
            <w:tcW w:w="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40" w:type="dxa"/>
            <w:vAlign w:val="bottom"/>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8"/>
              </w:rPr>
              <w:t>Non-GAAP</w:t>
            </w: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140" w:type="dxa"/>
            <w:vAlign w:val="bottom"/>
          </w:tcPr>
          <w:p>
            <w:pPr>
              <w:spacing w:after="0"/>
              <w:rPr>
                <w:sz w:val="10"/>
                <w:szCs w:val="10"/>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7"/>
              </w:rPr>
              <w:t>charges</w:t>
            </w:r>
          </w:p>
        </w:tc>
        <w:tc>
          <w:tcPr>
            <w:tcW w:w="500" w:type="dxa"/>
            <w:vAlign w:val="bottom"/>
            <w:gridSpan w:val="4"/>
            <w:vMerge w:val="continue"/>
          </w:tcPr>
          <w:p>
            <w:pPr>
              <w:spacing w:after="0"/>
              <w:rPr>
                <w:sz w:val="10"/>
                <w:szCs w:val="10"/>
                <w:color w:val="auto"/>
              </w:rPr>
            </w:pPr>
          </w:p>
        </w:tc>
        <w:tc>
          <w:tcPr>
            <w:tcW w:w="62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6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auto"/>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801,996</w:t>
            </w:r>
          </w:p>
        </w:tc>
        <w:tc>
          <w:tcPr>
            <w:tcW w:w="140" w:type="dxa"/>
            <w:vAlign w:val="bottom"/>
          </w:tcPr>
          <w:p>
            <w:pPr>
              <w:spacing w:after="0"/>
              <w:rPr>
                <w:sz w:val="13"/>
                <w:szCs w:val="1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(13,248)</w:t>
            </w:r>
          </w:p>
        </w:tc>
        <w:tc>
          <w:tcPr>
            <w:tcW w:w="1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color w:val="auto"/>
                <w:w w:val="81"/>
              </w:rPr>
              <w:t>— </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4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790,749</w:t>
            </w: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91,154</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16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88,898</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147,609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136,768</w:t>
            </w: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9"/>
              </w:rPr>
              <w:t>Amortization of purchased intangible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16,198</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(16,198)</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1,090,117</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(16,198)</w:t>
            </w: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(26,345)</w:t>
            </w:r>
          </w:p>
        </w:tc>
        <w:tc>
          <w:tcPr>
            <w:tcW w:w="16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0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81"/>
              </w:rPr>
              <w:t>— 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2"/>
              </w:rPr>
              <w:t>1,016,415</w:t>
            </w:r>
          </w:p>
        </w:tc>
        <w:tc>
          <w:tcPr>
            <w:tcW w:w="0" w:type="dxa"/>
            <w:vAlign w:val="bottom"/>
          </w:tcPr>
          <w:p>
            <w:pPr>
              <w:spacing w:after="0"/>
              <w:rPr>
                <w:sz w:val="1"/>
                <w:szCs w:val="1"/>
                <w:color w:val="auto"/>
              </w:rPr>
            </w:pPr>
          </w:p>
        </w:tc>
      </w:tr>
      <w:tr>
        <w:trPr>
          <w:trHeight w:val="151"/>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155,732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16,198</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gridSpan w:val="2"/>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(11,650)</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4,004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(7,646)</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24,657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13,511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119,425</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16,198</w:t>
            </w: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26,345</w:t>
            </w:r>
          </w:p>
        </w:tc>
        <w:tc>
          <w:tcPr>
            <w:tcW w:w="16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0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4,004</w:t>
            </w:r>
          </w:p>
        </w:tc>
        <w:tc>
          <w:tcPr>
            <w:tcW w:w="4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(13,511)</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183,620</w:t>
            </w:r>
          </w:p>
        </w:tc>
        <w:tc>
          <w:tcPr>
            <w:tcW w:w="0" w:type="dxa"/>
            <w:vAlign w:val="bottom"/>
          </w:tcPr>
          <w:p>
            <w:pPr>
              <w:spacing w:after="0"/>
              <w:rPr>
                <w:sz w:val="1"/>
                <w:szCs w:val="1"/>
                <w:color w:val="auto"/>
              </w:rPr>
            </w:pPr>
          </w:p>
        </w:tc>
      </w:tr>
      <w:tr>
        <w:trPr>
          <w:trHeight w:val="138"/>
        </w:trPr>
        <w:tc>
          <w:tcPr>
            <w:tcW w:w="19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923</w:t>
            </w: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tcBorders>
              <w:top w:val="single" w:sz="8" w:color="auto"/>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118,502</w:t>
            </w:r>
          </w:p>
        </w:tc>
        <w:tc>
          <w:tcPr>
            <w:tcW w:w="140" w:type="dxa"/>
            <w:vAlign w:val="bottom"/>
            <w:tcBorders>
              <w:lef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16,198</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26,345</w:t>
            </w: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u w:val="single" w:color="auto"/>
                <w:color w:val="auto"/>
                <w:w w:val="89"/>
              </w:rPr>
              <w:t>$</w:t>
            </w:r>
            <w:r>
              <w:rPr>
                <w:rFonts w:ascii="Times New Roman" w:cs="Times New Roman" w:eastAsia="Times New Roman" w:hAnsi="Times New Roman"/>
                <w:sz w:val="13"/>
                <w:szCs w:val="13"/>
                <w:color w:val="auto"/>
                <w:w w:val="89"/>
              </w:rPr>
              <w:t>4,004</w:t>
            </w:r>
          </w:p>
        </w:tc>
        <w:tc>
          <w:tcPr>
            <w:tcW w:w="4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(13,511)</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182,697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Six Months Ended March 31, 2025</w:t>
            </w:r>
            <w:r>
              <w:rPr>
                <w:rFonts w:ascii="Times New Roman" w:cs="Times New Roman" w:eastAsia="Times New Roman" w:hAnsi="Times New Roman"/>
                <w:sz w:val="7"/>
                <w:szCs w:val="7"/>
                <w:b w:val="1"/>
                <w:bCs w:val="1"/>
                <w:color w:val="auto"/>
              </w:rPr>
              <w:t>(a)</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3"/>
          </w:tcPr>
          <w:p>
            <w:pPr>
              <w:jc w:val="center"/>
              <w:ind w:right="20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certain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related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8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GAAP</w:t>
            </w:r>
          </w:p>
        </w:tc>
        <w:tc>
          <w:tcPr>
            <w:tcW w:w="60" w:type="dxa"/>
            <w:vAlign w:val="bottom"/>
          </w:tcPr>
          <w:p>
            <w:pPr>
              <w:spacing w:after="0"/>
              <w:rPr>
                <w:sz w:val="9"/>
                <w:szCs w:val="9"/>
                <w:color w:val="auto"/>
              </w:rPr>
            </w:pPr>
          </w:p>
        </w:tc>
        <w:tc>
          <w:tcPr>
            <w:tcW w:w="7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80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measured at</w:t>
            </w:r>
          </w:p>
        </w:tc>
        <w:tc>
          <w:tcPr>
            <w:tcW w:w="800" w:type="dxa"/>
            <w:vAlign w:val="bottom"/>
            <w:gridSpan w:val="3"/>
            <w:vMerge w:val="continue"/>
          </w:tcPr>
          <w:p>
            <w:pPr>
              <w:spacing w:after="0"/>
              <w:rPr>
                <w:sz w:val="9"/>
                <w:szCs w:val="9"/>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fair value</w:t>
            </w:r>
          </w:p>
        </w:tc>
        <w:tc>
          <w:tcPr>
            <w:tcW w:w="10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8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6"/>
              </w:rPr>
              <w:t>1,380,308</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(25,606)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$1,354,342</w:t>
            </w: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166,129</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(4,554)</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161,575</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256,712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(22,013)</w:t>
            </w:r>
          </w:p>
        </w:tc>
        <w:tc>
          <w:tcPr>
            <w:tcW w:w="6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12,138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246,837</w:t>
            </w: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31,757</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(31,757)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(6,783)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1,841,689</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(31,757)</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(52,173)</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(6,783)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1,762,754</w:t>
            </w:r>
          </w:p>
        </w:tc>
        <w:tc>
          <w:tcPr>
            <w:tcW w:w="0" w:type="dxa"/>
            <w:vAlign w:val="bottom"/>
          </w:tcPr>
          <w:p>
            <w:pPr>
              <w:spacing w:after="0"/>
              <w:rPr>
                <w:sz w:val="1"/>
                <w:szCs w:val="1"/>
                <w:color w:val="auto"/>
              </w:rPr>
            </w:pPr>
          </w:p>
        </w:tc>
      </w:tr>
      <w:tr>
        <w:trPr>
          <w:trHeight w:val="151"/>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396,569</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31,757</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52,173</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(11,778)</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475,504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6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(14,874)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5,979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(8,895)</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65,842</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10,873</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76,715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315,853</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31,757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52,173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(11,778)</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6,783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5,979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(10,873)</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389,894</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1,477</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1,477</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314,376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31,757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52,173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(11,778)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6,783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5,979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(10,873)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388,417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Six Months Ended March 31, 2024</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3"/>
          </w:tcPr>
          <w:p>
            <w:pPr>
              <w:jc w:val="center"/>
              <w:ind w:right="20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certain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related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8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GAAP</w:t>
            </w:r>
          </w:p>
        </w:tc>
        <w:tc>
          <w:tcPr>
            <w:tcW w:w="60" w:type="dxa"/>
            <w:vAlign w:val="bottom"/>
          </w:tcPr>
          <w:p>
            <w:pPr>
              <w:spacing w:after="0"/>
              <w:rPr>
                <w:sz w:val="9"/>
                <w:szCs w:val="9"/>
                <w:color w:val="auto"/>
              </w:rPr>
            </w:pPr>
          </w:p>
        </w:tc>
        <w:tc>
          <w:tcPr>
            <w:tcW w:w="7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80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measured at</w:t>
            </w:r>
          </w:p>
        </w:tc>
        <w:tc>
          <w:tcPr>
            <w:tcW w:w="800" w:type="dxa"/>
            <w:vAlign w:val="bottom"/>
            <w:gridSpan w:val="3"/>
            <w:vMerge w:val="continue"/>
          </w:tcPr>
          <w:p>
            <w:pPr>
              <w:spacing w:after="0"/>
              <w:rPr>
                <w:sz w:val="9"/>
                <w:szCs w:val="9"/>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fair value</w:t>
            </w:r>
          </w:p>
        </w:tc>
        <w:tc>
          <w:tcPr>
            <w:tcW w:w="10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8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6"/>
              </w:rPr>
              <w:t>1,614,740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(26,775)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$1,591,549</w:t>
            </w: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180,361</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(4,123)</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176,238</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290,113</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(21,527)</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268,586</w:t>
            </w: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32,608</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(32,608)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(33,160)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2,150,982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(32,608)</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(52,425)</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(33,160)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2,036,373</w:t>
            </w:r>
          </w:p>
        </w:tc>
        <w:tc>
          <w:tcPr>
            <w:tcW w:w="0" w:type="dxa"/>
            <w:vAlign w:val="bottom"/>
          </w:tcPr>
          <w:p>
            <w:pPr>
              <w:spacing w:after="0"/>
              <w:rPr>
                <w:sz w:val="1"/>
                <w:szCs w:val="1"/>
                <w:color w:val="auto"/>
              </w:rPr>
            </w:pPr>
          </w:p>
        </w:tc>
      </w:tr>
      <w:tr>
        <w:trPr>
          <w:trHeight w:val="151"/>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340,066</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32,608</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52,425</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33,160</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454,675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6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(21,428)</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5,538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(15,890)</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50,491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20,841</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71,332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268,147</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32,608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52,425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(3,584)</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33,160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5,538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(20,841)</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367,453</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1,680</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1,680</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266,467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32,608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52,425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33,160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5,538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(20,841)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365,773</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5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5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20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560" w:type="dxa"/>
            <w:vAlign w:val="bottom"/>
            <w:tcBorders>
              <w:bottom w:val="single" w:sz="8" w:color="CCEEFF"/>
            </w:tcBorders>
          </w:tcPr>
          <w:p>
            <w:pPr>
              <w:spacing w:after="0"/>
              <w:rPr>
                <w:sz w:val="10"/>
                <w:szCs w:val="10"/>
                <w:color w:val="auto"/>
              </w:rPr>
            </w:pPr>
          </w:p>
        </w:tc>
        <w:tc>
          <w:tcPr>
            <w:tcW w:w="17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0"/>
                <w:szCs w:val="10"/>
                <w:color w:val="auto"/>
              </w:rPr>
            </w:pPr>
          </w:p>
        </w:tc>
      </w:tr>
      <w:tr>
        <w:trPr>
          <w:trHeight w:val="132"/>
        </w:trPr>
        <w:tc>
          <w:tcPr>
            <w:tcW w:w="45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247,390</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346,085</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Short-term interest-bearing investments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168,242</w:t>
            </w: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 including unbilled</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957,865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1,028,357</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279,656</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228,498</w:t>
            </w:r>
          </w:p>
        </w:tc>
        <w:tc>
          <w:tcPr>
            <w:tcW w:w="40" w:type="dxa"/>
            <w:vAlign w:val="bottom"/>
          </w:tcPr>
          <w:p>
            <w:pPr>
              <w:spacing w:after="0"/>
              <w:rPr>
                <w:sz w:val="13"/>
                <w:szCs w:val="13"/>
                <w:color w:val="auto"/>
              </w:rPr>
            </w:pPr>
          </w:p>
        </w:tc>
      </w:tr>
      <w:tr>
        <w:trPr>
          <w:trHeight w:val="15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1,561,269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1,771,182</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726,701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755,601</w:t>
            </w: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148,145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149,254</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3,055,754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3,005,637</w:t>
            </w: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7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712,685</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704,468</w:t>
            </w:r>
          </w:p>
        </w:tc>
        <w:tc>
          <w:tcPr>
            <w:tcW w:w="40" w:type="dxa"/>
            <w:vAlign w:val="bottom"/>
            <w:shd w:val="clear" w:color="auto" w:fill="CCEEFF"/>
          </w:tcPr>
          <w:p>
            <w:pPr>
              <w:spacing w:after="0"/>
              <w:rPr>
                <w:sz w:val="13"/>
                <w:szCs w:val="13"/>
                <w:color w:val="auto"/>
              </w:rPr>
            </w:pPr>
          </w:p>
        </w:tc>
      </w:tr>
      <w:tr>
        <w:trPr>
          <w:trHeight w:val="159"/>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7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6,204,554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40" w:type="dxa"/>
            <w:vAlign w:val="bottom"/>
          </w:tcPr>
          <w:p>
            <w:pPr>
              <w:spacing w:after="0"/>
              <w:rPr>
                <w:sz w:val="13"/>
                <w:szCs w:val="13"/>
                <w:color w:val="auto"/>
              </w:rPr>
            </w:pPr>
          </w:p>
        </w:tc>
      </w:tr>
      <w:tr>
        <w:trPr>
          <w:trHeight w:val="16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accruals and other</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1,162,117</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1,315,679</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38,804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39,983</w:t>
            </w: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139,640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115,247</w:t>
            </w:r>
          </w:p>
        </w:tc>
      </w:tr>
      <w:tr>
        <w:trPr>
          <w:trHeight w:val="151"/>
        </w:trPr>
        <w:tc>
          <w:tcPr>
            <w:tcW w:w="45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1,340,561</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1,470,909</w:t>
            </w: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102,338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unamortized debt issuance costs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646,593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646,291</w:t>
            </w: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612,836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666,303</w:t>
            </w:r>
          </w:p>
        </w:tc>
        <w:tc>
          <w:tcPr>
            <w:tcW w:w="40" w:type="dxa"/>
            <w:vAlign w:val="bottom"/>
            <w:shd w:val="clear" w:color="auto" w:fill="CCEEFF"/>
          </w:tcPr>
          <w:p>
            <w:pPr>
              <w:spacing w:after="0"/>
              <w:rPr>
                <w:sz w:val="13"/>
                <w:szCs w:val="13"/>
                <w:color w:val="auto"/>
              </w:rPr>
            </w:pPr>
          </w:p>
        </w:tc>
      </w:tr>
      <w:tr>
        <w:trPr>
          <w:trHeight w:val="152"/>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Amdocs Limited Shareholders’ equity</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3,460,757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3,456,976</w:t>
            </w:r>
          </w:p>
        </w:tc>
        <w:tc>
          <w:tcPr>
            <w:tcW w:w="40" w:type="dxa"/>
            <w:vAlign w:val="bottom"/>
          </w:tcPr>
          <w:p>
            <w:pPr>
              <w:spacing w:after="0"/>
              <w:rPr>
                <w:sz w:val="13"/>
                <w:szCs w:val="13"/>
                <w:color w:val="auto"/>
              </w:rPr>
            </w:pPr>
          </w:p>
        </w:tc>
      </w:tr>
      <w:tr>
        <w:trPr>
          <w:trHeight w:val="15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41,469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42,201</w:t>
            </w:r>
          </w:p>
        </w:tc>
      </w:tr>
      <w:tr>
        <w:trPr>
          <w:trHeight w:val="151"/>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7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3,502,226</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3,499,177</w:t>
            </w:r>
          </w:p>
        </w:tc>
        <w:tc>
          <w:tcPr>
            <w:tcW w:w="40" w:type="dxa"/>
            <w:vAlign w:val="bottom"/>
          </w:tcPr>
          <w:p>
            <w:pPr>
              <w:spacing w:after="0"/>
              <w:rPr>
                <w:sz w:val="13"/>
                <w:szCs w:val="13"/>
                <w:color w:val="auto"/>
              </w:rPr>
            </w:pPr>
          </w:p>
        </w:tc>
      </w:tr>
      <w:tr>
        <w:trPr>
          <w:trHeight w:val="15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6,204,554</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40" w:type="dxa"/>
            <w:vAlign w:val="bottom"/>
            <w:shd w:val="clear" w:color="auto" w:fill="CCEEFF"/>
          </w:tcPr>
          <w:p>
            <w:pPr>
              <w:spacing w:after="0"/>
              <w:rPr>
                <w:sz w:val="13"/>
                <w:szCs w:val="13"/>
                <w:color w:val="auto"/>
              </w:rPr>
            </w:pPr>
          </w:p>
        </w:tc>
      </w:tr>
      <w:tr>
        <w:trPr>
          <w:trHeight w:val="28"/>
        </w:trPr>
        <w:tc>
          <w:tcPr>
            <w:tcW w:w="4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0"/>
          <w:szCs w:val="10"/>
          <w:b w:val="1"/>
          <w:bCs w:val="1"/>
          <w:color w:val="auto"/>
        </w:rPr>
        <w:t>Six months ended</w:t>
      </w:r>
    </w:p>
    <w:p>
      <w:pPr>
        <w:jc w:val="center"/>
        <w:ind w:left="6300"/>
        <w:spacing w:after="0" w:line="230" w:lineRule="auto"/>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640" w:type="dxa"/>
        <w:tblCellMar>
          <w:top w:w="0" w:type="dxa"/>
          <w:left w:w="0" w:type="dxa"/>
          <w:bottom w:w="0" w:type="dxa"/>
          <w:right w:w="0" w:type="dxa"/>
        </w:tblCellMar>
      </w:tblPr>
      <w:tr>
        <w:trPr>
          <w:trHeight w:val="94"/>
        </w:trPr>
        <w:tc>
          <w:tcPr>
            <w:tcW w:w="5300" w:type="dxa"/>
            <w:vAlign w:val="bottom"/>
            <w:tcBorders>
              <w:bottom w:val="single" w:sz="8" w:color="CCEEFF"/>
            </w:tcBorders>
          </w:tcPr>
          <w:p>
            <w:pPr>
              <w:spacing w:after="0"/>
              <w:rPr>
                <w:sz w:val="8"/>
                <w:szCs w:val="8"/>
                <w:color w:val="auto"/>
              </w:rPr>
            </w:pPr>
          </w:p>
        </w:tc>
        <w:tc>
          <w:tcPr>
            <w:tcW w:w="108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Borders>
              <w:top w:val="single" w:sz="8" w:color="auto"/>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8"/>
                <w:szCs w:val="8"/>
                <w:color w:val="auto"/>
              </w:rPr>
            </w:pPr>
          </w:p>
        </w:tc>
      </w:tr>
      <w:tr>
        <w:trPr>
          <w:trHeight w:val="132"/>
        </w:trPr>
        <w:tc>
          <w:tcPr>
            <w:tcW w:w="53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$ 315,853</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w w:val="96"/>
              </w:rPr>
              <w:t>$ 268,147</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net income to net cash provided by operating activities:</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92,822</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97,851</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issuance cost</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300</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296</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52,173</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52,425</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2,296</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559</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Loss from short-term interest-bearing investments</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1,739</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4,640</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operating assets and liabilities, net of amounts acquired:</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33,174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(71,288)</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(32,526)</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19,305</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5,141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(14,493)</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 and liabilities, net</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(1,194)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accrued expenses and accrued personnel</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(126,700)</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70,073</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27,846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(48,528)</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payable, net</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(11,082)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(62,228)</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(81,829)</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4,415</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0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278,013</w:t>
            </w: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315,044</w:t>
            </w:r>
          </w:p>
        </w:tc>
        <w:tc>
          <w:tcPr>
            <w:tcW w:w="80" w:type="dxa"/>
            <w:vAlign w:val="bottom"/>
          </w:tcPr>
          <w:p>
            <w:pPr>
              <w:spacing w:after="0"/>
              <w:rPr>
                <w:sz w:val="13"/>
                <w:szCs w:val="13"/>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net (b)</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(43,319)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(63,346)</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short-term interest-bearing investments</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92,955</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31,141</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short-term interest-bearing investments</w:t>
            </w:r>
          </w:p>
        </w:tc>
        <w:tc>
          <w:tcPr>
            <w:tcW w:w="1080" w:type="dxa"/>
            <w:vAlign w:val="bottom"/>
          </w:tcPr>
          <w:p>
            <w:pPr>
              <w:spacing w:after="0"/>
              <w:rPr>
                <w:sz w:val="13"/>
                <w:szCs w:val="13"/>
                <w:color w:val="auto"/>
              </w:rPr>
            </w:pPr>
          </w:p>
        </w:tc>
        <w:tc>
          <w:tcPr>
            <w:tcW w:w="76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(9,061)</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paid for business acquisitions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(57,169)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(87,129)</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from equity investments and other</w:t>
            </w:r>
          </w:p>
        </w:tc>
        <w:tc>
          <w:tcPr>
            <w:tcW w:w="108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16,741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20"/>
        </w:trPr>
        <w:tc>
          <w:tcPr>
            <w:tcW w:w="5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(used) in investing activities</w:t>
            </w:r>
          </w:p>
        </w:tc>
        <w:tc>
          <w:tcPr>
            <w:tcW w:w="10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9,208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(128,786)</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10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shares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(279,720)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(273,941)</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employee stock option exercises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11,422</w:t>
            </w:r>
          </w:p>
        </w:tc>
        <w:tc>
          <w:tcPr>
            <w:tcW w:w="240" w:type="dxa"/>
            <w:vAlign w:val="bottom"/>
          </w:tcPr>
          <w:p>
            <w:pPr>
              <w:spacing w:after="0"/>
              <w:rPr>
                <w:sz w:val="13"/>
                <w:szCs w:val="13"/>
                <w:color w:val="auto"/>
              </w:rPr>
            </w:pP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16,061</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dividends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(107,810)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(101,736)</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(2,209)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(1,744)</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contingent consideration and deferred payment of business acquisitions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(7,599)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0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(385,916</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(363,423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(98,695)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(177,165)</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108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346,085</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520,080</w:t>
            </w:r>
          </w:p>
        </w:tc>
      </w:tr>
      <w:tr>
        <w:trPr>
          <w:trHeight w:val="20"/>
        </w:trPr>
        <w:tc>
          <w:tcPr>
            <w:tcW w:w="5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10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w w:val="96"/>
              </w:rPr>
              <w:t>$ 247,390</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6"/>
              </w:rPr>
              <w:t>$ 342,915</w:t>
            </w:r>
          </w:p>
        </w:tc>
      </w:tr>
      <w:tr>
        <w:trPr>
          <w:trHeight w:val="28"/>
        </w:trPr>
        <w:tc>
          <w:tcPr>
            <w:tcW w:w="5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Supplementary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center"/>
              <w:ind w:left="26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400" w:type="dxa"/>
            <w:vAlign w:val="bottom"/>
          </w:tcPr>
          <w:p>
            <w:pPr>
              <w:spacing w:after="0"/>
              <w:rPr>
                <w:sz w:val="6"/>
                <w:szCs w:val="6"/>
                <w:color w:val="auto"/>
              </w:rPr>
            </w:pPr>
          </w:p>
        </w:tc>
        <w:tc>
          <w:tcPr>
            <w:tcW w:w="6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46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r>
      <w:tr>
        <w:trPr>
          <w:trHeight w:val="121"/>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9"/>
              </w:rPr>
              <w:t>2025</w:t>
            </w:r>
            <w:r>
              <w:rPr>
                <w:rFonts w:ascii="Times New Roman" w:cs="Times New Roman" w:eastAsia="Times New Roman" w:hAnsi="Times New Roman"/>
                <w:sz w:val="7"/>
                <w:szCs w:val="7"/>
                <w:b w:val="1"/>
                <w:bCs w:val="1"/>
                <w:color w:val="auto"/>
                <w:w w:val="99"/>
              </w:rPr>
              <w:t>(a)</w:t>
            </w:r>
          </w:p>
        </w:tc>
        <w:tc>
          <w:tcPr>
            <w:tcW w:w="120" w:type="dxa"/>
            <w:vAlign w:val="bottom"/>
          </w:tcPr>
          <w:p>
            <w:pPr>
              <w:spacing w:after="0"/>
              <w:rPr>
                <w:sz w:val="10"/>
                <w:szCs w:val="10"/>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7"/>
                <w:szCs w:val="7"/>
                <w:b w:val="1"/>
                <w:bCs w:val="1"/>
                <w:color w:val="auto"/>
              </w:rPr>
              <w:t>(a)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10"/>
                <w:szCs w:val="10"/>
                <w:color w:val="auto"/>
              </w:rPr>
            </w:pPr>
          </w:p>
        </w:tc>
      </w:tr>
      <w:tr>
        <w:trPr>
          <w:trHeight w:val="141"/>
        </w:trPr>
        <w:tc>
          <w:tcPr>
            <w:tcW w:w="4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738.3</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737.4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835.8</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828.8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823.2</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180.7</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184.1</w:t>
            </w:r>
          </w:p>
        </w:tc>
        <w:tc>
          <w:tcPr>
            <w:tcW w:w="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175.9</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40" w:type="dxa"/>
            <w:vAlign w:val="bottom"/>
          </w:tcPr>
          <w:p>
            <w:pPr>
              <w:spacing w:after="0"/>
              <w:rPr>
                <w:sz w:val="13"/>
                <w:szCs w:val="13"/>
                <w:color w:val="auto"/>
              </w:rPr>
            </w:pPr>
          </w:p>
        </w:tc>
      </w:tr>
      <w:tr>
        <w:trPr>
          <w:trHeight w:val="15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 of the World</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209.2</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244.0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245.3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w:t>
            </w:r>
          </w:p>
        </w:tc>
        <w:tc>
          <w:tcPr>
            <w:tcW w:w="40" w:type="dxa"/>
            <w:vAlign w:val="bottom"/>
            <w:shd w:val="clear" w:color="auto" w:fill="CCEEFF"/>
          </w:tcPr>
          <w:p>
            <w:pPr>
              <w:spacing w:after="0"/>
              <w:rPr>
                <w:sz w:val="13"/>
                <w:szCs w:val="13"/>
                <w:color w:val="auto"/>
              </w:rPr>
            </w:pPr>
          </w:p>
        </w:tc>
      </w:tr>
      <w:tr>
        <w:trPr>
          <w:trHeight w:val="159"/>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1,128.2</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1,263.9</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1,250.1</w:t>
            </w:r>
          </w:p>
        </w:tc>
        <w:tc>
          <w:tcPr>
            <w:tcW w:w="180" w:type="dxa"/>
            <w:vAlign w:val="bottom"/>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6"/>
              </w:rPr>
              <w:t>$</w:t>
            </w:r>
            <w:r>
              <w:rPr>
                <w:rFonts w:ascii="Times New Roman" w:cs="Times New Roman" w:eastAsia="Times New Roman" w:hAnsi="Times New Roman"/>
                <w:sz w:val="13"/>
                <w:szCs w:val="13"/>
                <w:color w:val="auto"/>
                <w:w w:val="96"/>
              </w:rPr>
              <w:t>1,245.8</w:t>
            </w:r>
          </w:p>
        </w:tc>
        <w:tc>
          <w:tcPr>
            <w:tcW w:w="40" w:type="dxa"/>
            <w:vAlign w:val="bottom"/>
          </w:tcPr>
          <w:p>
            <w:pPr>
              <w:spacing w:after="0"/>
              <w:rPr>
                <w:sz w:val="13"/>
                <w:szCs w:val="13"/>
                <w:color w:val="auto"/>
              </w:rPr>
            </w:pPr>
          </w:p>
        </w:tc>
      </w:tr>
      <w:tr>
        <w:trPr>
          <w:trHeight w:val="265"/>
        </w:trPr>
        <w:tc>
          <w:tcPr>
            <w:tcW w:w="440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5"/>
          </w:tcPr>
          <w:p>
            <w:pPr>
              <w:jc w:val="center"/>
              <w:ind w:left="26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7"/>
        </w:trPr>
        <w:tc>
          <w:tcPr>
            <w:tcW w:w="4400" w:type="dxa"/>
            <w:vAlign w:val="bottom"/>
          </w:tcPr>
          <w:p>
            <w:pPr>
              <w:spacing w:after="0"/>
              <w:rPr>
                <w:sz w:val="6"/>
                <w:szCs w:val="6"/>
                <w:color w:val="auto"/>
              </w:rPr>
            </w:pPr>
          </w:p>
        </w:tc>
        <w:tc>
          <w:tcPr>
            <w:tcW w:w="6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46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r>
      <w:tr>
        <w:trPr>
          <w:trHeight w:val="121"/>
        </w:trPr>
        <w:tc>
          <w:tcPr>
            <w:tcW w:w="44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0"/>
                <w:szCs w:val="10"/>
                <w:color w:val="auto"/>
              </w:rPr>
            </w:pPr>
          </w:p>
        </w:tc>
      </w:tr>
      <w:tr>
        <w:trPr>
          <w:trHeight w:val="141"/>
        </w:trPr>
        <w:tc>
          <w:tcPr>
            <w:tcW w:w="44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Managed Services Revenue</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747.1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728.9</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721.4</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740.8</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720.3</w:t>
            </w:r>
          </w:p>
        </w:tc>
        <w:tc>
          <w:tcPr>
            <w:tcW w:w="40" w:type="dxa"/>
            <w:vAlign w:val="bottom"/>
            <w:shd w:val="clear" w:color="auto" w:fill="CCEEFF"/>
          </w:tcPr>
          <w:p>
            <w:pPr>
              <w:spacing w:after="0"/>
              <w:rPr>
                <w:sz w:val="12"/>
                <w:szCs w:val="12"/>
                <w:color w:val="auto"/>
              </w:rPr>
            </w:pPr>
          </w:p>
        </w:tc>
      </w:tr>
      <w:tr>
        <w:trPr>
          <w:trHeight w:val="255"/>
        </w:trPr>
        <w:tc>
          <w:tcPr>
            <w:tcW w:w="44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7"/>
        </w:trPr>
        <w:tc>
          <w:tcPr>
            <w:tcW w:w="4400" w:type="dxa"/>
            <w:vAlign w:val="bottom"/>
          </w:tcPr>
          <w:p>
            <w:pPr>
              <w:spacing w:after="0"/>
              <w:rPr>
                <w:sz w:val="6"/>
                <w:szCs w:val="6"/>
                <w:color w:val="auto"/>
              </w:rPr>
            </w:pPr>
          </w:p>
        </w:tc>
        <w:tc>
          <w:tcPr>
            <w:tcW w:w="6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46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r>
      <w:tr>
        <w:trPr>
          <w:trHeight w:val="121"/>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7"/>
                <w:szCs w:val="7"/>
                <w:b w:val="1"/>
                <w:bCs w:val="1"/>
                <w:color w:val="auto"/>
              </w:rPr>
              <w:t>(c)</w:t>
            </w:r>
          </w:p>
        </w:tc>
        <w:tc>
          <w:tcPr>
            <w:tcW w:w="60" w:type="dxa"/>
            <w:vAlign w:val="bottom"/>
          </w:tcPr>
          <w:p>
            <w:pPr>
              <w:spacing w:after="0"/>
              <w:rPr>
                <w:sz w:val="10"/>
                <w:szCs w:val="10"/>
                <w:color w:val="auto"/>
              </w:rPr>
            </w:pPr>
          </w:p>
        </w:tc>
        <w:tc>
          <w:tcPr>
            <w:tcW w:w="380" w:type="dxa"/>
            <w:vAlign w:val="bottom"/>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10"/>
                <w:szCs w:val="10"/>
                <w:color w:val="auto"/>
              </w:rPr>
            </w:pPr>
          </w:p>
        </w:tc>
      </w:tr>
      <w:tr>
        <w:trPr>
          <w:trHeight w:val="141"/>
        </w:trPr>
        <w:tc>
          <w:tcPr>
            <w:tcW w:w="4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12-Month Backlog</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4,170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4,140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4,060</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4,250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4,230</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167" w:lineRule="exact"/>
        <w:rPr>
          <w:sz w:val="20"/>
          <w:szCs w:val="20"/>
          <w:color w:val="auto"/>
        </w:rPr>
      </w:pPr>
    </w:p>
    <w:p>
      <w:pPr>
        <w:ind w:left="940" w:hanging="303"/>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the phase out of certain business activities in the fourth fiscal quarter of 2024 only.</w:t>
      </w:r>
    </w:p>
    <w:p>
      <w:pPr>
        <w:spacing w:after="0" w:line="341" w:lineRule="exact"/>
        <w:rPr>
          <w:rFonts w:ascii="Times New Roman" w:cs="Times New Roman" w:eastAsia="Times New Roman" w:hAnsi="Times New Roman"/>
          <w:sz w:val="13"/>
          <w:szCs w:val="13"/>
          <w:color w:val="auto"/>
        </w:rPr>
      </w:pPr>
    </w:p>
    <w:p>
      <w:pPr>
        <w:ind w:left="4480" w:hanging="102"/>
        <w:spacing w:after="0"/>
        <w:tabs>
          <w:tab w:leader="none" w:pos="4480" w:val="left"/>
        </w:tabs>
        <w:numPr>
          <w:ilvl w:val="1"/>
          <w:numId w:val="1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-187325</wp:posOffset>
            </wp:positionV>
            <wp:extent cx="491045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2025-05-08T05:20:21Z</dcterms:created>
  <dcterms:modified xsi:type="dcterms:W3CDTF">2025-05-08T05:20:21Z</dcterms:modified>
</cp:coreProperties>
</file>